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729"/>
        <w:gridCol w:w="705"/>
        <w:gridCol w:w="9"/>
        <w:gridCol w:w="893"/>
        <w:gridCol w:w="1796"/>
        <w:gridCol w:w="11"/>
        <w:gridCol w:w="358"/>
        <w:gridCol w:w="9"/>
        <w:gridCol w:w="1424"/>
        <w:gridCol w:w="8"/>
        <w:gridCol w:w="538"/>
        <w:gridCol w:w="641"/>
        <w:gridCol w:w="261"/>
        <w:gridCol w:w="1989"/>
        <w:gridCol w:w="2703"/>
        <w:gridCol w:w="2697"/>
      </w:tblGrid>
      <w:tr w:rsidR="00C57960">
        <w:trPr>
          <w:gridAfter w:val="2"/>
          <w:wAfter w:w="5400" w:type="dxa"/>
          <w:cantSplit/>
        </w:trPr>
        <w:tc>
          <w:tcPr>
            <w:tcW w:w="11160" w:type="dxa"/>
            <w:gridSpan w:val="15"/>
            <w:tcBorders>
              <w:top w:val="nil"/>
              <w:left w:val="nil"/>
              <w:bottom w:val="nil"/>
              <w:right w:val="nil"/>
            </w:tcBorders>
          </w:tcPr>
          <w:p w:rsidR="00C57960" w:rsidRDefault="00C57960">
            <w:pPr>
              <w:pStyle w:val="Title"/>
              <w:jc w:val="left"/>
              <w:rPr>
                <w:rFonts w:ascii="Arial" w:hAnsi="Arial"/>
                <w:color w:val="0000FF"/>
              </w:rPr>
            </w:pPr>
            <w:r>
              <w:rPr>
                <w:rFonts w:ascii="Arial" w:hAnsi="Arial"/>
                <w:color w:val="0000FF"/>
              </w:rPr>
              <w:t>GC Culture</w:t>
            </w:r>
          </w:p>
          <w:p w:rsidR="00C57960" w:rsidRDefault="00C57960">
            <w:pPr>
              <w:pStyle w:val="Custom"/>
            </w:pPr>
          </w:p>
        </w:tc>
      </w:tr>
      <w:tr w:rsidR="00C57960">
        <w:trPr>
          <w:gridAfter w:val="2"/>
          <w:wAfter w:w="5400" w:type="dxa"/>
          <w:cantSplit/>
          <w:trHeight w:val="800"/>
        </w:trPr>
        <w:tc>
          <w:tcPr>
            <w:tcW w:w="1789" w:type="dxa"/>
            <w:tcBorders>
              <w:top w:val="nil"/>
              <w:left w:val="nil"/>
              <w:bottom w:val="nil"/>
              <w:right w:val="nil"/>
            </w:tcBorders>
          </w:tcPr>
          <w:p w:rsidR="00C57960" w:rsidRDefault="00C57960">
            <w:pPr>
              <w:rPr>
                <w:rFonts w:ascii="Arial" w:hAnsi="Arial"/>
                <w:b/>
                <w:color w:val="0000FF"/>
                <w:sz w:val="20"/>
              </w:rPr>
            </w:pPr>
          </w:p>
          <w:p w:rsidR="00C57960" w:rsidRDefault="00C57960">
            <w:pPr>
              <w:rPr>
                <w:rFonts w:ascii="Arial" w:hAnsi="Arial"/>
                <w:b/>
                <w:color w:val="0000FF"/>
                <w:sz w:val="20"/>
              </w:rPr>
            </w:pPr>
            <w:r>
              <w:rPr>
                <w:rFonts w:ascii="Arial" w:hAnsi="Arial"/>
                <w:b/>
                <w:color w:val="0000FF"/>
                <w:sz w:val="20"/>
              </w:rPr>
              <w:t>Purpose</w:t>
            </w:r>
          </w:p>
        </w:tc>
        <w:tc>
          <w:tcPr>
            <w:tcW w:w="9371" w:type="dxa"/>
            <w:gridSpan w:val="14"/>
            <w:tcBorders>
              <w:top w:val="single" w:sz="4" w:space="0" w:color="auto"/>
              <w:left w:val="nil"/>
              <w:bottom w:val="single" w:sz="4" w:space="0" w:color="auto"/>
              <w:right w:val="nil"/>
            </w:tcBorders>
          </w:tcPr>
          <w:p w:rsidR="00C57960" w:rsidRDefault="00C57960">
            <w:pPr>
              <w:jc w:val="left"/>
              <w:rPr>
                <w:rFonts w:ascii="Arial" w:hAnsi="Arial"/>
                <w:sz w:val="20"/>
              </w:rPr>
            </w:pPr>
          </w:p>
          <w:p w:rsidR="00C57960" w:rsidRDefault="00C57960">
            <w:pPr>
              <w:jc w:val="left"/>
              <w:rPr>
                <w:rFonts w:ascii="Arial" w:hAnsi="Arial" w:cs="Arial"/>
                <w:sz w:val="20"/>
              </w:rPr>
            </w:pPr>
            <w:r>
              <w:rPr>
                <w:rFonts w:ascii="Arial" w:hAnsi="Arial" w:cs="Arial"/>
                <w:sz w:val="20"/>
              </w:rPr>
              <w:t>This procedure provides instructions for GC CULTURE for the Microbiology laboratory.</w:t>
            </w:r>
          </w:p>
          <w:p w:rsidR="00C57960" w:rsidRDefault="00C57960">
            <w:pPr>
              <w:jc w:val="left"/>
              <w:rPr>
                <w:rFonts w:ascii="Arial" w:hAnsi="Arial" w:cs="Arial"/>
                <w:sz w:val="20"/>
              </w:rPr>
            </w:pPr>
          </w:p>
        </w:tc>
      </w:tr>
      <w:tr w:rsidR="00C57960">
        <w:trPr>
          <w:gridAfter w:val="2"/>
          <w:wAfter w:w="5400" w:type="dxa"/>
          <w:cantSplit/>
          <w:trHeight w:val="330"/>
        </w:trPr>
        <w:tc>
          <w:tcPr>
            <w:tcW w:w="1789" w:type="dxa"/>
            <w:tcBorders>
              <w:top w:val="nil"/>
              <w:left w:val="nil"/>
              <w:bottom w:val="nil"/>
              <w:right w:val="nil"/>
            </w:tcBorders>
          </w:tcPr>
          <w:p w:rsidR="00C57960" w:rsidRDefault="00C57960">
            <w:pPr>
              <w:rPr>
                <w:rFonts w:ascii="Arial" w:hAnsi="Arial"/>
                <w:b/>
                <w:color w:val="0000FF"/>
                <w:sz w:val="20"/>
              </w:rPr>
            </w:pPr>
          </w:p>
          <w:p w:rsidR="00C57960" w:rsidRDefault="00C57960">
            <w:pPr>
              <w:rPr>
                <w:rFonts w:ascii="Arial" w:hAnsi="Arial"/>
                <w:b/>
                <w:color w:val="0000FF"/>
                <w:sz w:val="20"/>
              </w:rPr>
            </w:pPr>
            <w:r>
              <w:rPr>
                <w:rFonts w:ascii="Arial" w:hAnsi="Arial"/>
                <w:b/>
                <w:color w:val="0000FF"/>
                <w:sz w:val="20"/>
              </w:rPr>
              <w:t>Policy Statements</w:t>
            </w:r>
          </w:p>
          <w:p w:rsidR="00C57960" w:rsidRDefault="00C57960">
            <w:pPr>
              <w:rPr>
                <w:rFonts w:ascii="Arial" w:hAnsi="Arial"/>
                <w:b/>
                <w:color w:val="0000FF"/>
                <w:sz w:val="20"/>
              </w:rPr>
            </w:pPr>
          </w:p>
        </w:tc>
        <w:tc>
          <w:tcPr>
            <w:tcW w:w="9371" w:type="dxa"/>
            <w:gridSpan w:val="14"/>
            <w:tcBorders>
              <w:top w:val="nil"/>
              <w:left w:val="nil"/>
              <w:bottom w:val="single" w:sz="4" w:space="0" w:color="auto"/>
              <w:right w:val="nil"/>
            </w:tcBorders>
          </w:tcPr>
          <w:p w:rsidR="00C57960" w:rsidRDefault="00C57960">
            <w:pPr>
              <w:tabs>
                <w:tab w:val="left" w:pos="252"/>
              </w:tabs>
              <w:jc w:val="left"/>
              <w:rPr>
                <w:rFonts w:ascii="Arial" w:hAnsi="Arial"/>
                <w:sz w:val="20"/>
              </w:rPr>
            </w:pPr>
          </w:p>
          <w:p w:rsidR="00C57960" w:rsidRDefault="00C57960">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C57960" w:rsidRDefault="00C57960">
            <w:pPr>
              <w:tabs>
                <w:tab w:val="left" w:pos="252"/>
              </w:tabs>
              <w:jc w:val="left"/>
              <w:rPr>
                <w:rFonts w:ascii="Arial" w:hAnsi="Arial"/>
                <w:sz w:val="20"/>
              </w:rPr>
            </w:pPr>
          </w:p>
          <w:p w:rsidR="00C57960" w:rsidRDefault="00C57960">
            <w:pPr>
              <w:ind w:left="360"/>
              <w:jc w:val="left"/>
              <w:rPr>
                <w:rFonts w:ascii="Arial" w:hAnsi="Arial"/>
                <w:sz w:val="20"/>
              </w:rPr>
            </w:pPr>
          </w:p>
        </w:tc>
      </w:tr>
      <w:tr w:rsidR="00C57960">
        <w:trPr>
          <w:gridAfter w:val="2"/>
          <w:wAfter w:w="5400" w:type="dxa"/>
          <w:cantSplit/>
          <w:trHeight w:val="330"/>
        </w:trPr>
        <w:tc>
          <w:tcPr>
            <w:tcW w:w="1789" w:type="dxa"/>
            <w:tcBorders>
              <w:top w:val="nil"/>
              <w:left w:val="nil"/>
              <w:bottom w:val="nil"/>
              <w:right w:val="nil"/>
            </w:tcBorders>
          </w:tcPr>
          <w:p w:rsidR="00C57960" w:rsidRDefault="00C57960">
            <w:pPr>
              <w:jc w:val="left"/>
              <w:rPr>
                <w:rFonts w:ascii="Arial" w:hAnsi="Arial"/>
                <w:b/>
                <w:color w:val="0000FF"/>
                <w:sz w:val="20"/>
              </w:rPr>
            </w:pPr>
          </w:p>
          <w:p w:rsidR="00C57960" w:rsidRDefault="00C57960">
            <w:pPr>
              <w:jc w:val="left"/>
              <w:rPr>
                <w:rFonts w:ascii="Arial" w:hAnsi="Arial"/>
                <w:b/>
                <w:color w:val="0000FF"/>
                <w:sz w:val="20"/>
              </w:rPr>
            </w:pPr>
            <w:r>
              <w:rPr>
                <w:rFonts w:ascii="Arial" w:hAnsi="Arial"/>
                <w:b/>
                <w:color w:val="0000FF"/>
                <w:sz w:val="20"/>
              </w:rPr>
              <w:t>Principle and Clinical Significance</w:t>
            </w:r>
          </w:p>
          <w:p w:rsidR="00C57960" w:rsidRDefault="00C57960">
            <w:pPr>
              <w:rPr>
                <w:rFonts w:ascii="Arial" w:hAnsi="Arial"/>
                <w:b/>
                <w:color w:val="0000FF"/>
                <w:sz w:val="20"/>
              </w:rPr>
            </w:pPr>
          </w:p>
        </w:tc>
        <w:tc>
          <w:tcPr>
            <w:tcW w:w="9371" w:type="dxa"/>
            <w:gridSpan w:val="14"/>
            <w:tcBorders>
              <w:top w:val="nil"/>
              <w:left w:val="nil"/>
              <w:bottom w:val="single" w:sz="4" w:space="0" w:color="auto"/>
              <w:right w:val="nil"/>
            </w:tcBorders>
          </w:tcPr>
          <w:p w:rsidR="00C57960" w:rsidRDefault="00C57960">
            <w:pPr>
              <w:tabs>
                <w:tab w:val="left" w:pos="252"/>
              </w:tabs>
              <w:jc w:val="left"/>
              <w:rPr>
                <w:rFonts w:ascii="Arial" w:hAnsi="Arial"/>
                <w:sz w:val="20"/>
              </w:rPr>
            </w:pPr>
          </w:p>
          <w:p w:rsidR="00C57960" w:rsidRDefault="00C57960">
            <w:pPr>
              <w:pStyle w:val="Header"/>
              <w:tabs>
                <w:tab w:val="clear" w:pos="4320"/>
                <w:tab w:val="clear" w:pos="8640"/>
              </w:tabs>
              <w:rPr>
                <w:rFonts w:ascii="Arial" w:hAnsi="Arial" w:cs="Arial"/>
                <w:sz w:val="20"/>
              </w:rPr>
            </w:pPr>
            <w:proofErr w:type="spellStart"/>
            <w:r>
              <w:rPr>
                <w:rFonts w:ascii="Arial" w:hAnsi="Arial" w:cs="Arial"/>
                <w:i/>
                <w:sz w:val="20"/>
              </w:rPr>
              <w:t>Neisseria</w:t>
            </w:r>
            <w:proofErr w:type="spellEnd"/>
            <w:r>
              <w:rPr>
                <w:rFonts w:ascii="Arial" w:hAnsi="Arial" w:cs="Arial"/>
                <w:i/>
                <w:sz w:val="20"/>
              </w:rPr>
              <w:t xml:space="preserve"> </w:t>
            </w:r>
            <w:proofErr w:type="spellStart"/>
            <w:r>
              <w:rPr>
                <w:rFonts w:ascii="Arial" w:hAnsi="Arial" w:cs="Arial"/>
                <w:i/>
                <w:sz w:val="20"/>
              </w:rPr>
              <w:t>gonorrhoeae</w:t>
            </w:r>
            <w:proofErr w:type="spellEnd"/>
            <w:r>
              <w:rPr>
                <w:rFonts w:ascii="Arial" w:hAnsi="Arial" w:cs="Arial"/>
                <w:sz w:val="20"/>
              </w:rPr>
              <w:t xml:space="preserve"> is the causative agent of gonorrhea. Although it is primarily a pathogen of the </w:t>
            </w:r>
            <w:proofErr w:type="spellStart"/>
            <w:r>
              <w:rPr>
                <w:rFonts w:ascii="Arial" w:hAnsi="Arial" w:cs="Arial"/>
                <w:sz w:val="20"/>
              </w:rPr>
              <w:t>urogenital</w:t>
            </w:r>
            <w:proofErr w:type="spellEnd"/>
            <w:r>
              <w:rPr>
                <w:rFonts w:ascii="Arial" w:hAnsi="Arial" w:cs="Arial"/>
                <w:sz w:val="20"/>
              </w:rPr>
              <w:t xml:space="preserve"> tract,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sz w:val="20"/>
              </w:rPr>
              <w:t xml:space="preserve"> is considered clinically significant regardless of the site of isolation.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i/>
                <w:sz w:val="20"/>
              </w:rPr>
              <w:t xml:space="preserve"> </w:t>
            </w:r>
            <w:r>
              <w:rPr>
                <w:rFonts w:ascii="Arial" w:hAnsi="Arial" w:cs="Arial"/>
                <w:sz w:val="20"/>
              </w:rPr>
              <w:t xml:space="preserve">is generally transmitted sexually. Cases of </w:t>
            </w:r>
            <w:proofErr w:type="spellStart"/>
            <w:r>
              <w:rPr>
                <w:rFonts w:ascii="Arial" w:hAnsi="Arial" w:cs="Arial"/>
                <w:sz w:val="20"/>
              </w:rPr>
              <w:t>gonococcal</w:t>
            </w:r>
            <w:proofErr w:type="spellEnd"/>
            <w:r>
              <w:rPr>
                <w:rFonts w:ascii="Arial" w:hAnsi="Arial" w:cs="Arial"/>
                <w:sz w:val="20"/>
              </w:rPr>
              <w:t xml:space="preserve"> infection in the newborn are the result of ocular contamination during delivery. The collection of appropriate specimens for diagnosis of </w:t>
            </w:r>
            <w:proofErr w:type="spellStart"/>
            <w:r>
              <w:rPr>
                <w:rFonts w:ascii="Arial" w:hAnsi="Arial" w:cs="Arial"/>
                <w:sz w:val="20"/>
              </w:rPr>
              <w:t>gonococcal</w:t>
            </w:r>
            <w:proofErr w:type="spellEnd"/>
            <w:r>
              <w:rPr>
                <w:rFonts w:ascii="Arial" w:hAnsi="Arial" w:cs="Arial"/>
                <w:sz w:val="20"/>
              </w:rPr>
              <w:t xml:space="preserve"> infection is dependent on the gender and sexual practices of the patient and on the clinical presentation. </w:t>
            </w:r>
          </w:p>
          <w:p w:rsidR="00C57960" w:rsidRDefault="00C57960">
            <w:pPr>
              <w:pStyle w:val="Header"/>
              <w:tabs>
                <w:tab w:val="clear" w:pos="4320"/>
                <w:tab w:val="clear" w:pos="8640"/>
              </w:tabs>
              <w:rPr>
                <w:rFonts w:ascii="Arial" w:hAnsi="Arial" w:cs="Arial"/>
                <w:sz w:val="20"/>
              </w:rPr>
            </w:pPr>
          </w:p>
          <w:p w:rsidR="00C57960" w:rsidRDefault="00C57960">
            <w:pPr>
              <w:pStyle w:val="Header"/>
              <w:tabs>
                <w:tab w:val="clear" w:pos="4320"/>
                <w:tab w:val="clear" w:pos="8640"/>
              </w:tabs>
              <w:rPr>
                <w:rFonts w:ascii="Arial" w:hAnsi="Arial" w:cs="Arial"/>
                <w:sz w:val="20"/>
              </w:rPr>
            </w:pPr>
            <w:r>
              <w:rPr>
                <w:rFonts w:ascii="Arial" w:hAnsi="Arial" w:cs="Arial"/>
                <w:sz w:val="20"/>
              </w:rPr>
              <w:t xml:space="preserve">Infections usually are localized to the mucosal surfaces in the initial exposure to the organism, e.g., cervix, conjunctiva, pharyngeal, </w:t>
            </w:r>
            <w:proofErr w:type="spellStart"/>
            <w:r>
              <w:rPr>
                <w:rFonts w:ascii="Arial" w:hAnsi="Arial" w:cs="Arial"/>
                <w:sz w:val="20"/>
              </w:rPr>
              <w:t>anorectal</w:t>
            </w:r>
            <w:proofErr w:type="spellEnd"/>
            <w:r>
              <w:rPr>
                <w:rFonts w:ascii="Arial" w:hAnsi="Arial" w:cs="Arial"/>
                <w:sz w:val="20"/>
              </w:rPr>
              <w:t xml:space="preserve"> area or urethra of males. Localized infections can be acute with a purulent discharge or they may be asymptomatic. Disseminated disease may appear in 0.5 to 3% of infected individuals.</w:t>
            </w:r>
          </w:p>
          <w:p w:rsidR="00C57960" w:rsidRDefault="00C57960">
            <w:pPr>
              <w:pStyle w:val="Header"/>
              <w:tabs>
                <w:tab w:val="clear" w:pos="4320"/>
                <w:tab w:val="clear" w:pos="8640"/>
              </w:tabs>
              <w:rPr>
                <w:rFonts w:ascii="Arial" w:hAnsi="Arial" w:cs="Arial"/>
                <w:sz w:val="20"/>
              </w:rPr>
            </w:pPr>
          </w:p>
          <w:p w:rsidR="00C57960" w:rsidRDefault="00C57960">
            <w:pPr>
              <w:tabs>
                <w:tab w:val="left" w:pos="252"/>
              </w:tabs>
              <w:jc w:val="left"/>
              <w:rPr>
                <w:rFonts w:ascii="Arial" w:hAnsi="Arial" w:cs="Arial"/>
                <w:sz w:val="20"/>
              </w:rPr>
            </w:pPr>
            <w:r>
              <w:rPr>
                <w:rFonts w:ascii="Arial" w:hAnsi="Arial" w:cs="Arial"/>
                <w:sz w:val="20"/>
              </w:rPr>
              <w:t xml:space="preserve">A good selective medium is required for reliable isolation of gonococci from specimens that may contain a variety of microorganisms, including saprophytic </w:t>
            </w:r>
            <w:proofErr w:type="spellStart"/>
            <w:r>
              <w:rPr>
                <w:rFonts w:ascii="Arial" w:hAnsi="Arial" w:cs="Arial"/>
                <w:i/>
                <w:iCs/>
                <w:sz w:val="20"/>
              </w:rPr>
              <w:t>Neisseria</w:t>
            </w:r>
            <w:proofErr w:type="spellEnd"/>
            <w:r>
              <w:rPr>
                <w:rFonts w:ascii="Arial" w:hAnsi="Arial" w:cs="Arial"/>
                <w:i/>
                <w:iCs/>
                <w:sz w:val="20"/>
              </w:rPr>
              <w:t xml:space="preserve"> </w:t>
            </w:r>
            <w:r>
              <w:rPr>
                <w:rFonts w:ascii="Arial" w:hAnsi="Arial" w:cs="Arial"/>
                <w:sz w:val="20"/>
              </w:rPr>
              <w:t xml:space="preserve">sp. Methods for the identification of </w:t>
            </w:r>
            <w:r>
              <w:rPr>
                <w:rFonts w:ascii="Arial" w:hAnsi="Arial" w:cs="Arial"/>
                <w:i/>
                <w:iCs/>
                <w:sz w:val="20"/>
              </w:rPr>
              <w:t xml:space="preserve">N. </w:t>
            </w:r>
            <w:proofErr w:type="spellStart"/>
            <w:r>
              <w:rPr>
                <w:rFonts w:ascii="Arial" w:hAnsi="Arial" w:cs="Arial"/>
                <w:i/>
                <w:iCs/>
                <w:sz w:val="20"/>
              </w:rPr>
              <w:t>gonorrhoeae</w:t>
            </w:r>
            <w:proofErr w:type="spellEnd"/>
            <w:r>
              <w:rPr>
                <w:rFonts w:ascii="Arial" w:hAnsi="Arial" w:cs="Arial"/>
                <w:sz w:val="20"/>
              </w:rPr>
              <w:t xml:space="preserve"> from extra-genital sites and cultures from children must be chosen and performed with the utmost care, since a positive report can have far-reaching psychological and medico-legal implications.</w:t>
            </w:r>
          </w:p>
          <w:p w:rsidR="00C57960" w:rsidRDefault="00C57960">
            <w:pPr>
              <w:tabs>
                <w:tab w:val="left" w:pos="252"/>
              </w:tabs>
              <w:jc w:val="left"/>
              <w:rPr>
                <w:rFonts w:ascii="Arial" w:hAnsi="Arial"/>
                <w:sz w:val="20"/>
              </w:rPr>
            </w:pP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tcBorders>
              <w:top w:val="nil"/>
              <w:left w:val="nil"/>
              <w:right w:val="nil"/>
            </w:tcBorders>
          </w:tcPr>
          <w:p w:rsidR="00C57960" w:rsidRDefault="00C57960">
            <w:pPr>
              <w:jc w:val="left"/>
              <w:rPr>
                <w:rFonts w:ascii="Arial" w:hAnsi="Arial"/>
                <w:b/>
                <w:color w:val="0000FF"/>
                <w:sz w:val="20"/>
              </w:rPr>
            </w:pPr>
            <w:r>
              <w:rPr>
                <w:rFonts w:ascii="Arial" w:hAnsi="Arial"/>
                <w:b/>
                <w:color w:val="0000FF"/>
                <w:sz w:val="20"/>
              </w:rPr>
              <w:t>Test Code</w:t>
            </w:r>
          </w:p>
        </w:tc>
        <w:tc>
          <w:tcPr>
            <w:tcW w:w="9371" w:type="dxa"/>
            <w:gridSpan w:val="14"/>
            <w:tcBorders>
              <w:top w:val="nil"/>
              <w:left w:val="nil"/>
              <w:bottom w:val="nil"/>
              <w:right w:val="nil"/>
            </w:tcBorders>
          </w:tcPr>
          <w:p w:rsidR="00C57960" w:rsidRDefault="00C57960">
            <w:pPr>
              <w:tabs>
                <w:tab w:val="left" w:pos="3382"/>
              </w:tabs>
              <w:rPr>
                <w:rFonts w:ascii="Arial" w:hAnsi="Arial"/>
                <w:sz w:val="20"/>
              </w:rPr>
            </w:pPr>
            <w:r>
              <w:rPr>
                <w:rFonts w:ascii="Arial" w:hAnsi="Arial"/>
                <w:sz w:val="20"/>
              </w:rPr>
              <w:t>GC</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tcBorders>
              <w:left w:val="nil"/>
              <w:right w:val="single" w:sz="4" w:space="0" w:color="auto"/>
            </w:tcBorders>
          </w:tcPr>
          <w:p w:rsidR="00C57960" w:rsidRDefault="00C57960">
            <w:pPr>
              <w:jc w:val="left"/>
              <w:rPr>
                <w:rFonts w:ascii="Arial" w:hAnsi="Arial"/>
                <w:b/>
                <w:color w:val="0000FF"/>
                <w:sz w:val="20"/>
              </w:rPr>
            </w:pPr>
            <w:r>
              <w:rPr>
                <w:rFonts w:ascii="Arial" w:hAnsi="Arial"/>
                <w:b/>
                <w:color w:val="0000FF"/>
                <w:sz w:val="20"/>
              </w:rPr>
              <w:t>Materials</w:t>
            </w:r>
          </w:p>
        </w:tc>
        <w:tc>
          <w:tcPr>
            <w:tcW w:w="2336" w:type="dxa"/>
            <w:gridSpan w:val="4"/>
            <w:tcBorders>
              <w:top w:val="single" w:sz="4" w:space="0" w:color="auto"/>
              <w:left w:val="single" w:sz="4" w:space="0" w:color="auto"/>
              <w:bottom w:val="single" w:sz="4" w:space="0" w:color="auto"/>
              <w:right w:val="single" w:sz="4" w:space="0" w:color="auto"/>
            </w:tcBorders>
          </w:tcPr>
          <w:p w:rsidR="00C57960" w:rsidRDefault="00C57960">
            <w:pPr>
              <w:jc w:val="left"/>
              <w:rPr>
                <w:rFonts w:ascii="Arial" w:hAnsi="Arial"/>
                <w:b/>
                <w:sz w:val="20"/>
              </w:rPr>
            </w:pPr>
            <w:r>
              <w:rPr>
                <w:rFonts w:ascii="Arial" w:hAnsi="Arial"/>
                <w:b/>
                <w:sz w:val="20"/>
              </w:rPr>
              <w:t>Reagents</w:t>
            </w:r>
          </w:p>
        </w:tc>
        <w:tc>
          <w:tcPr>
            <w:tcW w:w="2165" w:type="dxa"/>
            <w:gridSpan w:val="3"/>
            <w:tcBorders>
              <w:top w:val="single" w:sz="4" w:space="0" w:color="auto"/>
              <w:left w:val="single" w:sz="4" w:space="0" w:color="auto"/>
              <w:bottom w:val="single" w:sz="4" w:space="0" w:color="auto"/>
              <w:right w:val="single" w:sz="4" w:space="0" w:color="auto"/>
            </w:tcBorders>
          </w:tcPr>
          <w:p w:rsidR="00C57960" w:rsidRDefault="00C57960">
            <w:pPr>
              <w:jc w:val="left"/>
              <w:rPr>
                <w:rFonts w:ascii="Arial" w:hAnsi="Arial"/>
                <w:b/>
                <w:sz w:val="20"/>
              </w:rPr>
            </w:pPr>
            <w:r>
              <w:rPr>
                <w:rFonts w:ascii="Arial" w:hAnsi="Arial"/>
                <w:b/>
                <w:sz w:val="20"/>
              </w:rPr>
              <w:t>Supplies</w:t>
            </w:r>
          </w:p>
        </w:tc>
        <w:tc>
          <w:tcPr>
            <w:tcW w:w="1979" w:type="dxa"/>
            <w:gridSpan w:val="4"/>
            <w:tcBorders>
              <w:top w:val="single" w:sz="4" w:space="0" w:color="auto"/>
              <w:left w:val="single" w:sz="4" w:space="0" w:color="auto"/>
              <w:bottom w:val="single" w:sz="4" w:space="0" w:color="auto"/>
              <w:right w:val="single" w:sz="4" w:space="0" w:color="auto"/>
            </w:tcBorders>
          </w:tcPr>
          <w:p w:rsidR="00C57960" w:rsidRDefault="00C57960">
            <w:pPr>
              <w:jc w:val="left"/>
              <w:rPr>
                <w:rFonts w:ascii="Arial" w:hAnsi="Arial"/>
                <w:b/>
                <w:sz w:val="20"/>
              </w:rPr>
            </w:pPr>
            <w:r>
              <w:rPr>
                <w:rFonts w:ascii="Arial" w:hAnsi="Arial"/>
                <w:b/>
                <w:sz w:val="20"/>
              </w:rPr>
              <w:t>Equipment</w:t>
            </w:r>
          </w:p>
        </w:tc>
        <w:tc>
          <w:tcPr>
            <w:tcW w:w="2891" w:type="dxa"/>
            <w:gridSpan w:val="3"/>
            <w:tcBorders>
              <w:top w:val="single" w:sz="4" w:space="0" w:color="auto"/>
              <w:left w:val="single" w:sz="4" w:space="0" w:color="auto"/>
              <w:bottom w:val="single" w:sz="4" w:space="0" w:color="auto"/>
              <w:right w:val="single" w:sz="4" w:space="0" w:color="auto"/>
            </w:tcBorders>
          </w:tcPr>
          <w:p w:rsidR="00C57960" w:rsidRDefault="00C57960">
            <w:pPr>
              <w:jc w:val="left"/>
              <w:rPr>
                <w:rFonts w:ascii="Arial" w:hAnsi="Arial"/>
                <w:b/>
                <w:sz w:val="20"/>
              </w:rPr>
            </w:pPr>
            <w:r>
              <w:rPr>
                <w:rFonts w:ascii="Arial" w:hAnsi="Arial"/>
                <w:b/>
                <w:sz w:val="20"/>
              </w:rPr>
              <w:t>Media</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Height w:val="530"/>
        </w:trPr>
        <w:tc>
          <w:tcPr>
            <w:tcW w:w="1789" w:type="dxa"/>
            <w:tcBorders>
              <w:left w:val="nil"/>
              <w:right w:val="single" w:sz="4" w:space="0" w:color="auto"/>
            </w:tcBorders>
          </w:tcPr>
          <w:p w:rsidR="00C57960" w:rsidRDefault="00C57960">
            <w:pPr>
              <w:jc w:val="left"/>
              <w:rPr>
                <w:rFonts w:ascii="Arial" w:hAnsi="Arial"/>
                <w:b/>
                <w:color w:val="0000FF"/>
                <w:sz w:val="20"/>
              </w:rPr>
            </w:pPr>
          </w:p>
        </w:tc>
        <w:tc>
          <w:tcPr>
            <w:tcW w:w="2336" w:type="dxa"/>
            <w:gridSpan w:val="4"/>
            <w:tcBorders>
              <w:top w:val="single" w:sz="4" w:space="0" w:color="auto"/>
              <w:left w:val="single" w:sz="4" w:space="0" w:color="auto"/>
              <w:bottom w:val="single" w:sz="4" w:space="0" w:color="auto"/>
              <w:right w:val="single" w:sz="4" w:space="0" w:color="auto"/>
            </w:tcBorders>
          </w:tcPr>
          <w:p w:rsidR="00C57960" w:rsidRPr="00C57960" w:rsidRDefault="00C57960" w:rsidP="00DD393A">
            <w:pPr>
              <w:numPr>
                <w:ilvl w:val="0"/>
                <w:numId w:val="17"/>
              </w:numPr>
              <w:tabs>
                <w:tab w:val="clear" w:pos="360"/>
              </w:tabs>
              <w:jc w:val="left"/>
              <w:rPr>
                <w:rFonts w:ascii="Arial" w:hAnsi="Arial"/>
                <w:sz w:val="18"/>
                <w:szCs w:val="18"/>
              </w:rPr>
            </w:pPr>
            <w:r w:rsidRPr="00C57960">
              <w:rPr>
                <w:rFonts w:ascii="Arial" w:hAnsi="Arial"/>
                <w:sz w:val="18"/>
                <w:szCs w:val="18"/>
              </w:rPr>
              <w:t>Gram Stain reagents</w:t>
            </w:r>
          </w:p>
          <w:p w:rsidR="00C57960" w:rsidRPr="00C57960" w:rsidRDefault="00C57960" w:rsidP="00DD393A">
            <w:pPr>
              <w:numPr>
                <w:ilvl w:val="0"/>
                <w:numId w:val="17"/>
              </w:numPr>
              <w:tabs>
                <w:tab w:val="clear" w:pos="360"/>
              </w:tabs>
              <w:jc w:val="left"/>
              <w:rPr>
                <w:rFonts w:ascii="Arial" w:hAnsi="Arial"/>
                <w:sz w:val="18"/>
                <w:szCs w:val="18"/>
              </w:rPr>
            </w:pPr>
            <w:proofErr w:type="spellStart"/>
            <w:r w:rsidRPr="00C57960">
              <w:rPr>
                <w:rFonts w:ascii="Arial" w:hAnsi="Arial"/>
                <w:sz w:val="18"/>
                <w:szCs w:val="18"/>
              </w:rPr>
              <w:t>Oxidase</w:t>
            </w:r>
            <w:proofErr w:type="spellEnd"/>
          </w:p>
          <w:p w:rsidR="00C57960" w:rsidRPr="00C57960" w:rsidRDefault="00C57960" w:rsidP="00DD393A">
            <w:pPr>
              <w:numPr>
                <w:ilvl w:val="0"/>
                <w:numId w:val="17"/>
              </w:numPr>
              <w:tabs>
                <w:tab w:val="clear" w:pos="360"/>
              </w:tabs>
              <w:jc w:val="left"/>
              <w:rPr>
                <w:rFonts w:ascii="Arial" w:hAnsi="Arial"/>
                <w:sz w:val="18"/>
                <w:szCs w:val="18"/>
              </w:rPr>
            </w:pPr>
            <w:r w:rsidRPr="00C57960">
              <w:rPr>
                <w:rFonts w:ascii="Arial" w:hAnsi="Arial"/>
                <w:sz w:val="18"/>
                <w:szCs w:val="18"/>
              </w:rPr>
              <w:t>3% hydrogen peroxide</w:t>
            </w:r>
          </w:p>
          <w:p w:rsidR="00C57960" w:rsidRPr="00C57960" w:rsidRDefault="00C57960" w:rsidP="00DD393A">
            <w:pPr>
              <w:numPr>
                <w:ilvl w:val="0"/>
                <w:numId w:val="17"/>
              </w:numPr>
              <w:tabs>
                <w:tab w:val="clear" w:pos="360"/>
              </w:tabs>
              <w:jc w:val="left"/>
              <w:rPr>
                <w:rFonts w:ascii="Arial" w:hAnsi="Arial" w:cs="Arial"/>
                <w:sz w:val="18"/>
                <w:szCs w:val="18"/>
              </w:rPr>
            </w:pPr>
            <w:r w:rsidRPr="00C57960">
              <w:rPr>
                <w:rFonts w:ascii="Arial" w:hAnsi="Arial" w:cs="Arial"/>
                <w:sz w:val="18"/>
                <w:szCs w:val="18"/>
              </w:rPr>
              <w:t>Vitek</w:t>
            </w:r>
            <w:r w:rsidRPr="00C57960">
              <w:rPr>
                <w:rFonts w:ascii="Arial" w:hAnsi="Arial" w:cs="Arial"/>
                <w:sz w:val="18"/>
                <w:szCs w:val="18"/>
                <w:vertAlign w:val="superscript"/>
              </w:rPr>
              <w:t>®</w:t>
            </w:r>
            <w:r w:rsidRPr="00C57960">
              <w:rPr>
                <w:rFonts w:ascii="Arial" w:hAnsi="Arial" w:cs="Arial"/>
                <w:sz w:val="18"/>
                <w:szCs w:val="18"/>
              </w:rPr>
              <w:t xml:space="preserve"> NH cards</w:t>
            </w:r>
          </w:p>
        </w:tc>
        <w:tc>
          <w:tcPr>
            <w:tcW w:w="2165" w:type="dxa"/>
            <w:gridSpan w:val="3"/>
            <w:tcBorders>
              <w:top w:val="single" w:sz="4" w:space="0" w:color="auto"/>
              <w:left w:val="single" w:sz="4" w:space="0" w:color="auto"/>
              <w:bottom w:val="single" w:sz="4" w:space="0" w:color="auto"/>
              <w:right w:val="single" w:sz="4" w:space="0" w:color="auto"/>
            </w:tcBorders>
          </w:tcPr>
          <w:p w:rsidR="00C57960" w:rsidRPr="00C57960" w:rsidRDefault="00C57960" w:rsidP="00DD393A">
            <w:pPr>
              <w:numPr>
                <w:ilvl w:val="0"/>
                <w:numId w:val="17"/>
              </w:numPr>
              <w:tabs>
                <w:tab w:val="clear" w:pos="360"/>
              </w:tabs>
              <w:jc w:val="left"/>
              <w:rPr>
                <w:rFonts w:ascii="Arial" w:hAnsi="Arial"/>
                <w:sz w:val="18"/>
                <w:szCs w:val="18"/>
              </w:rPr>
            </w:pPr>
            <w:r w:rsidRPr="00C57960">
              <w:rPr>
                <w:rFonts w:ascii="Arial" w:hAnsi="Arial"/>
                <w:sz w:val="18"/>
                <w:szCs w:val="18"/>
              </w:rPr>
              <w:t>Glass slides (plain)</w:t>
            </w:r>
          </w:p>
          <w:p w:rsidR="00C57960" w:rsidRPr="00C57960" w:rsidRDefault="00C57960">
            <w:pPr>
              <w:pStyle w:val="TableText"/>
              <w:autoSpaceDE/>
              <w:autoSpaceDN/>
              <w:rPr>
                <w:rFonts w:ascii="Arial" w:hAnsi="Arial"/>
                <w:sz w:val="18"/>
                <w:szCs w:val="18"/>
              </w:rPr>
            </w:pPr>
          </w:p>
        </w:tc>
        <w:tc>
          <w:tcPr>
            <w:tcW w:w="1979" w:type="dxa"/>
            <w:gridSpan w:val="4"/>
            <w:tcBorders>
              <w:top w:val="single" w:sz="4" w:space="0" w:color="auto"/>
              <w:left w:val="single" w:sz="4" w:space="0" w:color="auto"/>
              <w:bottom w:val="single" w:sz="4" w:space="0" w:color="auto"/>
              <w:right w:val="single" w:sz="4" w:space="0" w:color="auto"/>
            </w:tcBorders>
          </w:tcPr>
          <w:p w:rsidR="00C57960" w:rsidRPr="00C57960" w:rsidRDefault="00C57960" w:rsidP="00DD393A">
            <w:pPr>
              <w:numPr>
                <w:ilvl w:val="0"/>
                <w:numId w:val="17"/>
              </w:numPr>
              <w:tabs>
                <w:tab w:val="clear" w:pos="360"/>
              </w:tabs>
              <w:jc w:val="left"/>
              <w:rPr>
                <w:rFonts w:ascii="Arial" w:hAnsi="Arial"/>
                <w:sz w:val="18"/>
                <w:szCs w:val="18"/>
              </w:rPr>
            </w:pPr>
            <w:r w:rsidRPr="00C57960">
              <w:rPr>
                <w:rFonts w:ascii="Arial" w:hAnsi="Arial"/>
                <w:sz w:val="18"/>
                <w:szCs w:val="18"/>
              </w:rPr>
              <w:t>CO</w:t>
            </w:r>
            <w:r w:rsidRPr="00C57960">
              <w:rPr>
                <w:rFonts w:ascii="Arial" w:hAnsi="Arial"/>
                <w:sz w:val="18"/>
                <w:szCs w:val="18"/>
                <w:vertAlign w:val="subscript"/>
              </w:rPr>
              <w:t>2</w:t>
            </w:r>
            <w:r w:rsidRPr="00C57960">
              <w:rPr>
                <w:rFonts w:ascii="Arial" w:hAnsi="Arial"/>
                <w:sz w:val="18"/>
                <w:szCs w:val="18"/>
              </w:rPr>
              <w:t xml:space="preserve"> incubator</w:t>
            </w:r>
          </w:p>
          <w:p w:rsidR="00C57960" w:rsidRPr="00C57960" w:rsidRDefault="00C57960" w:rsidP="00DD393A">
            <w:pPr>
              <w:numPr>
                <w:ilvl w:val="0"/>
                <w:numId w:val="17"/>
              </w:numPr>
              <w:tabs>
                <w:tab w:val="clear" w:pos="360"/>
              </w:tabs>
              <w:jc w:val="left"/>
              <w:rPr>
                <w:rFonts w:ascii="Arial" w:hAnsi="Arial"/>
                <w:sz w:val="18"/>
                <w:szCs w:val="18"/>
              </w:rPr>
            </w:pPr>
            <w:r w:rsidRPr="00C57960">
              <w:rPr>
                <w:rFonts w:ascii="Arial" w:hAnsi="Arial"/>
                <w:sz w:val="18"/>
                <w:szCs w:val="18"/>
              </w:rPr>
              <w:t>Incinerator</w:t>
            </w:r>
          </w:p>
          <w:p w:rsidR="00C57960" w:rsidRPr="00C57960" w:rsidRDefault="00C57960" w:rsidP="00DD393A">
            <w:pPr>
              <w:numPr>
                <w:ilvl w:val="0"/>
                <w:numId w:val="17"/>
              </w:numPr>
              <w:tabs>
                <w:tab w:val="clear" w:pos="360"/>
              </w:tabs>
              <w:jc w:val="left"/>
              <w:rPr>
                <w:rFonts w:ascii="Arial" w:hAnsi="Arial"/>
                <w:sz w:val="18"/>
                <w:szCs w:val="18"/>
              </w:rPr>
            </w:pPr>
            <w:r w:rsidRPr="00C57960">
              <w:rPr>
                <w:rFonts w:ascii="Arial" w:hAnsi="Arial"/>
                <w:sz w:val="18"/>
                <w:szCs w:val="18"/>
              </w:rPr>
              <w:t>Inoculating loop</w:t>
            </w:r>
          </w:p>
          <w:p w:rsidR="00C57960" w:rsidRPr="00C57960" w:rsidRDefault="00C57960" w:rsidP="00DD393A">
            <w:pPr>
              <w:numPr>
                <w:ilvl w:val="0"/>
                <w:numId w:val="17"/>
              </w:numPr>
              <w:tabs>
                <w:tab w:val="clear" w:pos="360"/>
              </w:tabs>
              <w:jc w:val="left"/>
              <w:rPr>
                <w:rFonts w:ascii="Arial" w:hAnsi="Arial"/>
                <w:sz w:val="18"/>
                <w:szCs w:val="18"/>
              </w:rPr>
            </w:pPr>
            <w:r w:rsidRPr="00C57960">
              <w:rPr>
                <w:rFonts w:ascii="Arial" w:hAnsi="Arial"/>
                <w:sz w:val="18"/>
                <w:szCs w:val="18"/>
              </w:rPr>
              <w:t>Microscope</w:t>
            </w:r>
          </w:p>
          <w:p w:rsidR="00C57960" w:rsidRPr="00C57960" w:rsidRDefault="00C57960">
            <w:pPr>
              <w:pStyle w:val="TableText"/>
              <w:autoSpaceDE/>
              <w:autoSpaceDN/>
              <w:rPr>
                <w:rFonts w:ascii="Arial" w:hAnsi="Arial"/>
                <w:sz w:val="18"/>
                <w:szCs w:val="18"/>
              </w:rPr>
            </w:pPr>
          </w:p>
        </w:tc>
        <w:tc>
          <w:tcPr>
            <w:tcW w:w="2891" w:type="dxa"/>
            <w:gridSpan w:val="3"/>
            <w:tcBorders>
              <w:top w:val="single" w:sz="4" w:space="0" w:color="auto"/>
              <w:left w:val="single" w:sz="4" w:space="0" w:color="auto"/>
              <w:bottom w:val="single" w:sz="4" w:space="0" w:color="auto"/>
              <w:right w:val="single" w:sz="4" w:space="0" w:color="auto"/>
            </w:tcBorders>
          </w:tcPr>
          <w:p w:rsidR="00C57960" w:rsidRPr="00C57960" w:rsidRDefault="00C57960" w:rsidP="00DD393A">
            <w:pPr>
              <w:numPr>
                <w:ilvl w:val="0"/>
                <w:numId w:val="17"/>
              </w:numPr>
              <w:tabs>
                <w:tab w:val="clear" w:pos="360"/>
              </w:tabs>
              <w:jc w:val="left"/>
              <w:rPr>
                <w:rFonts w:ascii="Arial" w:hAnsi="Arial"/>
                <w:sz w:val="18"/>
                <w:szCs w:val="18"/>
              </w:rPr>
            </w:pPr>
            <w:r w:rsidRPr="00C57960">
              <w:rPr>
                <w:rFonts w:ascii="Arial" w:hAnsi="Arial"/>
                <w:sz w:val="18"/>
                <w:szCs w:val="18"/>
              </w:rPr>
              <w:t>Chocolate agar (CHOC)</w:t>
            </w:r>
          </w:p>
          <w:p w:rsidR="00C57960" w:rsidRPr="001F45B1" w:rsidRDefault="00C57960" w:rsidP="001F45B1">
            <w:pPr>
              <w:numPr>
                <w:ilvl w:val="0"/>
                <w:numId w:val="17"/>
              </w:numPr>
              <w:tabs>
                <w:tab w:val="clear" w:pos="360"/>
              </w:tabs>
              <w:jc w:val="left"/>
              <w:rPr>
                <w:rFonts w:ascii="Arial" w:hAnsi="Arial"/>
                <w:sz w:val="18"/>
                <w:szCs w:val="18"/>
              </w:rPr>
            </w:pPr>
            <w:r w:rsidRPr="00C57960">
              <w:rPr>
                <w:rFonts w:ascii="Arial" w:hAnsi="Arial"/>
                <w:sz w:val="18"/>
                <w:szCs w:val="18"/>
              </w:rPr>
              <w:t>Modified Thayer-Martin agar (MTM)</w:t>
            </w:r>
          </w:p>
        </w:tc>
      </w:tr>
      <w:tr w:rsidR="00C57960" w:rsidTr="00C57960">
        <w:trPr>
          <w:gridAfter w:val="2"/>
          <w:wAfter w:w="5400" w:type="dxa"/>
          <w:trHeight w:val="828"/>
        </w:trPr>
        <w:tc>
          <w:tcPr>
            <w:tcW w:w="1789" w:type="dxa"/>
            <w:tcBorders>
              <w:top w:val="nil"/>
              <w:left w:val="nil"/>
              <w:bottom w:val="nil"/>
              <w:right w:val="single" w:sz="4" w:space="0" w:color="auto"/>
            </w:tcBorders>
          </w:tcPr>
          <w:p w:rsidR="00C57960" w:rsidRDefault="00C57960">
            <w:pPr>
              <w:pStyle w:val="Custom2"/>
            </w:pPr>
            <w:r>
              <w:rPr>
                <w:bCs w:val="0"/>
              </w:rPr>
              <w:t>Sample</w:t>
            </w:r>
          </w:p>
        </w:tc>
        <w:tc>
          <w:tcPr>
            <w:tcW w:w="7121" w:type="dxa"/>
            <w:gridSpan w:val="12"/>
            <w:tcBorders>
              <w:top w:val="single" w:sz="4" w:space="0" w:color="auto"/>
              <w:left w:val="single" w:sz="4" w:space="0" w:color="auto"/>
              <w:bottom w:val="single" w:sz="4" w:space="0" w:color="auto"/>
              <w:right w:val="single" w:sz="4" w:space="0" w:color="auto"/>
            </w:tcBorders>
          </w:tcPr>
          <w:p w:rsidR="00C57960" w:rsidRDefault="00C57960" w:rsidP="00DD393A">
            <w:pPr>
              <w:pStyle w:val="Header"/>
              <w:numPr>
                <w:ilvl w:val="0"/>
                <w:numId w:val="5"/>
              </w:numPr>
              <w:tabs>
                <w:tab w:val="clear" w:pos="4320"/>
                <w:tab w:val="clear" w:pos="8640"/>
              </w:tabs>
              <w:rPr>
                <w:rFonts w:ascii="Arial" w:hAnsi="Arial" w:cs="Arial"/>
                <w:sz w:val="20"/>
              </w:rPr>
            </w:pPr>
            <w:r>
              <w:rPr>
                <w:rFonts w:ascii="Arial" w:hAnsi="Arial" w:cs="Arial"/>
                <w:sz w:val="20"/>
              </w:rPr>
              <w:t>Acceptable specimens</w:t>
            </w:r>
          </w:p>
          <w:p w:rsidR="00C57960" w:rsidRDefault="00C57960" w:rsidP="00DD393A">
            <w:pPr>
              <w:pStyle w:val="Header"/>
              <w:numPr>
                <w:ilvl w:val="0"/>
                <w:numId w:val="10"/>
              </w:numPr>
              <w:tabs>
                <w:tab w:val="clear" w:pos="436"/>
                <w:tab w:val="clear" w:pos="4320"/>
                <w:tab w:val="clear" w:pos="8640"/>
                <w:tab w:val="num" w:pos="720"/>
              </w:tabs>
              <w:ind w:left="720"/>
              <w:rPr>
                <w:rFonts w:ascii="Arial" w:hAnsi="Arial" w:cs="Arial"/>
                <w:sz w:val="20"/>
              </w:rPr>
            </w:pPr>
            <w:r>
              <w:rPr>
                <w:rFonts w:ascii="Arial" w:hAnsi="Arial" w:cs="Arial"/>
                <w:sz w:val="20"/>
              </w:rPr>
              <w:t xml:space="preserve">Swab of vagina, cervix, urethra, rectum, throat, </w:t>
            </w:r>
            <w:proofErr w:type="spellStart"/>
            <w:r>
              <w:rPr>
                <w:rFonts w:ascii="Arial" w:hAnsi="Arial" w:cs="Arial"/>
                <w:sz w:val="20"/>
              </w:rPr>
              <w:t>endocervix</w:t>
            </w:r>
            <w:proofErr w:type="spellEnd"/>
          </w:p>
          <w:p w:rsidR="00C57960" w:rsidRDefault="00C57960" w:rsidP="00DD393A">
            <w:pPr>
              <w:pStyle w:val="Header"/>
              <w:numPr>
                <w:ilvl w:val="0"/>
                <w:numId w:val="10"/>
              </w:numPr>
              <w:tabs>
                <w:tab w:val="clear" w:pos="436"/>
                <w:tab w:val="clear" w:pos="4320"/>
                <w:tab w:val="clear" w:pos="8640"/>
                <w:tab w:val="num" w:pos="720"/>
              </w:tabs>
              <w:ind w:left="720"/>
              <w:rPr>
                <w:rFonts w:ascii="Arial" w:hAnsi="Arial" w:cs="Arial"/>
                <w:sz w:val="20"/>
              </w:rPr>
            </w:pPr>
            <w:r>
              <w:rPr>
                <w:rFonts w:ascii="Arial" w:hAnsi="Arial" w:cs="Arial"/>
                <w:sz w:val="20"/>
              </w:rPr>
              <w:t>joint fluid</w:t>
            </w:r>
          </w:p>
          <w:p w:rsidR="00C57960" w:rsidRDefault="00C57960" w:rsidP="00DD393A">
            <w:pPr>
              <w:pStyle w:val="Header"/>
              <w:numPr>
                <w:ilvl w:val="0"/>
                <w:numId w:val="10"/>
              </w:numPr>
              <w:tabs>
                <w:tab w:val="clear" w:pos="436"/>
                <w:tab w:val="clear" w:pos="4320"/>
                <w:tab w:val="clear" w:pos="8640"/>
                <w:tab w:val="num" w:pos="720"/>
              </w:tabs>
              <w:ind w:left="720"/>
              <w:rPr>
                <w:rFonts w:ascii="Arial" w:hAnsi="Arial" w:cs="Arial"/>
                <w:sz w:val="20"/>
              </w:rPr>
            </w:pPr>
            <w:r>
              <w:rPr>
                <w:rFonts w:ascii="Arial" w:hAnsi="Arial" w:cs="Arial"/>
                <w:sz w:val="20"/>
              </w:rPr>
              <w:t>newborn eye</w:t>
            </w:r>
          </w:p>
          <w:p w:rsidR="00C57960" w:rsidRDefault="00C57960" w:rsidP="00DD393A">
            <w:pPr>
              <w:pStyle w:val="Header"/>
              <w:numPr>
                <w:ilvl w:val="0"/>
                <w:numId w:val="10"/>
              </w:numPr>
              <w:tabs>
                <w:tab w:val="clear" w:pos="436"/>
                <w:tab w:val="clear" w:pos="4320"/>
                <w:tab w:val="clear" w:pos="8640"/>
                <w:tab w:val="num" w:pos="720"/>
              </w:tabs>
              <w:ind w:left="720"/>
              <w:rPr>
                <w:rFonts w:ascii="Arial" w:hAnsi="Arial" w:cs="Arial"/>
                <w:b/>
                <w:sz w:val="20"/>
              </w:rPr>
            </w:pPr>
            <w:r>
              <w:rPr>
                <w:rFonts w:ascii="Arial" w:hAnsi="Arial" w:cs="Arial"/>
                <w:sz w:val="20"/>
              </w:rPr>
              <w:t>first few drops of voided urine (men only)</w:t>
            </w:r>
          </w:p>
          <w:p w:rsidR="00C57960" w:rsidRDefault="00C57960" w:rsidP="00DD393A">
            <w:pPr>
              <w:pStyle w:val="Header"/>
              <w:numPr>
                <w:ilvl w:val="0"/>
                <w:numId w:val="5"/>
              </w:numPr>
              <w:tabs>
                <w:tab w:val="clear" w:pos="4320"/>
                <w:tab w:val="clear" w:pos="8640"/>
              </w:tabs>
              <w:rPr>
                <w:rFonts w:ascii="Arial" w:hAnsi="Arial" w:cs="Arial"/>
                <w:sz w:val="20"/>
              </w:rPr>
            </w:pPr>
            <w:r>
              <w:rPr>
                <w:rFonts w:ascii="Arial" w:hAnsi="Arial" w:cs="Arial"/>
                <w:sz w:val="20"/>
              </w:rPr>
              <w:t>SDES codes/Specimen type</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CERV – cervix</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EYE-LT – left eye</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EYE-RT – right eye</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GCT – throat, GC only</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JF – joint fluid</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RECT – rectum</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 xml:space="preserve">UR – urine </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URE –urethra</w:t>
            </w:r>
          </w:p>
          <w:p w:rsidR="00C57960" w:rsidRPr="00C57960" w:rsidRDefault="00C57960" w:rsidP="00DD393A">
            <w:pPr>
              <w:pStyle w:val="Header"/>
              <w:numPr>
                <w:ilvl w:val="0"/>
                <w:numId w:val="4"/>
              </w:numPr>
              <w:tabs>
                <w:tab w:val="clear" w:pos="360"/>
                <w:tab w:val="clear" w:pos="4320"/>
                <w:tab w:val="clear" w:pos="8640"/>
                <w:tab w:val="num" w:pos="720"/>
              </w:tabs>
              <w:ind w:left="720"/>
              <w:rPr>
                <w:rFonts w:ascii="Arial" w:hAnsi="Arial" w:cs="Arial"/>
                <w:sz w:val="18"/>
                <w:szCs w:val="18"/>
              </w:rPr>
            </w:pPr>
            <w:r w:rsidRPr="00C57960">
              <w:rPr>
                <w:rFonts w:ascii="Arial" w:hAnsi="Arial" w:cs="Arial"/>
                <w:sz w:val="18"/>
                <w:szCs w:val="18"/>
              </w:rPr>
              <w:t>VAG – vagina</w:t>
            </w:r>
          </w:p>
          <w:p w:rsidR="00C57960" w:rsidRDefault="00C57960" w:rsidP="00DD393A">
            <w:pPr>
              <w:pStyle w:val="Header"/>
              <w:numPr>
                <w:ilvl w:val="0"/>
                <w:numId w:val="5"/>
              </w:numPr>
              <w:tabs>
                <w:tab w:val="clear" w:pos="4320"/>
                <w:tab w:val="clear" w:pos="8640"/>
              </w:tabs>
              <w:rPr>
                <w:rFonts w:ascii="Arial" w:hAnsi="Arial" w:cs="Arial"/>
                <w:sz w:val="20"/>
              </w:rPr>
            </w:pPr>
            <w:r>
              <w:rPr>
                <w:rFonts w:ascii="Arial" w:hAnsi="Arial" w:cs="Arial"/>
                <w:sz w:val="20"/>
              </w:rPr>
              <w:t>Specimen Collection and Transport</w:t>
            </w:r>
          </w:p>
          <w:p w:rsidR="00C57960" w:rsidRDefault="00C57960" w:rsidP="00DD393A">
            <w:pPr>
              <w:pStyle w:val="Header"/>
              <w:numPr>
                <w:ilvl w:val="0"/>
                <w:numId w:val="7"/>
              </w:numPr>
              <w:tabs>
                <w:tab w:val="clear" w:pos="360"/>
                <w:tab w:val="clear" w:pos="4320"/>
                <w:tab w:val="clear" w:pos="8640"/>
                <w:tab w:val="num" w:pos="720"/>
              </w:tabs>
              <w:ind w:left="720"/>
              <w:rPr>
                <w:rFonts w:ascii="Arial" w:hAnsi="Arial" w:cs="Arial"/>
                <w:sz w:val="20"/>
              </w:rPr>
            </w:pPr>
            <w:r>
              <w:rPr>
                <w:rFonts w:ascii="Arial" w:hAnsi="Arial" w:cs="Arial"/>
                <w:sz w:val="20"/>
              </w:rPr>
              <w:t xml:space="preserve">Refer to </w:t>
            </w:r>
            <w:hyperlink r:id="rId7" w:history="1">
              <w:r w:rsidR="005D71ED" w:rsidRPr="005D71ED">
                <w:rPr>
                  <w:rStyle w:val="Hyperlink"/>
                </w:rPr>
                <w:t xml:space="preserve">\\kidsnet.childrenshc.org\chcdfs\dept\Lab Procedures\Microbiology\1NEW Micro Procedure Manual. (same as in </w:t>
              </w:r>
              <w:proofErr w:type="spellStart"/>
              <w:r w:rsidR="005D71ED" w:rsidRPr="005D71ED">
                <w:rPr>
                  <w:rStyle w:val="Hyperlink"/>
                </w:rPr>
                <w:t>Starnet</w:t>
              </w:r>
              <w:proofErr w:type="spellEnd"/>
              <w:r w:rsidR="005D71ED" w:rsidRPr="005D71ED">
                <w:rPr>
                  <w:rStyle w:val="Hyperlink"/>
                </w:rPr>
                <w:t xml:space="preserve">)\Specimen Collection Procedures\GC </w:t>
              </w:r>
              <w:proofErr w:type="spellStart"/>
              <w:r w:rsidR="005D71ED" w:rsidRPr="005D71ED">
                <w:rPr>
                  <w:rStyle w:val="Hyperlink"/>
                </w:rPr>
                <w:t>Culture.doc</w:t>
              </w:r>
            </w:hyperlink>
            <w:r>
              <w:rPr>
                <w:rFonts w:ascii="Arial" w:hAnsi="Arial" w:cs="Arial"/>
                <w:iCs/>
                <w:sz w:val="20"/>
              </w:rPr>
              <w:t>Lab</w:t>
            </w:r>
            <w:proofErr w:type="spellEnd"/>
            <w:r>
              <w:rPr>
                <w:rFonts w:ascii="Arial" w:hAnsi="Arial" w:cs="Arial"/>
                <w:iCs/>
                <w:sz w:val="20"/>
              </w:rPr>
              <w:t xml:space="preserve"> Test Directory – GC Culture </w:t>
            </w:r>
            <w:r>
              <w:rPr>
                <w:rFonts w:ascii="Arial" w:hAnsi="Arial" w:cs="Arial"/>
                <w:sz w:val="20"/>
                <w:szCs w:val="28"/>
              </w:rPr>
              <w:t>(</w:t>
            </w:r>
            <w:proofErr w:type="spellStart"/>
            <w:r>
              <w:rPr>
                <w:rFonts w:ascii="Arial" w:hAnsi="Arial" w:cs="Arial"/>
                <w:i/>
                <w:iCs/>
                <w:sz w:val="20"/>
                <w:szCs w:val="28"/>
              </w:rPr>
              <w:t>Neisseria</w:t>
            </w:r>
            <w:proofErr w:type="spellEnd"/>
            <w:r>
              <w:rPr>
                <w:rFonts w:ascii="Arial" w:hAnsi="Arial" w:cs="Arial"/>
                <w:i/>
                <w:iCs/>
                <w:sz w:val="20"/>
                <w:szCs w:val="28"/>
              </w:rPr>
              <w:t xml:space="preserve"> </w:t>
            </w:r>
            <w:proofErr w:type="spellStart"/>
            <w:r>
              <w:rPr>
                <w:rFonts w:ascii="Arial" w:hAnsi="Arial" w:cs="Arial"/>
                <w:i/>
                <w:iCs/>
                <w:sz w:val="20"/>
                <w:szCs w:val="28"/>
              </w:rPr>
              <w:t>gonorrhoeae</w:t>
            </w:r>
            <w:proofErr w:type="spellEnd"/>
            <w:r>
              <w:rPr>
                <w:rFonts w:ascii="Arial" w:hAnsi="Arial" w:cs="Arial"/>
                <w:sz w:val="20"/>
                <w:szCs w:val="28"/>
              </w:rPr>
              <w:t xml:space="preserve"> only)</w:t>
            </w:r>
          </w:p>
          <w:p w:rsidR="00C57960" w:rsidRDefault="00C57960" w:rsidP="00DD393A">
            <w:pPr>
              <w:pStyle w:val="Header"/>
              <w:numPr>
                <w:ilvl w:val="0"/>
                <w:numId w:val="5"/>
              </w:numPr>
              <w:tabs>
                <w:tab w:val="clear" w:pos="4320"/>
                <w:tab w:val="clear" w:pos="8640"/>
              </w:tabs>
              <w:rPr>
                <w:rFonts w:ascii="Arial" w:hAnsi="Arial" w:cs="Arial"/>
                <w:sz w:val="20"/>
              </w:rPr>
            </w:pPr>
            <w:r>
              <w:rPr>
                <w:rFonts w:ascii="Arial" w:hAnsi="Arial" w:cs="Arial"/>
                <w:sz w:val="20"/>
              </w:rPr>
              <w:t>Specimen assessment</w:t>
            </w:r>
          </w:p>
          <w:p w:rsidR="00C57960" w:rsidRDefault="00C57960" w:rsidP="00DD393A">
            <w:pPr>
              <w:pStyle w:val="Header"/>
              <w:numPr>
                <w:ilvl w:val="0"/>
                <w:numId w:val="6"/>
              </w:numPr>
              <w:tabs>
                <w:tab w:val="clear" w:pos="360"/>
                <w:tab w:val="clear" w:pos="4320"/>
                <w:tab w:val="clear" w:pos="8640"/>
                <w:tab w:val="num" w:pos="720"/>
              </w:tabs>
              <w:ind w:left="720"/>
              <w:rPr>
                <w:rFonts w:ascii="Arial" w:hAnsi="Arial" w:cs="Arial"/>
                <w:sz w:val="20"/>
              </w:rPr>
            </w:pPr>
            <w:r>
              <w:rPr>
                <w:rFonts w:ascii="Arial" w:hAnsi="Arial" w:cs="Arial"/>
                <w:sz w:val="20"/>
              </w:rPr>
              <w:lastRenderedPageBreak/>
              <w:t xml:space="preserve">Refer to the Specimen rejection section of </w:t>
            </w:r>
            <w:r>
              <w:rPr>
                <w:rFonts w:ascii="Arial" w:hAnsi="Arial" w:cs="Arial"/>
                <w:iCs/>
                <w:sz w:val="20"/>
              </w:rPr>
              <w:t xml:space="preserve">Lab Test Directory – GC Culture </w:t>
            </w:r>
            <w:r>
              <w:rPr>
                <w:rFonts w:ascii="Arial" w:hAnsi="Arial" w:cs="Arial"/>
                <w:sz w:val="20"/>
                <w:szCs w:val="28"/>
              </w:rPr>
              <w:t>(</w:t>
            </w:r>
            <w:proofErr w:type="spellStart"/>
            <w:r>
              <w:rPr>
                <w:rFonts w:ascii="Arial" w:hAnsi="Arial" w:cs="Arial"/>
                <w:i/>
                <w:iCs/>
                <w:sz w:val="20"/>
                <w:szCs w:val="28"/>
              </w:rPr>
              <w:t>Neisseria</w:t>
            </w:r>
            <w:proofErr w:type="spellEnd"/>
            <w:r>
              <w:rPr>
                <w:rFonts w:ascii="Arial" w:hAnsi="Arial" w:cs="Arial"/>
                <w:i/>
                <w:iCs/>
                <w:sz w:val="20"/>
                <w:szCs w:val="28"/>
              </w:rPr>
              <w:t xml:space="preserve"> </w:t>
            </w:r>
            <w:proofErr w:type="spellStart"/>
            <w:r>
              <w:rPr>
                <w:rFonts w:ascii="Arial" w:hAnsi="Arial" w:cs="Arial"/>
                <w:i/>
                <w:iCs/>
                <w:sz w:val="20"/>
                <w:szCs w:val="28"/>
              </w:rPr>
              <w:t>gonorrhoeae</w:t>
            </w:r>
            <w:proofErr w:type="spellEnd"/>
            <w:r>
              <w:rPr>
                <w:rFonts w:ascii="Arial" w:hAnsi="Arial" w:cs="Arial"/>
                <w:sz w:val="20"/>
                <w:szCs w:val="28"/>
              </w:rPr>
              <w:t xml:space="preserve"> only)</w:t>
            </w:r>
          </w:p>
          <w:p w:rsidR="00C57960" w:rsidRDefault="00C57960" w:rsidP="001F45B1">
            <w:pPr>
              <w:pStyle w:val="Header"/>
              <w:tabs>
                <w:tab w:val="clear" w:pos="4320"/>
                <w:tab w:val="clear" w:pos="8640"/>
              </w:tabs>
              <w:rPr>
                <w:rFonts w:ascii="Arial" w:hAnsi="Arial"/>
                <w:sz w:val="20"/>
              </w:rPr>
            </w:pPr>
          </w:p>
        </w:tc>
        <w:tc>
          <w:tcPr>
            <w:tcW w:w="2250" w:type="dxa"/>
            <w:gridSpan w:val="2"/>
            <w:tcBorders>
              <w:top w:val="single" w:sz="4" w:space="0" w:color="auto"/>
              <w:left w:val="single" w:sz="4" w:space="0" w:color="auto"/>
              <w:bottom w:val="single" w:sz="4" w:space="0" w:color="auto"/>
              <w:right w:val="single" w:sz="4" w:space="0" w:color="auto"/>
            </w:tcBorders>
          </w:tcPr>
          <w:p w:rsidR="00C57960" w:rsidRDefault="00A549E1">
            <w:pPr>
              <w:jc w:val="left"/>
              <w:rPr>
                <w:rFonts w:ascii="Arial" w:hAnsi="Arial"/>
                <w:sz w:val="20"/>
              </w:rPr>
            </w:pPr>
            <w:hyperlink r:id="rId8" w:history="1">
              <w:r w:rsidR="00C57960">
                <w:rPr>
                  <w:rStyle w:val="Hyperlink"/>
                  <w:rFonts w:ascii="Arial" w:hAnsi="Arial" w:cs="Arial"/>
                  <w:iCs/>
                  <w:sz w:val="20"/>
                </w:rPr>
                <w:t xml:space="preserve">Lab Test Directory – GC Culture </w:t>
              </w:r>
              <w:r w:rsidR="00C57960">
                <w:rPr>
                  <w:rStyle w:val="Hyperlink"/>
                  <w:rFonts w:ascii="Arial" w:hAnsi="Arial" w:cs="Arial"/>
                  <w:sz w:val="20"/>
                  <w:szCs w:val="28"/>
                </w:rPr>
                <w:t>(</w:t>
              </w:r>
              <w:proofErr w:type="spellStart"/>
              <w:r w:rsidR="00C57960">
                <w:rPr>
                  <w:rStyle w:val="Hyperlink"/>
                  <w:rFonts w:ascii="Arial" w:hAnsi="Arial" w:cs="Arial"/>
                  <w:i/>
                  <w:iCs/>
                  <w:sz w:val="20"/>
                  <w:szCs w:val="28"/>
                </w:rPr>
                <w:t>Neisseria</w:t>
              </w:r>
              <w:proofErr w:type="spellEnd"/>
              <w:r w:rsidR="00C57960">
                <w:rPr>
                  <w:rStyle w:val="Hyperlink"/>
                  <w:rFonts w:ascii="Arial" w:hAnsi="Arial" w:cs="Arial"/>
                  <w:i/>
                  <w:iCs/>
                  <w:sz w:val="20"/>
                  <w:szCs w:val="28"/>
                </w:rPr>
                <w:t xml:space="preserve"> </w:t>
              </w:r>
              <w:proofErr w:type="spellStart"/>
              <w:r w:rsidR="00C57960">
                <w:rPr>
                  <w:rStyle w:val="Hyperlink"/>
                  <w:rFonts w:ascii="Arial" w:hAnsi="Arial" w:cs="Arial"/>
                  <w:i/>
                  <w:iCs/>
                  <w:sz w:val="20"/>
                  <w:szCs w:val="28"/>
                </w:rPr>
                <w:t>gonorrhoeae</w:t>
              </w:r>
              <w:proofErr w:type="spellEnd"/>
              <w:r w:rsidR="00C57960">
                <w:rPr>
                  <w:rStyle w:val="Hyperlink"/>
                  <w:rFonts w:ascii="Arial" w:hAnsi="Arial" w:cs="Arial"/>
                  <w:sz w:val="20"/>
                  <w:szCs w:val="28"/>
                </w:rPr>
                <w:t xml:space="preserve"> only)</w:t>
              </w:r>
            </w:hyperlink>
          </w:p>
          <w:p w:rsidR="00C57960" w:rsidRDefault="00C57960">
            <w:pPr>
              <w:jc w:val="left"/>
              <w:rPr>
                <w:rFonts w:ascii="Arial" w:hAnsi="Arial"/>
                <w:sz w:val="20"/>
              </w:rPr>
            </w:pP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tcBorders>
              <w:top w:val="nil"/>
              <w:left w:val="nil"/>
              <w:bottom w:val="nil"/>
            </w:tcBorders>
          </w:tcPr>
          <w:p w:rsidR="00C57960" w:rsidRDefault="00C57960">
            <w:pPr>
              <w:jc w:val="left"/>
              <w:rPr>
                <w:rFonts w:ascii="Arial" w:hAnsi="Arial"/>
                <w:b/>
                <w:color w:val="0000FF"/>
                <w:sz w:val="20"/>
              </w:rPr>
            </w:pPr>
          </w:p>
          <w:p w:rsidR="00C57960" w:rsidRDefault="00C57960">
            <w:pPr>
              <w:jc w:val="left"/>
              <w:rPr>
                <w:rFonts w:ascii="Arial" w:hAnsi="Arial"/>
                <w:b/>
                <w:color w:val="0000FF"/>
                <w:sz w:val="20"/>
              </w:rPr>
            </w:pPr>
            <w:r>
              <w:rPr>
                <w:rFonts w:ascii="Arial" w:hAnsi="Arial"/>
                <w:b/>
                <w:color w:val="0000FF"/>
                <w:sz w:val="20"/>
              </w:rPr>
              <w:t>Special Safety Precautions</w:t>
            </w:r>
          </w:p>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rPr>
                <w:rFonts w:ascii="Arial" w:hAnsi="Arial" w:cs="Arial"/>
                <w:b/>
                <w:i/>
                <w:sz w:val="20"/>
              </w:rPr>
            </w:pPr>
            <w:r>
              <w:rPr>
                <w:rFonts w:ascii="Arial" w:hAnsi="Arial" w:cs="Arial"/>
                <w:sz w:val="20"/>
              </w:rPr>
              <w:t>Microbiologists/virologists are subject to occupational risks associated with specimen handling. Refer to the safety policies</w:t>
            </w:r>
            <w:r>
              <w:rPr>
                <w:rFonts w:ascii="Arial" w:hAnsi="Arial" w:cs="Arial"/>
                <w:b/>
                <w:i/>
                <w:sz w:val="20"/>
              </w:rPr>
              <w:t>:</w:t>
            </w:r>
          </w:p>
          <w:p w:rsidR="00C57960" w:rsidRDefault="00A549E1" w:rsidP="00DD393A">
            <w:pPr>
              <w:numPr>
                <w:ilvl w:val="0"/>
                <w:numId w:val="2"/>
              </w:numPr>
              <w:ind w:left="1440"/>
              <w:rPr>
                <w:rFonts w:ascii="Arial" w:hAnsi="Arial" w:cs="Arial"/>
                <w:sz w:val="20"/>
              </w:rPr>
            </w:pPr>
            <w:hyperlink r:id="rId9" w:history="1">
              <w:r w:rsidR="00C57960">
                <w:rPr>
                  <w:rStyle w:val="Hyperlink"/>
                  <w:rFonts w:ascii="Arial" w:hAnsi="Arial" w:cs="Arial"/>
                  <w:i/>
                  <w:sz w:val="20"/>
                </w:rPr>
                <w:t>Biohazard Containment</w:t>
              </w:r>
            </w:hyperlink>
          </w:p>
          <w:p w:rsidR="00C57960" w:rsidRDefault="00A549E1" w:rsidP="00DD393A">
            <w:pPr>
              <w:numPr>
                <w:ilvl w:val="0"/>
                <w:numId w:val="2"/>
              </w:numPr>
              <w:ind w:left="1440"/>
              <w:rPr>
                <w:rFonts w:ascii="Arial" w:hAnsi="Arial" w:cs="Arial"/>
                <w:sz w:val="20"/>
              </w:rPr>
            </w:pPr>
            <w:hyperlink r:id="rId10" w:history="1">
              <w:r w:rsidR="00C57960">
                <w:rPr>
                  <w:rStyle w:val="Hyperlink"/>
                  <w:rFonts w:ascii="Arial" w:hAnsi="Arial" w:cs="Arial"/>
                  <w:i/>
                  <w:sz w:val="20"/>
                </w:rPr>
                <w:t>Safety in the Microbiology/Virology Laboratory</w:t>
              </w:r>
            </w:hyperlink>
          </w:p>
          <w:p w:rsidR="00C57960" w:rsidRDefault="00A549E1" w:rsidP="00DD393A">
            <w:pPr>
              <w:pStyle w:val="Header"/>
              <w:numPr>
                <w:ilvl w:val="0"/>
                <w:numId w:val="3"/>
              </w:numPr>
              <w:tabs>
                <w:tab w:val="clear" w:pos="4320"/>
                <w:tab w:val="clear" w:pos="8640"/>
              </w:tabs>
              <w:ind w:left="1440"/>
              <w:rPr>
                <w:rFonts w:ascii="Arial" w:hAnsi="Arial" w:cs="Arial"/>
                <w:i/>
                <w:iCs/>
                <w:sz w:val="20"/>
              </w:rPr>
            </w:pPr>
            <w:hyperlink r:id="rId11" w:history="1">
              <w:proofErr w:type="spellStart"/>
              <w:r w:rsidR="00C57960">
                <w:rPr>
                  <w:rStyle w:val="Hyperlink"/>
                  <w:rFonts w:ascii="Arial" w:hAnsi="Arial" w:cs="Arial"/>
                  <w:i/>
                  <w:iCs/>
                  <w:sz w:val="20"/>
                </w:rPr>
                <w:t>Biohazardous</w:t>
              </w:r>
              <w:proofErr w:type="spellEnd"/>
              <w:r w:rsidR="00C57960">
                <w:rPr>
                  <w:rStyle w:val="Hyperlink"/>
                  <w:rFonts w:ascii="Arial" w:hAnsi="Arial" w:cs="Arial"/>
                  <w:i/>
                  <w:iCs/>
                  <w:sz w:val="20"/>
                </w:rPr>
                <w:t xml:space="preserve"> Spills</w:t>
              </w:r>
            </w:hyperlink>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val="restart"/>
            <w:tcBorders>
              <w:top w:val="nil"/>
              <w:left w:val="nil"/>
              <w:bottom w:val="nil"/>
            </w:tcBorders>
          </w:tcPr>
          <w:p w:rsidR="00C57960" w:rsidRDefault="00C57960" w:rsidP="00C57960">
            <w:pPr>
              <w:jc w:val="left"/>
              <w:rPr>
                <w:rFonts w:ascii="Arial" w:hAnsi="Arial"/>
                <w:b/>
                <w:color w:val="0000FF"/>
                <w:sz w:val="20"/>
              </w:rPr>
            </w:pPr>
            <w:r>
              <w:rPr>
                <w:rFonts w:ascii="Arial" w:hAnsi="Arial"/>
                <w:b/>
                <w:color w:val="0000FF"/>
                <w:sz w:val="20"/>
              </w:rPr>
              <w:t>Procedure</w:t>
            </w:r>
          </w:p>
          <w:p w:rsidR="00C57960" w:rsidRDefault="00C57960" w:rsidP="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b/>
                <w:bCs/>
                <w:sz w:val="20"/>
              </w:rPr>
            </w:pP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b/>
                <w:bCs/>
              </w:rPr>
              <w:t>Inoculation</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1.</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bCs/>
                <w:sz w:val="20"/>
              </w:rPr>
              <w:t>Warm all media before inoculation.</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2.</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Label all plates properly with the patients name, accession number and date.</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3.</w:t>
            </w:r>
          </w:p>
        </w:tc>
        <w:tc>
          <w:tcPr>
            <w:tcW w:w="8642" w:type="dxa"/>
            <w:gridSpan w:val="13"/>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b/>
                <w:bCs/>
                <w:sz w:val="20"/>
              </w:rPr>
            </w:pPr>
            <w:r>
              <w:rPr>
                <w:rFonts w:ascii="Arial" w:hAnsi="Arial" w:cs="Arial"/>
                <w:sz w:val="20"/>
              </w:rPr>
              <w:t xml:space="preserve">Inoculate the media in the order of the least selective first to prevent carryover of inhibitory substances to another medium. Refer to the </w:t>
            </w:r>
            <w:proofErr w:type="spellStart"/>
            <w:r>
              <w:rPr>
                <w:rFonts w:ascii="Arial" w:hAnsi="Arial" w:cs="Arial"/>
                <w:sz w:val="20"/>
              </w:rPr>
              <w:t>Sunquest</w:t>
            </w:r>
            <w:proofErr w:type="spellEnd"/>
            <w:r>
              <w:rPr>
                <w:rFonts w:ascii="Arial" w:hAnsi="Arial" w:cs="Arial"/>
                <w:sz w:val="20"/>
              </w:rPr>
              <w:t xml:space="preserve"> specimen label for the order of inoculation.</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b/>
                <w:bCs/>
              </w:rPr>
              <w:t>Specimen processing</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b/>
                <w:bCs/>
                <w:sz w:val="20"/>
              </w:rPr>
              <w:t>Swab Specimens</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1.</w:t>
            </w:r>
          </w:p>
        </w:tc>
        <w:tc>
          <w:tcPr>
            <w:tcW w:w="8642" w:type="dxa"/>
            <w:gridSpan w:val="13"/>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b/>
                <w:bCs/>
                <w:sz w:val="20"/>
              </w:rPr>
            </w:pPr>
            <w:r>
              <w:rPr>
                <w:rFonts w:ascii="Arial" w:hAnsi="Arial" w:cs="Arial"/>
                <w:sz w:val="20"/>
              </w:rPr>
              <w:t>Roll swab across the upper quadrant of the CHOC and MTM, touching all surfaces of the swab.</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2.</w:t>
            </w:r>
          </w:p>
        </w:tc>
        <w:tc>
          <w:tcPr>
            <w:tcW w:w="8642" w:type="dxa"/>
            <w:gridSpan w:val="13"/>
            <w:tcBorders>
              <w:top w:val="single" w:sz="4" w:space="0" w:color="auto"/>
              <w:bottom w:val="single" w:sz="6" w:space="0" w:color="auto"/>
              <w:right w:val="nil"/>
            </w:tcBorders>
          </w:tcPr>
          <w:p w:rsidR="00C57960" w:rsidRDefault="00C57960">
            <w:pPr>
              <w:pStyle w:val="BodyTextIndent"/>
              <w:ind w:left="0" w:firstLine="0"/>
              <w:rPr>
                <w:sz w:val="20"/>
              </w:rPr>
            </w:pPr>
            <w:r>
              <w:rPr>
                <w:sz w:val="20"/>
              </w:rPr>
              <w:t>Streak plates semi quantitatively for primary isolation.</w:t>
            </w:r>
          </w:p>
          <w:p w:rsidR="00C57960" w:rsidRDefault="00C57960">
            <w:pPr>
              <w:rPr>
                <w:rFonts w:ascii="Arial" w:hAnsi="Arial" w:cs="Arial"/>
                <w:b/>
                <w:bCs/>
                <w:sz w:val="20"/>
              </w:rPr>
            </w:pP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3.</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Sterilize the inoculating loop in the incinerator for 5 s to 10 s. Allow the loop to cool.</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4.</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Pass the loop through the edge of the first quadrant approximately 4 times while streaking into the second quadrant. Continue streaking in the second quadrant without going back into the first quadrant 3-4 times.</w:t>
            </w:r>
          </w:p>
        </w:tc>
      </w:tr>
      <w:tr w:rsidR="00C57960" w:rsidTr="00C509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Height w:val="2433"/>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5.</w:t>
            </w:r>
          </w:p>
        </w:tc>
        <w:tc>
          <w:tcPr>
            <w:tcW w:w="8642" w:type="dxa"/>
            <w:gridSpan w:val="13"/>
            <w:tcBorders>
              <w:top w:val="single" w:sz="4" w:space="0" w:color="auto"/>
              <w:bottom w:val="single" w:sz="6" w:space="0" w:color="auto"/>
              <w:right w:val="nil"/>
            </w:tcBorders>
          </w:tcPr>
          <w:p w:rsidR="00C57960" w:rsidRDefault="00C57960">
            <w:pPr>
              <w:pStyle w:val="Header"/>
              <w:tabs>
                <w:tab w:val="clear" w:pos="4320"/>
                <w:tab w:val="clear" w:pos="8640"/>
              </w:tabs>
              <w:jc w:val="left"/>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C57960" w:rsidRDefault="00A549E1">
            <w:pPr>
              <w:rPr>
                <w:rFonts w:ascii="Arial" w:hAnsi="Arial" w:cs="Arial"/>
                <w:b/>
                <w:bCs/>
                <w:sz w:val="20"/>
              </w:rPr>
            </w:pPr>
            <w:r w:rsidRPr="00A549E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1.2pt;width:63pt;height:58.75pt;z-index:251657728;mso-position-horizontal:center">
                  <v:imagedata r:id="rId12" o:title="~AUT0029" blacklevel="13762f"/>
                  <w10:wrap type="topAndBottom"/>
                </v:shape>
              </w:pic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b/>
                <w:bCs/>
              </w:rPr>
              <w:t>Urine—MALE only</w:t>
            </w:r>
            <w:r>
              <w:rPr>
                <w:rFonts w:ascii="Arial" w:hAnsi="Arial" w:cs="Arial"/>
                <w:b/>
                <w:bCs/>
                <w:sz w:val="20"/>
              </w:rPr>
              <w:t>---</w:t>
            </w:r>
            <w:r>
              <w:rPr>
                <w:rFonts w:ascii="Arial" w:hAnsi="Arial" w:cs="Arial"/>
                <w:sz w:val="20"/>
              </w:rPr>
              <w:t xml:space="preserve"> first morning-voided specimen.</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1.</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Spin freshly collected urine (first few drops) at 2500 rpm for 10 minutes.</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2.</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Decant supernatant.</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3.</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 xml:space="preserve">Using a sterile </w:t>
            </w:r>
            <w:proofErr w:type="spellStart"/>
            <w:r>
              <w:rPr>
                <w:rFonts w:ascii="Arial" w:hAnsi="Arial" w:cs="Arial"/>
                <w:sz w:val="20"/>
              </w:rPr>
              <w:t>dispo</w:t>
            </w:r>
            <w:proofErr w:type="spellEnd"/>
            <w:r>
              <w:rPr>
                <w:rFonts w:ascii="Arial" w:hAnsi="Arial" w:cs="Arial"/>
                <w:sz w:val="20"/>
              </w:rPr>
              <w:t>-pipette, inoculate CHOC and MTM with the sediment.</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382" w:type="dxa"/>
            <w:gridSpan w:val="13"/>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b/>
                <w:bCs/>
              </w:rPr>
            </w:pPr>
          </w:p>
          <w:p w:rsidR="00C57960" w:rsidRDefault="00C57960">
            <w:pPr>
              <w:pStyle w:val="Header"/>
              <w:tabs>
                <w:tab w:val="clear" w:pos="4320"/>
                <w:tab w:val="clear" w:pos="8640"/>
              </w:tabs>
              <w:rPr>
                <w:rFonts w:ascii="Arial" w:hAnsi="Arial" w:cs="Arial"/>
              </w:rPr>
            </w:pPr>
            <w:r>
              <w:rPr>
                <w:rFonts w:ascii="Arial" w:hAnsi="Arial" w:cs="Arial"/>
                <w:b/>
                <w:bCs/>
              </w:rPr>
              <w:t>Incubation</w:t>
            </w:r>
          </w:p>
        </w:tc>
        <w:tc>
          <w:tcPr>
            <w:tcW w:w="1989" w:type="dxa"/>
            <w:tcBorders>
              <w:top w:val="single" w:sz="4" w:space="0" w:color="auto"/>
              <w:bottom w:val="single" w:sz="6" w:space="0" w:color="auto"/>
              <w:right w:val="nil"/>
            </w:tcBorders>
          </w:tcPr>
          <w:p w:rsidR="00C57960" w:rsidRDefault="00C57960">
            <w:pPr>
              <w:rPr>
                <w:rFonts w:ascii="Arial" w:hAnsi="Arial" w:cs="Arial"/>
                <w:b/>
                <w:bCs/>
                <w:sz w:val="20"/>
              </w:rPr>
            </w:pP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1.</w:t>
            </w:r>
          </w:p>
        </w:tc>
        <w:tc>
          <w:tcPr>
            <w:tcW w:w="8642" w:type="dxa"/>
            <w:gridSpan w:val="13"/>
            <w:tcBorders>
              <w:top w:val="single" w:sz="4" w:space="0" w:color="auto"/>
              <w:bottom w:val="single" w:sz="6" w:space="0" w:color="auto"/>
              <w:right w:val="nil"/>
            </w:tcBorders>
          </w:tcPr>
          <w:p w:rsidR="00C57960" w:rsidRDefault="00C50975">
            <w:pPr>
              <w:rPr>
                <w:rFonts w:ascii="Arial" w:hAnsi="Arial" w:cs="Arial"/>
                <w:b/>
                <w:bCs/>
                <w:sz w:val="20"/>
              </w:rPr>
            </w:pPr>
            <w:r>
              <w:rPr>
                <w:rFonts w:ascii="Arial" w:hAnsi="Arial" w:cs="Arial"/>
                <w:sz w:val="20"/>
              </w:rPr>
              <w:t>Incubate CHOC</w:t>
            </w:r>
            <w:r w:rsidR="00C57960">
              <w:rPr>
                <w:rFonts w:ascii="Arial" w:hAnsi="Arial" w:cs="Arial"/>
                <w:sz w:val="20"/>
              </w:rPr>
              <w:t xml:space="preserve"> and MTM in 3 – 5% CO</w:t>
            </w:r>
            <w:r w:rsidR="00C57960">
              <w:rPr>
                <w:rFonts w:ascii="Arial" w:hAnsi="Arial" w:cs="Arial"/>
                <w:sz w:val="20"/>
                <w:vertAlign w:val="subscript"/>
              </w:rPr>
              <w:t>2</w:t>
            </w:r>
            <w:r w:rsidR="00C57960">
              <w:rPr>
                <w:rFonts w:ascii="Arial" w:hAnsi="Arial" w:cs="Arial"/>
                <w:sz w:val="20"/>
              </w:rPr>
              <w:t xml:space="preserve"> at 35ºC.</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rPr>
                <w:rFonts w:ascii="Arial" w:hAnsi="Arial" w:cs="Arial"/>
                <w:b/>
                <w:bCs/>
              </w:rPr>
            </w:pPr>
          </w:p>
          <w:p w:rsidR="00C57960" w:rsidRDefault="00C57960">
            <w:pPr>
              <w:rPr>
                <w:rFonts w:ascii="Arial" w:hAnsi="Arial" w:cs="Arial"/>
                <w:b/>
                <w:bCs/>
                <w:sz w:val="20"/>
              </w:rPr>
            </w:pPr>
            <w:r>
              <w:rPr>
                <w:rFonts w:ascii="Arial" w:hAnsi="Arial" w:cs="Arial"/>
                <w:b/>
                <w:bCs/>
              </w:rPr>
              <w:t>Culture examination</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382" w:type="dxa"/>
            <w:gridSpan w:val="13"/>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b/>
                <w:bCs/>
                <w:sz w:val="20"/>
              </w:rPr>
            </w:pPr>
            <w:r>
              <w:rPr>
                <w:rFonts w:ascii="Arial" w:hAnsi="Arial" w:cs="Arial"/>
                <w:b/>
                <w:bCs/>
                <w:sz w:val="20"/>
              </w:rPr>
              <w:t>Day 1.</w:t>
            </w:r>
          </w:p>
        </w:tc>
        <w:tc>
          <w:tcPr>
            <w:tcW w:w="1989" w:type="dxa"/>
            <w:tcBorders>
              <w:top w:val="single" w:sz="4" w:space="0" w:color="auto"/>
              <w:bottom w:val="single" w:sz="6" w:space="0" w:color="auto"/>
              <w:right w:val="nil"/>
            </w:tcBorders>
          </w:tcPr>
          <w:p w:rsidR="00C57960" w:rsidRDefault="00C57960">
            <w:pPr>
              <w:rPr>
                <w:rFonts w:ascii="Arial" w:hAnsi="Arial" w:cs="Arial"/>
                <w:b/>
                <w:bCs/>
                <w:sz w:val="20"/>
              </w:rPr>
            </w:pP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1.</w:t>
            </w:r>
          </w:p>
        </w:tc>
        <w:tc>
          <w:tcPr>
            <w:tcW w:w="8642" w:type="dxa"/>
            <w:gridSpan w:val="13"/>
            <w:tcBorders>
              <w:top w:val="single" w:sz="4" w:space="0" w:color="auto"/>
              <w:bottom w:val="single" w:sz="6" w:space="0" w:color="auto"/>
              <w:right w:val="nil"/>
            </w:tcBorders>
          </w:tcPr>
          <w:p w:rsidR="00C57960" w:rsidRDefault="00C50975">
            <w:pPr>
              <w:rPr>
                <w:rFonts w:ascii="Arial" w:hAnsi="Arial" w:cs="Arial"/>
                <w:b/>
                <w:bCs/>
                <w:sz w:val="20"/>
              </w:rPr>
            </w:pPr>
            <w:r>
              <w:rPr>
                <w:rFonts w:ascii="Arial" w:hAnsi="Arial" w:cs="Arial"/>
                <w:sz w:val="20"/>
              </w:rPr>
              <w:t>Examine CHOC and MTM</w:t>
            </w:r>
            <w:r w:rsidR="00C57960">
              <w:rPr>
                <w:rFonts w:ascii="Arial" w:hAnsi="Arial" w:cs="Arial"/>
                <w:sz w:val="20"/>
              </w:rPr>
              <w:t xml:space="preserve"> plates for </w:t>
            </w:r>
            <w:r w:rsidR="00C57960">
              <w:rPr>
                <w:rFonts w:ascii="Arial" w:hAnsi="Arial" w:cs="Arial"/>
                <w:i/>
                <w:sz w:val="20"/>
              </w:rPr>
              <w:t xml:space="preserve">N. </w:t>
            </w:r>
            <w:proofErr w:type="spellStart"/>
            <w:r w:rsidR="00C57960">
              <w:rPr>
                <w:rFonts w:ascii="Arial" w:hAnsi="Arial" w:cs="Arial"/>
                <w:i/>
                <w:sz w:val="20"/>
              </w:rPr>
              <w:t>gonorrhoeae</w:t>
            </w:r>
            <w:proofErr w:type="spellEnd"/>
            <w:r w:rsidR="00C57960">
              <w:rPr>
                <w:rFonts w:ascii="Arial" w:hAnsi="Arial" w:cs="Arial"/>
                <w:i/>
                <w:sz w:val="20"/>
              </w:rPr>
              <w:t>.</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2.</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proofErr w:type="gramStart"/>
            <w:r>
              <w:rPr>
                <w:rFonts w:ascii="Arial" w:hAnsi="Arial" w:cs="Arial"/>
                <w:sz w:val="20"/>
              </w:rPr>
              <w:t>Gram stain</w:t>
            </w:r>
            <w:proofErr w:type="gramEnd"/>
            <w:r>
              <w:rPr>
                <w:rFonts w:ascii="Arial" w:hAnsi="Arial" w:cs="Arial"/>
                <w:sz w:val="20"/>
              </w:rPr>
              <w:t xml:space="preserve"> suspicious colony types and perform initial identification procedures, i.e., Gram stain, catalase, </w:t>
            </w:r>
            <w:proofErr w:type="spellStart"/>
            <w:r>
              <w:rPr>
                <w:rFonts w:ascii="Arial" w:hAnsi="Arial" w:cs="Arial"/>
                <w:sz w:val="20"/>
              </w:rPr>
              <w:t>oxidase</w:t>
            </w:r>
            <w:proofErr w:type="spellEnd"/>
            <w:r>
              <w:rPr>
                <w:rFonts w:ascii="Arial" w:hAnsi="Arial" w:cs="Arial"/>
                <w:sz w:val="20"/>
              </w:rPr>
              <w:t xml:space="preserve">, etc.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sz w:val="20"/>
              </w:rPr>
              <w:t xml:space="preserve"> is </w:t>
            </w:r>
            <w:proofErr w:type="gramStart"/>
            <w:r>
              <w:rPr>
                <w:rFonts w:ascii="Arial" w:hAnsi="Arial" w:cs="Arial"/>
                <w:sz w:val="20"/>
              </w:rPr>
              <w:t>a gram</w:t>
            </w:r>
            <w:proofErr w:type="gramEnd"/>
            <w:r>
              <w:rPr>
                <w:rFonts w:ascii="Arial" w:hAnsi="Arial" w:cs="Arial"/>
                <w:sz w:val="20"/>
              </w:rPr>
              <w:t xml:space="preserve">-negative </w:t>
            </w:r>
            <w:proofErr w:type="spellStart"/>
            <w:r>
              <w:rPr>
                <w:rFonts w:ascii="Arial" w:hAnsi="Arial" w:cs="Arial"/>
                <w:sz w:val="20"/>
              </w:rPr>
              <w:t>diplococci</w:t>
            </w:r>
            <w:proofErr w:type="spellEnd"/>
            <w:r>
              <w:rPr>
                <w:rFonts w:ascii="Arial" w:hAnsi="Arial" w:cs="Arial"/>
                <w:sz w:val="20"/>
              </w:rPr>
              <w:t xml:space="preserve"> that is </w:t>
            </w:r>
            <w:proofErr w:type="spellStart"/>
            <w:r>
              <w:rPr>
                <w:rFonts w:ascii="Arial" w:hAnsi="Arial" w:cs="Arial"/>
                <w:sz w:val="20"/>
              </w:rPr>
              <w:t>oxidase</w:t>
            </w:r>
            <w:proofErr w:type="spellEnd"/>
            <w:r>
              <w:rPr>
                <w:rFonts w:ascii="Arial" w:hAnsi="Arial" w:cs="Arial"/>
                <w:sz w:val="20"/>
              </w:rPr>
              <w:t xml:space="preserve"> and catalase positive.</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3.</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 xml:space="preserve">The presence of yeast may be significant. Report if present.  </w:t>
            </w:r>
            <w:r>
              <w:rPr>
                <w:rFonts w:ascii="Arial" w:hAnsi="Arial" w:cs="Arial"/>
                <w:b/>
                <w:bCs/>
                <w:sz w:val="20"/>
              </w:rPr>
              <w:t>Do not ID</w:t>
            </w:r>
            <w:r>
              <w:rPr>
                <w:rFonts w:ascii="Arial" w:hAnsi="Arial" w:cs="Arial"/>
                <w:sz w:val="20"/>
              </w:rPr>
              <w:t>.</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4.</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Set up definitive biochemical or identification procedures on suspicious organisms if well isolated.</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5.</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Subculture organisms that are not well isolated to appropriate media for further work-up.</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6.</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proofErr w:type="spellStart"/>
            <w:r>
              <w:rPr>
                <w:rFonts w:ascii="Arial" w:hAnsi="Arial" w:cs="Arial"/>
                <w:sz w:val="20"/>
              </w:rPr>
              <w:t>Reincubate</w:t>
            </w:r>
            <w:proofErr w:type="spellEnd"/>
            <w:r>
              <w:rPr>
                <w:rFonts w:ascii="Arial" w:hAnsi="Arial" w:cs="Arial"/>
                <w:sz w:val="20"/>
              </w:rPr>
              <w:t xml:space="preserve"> primary plates and subcultures for an additional day.</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7.</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Report preliminary results.  See Reporting section.</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b/>
                <w:bCs/>
                <w:sz w:val="20"/>
              </w:rPr>
              <w:t>Day 2.</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1.</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Examine primary plates from the previous day for additional suspicious microorganisms.</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2.</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Set up additional tests as needed.</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rPr>
                <w:rFonts w:ascii="Arial" w:hAnsi="Arial" w:cs="Arial"/>
                <w:sz w:val="20"/>
              </w:rPr>
            </w:pPr>
            <w:r>
              <w:rPr>
                <w:rFonts w:ascii="Arial" w:hAnsi="Arial" w:cs="Arial"/>
                <w:sz w:val="20"/>
              </w:rPr>
              <w:t>3.</w:t>
            </w:r>
          </w:p>
        </w:tc>
        <w:tc>
          <w:tcPr>
            <w:tcW w:w="8642" w:type="dxa"/>
            <w:gridSpan w:val="13"/>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sz w:val="20"/>
              </w:rPr>
              <w:t>Send updated report.  See Reporting section.</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rPr>
                <w:rFonts w:ascii="Arial" w:hAnsi="Arial" w:cs="Arial"/>
                <w:b/>
                <w:bCs/>
                <w:sz w:val="20"/>
              </w:rPr>
            </w:pPr>
            <w:r>
              <w:rPr>
                <w:rFonts w:ascii="Arial" w:hAnsi="Arial" w:cs="Arial"/>
                <w:b/>
                <w:bCs/>
                <w:sz w:val="20"/>
              </w:rPr>
              <w:t>Day 3.</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1.</w:t>
            </w:r>
          </w:p>
        </w:tc>
        <w:tc>
          <w:tcPr>
            <w:tcW w:w="8642" w:type="dxa"/>
            <w:gridSpan w:val="13"/>
            <w:tcBorders>
              <w:top w:val="single" w:sz="4" w:space="0" w:color="auto"/>
              <w:bottom w:val="single" w:sz="6" w:space="0" w:color="auto"/>
              <w:right w:val="nil"/>
            </w:tcBorders>
          </w:tcPr>
          <w:p w:rsidR="00C57960" w:rsidRDefault="00C57960">
            <w:pPr>
              <w:pStyle w:val="Header"/>
              <w:rPr>
                <w:rFonts w:ascii="Arial" w:hAnsi="Arial" w:cs="Arial"/>
                <w:b/>
                <w:bCs/>
                <w:sz w:val="20"/>
              </w:rPr>
            </w:pPr>
            <w:r>
              <w:rPr>
                <w:rFonts w:ascii="Arial" w:hAnsi="Arial" w:cs="Arial"/>
                <w:sz w:val="20"/>
              </w:rPr>
              <w:t>Examine primary plates at 72 hours.</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2.</w:t>
            </w:r>
          </w:p>
        </w:tc>
        <w:tc>
          <w:tcPr>
            <w:tcW w:w="8642" w:type="dxa"/>
            <w:gridSpan w:val="13"/>
            <w:tcBorders>
              <w:top w:val="single" w:sz="4" w:space="0" w:color="auto"/>
              <w:bottom w:val="single" w:sz="6" w:space="0" w:color="auto"/>
              <w:right w:val="nil"/>
            </w:tcBorders>
          </w:tcPr>
          <w:p w:rsidR="00C57960" w:rsidRDefault="00C57960">
            <w:pPr>
              <w:pStyle w:val="Header"/>
              <w:rPr>
                <w:rFonts w:ascii="Arial" w:hAnsi="Arial" w:cs="Arial"/>
                <w:b/>
                <w:bCs/>
                <w:sz w:val="20"/>
              </w:rPr>
            </w:pPr>
            <w:r>
              <w:rPr>
                <w:rFonts w:ascii="Arial" w:hAnsi="Arial" w:cs="Arial"/>
                <w:sz w:val="20"/>
              </w:rPr>
              <w:t>Complete identification procedures until all suspicious isolates are finished.</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Height w:val="345"/>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3.</w:t>
            </w:r>
          </w:p>
        </w:tc>
        <w:tc>
          <w:tcPr>
            <w:tcW w:w="8642" w:type="dxa"/>
            <w:gridSpan w:val="13"/>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 xml:space="preserve">Send updated report and finalize. </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9371" w:type="dxa"/>
            <w:gridSpan w:val="14"/>
            <w:tcBorders>
              <w:top w:val="single" w:sz="4" w:space="0" w:color="auto"/>
              <w:bottom w:val="single" w:sz="6" w:space="0" w:color="auto"/>
              <w:right w:val="nil"/>
            </w:tcBorders>
          </w:tcPr>
          <w:p w:rsidR="00C57960" w:rsidRDefault="00C57960">
            <w:pPr>
              <w:pStyle w:val="Header"/>
              <w:rPr>
                <w:rFonts w:ascii="Arial" w:hAnsi="Arial" w:cs="Arial"/>
                <w:b/>
                <w:bCs/>
              </w:rPr>
            </w:pPr>
          </w:p>
          <w:p w:rsidR="00C57960" w:rsidRDefault="00C57960">
            <w:pPr>
              <w:pStyle w:val="Header"/>
              <w:rPr>
                <w:rFonts w:ascii="Arial" w:hAnsi="Arial" w:cs="Arial"/>
                <w:b/>
                <w:bCs/>
              </w:rPr>
            </w:pPr>
            <w:r>
              <w:rPr>
                <w:rFonts w:ascii="Arial" w:hAnsi="Arial" w:cs="Arial"/>
                <w:b/>
                <w:bCs/>
              </w:rPr>
              <w:t>Procedure Notes</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single" w:sz="6" w:space="0" w:color="auto"/>
              <w:right w:val="nil"/>
            </w:tcBorders>
          </w:tcPr>
          <w:p w:rsidR="00C57960" w:rsidRDefault="00C57960">
            <w:pPr>
              <w:pStyle w:val="Header"/>
              <w:rPr>
                <w:rFonts w:ascii="Arial" w:hAnsi="Arial" w:cs="Arial"/>
                <w:sz w:val="20"/>
              </w:rPr>
            </w:pPr>
            <w:r>
              <w:rPr>
                <w:rFonts w:ascii="Arial" w:hAnsi="Arial" w:cs="Arial"/>
                <w:sz w:val="20"/>
              </w:rPr>
              <w:t>1.</w:t>
            </w:r>
          </w:p>
        </w:tc>
        <w:tc>
          <w:tcPr>
            <w:tcW w:w="8642" w:type="dxa"/>
            <w:gridSpan w:val="13"/>
            <w:tcBorders>
              <w:top w:val="single" w:sz="4" w:space="0" w:color="auto"/>
              <w:bottom w:val="single" w:sz="6" w:space="0" w:color="auto"/>
              <w:right w:val="nil"/>
            </w:tcBorders>
          </w:tcPr>
          <w:p w:rsidR="00C57960" w:rsidRDefault="00C57960">
            <w:pPr>
              <w:pStyle w:val="Header"/>
              <w:rPr>
                <w:rFonts w:ascii="Arial" w:hAnsi="Arial" w:cs="Arial"/>
                <w:sz w:val="20"/>
              </w:rPr>
            </w:pPr>
            <w:r>
              <w:rPr>
                <w:rFonts w:ascii="Arial" w:hAnsi="Arial" w:cs="Arial"/>
                <w:sz w:val="20"/>
              </w:rPr>
              <w:t xml:space="preserve">Do not perform AST on </w:t>
            </w:r>
            <w:r>
              <w:rPr>
                <w:rFonts w:ascii="Arial" w:hAnsi="Arial" w:cs="Arial"/>
                <w:i/>
                <w:iCs/>
                <w:sz w:val="20"/>
              </w:rPr>
              <w:t xml:space="preserve">N. </w:t>
            </w:r>
            <w:proofErr w:type="spellStart"/>
            <w:r>
              <w:rPr>
                <w:rFonts w:ascii="Arial" w:hAnsi="Arial" w:cs="Arial"/>
                <w:i/>
                <w:iCs/>
                <w:sz w:val="20"/>
              </w:rPr>
              <w:t>gonorrhoeae</w:t>
            </w:r>
            <w:proofErr w:type="spellEnd"/>
            <w:r>
              <w:rPr>
                <w:rFonts w:ascii="Arial" w:hAnsi="Arial" w:cs="Arial"/>
                <w:i/>
                <w:iCs/>
                <w:sz w:val="20"/>
              </w:rPr>
              <w:t xml:space="preserve"> </w:t>
            </w:r>
            <w:r>
              <w:rPr>
                <w:rFonts w:ascii="Arial" w:hAnsi="Arial" w:cs="Arial"/>
                <w:sz w:val="20"/>
              </w:rPr>
              <w:t>unless there is a case of therapeutic failure.  Refer to Mayo Medical Labs for AST, MML test code ZMMLS for AST.</w:t>
            </w:r>
          </w:p>
          <w:p w:rsidR="00C57960" w:rsidRDefault="00C57960">
            <w:pPr>
              <w:pStyle w:val="Header"/>
              <w:tabs>
                <w:tab w:val="clear" w:pos="4320"/>
                <w:tab w:val="clear" w:pos="8640"/>
              </w:tabs>
              <w:rPr>
                <w:rFonts w:ascii="Arial" w:hAnsi="Arial" w:cs="Arial"/>
                <w:b/>
                <w:bCs/>
              </w:rPr>
            </w:pP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single" w:sz="4" w:space="0" w:color="auto"/>
              <w:bottom w:val="nil"/>
              <w:right w:val="nil"/>
            </w:tcBorders>
          </w:tcPr>
          <w:p w:rsidR="00C57960" w:rsidRDefault="00C57960">
            <w:pPr>
              <w:pStyle w:val="Header"/>
              <w:rPr>
                <w:rFonts w:ascii="Arial" w:hAnsi="Arial" w:cs="Arial"/>
                <w:sz w:val="20"/>
              </w:rPr>
            </w:pPr>
            <w:r>
              <w:rPr>
                <w:rFonts w:ascii="Arial" w:hAnsi="Arial" w:cs="Arial"/>
                <w:sz w:val="20"/>
              </w:rPr>
              <w:t>2.</w:t>
            </w:r>
          </w:p>
        </w:tc>
        <w:tc>
          <w:tcPr>
            <w:tcW w:w="8642" w:type="dxa"/>
            <w:gridSpan w:val="13"/>
            <w:tcBorders>
              <w:top w:val="single" w:sz="4" w:space="0" w:color="auto"/>
              <w:bottom w:val="single" w:sz="6"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Do not perform beta-</w:t>
            </w:r>
            <w:proofErr w:type="spellStart"/>
            <w:r>
              <w:rPr>
                <w:rFonts w:ascii="Arial" w:hAnsi="Arial" w:cs="Arial"/>
                <w:sz w:val="20"/>
              </w:rPr>
              <w:t>lactamase</w:t>
            </w:r>
            <w:proofErr w:type="spellEnd"/>
            <w:r>
              <w:rPr>
                <w:rFonts w:ascii="Arial" w:hAnsi="Arial" w:cs="Arial"/>
                <w:sz w:val="20"/>
              </w:rPr>
              <w:t xml:space="preserve"> test because current therapies are not affected by beta-</w:t>
            </w:r>
            <w:proofErr w:type="spellStart"/>
            <w:r>
              <w:rPr>
                <w:rFonts w:ascii="Arial" w:hAnsi="Arial" w:cs="Arial"/>
                <w:sz w:val="20"/>
              </w:rPr>
              <w:t>lactamase</w:t>
            </w:r>
            <w:proofErr w:type="spellEnd"/>
            <w:r>
              <w:rPr>
                <w:rFonts w:ascii="Arial" w:hAnsi="Arial" w:cs="Arial"/>
                <w:sz w:val="20"/>
              </w:rPr>
              <w:t xml:space="preserve"> production.</w:t>
            </w:r>
          </w:p>
        </w:tc>
      </w:tr>
      <w:tr w:rsidR="00C579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tcBorders>
          </w:tcPr>
          <w:p w:rsidR="00C57960" w:rsidRDefault="00C57960">
            <w:pPr>
              <w:jc w:val="left"/>
              <w:rPr>
                <w:rFonts w:ascii="Arial" w:hAnsi="Arial"/>
                <w:b/>
                <w:color w:val="0000FF"/>
                <w:sz w:val="20"/>
              </w:rPr>
            </w:pPr>
          </w:p>
        </w:tc>
        <w:tc>
          <w:tcPr>
            <w:tcW w:w="729" w:type="dxa"/>
            <w:tcBorders>
              <w:top w:val="nil"/>
              <w:bottom w:val="single" w:sz="4" w:space="0" w:color="auto"/>
              <w:right w:val="nil"/>
            </w:tcBorders>
          </w:tcPr>
          <w:p w:rsidR="00C57960" w:rsidRDefault="00C57960">
            <w:pPr>
              <w:pStyle w:val="Header"/>
              <w:rPr>
                <w:rFonts w:ascii="Arial" w:hAnsi="Arial" w:cs="Arial"/>
                <w:sz w:val="20"/>
              </w:rPr>
            </w:pPr>
            <w:r>
              <w:rPr>
                <w:rFonts w:ascii="Arial" w:hAnsi="Arial" w:cs="Arial"/>
                <w:sz w:val="20"/>
              </w:rPr>
              <w:t>3.</w:t>
            </w:r>
          </w:p>
        </w:tc>
        <w:tc>
          <w:tcPr>
            <w:tcW w:w="8642" w:type="dxa"/>
            <w:gridSpan w:val="13"/>
            <w:tcBorders>
              <w:top w:val="single" w:sz="4" w:space="0" w:color="auto"/>
              <w:left w:val="nil"/>
              <w:bottom w:val="single" w:sz="6"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 xml:space="preserve">If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i/>
                <w:sz w:val="20"/>
              </w:rPr>
              <w:t xml:space="preserve"> </w:t>
            </w:r>
            <w:r>
              <w:rPr>
                <w:rFonts w:ascii="Arial" w:hAnsi="Arial" w:cs="Arial"/>
                <w:sz w:val="20"/>
              </w:rPr>
              <w:t>is isolated, save a representative primary plate in CO</w:t>
            </w:r>
            <w:r>
              <w:rPr>
                <w:rFonts w:ascii="Arial" w:hAnsi="Arial" w:cs="Arial"/>
                <w:sz w:val="20"/>
                <w:vertAlign w:val="subscript"/>
              </w:rPr>
              <w:t xml:space="preserve">2 </w:t>
            </w:r>
            <w:r>
              <w:rPr>
                <w:rFonts w:ascii="Arial" w:hAnsi="Arial" w:cs="Arial"/>
                <w:sz w:val="20"/>
              </w:rPr>
              <w:t xml:space="preserve">at 35ºC for 7 days in case a physician calls for further studies. Freeze </w:t>
            </w:r>
            <w:r>
              <w:rPr>
                <w:rFonts w:ascii="Arial" w:hAnsi="Arial" w:cs="Arial"/>
                <w:i/>
                <w:iCs/>
                <w:sz w:val="20"/>
              </w:rPr>
              <w:t xml:space="preserve">N. </w:t>
            </w:r>
            <w:proofErr w:type="spellStart"/>
            <w:r>
              <w:rPr>
                <w:rFonts w:ascii="Arial" w:hAnsi="Arial" w:cs="Arial"/>
                <w:i/>
                <w:iCs/>
                <w:sz w:val="20"/>
              </w:rPr>
              <w:t>gonorrhoeae</w:t>
            </w:r>
            <w:proofErr w:type="spellEnd"/>
            <w:r>
              <w:rPr>
                <w:rFonts w:ascii="Arial" w:hAnsi="Arial" w:cs="Arial"/>
                <w:sz w:val="20"/>
              </w:rPr>
              <w:t xml:space="preserve"> if isolated from a </w:t>
            </w:r>
            <w:proofErr w:type="spellStart"/>
            <w:r>
              <w:rPr>
                <w:rFonts w:ascii="Arial" w:hAnsi="Arial" w:cs="Arial"/>
                <w:sz w:val="20"/>
              </w:rPr>
              <w:t>prepubertal</w:t>
            </w:r>
            <w:proofErr w:type="spellEnd"/>
            <w:r>
              <w:rPr>
                <w:rFonts w:ascii="Arial" w:hAnsi="Arial" w:cs="Arial"/>
                <w:sz w:val="20"/>
              </w:rPr>
              <w:t xml:space="preserve"> child for future reference.</w:t>
            </w:r>
          </w:p>
        </w:tc>
      </w:tr>
      <w:tr w:rsidR="00C57960">
        <w:trPr>
          <w:gridAfter w:val="2"/>
          <w:wAfter w:w="5400" w:type="dxa"/>
          <w:cantSplit/>
        </w:trPr>
        <w:tc>
          <w:tcPr>
            <w:tcW w:w="1789" w:type="dxa"/>
            <w:vMerge w:val="restart"/>
            <w:tcBorders>
              <w:top w:val="nil"/>
              <w:left w:val="nil"/>
              <w:right w:val="nil"/>
            </w:tcBorders>
          </w:tcPr>
          <w:p w:rsidR="00C57960" w:rsidRDefault="00C57960">
            <w:pPr>
              <w:rPr>
                <w:rFonts w:ascii="Arial" w:hAnsi="Arial"/>
                <w:b/>
                <w:color w:val="0000FF"/>
                <w:sz w:val="20"/>
              </w:rPr>
            </w:pPr>
            <w:r>
              <w:rPr>
                <w:rFonts w:ascii="Arial" w:hAnsi="Arial"/>
                <w:b/>
                <w:color w:val="0000FF"/>
                <w:sz w:val="20"/>
              </w:rPr>
              <w:t>Result Reporting</w:t>
            </w:r>
          </w:p>
        </w:tc>
        <w:tc>
          <w:tcPr>
            <w:tcW w:w="9371" w:type="dxa"/>
            <w:gridSpan w:val="14"/>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 xml:space="preserve">Record culture results and culture work-ups in </w:t>
            </w:r>
            <w:proofErr w:type="spellStart"/>
            <w:r>
              <w:rPr>
                <w:rFonts w:ascii="Arial" w:hAnsi="Arial" w:cs="Arial"/>
                <w:sz w:val="20"/>
              </w:rPr>
              <w:t>Sunquest</w:t>
            </w:r>
            <w:proofErr w:type="spellEnd"/>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w:t>
            </w:r>
            <w:proofErr w:type="spellStart"/>
            <w:r>
              <w:rPr>
                <w:rFonts w:ascii="Arial" w:hAnsi="Arial" w:cs="Arial"/>
                <w:sz w:val="20"/>
              </w:rPr>
              <w:t>semiquantitatively</w:t>
            </w:r>
            <w:proofErr w:type="spellEnd"/>
            <w:r>
              <w:rPr>
                <w:rFonts w:ascii="Arial" w:hAnsi="Arial" w:cs="Arial"/>
                <w:sz w:val="20"/>
              </w:rPr>
              <w:t>, i.e., 1+, 2+, 3+ or 4+.</w:t>
            </w:r>
          </w:p>
          <w:p w:rsidR="00C57960" w:rsidRDefault="00C57960">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C57960">
              <w:trPr>
                <w:trHeight w:val="300"/>
              </w:trPr>
              <w:tc>
                <w:tcPr>
                  <w:tcW w:w="1098" w:type="dxa"/>
                  <w:shd w:val="clear" w:color="auto" w:fill="CCFFFF"/>
                </w:tcPr>
                <w:p w:rsidR="00C57960" w:rsidRDefault="00C57960">
                  <w:pPr>
                    <w:jc w:val="center"/>
                    <w:rPr>
                      <w:rFonts w:ascii="Arial" w:hAnsi="Arial" w:cs="Arial"/>
                      <w:sz w:val="16"/>
                    </w:rPr>
                  </w:pPr>
                </w:p>
                <w:p w:rsidR="00C57960" w:rsidRDefault="00C57960">
                  <w:pPr>
                    <w:jc w:val="center"/>
                    <w:rPr>
                      <w:rFonts w:ascii="Arial" w:hAnsi="Arial" w:cs="Arial"/>
                      <w:sz w:val="16"/>
                    </w:rPr>
                  </w:pPr>
                  <w:r>
                    <w:rPr>
                      <w:rFonts w:ascii="Arial" w:hAnsi="Arial" w:cs="Arial"/>
                      <w:sz w:val="16"/>
                    </w:rPr>
                    <w:t>Quantity</w:t>
                  </w:r>
                </w:p>
              </w:tc>
              <w:tc>
                <w:tcPr>
                  <w:tcW w:w="1152" w:type="dxa"/>
                  <w:shd w:val="clear" w:color="auto" w:fill="CCFFFF"/>
                </w:tcPr>
                <w:p w:rsidR="00C57960" w:rsidRDefault="00C57960">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C57960" w:rsidRDefault="00C57960">
                  <w:pPr>
                    <w:jc w:val="center"/>
                    <w:rPr>
                      <w:rFonts w:ascii="Arial" w:hAnsi="Arial" w:cs="Arial"/>
                      <w:sz w:val="16"/>
                    </w:rPr>
                  </w:pPr>
                  <w:r>
                    <w:rPr>
                      <w:rFonts w:ascii="Arial" w:hAnsi="Arial" w:cs="Arial"/>
                      <w:sz w:val="16"/>
                    </w:rPr>
                    <w:t># colonies</w:t>
                  </w:r>
                </w:p>
              </w:tc>
              <w:tc>
                <w:tcPr>
                  <w:tcW w:w="1260" w:type="dxa"/>
                  <w:shd w:val="clear" w:color="auto" w:fill="CCFFFF"/>
                </w:tcPr>
                <w:p w:rsidR="00C57960" w:rsidRDefault="00C57960">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C57960" w:rsidRDefault="00C57960">
                  <w:pPr>
                    <w:jc w:val="center"/>
                    <w:rPr>
                      <w:rFonts w:ascii="Arial" w:hAnsi="Arial" w:cs="Arial"/>
                      <w:sz w:val="16"/>
                    </w:rPr>
                  </w:pPr>
                  <w:r>
                    <w:rPr>
                      <w:rFonts w:ascii="Arial" w:hAnsi="Arial" w:cs="Arial"/>
                      <w:sz w:val="16"/>
                    </w:rPr>
                    <w:t># colonies</w:t>
                  </w:r>
                </w:p>
              </w:tc>
              <w:tc>
                <w:tcPr>
                  <w:tcW w:w="1170" w:type="dxa"/>
                  <w:shd w:val="clear" w:color="auto" w:fill="CCFFFF"/>
                </w:tcPr>
                <w:p w:rsidR="00C57960" w:rsidRDefault="00C57960">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C57960" w:rsidRDefault="00C57960">
                  <w:pPr>
                    <w:jc w:val="center"/>
                    <w:rPr>
                      <w:rFonts w:ascii="Arial" w:hAnsi="Arial" w:cs="Arial"/>
                      <w:sz w:val="16"/>
                    </w:rPr>
                  </w:pPr>
                  <w:r>
                    <w:rPr>
                      <w:rFonts w:ascii="Arial" w:hAnsi="Arial" w:cs="Arial"/>
                      <w:sz w:val="16"/>
                    </w:rPr>
                    <w:t># colonies</w:t>
                  </w:r>
                </w:p>
              </w:tc>
            </w:tr>
            <w:tr w:rsidR="00C57960">
              <w:trPr>
                <w:trHeight w:val="200"/>
              </w:trPr>
              <w:tc>
                <w:tcPr>
                  <w:tcW w:w="1098" w:type="dxa"/>
                </w:tcPr>
                <w:p w:rsidR="00C57960" w:rsidRDefault="00C57960">
                  <w:pPr>
                    <w:jc w:val="center"/>
                    <w:rPr>
                      <w:rFonts w:ascii="Arial" w:hAnsi="Arial" w:cs="Arial"/>
                      <w:sz w:val="16"/>
                    </w:rPr>
                  </w:pPr>
                  <w:r>
                    <w:rPr>
                      <w:rFonts w:ascii="Arial" w:hAnsi="Arial" w:cs="Arial"/>
                      <w:sz w:val="16"/>
                    </w:rPr>
                    <w:t>1+</w:t>
                  </w:r>
                </w:p>
              </w:tc>
              <w:tc>
                <w:tcPr>
                  <w:tcW w:w="1152" w:type="dxa"/>
                </w:tcPr>
                <w:p w:rsidR="00C57960" w:rsidRDefault="00C57960">
                  <w:pPr>
                    <w:jc w:val="center"/>
                    <w:rPr>
                      <w:rFonts w:ascii="Arial" w:hAnsi="Arial" w:cs="Arial"/>
                      <w:sz w:val="16"/>
                    </w:rPr>
                  </w:pPr>
                  <w:r>
                    <w:rPr>
                      <w:rFonts w:ascii="Arial" w:hAnsi="Arial" w:cs="Arial"/>
                      <w:sz w:val="16"/>
                    </w:rPr>
                    <w:t>&lt;10</w:t>
                  </w:r>
                </w:p>
              </w:tc>
              <w:tc>
                <w:tcPr>
                  <w:tcW w:w="1260" w:type="dxa"/>
                </w:tcPr>
                <w:p w:rsidR="00C57960" w:rsidRDefault="00C57960">
                  <w:pPr>
                    <w:jc w:val="center"/>
                    <w:rPr>
                      <w:rFonts w:ascii="Arial" w:hAnsi="Arial" w:cs="Arial"/>
                      <w:sz w:val="16"/>
                    </w:rPr>
                  </w:pPr>
                </w:p>
              </w:tc>
              <w:tc>
                <w:tcPr>
                  <w:tcW w:w="1170" w:type="dxa"/>
                </w:tcPr>
                <w:p w:rsidR="00C57960" w:rsidRDefault="00C57960">
                  <w:pPr>
                    <w:jc w:val="center"/>
                    <w:rPr>
                      <w:rFonts w:ascii="Arial" w:hAnsi="Arial" w:cs="Arial"/>
                      <w:sz w:val="16"/>
                    </w:rPr>
                  </w:pPr>
                </w:p>
              </w:tc>
            </w:tr>
            <w:tr w:rsidR="00C57960">
              <w:trPr>
                <w:trHeight w:val="200"/>
              </w:trPr>
              <w:tc>
                <w:tcPr>
                  <w:tcW w:w="1098" w:type="dxa"/>
                </w:tcPr>
                <w:p w:rsidR="00C57960" w:rsidRDefault="00C57960">
                  <w:pPr>
                    <w:jc w:val="center"/>
                    <w:rPr>
                      <w:rFonts w:ascii="Arial" w:hAnsi="Arial" w:cs="Arial"/>
                      <w:sz w:val="16"/>
                    </w:rPr>
                  </w:pPr>
                  <w:r>
                    <w:rPr>
                      <w:rFonts w:ascii="Arial" w:hAnsi="Arial" w:cs="Arial"/>
                      <w:sz w:val="16"/>
                    </w:rPr>
                    <w:t>2+</w:t>
                  </w:r>
                </w:p>
              </w:tc>
              <w:tc>
                <w:tcPr>
                  <w:tcW w:w="1152" w:type="dxa"/>
                </w:tcPr>
                <w:p w:rsidR="00C57960" w:rsidRDefault="00C57960">
                  <w:pPr>
                    <w:jc w:val="center"/>
                    <w:rPr>
                      <w:rFonts w:ascii="Arial" w:hAnsi="Arial" w:cs="Arial"/>
                      <w:sz w:val="16"/>
                    </w:rPr>
                  </w:pPr>
                  <w:r>
                    <w:rPr>
                      <w:rFonts w:ascii="Arial" w:hAnsi="Arial" w:cs="Arial"/>
                      <w:sz w:val="16"/>
                    </w:rPr>
                    <w:t>&gt;10</w:t>
                  </w:r>
                </w:p>
              </w:tc>
              <w:tc>
                <w:tcPr>
                  <w:tcW w:w="1260" w:type="dxa"/>
                </w:tcPr>
                <w:p w:rsidR="00C57960" w:rsidRDefault="00C57960">
                  <w:pPr>
                    <w:jc w:val="center"/>
                    <w:rPr>
                      <w:rFonts w:ascii="Arial" w:hAnsi="Arial" w:cs="Arial"/>
                      <w:sz w:val="16"/>
                    </w:rPr>
                  </w:pPr>
                  <w:r>
                    <w:rPr>
                      <w:rFonts w:ascii="Arial" w:hAnsi="Arial" w:cs="Arial"/>
                      <w:sz w:val="16"/>
                    </w:rPr>
                    <w:t>&lt;5</w:t>
                  </w:r>
                </w:p>
              </w:tc>
              <w:tc>
                <w:tcPr>
                  <w:tcW w:w="1170" w:type="dxa"/>
                </w:tcPr>
                <w:p w:rsidR="00C57960" w:rsidRDefault="00C57960">
                  <w:pPr>
                    <w:jc w:val="center"/>
                    <w:rPr>
                      <w:rFonts w:ascii="Arial" w:hAnsi="Arial" w:cs="Arial"/>
                      <w:sz w:val="16"/>
                    </w:rPr>
                  </w:pPr>
                </w:p>
              </w:tc>
            </w:tr>
            <w:tr w:rsidR="00C57960">
              <w:trPr>
                <w:trHeight w:val="200"/>
              </w:trPr>
              <w:tc>
                <w:tcPr>
                  <w:tcW w:w="1098" w:type="dxa"/>
                </w:tcPr>
                <w:p w:rsidR="00C57960" w:rsidRDefault="00C57960">
                  <w:pPr>
                    <w:jc w:val="center"/>
                    <w:rPr>
                      <w:rFonts w:ascii="Arial" w:hAnsi="Arial" w:cs="Arial"/>
                      <w:sz w:val="16"/>
                    </w:rPr>
                  </w:pPr>
                  <w:r>
                    <w:rPr>
                      <w:rFonts w:ascii="Arial" w:hAnsi="Arial" w:cs="Arial"/>
                      <w:sz w:val="16"/>
                    </w:rPr>
                    <w:t>3+</w:t>
                  </w:r>
                </w:p>
              </w:tc>
              <w:tc>
                <w:tcPr>
                  <w:tcW w:w="1152" w:type="dxa"/>
                </w:tcPr>
                <w:p w:rsidR="00C57960" w:rsidRDefault="00C57960">
                  <w:pPr>
                    <w:jc w:val="center"/>
                    <w:rPr>
                      <w:rFonts w:ascii="Arial" w:hAnsi="Arial" w:cs="Arial"/>
                      <w:sz w:val="16"/>
                    </w:rPr>
                  </w:pPr>
                  <w:r>
                    <w:rPr>
                      <w:rFonts w:ascii="Arial" w:hAnsi="Arial" w:cs="Arial"/>
                      <w:sz w:val="16"/>
                    </w:rPr>
                    <w:t>&gt;10</w:t>
                  </w:r>
                </w:p>
              </w:tc>
              <w:tc>
                <w:tcPr>
                  <w:tcW w:w="1260" w:type="dxa"/>
                </w:tcPr>
                <w:p w:rsidR="00C57960" w:rsidRDefault="00C57960">
                  <w:pPr>
                    <w:jc w:val="center"/>
                    <w:rPr>
                      <w:rFonts w:ascii="Arial" w:hAnsi="Arial" w:cs="Arial"/>
                      <w:sz w:val="16"/>
                    </w:rPr>
                  </w:pPr>
                  <w:r>
                    <w:rPr>
                      <w:rFonts w:ascii="Arial" w:hAnsi="Arial" w:cs="Arial"/>
                      <w:sz w:val="16"/>
                    </w:rPr>
                    <w:t>&gt;5</w:t>
                  </w:r>
                </w:p>
              </w:tc>
              <w:tc>
                <w:tcPr>
                  <w:tcW w:w="1170" w:type="dxa"/>
                </w:tcPr>
                <w:p w:rsidR="00C57960" w:rsidRDefault="00C57960">
                  <w:pPr>
                    <w:jc w:val="center"/>
                    <w:rPr>
                      <w:rFonts w:ascii="Arial" w:hAnsi="Arial" w:cs="Arial"/>
                      <w:sz w:val="16"/>
                    </w:rPr>
                  </w:pPr>
                  <w:r>
                    <w:rPr>
                      <w:rFonts w:ascii="Arial" w:hAnsi="Arial" w:cs="Arial"/>
                      <w:sz w:val="16"/>
                    </w:rPr>
                    <w:t>&lt;5</w:t>
                  </w:r>
                </w:p>
              </w:tc>
            </w:tr>
            <w:tr w:rsidR="00C57960">
              <w:trPr>
                <w:trHeight w:val="200"/>
              </w:trPr>
              <w:tc>
                <w:tcPr>
                  <w:tcW w:w="1098" w:type="dxa"/>
                </w:tcPr>
                <w:p w:rsidR="00C57960" w:rsidRDefault="00C57960">
                  <w:pPr>
                    <w:jc w:val="center"/>
                    <w:rPr>
                      <w:rFonts w:ascii="Arial" w:hAnsi="Arial" w:cs="Arial"/>
                      <w:sz w:val="16"/>
                    </w:rPr>
                  </w:pPr>
                  <w:r>
                    <w:rPr>
                      <w:rFonts w:ascii="Arial" w:hAnsi="Arial" w:cs="Arial"/>
                      <w:sz w:val="16"/>
                    </w:rPr>
                    <w:t>4+</w:t>
                  </w:r>
                </w:p>
              </w:tc>
              <w:tc>
                <w:tcPr>
                  <w:tcW w:w="1152" w:type="dxa"/>
                </w:tcPr>
                <w:p w:rsidR="00C57960" w:rsidRDefault="00C57960">
                  <w:pPr>
                    <w:jc w:val="center"/>
                    <w:rPr>
                      <w:rFonts w:ascii="Arial" w:hAnsi="Arial" w:cs="Arial"/>
                      <w:sz w:val="16"/>
                    </w:rPr>
                  </w:pPr>
                  <w:r>
                    <w:rPr>
                      <w:rFonts w:ascii="Arial" w:hAnsi="Arial" w:cs="Arial"/>
                      <w:sz w:val="16"/>
                    </w:rPr>
                    <w:t>&gt;10</w:t>
                  </w:r>
                </w:p>
              </w:tc>
              <w:tc>
                <w:tcPr>
                  <w:tcW w:w="1260" w:type="dxa"/>
                </w:tcPr>
                <w:p w:rsidR="00C57960" w:rsidRDefault="00C57960">
                  <w:pPr>
                    <w:jc w:val="center"/>
                    <w:rPr>
                      <w:rFonts w:ascii="Arial" w:hAnsi="Arial" w:cs="Arial"/>
                      <w:sz w:val="16"/>
                    </w:rPr>
                  </w:pPr>
                  <w:r>
                    <w:rPr>
                      <w:rFonts w:ascii="Arial" w:hAnsi="Arial" w:cs="Arial"/>
                      <w:sz w:val="16"/>
                    </w:rPr>
                    <w:t>&gt;5</w:t>
                  </w:r>
                </w:p>
              </w:tc>
              <w:tc>
                <w:tcPr>
                  <w:tcW w:w="1170" w:type="dxa"/>
                </w:tcPr>
                <w:p w:rsidR="00C57960" w:rsidRDefault="00C57960">
                  <w:pPr>
                    <w:jc w:val="center"/>
                    <w:rPr>
                      <w:rFonts w:ascii="Arial" w:hAnsi="Arial" w:cs="Arial"/>
                      <w:sz w:val="16"/>
                    </w:rPr>
                  </w:pPr>
                  <w:r>
                    <w:rPr>
                      <w:rFonts w:ascii="Arial" w:hAnsi="Arial" w:cs="Arial"/>
                      <w:sz w:val="16"/>
                    </w:rPr>
                    <w:t>&gt;5</w:t>
                  </w:r>
                </w:p>
              </w:tc>
            </w:tr>
          </w:tbl>
          <w:p w:rsidR="00C57960" w:rsidRDefault="00C57960">
            <w:pPr>
              <w:rPr>
                <w:rFonts w:ascii="Arial" w:hAnsi="Arial"/>
                <w:sz w:val="20"/>
              </w:rPr>
            </w:pPr>
          </w:p>
        </w:tc>
      </w:tr>
      <w:tr w:rsidR="00C57960">
        <w:trPr>
          <w:gridAfter w:val="2"/>
          <w:wAfter w:w="5400" w:type="dxa"/>
          <w:cantSplit/>
          <w:trHeight w:val="242"/>
        </w:trPr>
        <w:tc>
          <w:tcPr>
            <w:tcW w:w="1789" w:type="dxa"/>
            <w:vMerge/>
            <w:tcBorders>
              <w:left w:val="nil"/>
              <w:right w:val="nil"/>
            </w:tcBorders>
          </w:tcPr>
          <w:p w:rsidR="00C57960" w:rsidRDefault="00C57960">
            <w:pPr>
              <w:rPr>
                <w:rFonts w:ascii="Arial" w:hAnsi="Arial"/>
                <w:b/>
                <w:color w:val="0000FF"/>
                <w:sz w:val="20"/>
              </w:rPr>
            </w:pPr>
          </w:p>
        </w:tc>
        <w:tc>
          <w:tcPr>
            <w:tcW w:w="9371" w:type="dxa"/>
            <w:gridSpan w:val="14"/>
            <w:tcBorders>
              <w:top w:val="single" w:sz="4" w:space="0" w:color="auto"/>
              <w:left w:val="nil"/>
              <w:bottom w:val="single" w:sz="4" w:space="0" w:color="auto"/>
              <w:right w:val="nil"/>
            </w:tcBorders>
          </w:tcPr>
          <w:p w:rsidR="00C57960" w:rsidRDefault="00C57960">
            <w:pPr>
              <w:rPr>
                <w:rFonts w:ascii="Arial" w:hAnsi="Arial" w:cs="Arial"/>
                <w:b/>
                <w:bCs/>
                <w:sz w:val="20"/>
              </w:rPr>
            </w:pPr>
          </w:p>
          <w:p w:rsidR="00C57960" w:rsidRDefault="00C57960">
            <w:pPr>
              <w:rPr>
                <w:rFonts w:ascii="Arial" w:hAnsi="Arial" w:cs="Arial"/>
                <w:b/>
                <w:bCs/>
                <w:sz w:val="20"/>
              </w:rPr>
            </w:pPr>
            <w:r>
              <w:rPr>
                <w:rFonts w:ascii="Arial" w:hAnsi="Arial" w:cs="Arial"/>
                <w:b/>
                <w:bCs/>
                <w:sz w:val="20"/>
              </w:rPr>
              <w:t>Negative Results</w:t>
            </w:r>
          </w:p>
        </w:tc>
      </w:tr>
      <w:tr w:rsidR="00C57960" w:rsidTr="00111D3D">
        <w:trPr>
          <w:gridAfter w:val="2"/>
          <w:wAfter w:w="5400" w:type="dxa"/>
          <w:cantSplit/>
          <w:trHeight w:val="2015"/>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1.</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b/>
                <w:sz w:val="20"/>
              </w:rPr>
            </w:pPr>
            <w:r>
              <w:rPr>
                <w:rFonts w:ascii="Arial" w:hAnsi="Arial" w:cs="Arial"/>
                <w:sz w:val="20"/>
              </w:rPr>
              <w:t xml:space="preserve">Negative cultures for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sz w:val="20"/>
              </w:rPr>
              <w:t xml:space="preserve">:   Use MO codes </w:t>
            </w:r>
            <w:r>
              <w:rPr>
                <w:rFonts w:ascii="Arial" w:hAnsi="Arial" w:cs="Arial"/>
                <w:b/>
                <w:sz w:val="20"/>
              </w:rPr>
              <w:t>NGC1, NGC2</w:t>
            </w:r>
            <w:r>
              <w:rPr>
                <w:rFonts w:ascii="Arial" w:hAnsi="Arial" w:cs="Arial"/>
                <w:sz w:val="20"/>
              </w:rPr>
              <w:t xml:space="preserve"> and </w:t>
            </w:r>
            <w:r>
              <w:rPr>
                <w:rFonts w:ascii="Arial" w:hAnsi="Arial" w:cs="Arial"/>
                <w:b/>
                <w:sz w:val="20"/>
              </w:rPr>
              <w:t xml:space="preserve">NGC3. </w:t>
            </w:r>
          </w:p>
          <w:p w:rsidR="00C57960" w:rsidRDefault="00C57960">
            <w:pPr>
              <w:rPr>
                <w:rFonts w:ascii="Arial" w:hAnsi="Arial" w:cs="Arial"/>
                <w:bCs/>
                <w:sz w:val="20"/>
              </w:rPr>
            </w:pPr>
            <w:r>
              <w:rPr>
                <w:rFonts w:ascii="Arial" w:hAnsi="Arial" w:cs="Arial"/>
                <w:sz w:val="20"/>
              </w:rPr>
              <w:t>Report yeast if present</w:t>
            </w:r>
            <w:r>
              <w:rPr>
                <w:rFonts w:ascii="Arial" w:hAnsi="Arial" w:cs="Arial"/>
                <w:b/>
                <w:sz w:val="20"/>
              </w:rPr>
              <w:t xml:space="preserve">.  </w:t>
            </w:r>
            <w:r>
              <w:rPr>
                <w:rFonts w:ascii="Arial" w:hAnsi="Arial" w:cs="Arial"/>
                <w:bCs/>
                <w:sz w:val="20"/>
              </w:rPr>
              <w:t>Yeast ID not required.</w:t>
            </w:r>
          </w:p>
          <w:p w:rsidR="00C57960" w:rsidRDefault="00C57960">
            <w:pPr>
              <w:rPr>
                <w:rFonts w:ascii="Arial" w:hAnsi="Arial" w:cs="Arial"/>
                <w:b/>
                <w:sz w:val="20"/>
              </w:rPr>
            </w:pPr>
          </w:p>
          <w:p w:rsidR="00C57960" w:rsidRDefault="00C57960">
            <w:pPr>
              <w:tabs>
                <w:tab w:val="left" w:pos="2700"/>
              </w:tabs>
              <w:ind w:left="977"/>
              <w:rPr>
                <w:rFonts w:ascii="Arial" w:hAnsi="Arial" w:cs="Arial"/>
                <w:sz w:val="16"/>
              </w:rPr>
            </w:pPr>
            <w:r>
              <w:rPr>
                <w:rFonts w:ascii="Arial" w:hAnsi="Arial" w:cs="Arial"/>
                <w:sz w:val="16"/>
              </w:rPr>
              <w:t>Observations:</w:t>
            </w:r>
            <w:r>
              <w:rPr>
                <w:rFonts w:ascii="Arial" w:hAnsi="Arial" w:cs="Arial"/>
                <w:sz w:val="16"/>
              </w:rPr>
              <w:tab/>
              <w:t>1. NO NEISSERIA GONORRHOEAE ISOLATED AFTER 1 DAY</w:t>
            </w:r>
          </w:p>
          <w:p w:rsidR="00C57960" w:rsidRDefault="00C57960">
            <w:pPr>
              <w:tabs>
                <w:tab w:val="left" w:pos="2700"/>
              </w:tabs>
              <w:ind w:left="977"/>
              <w:rPr>
                <w:rFonts w:ascii="Arial" w:hAnsi="Arial" w:cs="Arial"/>
                <w:sz w:val="16"/>
              </w:rPr>
            </w:pPr>
            <w:r>
              <w:rPr>
                <w:rFonts w:ascii="Arial" w:hAnsi="Arial" w:cs="Arial"/>
                <w:sz w:val="16"/>
              </w:rPr>
              <w:tab/>
              <w:t>2. 1+ YEAST No further identification</w:t>
            </w:r>
          </w:p>
          <w:p w:rsidR="00C57960" w:rsidRDefault="00C57960">
            <w:pPr>
              <w:ind w:left="977"/>
              <w:rPr>
                <w:rFonts w:ascii="Arial" w:hAnsi="Arial" w:cs="Arial"/>
                <w:sz w:val="16"/>
              </w:rPr>
            </w:pPr>
          </w:p>
          <w:p w:rsidR="00C57960" w:rsidRDefault="00C57960">
            <w:pPr>
              <w:tabs>
                <w:tab w:val="left" w:pos="2610"/>
                <w:tab w:val="left" w:pos="4410"/>
              </w:tabs>
              <w:ind w:left="977"/>
              <w:rPr>
                <w:rFonts w:ascii="Arial" w:hAnsi="Arial" w:cs="Arial"/>
                <w:sz w:val="16"/>
              </w:rPr>
            </w:pPr>
            <w:r>
              <w:rPr>
                <w:rFonts w:ascii="Arial" w:hAnsi="Arial" w:cs="Arial"/>
                <w:sz w:val="16"/>
              </w:rPr>
              <w:t>Workups:</w:t>
            </w:r>
            <w:r>
              <w:rPr>
                <w:rFonts w:ascii="Arial" w:hAnsi="Arial" w:cs="Arial"/>
                <w:sz w:val="16"/>
              </w:rPr>
              <w:tab/>
            </w:r>
            <w:proofErr w:type="spellStart"/>
            <w:r>
              <w:rPr>
                <w:rFonts w:ascii="Arial" w:hAnsi="Arial" w:cs="Arial"/>
                <w:sz w:val="16"/>
              </w:rPr>
              <w:t>Wkup</w:t>
            </w:r>
            <w:proofErr w:type="spellEnd"/>
            <w:r>
              <w:rPr>
                <w:rFonts w:ascii="Arial" w:hAnsi="Arial" w:cs="Arial"/>
                <w:sz w:val="16"/>
              </w:rPr>
              <w:t xml:space="preserve"> # 1</w:t>
            </w:r>
            <w:r>
              <w:rPr>
                <w:rFonts w:ascii="Arial" w:hAnsi="Arial" w:cs="Arial"/>
                <w:sz w:val="16"/>
              </w:rPr>
              <w:tab/>
              <w:t>Workup Components</w:t>
            </w:r>
          </w:p>
          <w:p w:rsidR="00C57960" w:rsidRDefault="00C57960">
            <w:pPr>
              <w:tabs>
                <w:tab w:val="left" w:pos="2790"/>
                <w:tab w:val="left" w:pos="3420"/>
                <w:tab w:val="left" w:pos="4590"/>
                <w:tab w:val="left" w:pos="5220"/>
              </w:tabs>
              <w:ind w:left="1440"/>
              <w:rPr>
                <w:rFonts w:ascii="Arial" w:hAnsi="Arial" w:cs="Arial"/>
                <w:sz w:val="16"/>
              </w:rPr>
            </w:pPr>
            <w:r>
              <w:rPr>
                <w:rFonts w:ascii="Arial" w:hAnsi="Arial" w:cs="Arial"/>
                <w:sz w:val="16"/>
              </w:rPr>
              <w:tab/>
              <w:t>Med</w:t>
            </w:r>
            <w:r>
              <w:rPr>
                <w:rFonts w:ascii="Arial" w:hAnsi="Arial" w:cs="Arial"/>
                <w:sz w:val="16"/>
              </w:rPr>
              <w:tab/>
              <w:t>: CHOC</w:t>
            </w:r>
            <w:r>
              <w:rPr>
                <w:rFonts w:ascii="Arial" w:hAnsi="Arial" w:cs="Arial"/>
                <w:sz w:val="16"/>
              </w:rPr>
              <w:tab/>
              <w:t>GRAM</w:t>
            </w:r>
            <w:r>
              <w:rPr>
                <w:rFonts w:ascii="Arial" w:hAnsi="Arial" w:cs="Arial"/>
                <w:sz w:val="16"/>
              </w:rPr>
              <w:tab/>
              <w:t>:  YST</w:t>
            </w:r>
          </w:p>
          <w:p w:rsidR="00C57960" w:rsidRDefault="00C57960">
            <w:pPr>
              <w:tabs>
                <w:tab w:val="left" w:pos="2790"/>
                <w:tab w:val="left" w:pos="3420"/>
                <w:tab w:val="left" w:pos="4590"/>
                <w:tab w:val="left" w:pos="5220"/>
              </w:tabs>
              <w:ind w:left="1440"/>
              <w:rPr>
                <w:rFonts w:ascii="Arial" w:hAnsi="Arial" w:cs="Arial"/>
                <w:sz w:val="16"/>
              </w:rPr>
            </w:pPr>
            <w:r>
              <w:rPr>
                <w:rFonts w:ascii="Arial" w:hAnsi="Arial" w:cs="Arial"/>
                <w:sz w:val="16"/>
              </w:rPr>
              <w:tab/>
            </w:r>
            <w:proofErr w:type="spellStart"/>
            <w:r>
              <w:rPr>
                <w:rFonts w:ascii="Arial" w:hAnsi="Arial" w:cs="Arial"/>
                <w:sz w:val="16"/>
              </w:rPr>
              <w:t>Desc</w:t>
            </w:r>
            <w:proofErr w:type="spellEnd"/>
            <w:r>
              <w:rPr>
                <w:rFonts w:ascii="Arial" w:hAnsi="Arial" w:cs="Arial"/>
                <w:sz w:val="16"/>
              </w:rPr>
              <w:tab/>
              <w:t>: WH</w:t>
            </w:r>
            <w:r>
              <w:rPr>
                <w:rFonts w:ascii="Arial" w:hAnsi="Arial" w:cs="Arial"/>
                <w:sz w:val="16"/>
              </w:rPr>
              <w:tab/>
            </w:r>
          </w:p>
          <w:p w:rsidR="00C57960" w:rsidRDefault="00C57960">
            <w:pPr>
              <w:tabs>
                <w:tab w:val="left" w:pos="2790"/>
                <w:tab w:val="left" w:pos="3420"/>
                <w:tab w:val="left" w:pos="4590"/>
                <w:tab w:val="left" w:pos="5220"/>
              </w:tabs>
              <w:ind w:left="1440"/>
              <w:rPr>
                <w:rFonts w:ascii="Arial" w:hAnsi="Arial"/>
                <w:sz w:val="20"/>
              </w:rPr>
            </w:pPr>
            <w:r>
              <w:rPr>
                <w:rFonts w:ascii="Arial" w:hAnsi="Arial" w:cs="Arial"/>
                <w:sz w:val="16"/>
              </w:rPr>
              <w:tab/>
              <w:t>ID</w:t>
            </w:r>
            <w:r>
              <w:rPr>
                <w:rFonts w:ascii="Arial" w:hAnsi="Arial" w:cs="Arial"/>
                <w:sz w:val="16"/>
              </w:rPr>
              <w:tab/>
              <w:t>: YEAS</w:t>
            </w:r>
            <w:r>
              <w:rPr>
                <w:rFonts w:ascii="Arial" w:hAnsi="Arial" w:cs="Arial"/>
                <w:sz w:val="16"/>
              </w:rPr>
              <w:tab/>
            </w:r>
          </w:p>
        </w:tc>
      </w:tr>
      <w:tr w:rsidR="00C57960" w:rsidTr="00111D3D">
        <w:trPr>
          <w:gridAfter w:val="2"/>
          <w:wAfter w:w="5400" w:type="dxa"/>
          <w:cantSplit/>
          <w:trHeight w:val="350"/>
        </w:trPr>
        <w:tc>
          <w:tcPr>
            <w:tcW w:w="1789" w:type="dxa"/>
            <w:vMerge/>
            <w:tcBorders>
              <w:left w:val="nil"/>
              <w:right w:val="nil"/>
            </w:tcBorders>
          </w:tcPr>
          <w:p w:rsidR="00C57960" w:rsidRDefault="00C57960">
            <w:pPr>
              <w:rPr>
                <w:rFonts w:ascii="Arial" w:hAnsi="Arial"/>
                <w:b/>
                <w:color w:val="0000FF"/>
                <w:sz w:val="20"/>
              </w:rPr>
            </w:pPr>
          </w:p>
        </w:tc>
        <w:tc>
          <w:tcPr>
            <w:tcW w:w="9371" w:type="dxa"/>
            <w:gridSpan w:val="14"/>
            <w:tcBorders>
              <w:top w:val="single" w:sz="4" w:space="0" w:color="auto"/>
              <w:left w:val="nil"/>
              <w:bottom w:val="single" w:sz="4" w:space="0" w:color="auto"/>
              <w:right w:val="nil"/>
            </w:tcBorders>
          </w:tcPr>
          <w:p w:rsidR="00C57960" w:rsidRDefault="00C57960">
            <w:pPr>
              <w:rPr>
                <w:rFonts w:ascii="Arial" w:hAnsi="Arial"/>
                <w:b/>
                <w:bCs/>
                <w:sz w:val="20"/>
              </w:rPr>
            </w:pPr>
            <w:r>
              <w:rPr>
                <w:rFonts w:ascii="Arial" w:hAnsi="Arial"/>
                <w:b/>
                <w:bCs/>
                <w:sz w:val="20"/>
              </w:rPr>
              <w:t>Preliminary Positive Results—pending biochemical confirmation</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9371" w:type="dxa"/>
            <w:gridSpan w:val="14"/>
            <w:tcBorders>
              <w:top w:val="single" w:sz="4" w:space="0" w:color="auto"/>
              <w:left w:val="nil"/>
              <w:bottom w:val="single" w:sz="4" w:space="0" w:color="auto"/>
              <w:right w:val="nil"/>
            </w:tcBorders>
          </w:tcPr>
          <w:p w:rsidR="00C57960" w:rsidRDefault="00C57960">
            <w:pPr>
              <w:rPr>
                <w:rFonts w:ascii="Arial" w:hAnsi="Arial"/>
                <w:b/>
                <w:bCs/>
                <w:sz w:val="20"/>
              </w:rPr>
            </w:pPr>
            <w:r>
              <w:rPr>
                <w:rFonts w:ascii="Arial" w:hAnsi="Arial" w:cs="Arial"/>
                <w:sz w:val="20"/>
              </w:rPr>
              <w:t>1.        ---</w:t>
            </w:r>
            <w:r>
              <w:rPr>
                <w:rFonts w:ascii="Arial" w:hAnsi="Arial" w:cs="Arial"/>
                <w:b/>
                <w:bCs/>
                <w:sz w:val="20"/>
              </w:rPr>
              <w:t>Sexually active teenager/young adult--</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a.</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b/>
                <w:sz w:val="20"/>
              </w:rPr>
            </w:pPr>
            <w:r>
              <w:rPr>
                <w:rFonts w:ascii="Arial" w:hAnsi="Arial" w:cs="Arial"/>
                <w:sz w:val="20"/>
              </w:rPr>
              <w:t xml:space="preserve">Presumptive </w:t>
            </w:r>
            <w:proofErr w:type="spellStart"/>
            <w:r>
              <w:rPr>
                <w:rFonts w:ascii="Arial" w:hAnsi="Arial" w:cs="Arial"/>
                <w:i/>
                <w:sz w:val="20"/>
              </w:rPr>
              <w:t>Neisseria</w:t>
            </w:r>
            <w:proofErr w:type="spellEnd"/>
            <w:r>
              <w:rPr>
                <w:rFonts w:ascii="Arial" w:hAnsi="Arial" w:cs="Arial"/>
                <w:i/>
                <w:sz w:val="20"/>
              </w:rPr>
              <w:t xml:space="preserve"> </w:t>
            </w:r>
            <w:proofErr w:type="spellStart"/>
            <w:r>
              <w:rPr>
                <w:rFonts w:ascii="Arial" w:hAnsi="Arial" w:cs="Arial"/>
                <w:i/>
                <w:sz w:val="20"/>
              </w:rPr>
              <w:t>gonorrhoeae</w:t>
            </w:r>
            <w:proofErr w:type="spellEnd"/>
            <w:r>
              <w:rPr>
                <w:rFonts w:ascii="Arial" w:hAnsi="Arial" w:cs="Arial"/>
                <w:sz w:val="20"/>
              </w:rPr>
              <w:t xml:space="preserve"> isolated, biochemical testing to follow.  </w:t>
            </w:r>
            <w:r>
              <w:rPr>
                <w:rFonts w:ascii="Arial" w:hAnsi="Arial" w:cs="Arial"/>
                <w:b/>
                <w:sz w:val="20"/>
              </w:rPr>
              <w:t xml:space="preserve">PGC-BCTF. </w:t>
            </w:r>
          </w:p>
          <w:p w:rsidR="00C57960" w:rsidRDefault="00111D3D">
            <w:pPr>
              <w:pStyle w:val="Header"/>
              <w:tabs>
                <w:tab w:val="clear" w:pos="4320"/>
                <w:tab w:val="clear" w:pos="8640"/>
              </w:tabs>
            </w:pPr>
            <w:r>
              <w:rPr>
                <w:rFonts w:ascii="Arial" w:hAnsi="Arial" w:cs="Arial"/>
                <w:sz w:val="20"/>
              </w:rPr>
              <w:t xml:space="preserve">This code may be used if the isolate is from a genital site of a sexually active teenager/young adult, and </w:t>
            </w:r>
            <w:proofErr w:type="gramStart"/>
            <w:r>
              <w:rPr>
                <w:rFonts w:ascii="Arial" w:hAnsi="Arial" w:cs="Arial"/>
                <w:sz w:val="20"/>
              </w:rPr>
              <w:t>is</w:t>
            </w:r>
            <w:proofErr w:type="gramEnd"/>
            <w:r>
              <w:rPr>
                <w:rFonts w:ascii="Arial" w:hAnsi="Arial" w:cs="Arial"/>
                <w:sz w:val="20"/>
              </w:rPr>
              <w:t xml:space="preserve"> </w:t>
            </w:r>
            <w:proofErr w:type="spellStart"/>
            <w:r>
              <w:rPr>
                <w:rFonts w:ascii="Arial" w:hAnsi="Arial" w:cs="Arial"/>
                <w:sz w:val="20"/>
              </w:rPr>
              <w:t>oxidase</w:t>
            </w:r>
            <w:proofErr w:type="spellEnd"/>
            <w:r>
              <w:rPr>
                <w:rFonts w:ascii="Arial" w:hAnsi="Arial" w:cs="Arial"/>
                <w:sz w:val="20"/>
              </w:rPr>
              <w:t xml:space="preserve"> positive, a gram-negative </w:t>
            </w:r>
            <w:proofErr w:type="spellStart"/>
            <w:r>
              <w:rPr>
                <w:rFonts w:ascii="Arial" w:hAnsi="Arial" w:cs="Arial"/>
                <w:sz w:val="20"/>
              </w:rPr>
              <w:t>diplococci</w:t>
            </w:r>
            <w:proofErr w:type="spellEnd"/>
            <w:r>
              <w:rPr>
                <w:rFonts w:ascii="Arial" w:hAnsi="Arial" w:cs="Arial"/>
                <w:sz w:val="20"/>
              </w:rPr>
              <w:t xml:space="preserve">, and growing on MTM with confirmation pending.  </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b.</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Notify RN, CNP or physician of presumptive positive culture results. Document in computer, first name, first initial of last name, credentials, date and time.</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c.</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 xml:space="preserve">Perform </w:t>
            </w:r>
            <w:r w:rsidR="00C50975">
              <w:rPr>
                <w:rFonts w:ascii="Arial" w:hAnsi="Arial" w:cs="Arial"/>
                <w:sz w:val="20"/>
              </w:rPr>
              <w:t xml:space="preserve">MALDI or </w:t>
            </w:r>
            <w:r>
              <w:rPr>
                <w:rFonts w:ascii="Arial" w:hAnsi="Arial" w:cs="Arial"/>
                <w:sz w:val="20"/>
              </w:rPr>
              <w:t>Vitek® NH card to identify.</w:t>
            </w:r>
          </w:p>
        </w:tc>
      </w:tr>
      <w:tr w:rsidR="00C57960">
        <w:trPr>
          <w:gridAfter w:val="2"/>
          <w:wAfter w:w="5400" w:type="dxa"/>
          <w:cantSplit/>
          <w:trHeight w:val="460"/>
        </w:trPr>
        <w:tc>
          <w:tcPr>
            <w:tcW w:w="1789" w:type="dxa"/>
            <w:vMerge/>
            <w:tcBorders>
              <w:left w:val="nil"/>
              <w:bottom w:val="single" w:sz="4" w:space="0" w:color="auto"/>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proofErr w:type="gramStart"/>
            <w:r>
              <w:rPr>
                <w:rFonts w:ascii="Arial" w:hAnsi="Arial"/>
                <w:sz w:val="20"/>
              </w:rPr>
              <w:t>d</w:t>
            </w:r>
            <w:proofErr w:type="gramEnd"/>
            <w:r>
              <w:rPr>
                <w:rFonts w:ascii="Arial" w:hAnsi="Arial"/>
                <w:sz w:val="20"/>
              </w:rPr>
              <w:t>.</w:t>
            </w:r>
          </w:p>
          <w:p w:rsidR="00C57960" w:rsidRDefault="00C57960">
            <w:pPr>
              <w:rPr>
                <w:rFonts w:ascii="Arial" w:hAnsi="Arial"/>
                <w:sz w:val="20"/>
              </w:rPr>
            </w:pPr>
          </w:p>
        </w:tc>
        <w:tc>
          <w:tcPr>
            <w:tcW w:w="8642" w:type="dxa"/>
            <w:gridSpan w:val="13"/>
            <w:tcBorders>
              <w:top w:val="single" w:sz="4" w:space="0" w:color="auto"/>
              <w:left w:val="nil"/>
              <w:bottom w:val="single" w:sz="4"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 xml:space="preserve">If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sz w:val="20"/>
              </w:rPr>
              <w:t xml:space="preserve"> is isolated from a sexually active teen-ager / young adult, one identification test is acceptable.</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9371" w:type="dxa"/>
            <w:gridSpan w:val="14"/>
            <w:tcBorders>
              <w:top w:val="single" w:sz="4" w:space="0" w:color="auto"/>
              <w:left w:val="nil"/>
              <w:bottom w:val="single" w:sz="4" w:space="0" w:color="auto"/>
              <w:right w:val="nil"/>
            </w:tcBorders>
          </w:tcPr>
          <w:p w:rsidR="00C57960" w:rsidRDefault="00C57960">
            <w:pPr>
              <w:pStyle w:val="Header"/>
              <w:tabs>
                <w:tab w:val="clear" w:pos="4320"/>
                <w:tab w:val="clear" w:pos="8640"/>
              </w:tabs>
              <w:rPr>
                <w:rFonts w:ascii="Arial" w:hAnsi="Arial" w:cs="Arial"/>
                <w:b/>
                <w:bCs/>
                <w:sz w:val="20"/>
              </w:rPr>
            </w:pPr>
            <w:r>
              <w:rPr>
                <w:rFonts w:ascii="Arial" w:hAnsi="Arial" w:cs="Arial"/>
                <w:b/>
                <w:bCs/>
                <w:sz w:val="20"/>
              </w:rPr>
              <w:t xml:space="preserve">2.        ---NOT sexually active--- </w:t>
            </w:r>
            <w:proofErr w:type="spellStart"/>
            <w:r>
              <w:rPr>
                <w:rFonts w:ascii="Arial" w:hAnsi="Arial" w:cs="Arial"/>
                <w:b/>
                <w:bCs/>
                <w:sz w:val="20"/>
              </w:rPr>
              <w:t>Prepubertal</w:t>
            </w:r>
            <w:proofErr w:type="spellEnd"/>
            <w:r>
              <w:rPr>
                <w:rFonts w:ascii="Arial" w:hAnsi="Arial" w:cs="Arial"/>
                <w:b/>
                <w:bCs/>
                <w:sz w:val="20"/>
              </w:rPr>
              <w:t xml:space="preserve"> child (≤ 12 </w:t>
            </w:r>
            <w:proofErr w:type="spellStart"/>
            <w:r>
              <w:rPr>
                <w:rFonts w:ascii="Arial" w:hAnsi="Arial" w:cs="Arial"/>
                <w:b/>
                <w:bCs/>
                <w:sz w:val="20"/>
              </w:rPr>
              <w:t>y.o</w:t>
            </w:r>
            <w:proofErr w:type="spellEnd"/>
            <w:r>
              <w:rPr>
                <w:rFonts w:ascii="Arial" w:hAnsi="Arial" w:cs="Arial"/>
                <w:b/>
                <w:bCs/>
                <w:sz w:val="20"/>
              </w:rPr>
              <w:t xml:space="preserve">.).  </w:t>
            </w:r>
          </w:p>
          <w:p w:rsidR="00C57960" w:rsidRDefault="00C57960">
            <w:pPr>
              <w:pStyle w:val="Header"/>
              <w:tabs>
                <w:tab w:val="clear" w:pos="4320"/>
                <w:tab w:val="clear" w:pos="8640"/>
              </w:tabs>
              <w:rPr>
                <w:rFonts w:ascii="Arial" w:hAnsi="Arial" w:cs="Arial"/>
                <w:b/>
                <w:bCs/>
                <w:sz w:val="20"/>
              </w:rPr>
            </w:pPr>
            <w:r>
              <w:rPr>
                <w:rFonts w:ascii="Arial" w:hAnsi="Arial" w:cs="Arial"/>
                <w:b/>
                <w:bCs/>
                <w:sz w:val="20"/>
              </w:rPr>
              <w:t xml:space="preserve">            MCRC, </w:t>
            </w:r>
            <w:proofErr w:type="spellStart"/>
            <w:r>
              <w:rPr>
                <w:rFonts w:ascii="Arial" w:hAnsi="Arial" w:cs="Arial"/>
                <w:b/>
                <w:bCs/>
                <w:sz w:val="20"/>
              </w:rPr>
              <w:t>Cornerhouse</w:t>
            </w:r>
            <w:proofErr w:type="spellEnd"/>
            <w:r>
              <w:rPr>
                <w:rFonts w:ascii="Arial" w:hAnsi="Arial" w:cs="Arial"/>
                <w:b/>
                <w:bCs/>
                <w:sz w:val="20"/>
              </w:rPr>
              <w:t xml:space="preserve"> or sexual assault patient.</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a.</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cs="Arial"/>
                <w:b/>
                <w:sz w:val="20"/>
              </w:rPr>
              <w:t xml:space="preserve">Do not </w:t>
            </w:r>
            <w:r>
              <w:rPr>
                <w:rFonts w:ascii="Arial" w:hAnsi="Arial" w:cs="Arial"/>
                <w:sz w:val="20"/>
              </w:rPr>
              <w:t xml:space="preserve">use the code </w:t>
            </w:r>
            <w:r>
              <w:rPr>
                <w:rFonts w:ascii="Arial" w:hAnsi="Arial" w:cs="Arial"/>
                <w:b/>
                <w:bCs/>
                <w:sz w:val="20"/>
              </w:rPr>
              <w:t>PGC</w:t>
            </w:r>
            <w:r>
              <w:rPr>
                <w:rFonts w:ascii="Arial" w:hAnsi="Arial" w:cs="Arial"/>
                <w:b/>
                <w:sz w:val="20"/>
              </w:rPr>
              <w:t xml:space="preserve"> </w:t>
            </w:r>
            <w:r>
              <w:rPr>
                <w:rFonts w:ascii="Arial" w:hAnsi="Arial" w:cs="Arial"/>
                <w:bCs/>
                <w:sz w:val="20"/>
              </w:rPr>
              <w:t xml:space="preserve">for preliminary results before </w:t>
            </w:r>
            <w:r w:rsidR="001508FC">
              <w:rPr>
                <w:rFonts w:ascii="Arial" w:hAnsi="Arial" w:cs="Arial"/>
                <w:bCs/>
                <w:sz w:val="20"/>
              </w:rPr>
              <w:t xml:space="preserve">MALDI or </w:t>
            </w:r>
            <w:r>
              <w:rPr>
                <w:rFonts w:ascii="Arial" w:hAnsi="Arial" w:cs="Arial"/>
                <w:sz w:val="20"/>
              </w:rPr>
              <w:t xml:space="preserve">Vitek® NH </w:t>
            </w:r>
            <w:proofErr w:type="gramStart"/>
            <w:r>
              <w:rPr>
                <w:rFonts w:ascii="Arial" w:hAnsi="Arial" w:cs="Arial"/>
                <w:sz w:val="20"/>
              </w:rPr>
              <w:t>card  is</w:t>
            </w:r>
            <w:proofErr w:type="gramEnd"/>
            <w:r>
              <w:rPr>
                <w:rFonts w:ascii="Arial" w:hAnsi="Arial" w:cs="Arial"/>
                <w:sz w:val="20"/>
              </w:rPr>
              <w:t xml:space="preserve"> done, if the culture is from MCRC, </w:t>
            </w:r>
            <w:proofErr w:type="spellStart"/>
            <w:r>
              <w:rPr>
                <w:rFonts w:ascii="Arial" w:hAnsi="Arial" w:cs="Arial"/>
                <w:sz w:val="20"/>
              </w:rPr>
              <w:t>Cornerhouse</w:t>
            </w:r>
            <w:proofErr w:type="spellEnd"/>
            <w:r>
              <w:rPr>
                <w:rFonts w:ascii="Arial" w:hAnsi="Arial" w:cs="Arial"/>
                <w:sz w:val="20"/>
              </w:rPr>
              <w:t xml:space="preserve"> , sexual assault or </w:t>
            </w:r>
            <w:proofErr w:type="spellStart"/>
            <w:r>
              <w:rPr>
                <w:rFonts w:ascii="Arial" w:hAnsi="Arial" w:cs="Arial"/>
                <w:sz w:val="20"/>
              </w:rPr>
              <w:t>prepubertal</w:t>
            </w:r>
            <w:proofErr w:type="spellEnd"/>
            <w:r>
              <w:rPr>
                <w:rFonts w:ascii="Arial" w:hAnsi="Arial" w:cs="Arial"/>
                <w:sz w:val="20"/>
              </w:rPr>
              <w:t xml:space="preserve"> child (≤ 12 </w:t>
            </w:r>
            <w:proofErr w:type="spellStart"/>
            <w:r>
              <w:rPr>
                <w:rFonts w:ascii="Arial" w:hAnsi="Arial" w:cs="Arial"/>
                <w:sz w:val="20"/>
              </w:rPr>
              <w:t>y.o</w:t>
            </w:r>
            <w:proofErr w:type="spellEnd"/>
            <w:r>
              <w:rPr>
                <w:rFonts w:ascii="Arial" w:hAnsi="Arial" w:cs="Arial"/>
                <w:sz w:val="20"/>
              </w:rPr>
              <w:t>.). Report as “</w:t>
            </w:r>
            <w:r>
              <w:rPr>
                <w:rFonts w:ascii="Arial" w:hAnsi="Arial" w:cs="Arial"/>
                <w:iCs/>
                <w:sz w:val="20"/>
              </w:rPr>
              <w:t>Gram</w:t>
            </w:r>
            <w:r>
              <w:rPr>
                <w:rFonts w:ascii="Arial" w:hAnsi="Arial" w:cs="Arial"/>
                <w:i/>
                <w:sz w:val="20"/>
              </w:rPr>
              <w:t xml:space="preserve"> </w:t>
            </w:r>
            <w:r>
              <w:rPr>
                <w:rFonts w:ascii="Arial" w:hAnsi="Arial" w:cs="Arial"/>
                <w:iCs/>
                <w:sz w:val="20"/>
              </w:rPr>
              <w:t xml:space="preserve">negative </w:t>
            </w:r>
            <w:proofErr w:type="spellStart"/>
            <w:r>
              <w:rPr>
                <w:rFonts w:ascii="Arial" w:hAnsi="Arial" w:cs="Arial"/>
                <w:iCs/>
                <w:sz w:val="20"/>
              </w:rPr>
              <w:t>cocci</w:t>
            </w:r>
            <w:proofErr w:type="spellEnd"/>
            <w:r>
              <w:rPr>
                <w:rFonts w:ascii="Arial" w:hAnsi="Arial" w:cs="Arial"/>
                <w:iCs/>
                <w:sz w:val="20"/>
              </w:rPr>
              <w:t>,</w:t>
            </w:r>
            <w:r>
              <w:rPr>
                <w:rFonts w:ascii="Arial" w:hAnsi="Arial" w:cs="Arial"/>
                <w:sz w:val="20"/>
              </w:rPr>
              <w:t xml:space="preserve"> further identification to follow”, MO codes: </w:t>
            </w:r>
            <w:r>
              <w:rPr>
                <w:rFonts w:ascii="Arial" w:hAnsi="Arial" w:cs="Arial"/>
                <w:b/>
                <w:sz w:val="20"/>
              </w:rPr>
              <w:t>GNC-FID</w:t>
            </w:r>
            <w:r>
              <w:rPr>
                <w:rFonts w:ascii="Arial" w:hAnsi="Arial" w:cs="Arial"/>
                <w:sz w:val="20"/>
              </w:rPr>
              <w:t>.</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b.</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b/>
                <w:sz w:val="20"/>
              </w:rPr>
            </w:pPr>
            <w:r>
              <w:rPr>
                <w:rFonts w:ascii="Arial" w:hAnsi="Arial" w:cs="Arial"/>
                <w:sz w:val="20"/>
              </w:rPr>
              <w:t xml:space="preserve">Notify RN, CNP or physician of presumptive positive culture results (GNC-FID) by phone.  Document in culture work-up, first name, and first initial of last name, credentials, date and time.  </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c.</w:t>
            </w:r>
          </w:p>
        </w:tc>
        <w:tc>
          <w:tcPr>
            <w:tcW w:w="8642" w:type="dxa"/>
            <w:gridSpan w:val="13"/>
            <w:tcBorders>
              <w:top w:val="single" w:sz="4" w:space="0" w:color="auto"/>
              <w:left w:val="nil"/>
              <w:bottom w:val="single" w:sz="4" w:space="0" w:color="auto"/>
              <w:right w:val="nil"/>
            </w:tcBorders>
          </w:tcPr>
          <w:p w:rsidR="00C57960" w:rsidRDefault="00C57960">
            <w:pPr>
              <w:pStyle w:val="Header"/>
              <w:tabs>
                <w:tab w:val="clear" w:pos="4320"/>
                <w:tab w:val="clear" w:pos="8640"/>
              </w:tabs>
              <w:rPr>
                <w:rFonts w:ascii="Arial" w:hAnsi="Arial" w:cs="Arial"/>
                <w:b/>
                <w:bCs/>
                <w:sz w:val="20"/>
              </w:rPr>
            </w:pPr>
            <w:r>
              <w:rPr>
                <w:rFonts w:ascii="Arial" w:hAnsi="Arial" w:cs="Arial"/>
                <w:sz w:val="20"/>
              </w:rPr>
              <w:t xml:space="preserve">If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sz w:val="20"/>
              </w:rPr>
              <w:t xml:space="preserve"> is isolated from a </w:t>
            </w:r>
            <w:proofErr w:type="spellStart"/>
            <w:r>
              <w:rPr>
                <w:rFonts w:ascii="Arial" w:hAnsi="Arial" w:cs="Arial"/>
                <w:sz w:val="20"/>
              </w:rPr>
              <w:t>prepubertal</w:t>
            </w:r>
            <w:proofErr w:type="spellEnd"/>
            <w:r>
              <w:rPr>
                <w:rFonts w:ascii="Arial" w:hAnsi="Arial" w:cs="Arial"/>
                <w:sz w:val="20"/>
              </w:rPr>
              <w:t xml:space="preserve"> child (≤ 12 </w:t>
            </w:r>
            <w:proofErr w:type="spellStart"/>
            <w:r>
              <w:rPr>
                <w:rFonts w:ascii="Arial" w:hAnsi="Arial" w:cs="Arial"/>
                <w:sz w:val="20"/>
              </w:rPr>
              <w:t>y.o</w:t>
            </w:r>
            <w:proofErr w:type="spellEnd"/>
            <w:r>
              <w:rPr>
                <w:rFonts w:ascii="Arial" w:hAnsi="Arial" w:cs="Arial"/>
                <w:sz w:val="20"/>
              </w:rPr>
              <w:t xml:space="preserve">.) or is from a sexual assault, </w:t>
            </w:r>
            <w:r>
              <w:rPr>
                <w:rFonts w:ascii="Arial" w:hAnsi="Arial" w:cs="Arial"/>
                <w:b/>
                <w:bCs/>
                <w:sz w:val="20"/>
              </w:rPr>
              <w:t xml:space="preserve">two different tests must be used for identification. </w:t>
            </w:r>
          </w:p>
          <w:p w:rsidR="00C57960" w:rsidRDefault="00C57960">
            <w:pPr>
              <w:pStyle w:val="Header"/>
              <w:tabs>
                <w:tab w:val="clear" w:pos="4320"/>
                <w:tab w:val="clear" w:pos="8640"/>
              </w:tabs>
              <w:rPr>
                <w:rFonts w:ascii="Arial" w:hAnsi="Arial" w:cs="Arial"/>
                <w:sz w:val="20"/>
              </w:rPr>
            </w:pPr>
            <w:r>
              <w:rPr>
                <w:rFonts w:ascii="Arial" w:hAnsi="Arial" w:cs="Arial"/>
                <w:sz w:val="20"/>
              </w:rPr>
              <w:t xml:space="preserve">---Vitek® NH card </w:t>
            </w:r>
            <w:r w:rsidR="0063542D">
              <w:rPr>
                <w:rFonts w:ascii="Arial" w:hAnsi="Arial" w:cs="Arial"/>
                <w:sz w:val="20"/>
              </w:rPr>
              <w:t>or MALDI</w:t>
            </w:r>
          </w:p>
          <w:p w:rsidR="00C57960" w:rsidRDefault="00C57960">
            <w:pPr>
              <w:pStyle w:val="Header"/>
              <w:tabs>
                <w:tab w:val="clear" w:pos="4320"/>
                <w:tab w:val="clear" w:pos="8640"/>
              </w:tabs>
              <w:rPr>
                <w:rFonts w:ascii="Arial" w:hAnsi="Arial" w:cs="Arial"/>
                <w:b/>
                <w:sz w:val="20"/>
              </w:rPr>
            </w:pPr>
            <w:r>
              <w:rPr>
                <w:rFonts w:ascii="Arial" w:hAnsi="Arial" w:cs="Arial"/>
                <w:sz w:val="20"/>
              </w:rPr>
              <w:t>---Send isolate to MDH for confirmation if Vitek® NH card</w:t>
            </w:r>
            <w:r w:rsidR="001508FC">
              <w:rPr>
                <w:rFonts w:ascii="Arial" w:hAnsi="Arial" w:cs="Arial"/>
                <w:sz w:val="20"/>
              </w:rPr>
              <w:t xml:space="preserve"> or</w:t>
            </w:r>
            <w:r w:rsidR="0063542D">
              <w:rPr>
                <w:rFonts w:ascii="Arial" w:hAnsi="Arial" w:cs="Arial"/>
                <w:sz w:val="20"/>
              </w:rPr>
              <w:t xml:space="preserve"> MALDI</w:t>
            </w:r>
            <w:r>
              <w:rPr>
                <w:rFonts w:ascii="Arial" w:hAnsi="Arial" w:cs="Arial"/>
                <w:sz w:val="20"/>
              </w:rPr>
              <w:t xml:space="preserve"> = GC.</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d.</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bCs/>
                <w:sz w:val="20"/>
              </w:rPr>
            </w:pPr>
            <w:r>
              <w:rPr>
                <w:rFonts w:ascii="Arial" w:hAnsi="Arial" w:cs="Arial"/>
                <w:sz w:val="20"/>
              </w:rPr>
              <w:t xml:space="preserve">If </w:t>
            </w:r>
            <w:r w:rsidR="001508FC">
              <w:rPr>
                <w:rFonts w:ascii="Arial" w:hAnsi="Arial" w:cs="Arial"/>
                <w:sz w:val="20"/>
              </w:rPr>
              <w:t xml:space="preserve">MALDI or </w:t>
            </w:r>
            <w:r>
              <w:rPr>
                <w:rFonts w:ascii="Arial" w:hAnsi="Arial" w:cs="Arial"/>
                <w:sz w:val="20"/>
              </w:rPr>
              <w:t xml:space="preserve">Vitek® NH card = GC:  report “Presumptive </w:t>
            </w:r>
            <w:proofErr w:type="spellStart"/>
            <w:r>
              <w:rPr>
                <w:rFonts w:ascii="Arial" w:hAnsi="Arial" w:cs="Arial"/>
                <w:i/>
                <w:sz w:val="20"/>
              </w:rPr>
              <w:t>Neisseria</w:t>
            </w:r>
            <w:proofErr w:type="spellEnd"/>
            <w:r>
              <w:rPr>
                <w:rFonts w:ascii="Arial" w:hAnsi="Arial" w:cs="Arial"/>
                <w:i/>
                <w:sz w:val="20"/>
              </w:rPr>
              <w:t xml:space="preserve"> </w:t>
            </w:r>
            <w:proofErr w:type="spellStart"/>
            <w:r>
              <w:rPr>
                <w:rFonts w:ascii="Arial" w:hAnsi="Arial" w:cs="Arial"/>
                <w:i/>
                <w:sz w:val="20"/>
              </w:rPr>
              <w:t>gonorrhoeae</w:t>
            </w:r>
            <w:proofErr w:type="spellEnd"/>
            <w:r>
              <w:rPr>
                <w:rFonts w:ascii="Arial" w:hAnsi="Arial" w:cs="Arial"/>
                <w:sz w:val="20"/>
              </w:rPr>
              <w:t xml:space="preserve"> isolated</w:t>
            </w:r>
            <w:proofErr w:type="gramStart"/>
            <w:r>
              <w:rPr>
                <w:rFonts w:ascii="Arial" w:hAnsi="Arial" w:cs="Arial"/>
                <w:sz w:val="20"/>
              </w:rPr>
              <w:t>,.</w:t>
            </w:r>
            <w:proofErr w:type="gramEnd"/>
            <w:r>
              <w:rPr>
                <w:rFonts w:ascii="Arial" w:hAnsi="Arial" w:cs="Arial"/>
                <w:sz w:val="20"/>
              </w:rPr>
              <w:t xml:space="preserve"> Sent to MDH for confirmation: MO codes – </w:t>
            </w:r>
            <w:r>
              <w:rPr>
                <w:rFonts w:ascii="Arial" w:hAnsi="Arial" w:cs="Arial"/>
                <w:b/>
                <w:sz w:val="20"/>
              </w:rPr>
              <w:t>PGC-MDHC.</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e.</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Notify RN, CNP or physician of presumptive GC results (</w:t>
            </w:r>
            <w:r>
              <w:rPr>
                <w:rFonts w:ascii="Arial" w:hAnsi="Arial" w:cs="Arial"/>
                <w:b/>
                <w:bCs/>
                <w:sz w:val="20"/>
              </w:rPr>
              <w:t>PGC-MDHC</w:t>
            </w:r>
            <w:r>
              <w:rPr>
                <w:rFonts w:ascii="Arial" w:hAnsi="Arial" w:cs="Arial"/>
                <w:sz w:val="20"/>
              </w:rPr>
              <w:t xml:space="preserve">) by phone.  Document in </w:t>
            </w:r>
            <w:proofErr w:type="spellStart"/>
            <w:r>
              <w:rPr>
                <w:rFonts w:ascii="Arial" w:hAnsi="Arial" w:cs="Arial"/>
                <w:sz w:val="20"/>
              </w:rPr>
              <w:t>Sunquest</w:t>
            </w:r>
            <w:proofErr w:type="spellEnd"/>
            <w:r>
              <w:rPr>
                <w:rFonts w:ascii="Arial" w:hAnsi="Arial" w:cs="Arial"/>
                <w:sz w:val="20"/>
              </w:rPr>
              <w:t xml:space="preserve"> Culture Results, first name, first initial of last name, credentials, date and time.  </w:t>
            </w:r>
          </w:p>
        </w:tc>
      </w:tr>
      <w:tr w:rsidR="00C57960">
        <w:trPr>
          <w:gridAfter w:val="2"/>
          <w:wAfter w:w="5400" w:type="dxa"/>
          <w:cantSplit/>
        </w:trPr>
        <w:tc>
          <w:tcPr>
            <w:tcW w:w="1789" w:type="dxa"/>
            <w:vMerge/>
            <w:tcBorders>
              <w:left w:val="nil"/>
              <w:right w:val="nil"/>
            </w:tcBorders>
          </w:tcPr>
          <w:p w:rsidR="00C57960" w:rsidRDefault="00C57960">
            <w:pPr>
              <w:rPr>
                <w:rFonts w:ascii="Arial" w:hAnsi="Arial"/>
                <w:b/>
                <w:color w:val="0000FF"/>
                <w:sz w:val="20"/>
              </w:rPr>
            </w:pPr>
          </w:p>
        </w:tc>
        <w:tc>
          <w:tcPr>
            <w:tcW w:w="9371" w:type="dxa"/>
            <w:gridSpan w:val="14"/>
            <w:tcBorders>
              <w:top w:val="single" w:sz="4" w:space="0" w:color="auto"/>
              <w:left w:val="nil"/>
              <w:bottom w:val="single" w:sz="4" w:space="0" w:color="auto"/>
              <w:right w:val="nil"/>
            </w:tcBorders>
          </w:tcPr>
          <w:p w:rsidR="00C57960" w:rsidRDefault="00C57960">
            <w:pPr>
              <w:pStyle w:val="Header"/>
              <w:tabs>
                <w:tab w:val="clear" w:pos="4320"/>
                <w:tab w:val="clear" w:pos="8640"/>
              </w:tabs>
              <w:rPr>
                <w:rFonts w:ascii="Arial" w:hAnsi="Arial" w:cs="Arial"/>
                <w:b/>
                <w:bCs/>
                <w:sz w:val="20"/>
              </w:rPr>
            </w:pPr>
            <w:r>
              <w:rPr>
                <w:rFonts w:ascii="Arial" w:hAnsi="Arial" w:cs="Arial"/>
                <w:b/>
                <w:bCs/>
                <w:sz w:val="20"/>
              </w:rPr>
              <w:t>3.        Other sites</w:t>
            </w:r>
          </w:p>
        </w:tc>
      </w:tr>
      <w:tr w:rsidR="00C57960">
        <w:trPr>
          <w:gridAfter w:val="2"/>
          <w:wAfter w:w="5400" w:type="dxa"/>
          <w:cantSplit/>
        </w:trPr>
        <w:tc>
          <w:tcPr>
            <w:tcW w:w="1789" w:type="dxa"/>
            <w:vMerge/>
            <w:tcBorders>
              <w:left w:val="nil"/>
              <w:bottom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a.</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b/>
                <w:sz w:val="20"/>
              </w:rPr>
            </w:pPr>
            <w:r>
              <w:rPr>
                <w:rFonts w:ascii="Arial" w:hAnsi="Arial" w:cs="Arial"/>
                <w:sz w:val="20"/>
              </w:rPr>
              <w:t xml:space="preserve">Specimens from other sites such as throat have a higher probability of isolation of </w:t>
            </w:r>
            <w:r>
              <w:rPr>
                <w:rFonts w:ascii="Arial" w:hAnsi="Arial" w:cs="Arial"/>
                <w:i/>
                <w:sz w:val="20"/>
              </w:rPr>
              <w:t>N. meningitides</w:t>
            </w:r>
            <w:r>
              <w:rPr>
                <w:rFonts w:ascii="Arial" w:hAnsi="Arial" w:cs="Arial"/>
                <w:sz w:val="20"/>
              </w:rPr>
              <w:t xml:space="preserve">, </w:t>
            </w:r>
            <w:r>
              <w:rPr>
                <w:rFonts w:ascii="Arial" w:hAnsi="Arial" w:cs="Arial"/>
                <w:i/>
                <w:sz w:val="20"/>
              </w:rPr>
              <w:t xml:space="preserve">N. </w:t>
            </w:r>
            <w:proofErr w:type="spellStart"/>
            <w:r>
              <w:rPr>
                <w:rFonts w:ascii="Arial" w:hAnsi="Arial" w:cs="Arial"/>
                <w:i/>
                <w:sz w:val="20"/>
              </w:rPr>
              <w:t>cinerea</w:t>
            </w:r>
            <w:proofErr w:type="spellEnd"/>
            <w:r>
              <w:rPr>
                <w:rFonts w:ascii="Arial" w:hAnsi="Arial" w:cs="Arial"/>
                <w:i/>
                <w:sz w:val="20"/>
              </w:rPr>
              <w:t xml:space="preserve">, </w:t>
            </w:r>
            <w:r>
              <w:rPr>
                <w:rFonts w:ascii="Arial" w:hAnsi="Arial" w:cs="Arial"/>
                <w:sz w:val="20"/>
              </w:rPr>
              <w:t xml:space="preserve">and </w:t>
            </w:r>
            <w:proofErr w:type="spellStart"/>
            <w:r>
              <w:rPr>
                <w:rFonts w:ascii="Arial" w:hAnsi="Arial" w:cs="Arial"/>
                <w:i/>
                <w:sz w:val="20"/>
              </w:rPr>
              <w:t>Moraxella</w:t>
            </w:r>
            <w:proofErr w:type="spellEnd"/>
            <w:r>
              <w:rPr>
                <w:rFonts w:ascii="Arial" w:hAnsi="Arial" w:cs="Arial"/>
                <w:i/>
                <w:sz w:val="20"/>
              </w:rPr>
              <w:t xml:space="preserve"> </w:t>
            </w:r>
            <w:proofErr w:type="spellStart"/>
            <w:r>
              <w:rPr>
                <w:rFonts w:ascii="Arial" w:hAnsi="Arial" w:cs="Arial"/>
                <w:i/>
                <w:sz w:val="20"/>
              </w:rPr>
              <w:t>catarrhalis</w:t>
            </w:r>
            <w:proofErr w:type="spellEnd"/>
            <w:r>
              <w:rPr>
                <w:rFonts w:ascii="Arial" w:hAnsi="Arial" w:cs="Arial"/>
                <w:iCs/>
                <w:sz w:val="20"/>
              </w:rPr>
              <w:t xml:space="preserve"> </w:t>
            </w:r>
            <w:r>
              <w:rPr>
                <w:rFonts w:ascii="Arial" w:hAnsi="Arial" w:cs="Arial"/>
                <w:sz w:val="20"/>
              </w:rPr>
              <w:t>and should be reported as “</w:t>
            </w:r>
            <w:r>
              <w:rPr>
                <w:rFonts w:ascii="Arial" w:hAnsi="Arial" w:cs="Arial"/>
                <w:iCs/>
                <w:sz w:val="20"/>
              </w:rPr>
              <w:t>Culture in progress</w:t>
            </w:r>
            <w:proofErr w:type="gramStart"/>
            <w:r>
              <w:rPr>
                <w:rFonts w:ascii="Arial" w:hAnsi="Arial" w:cs="Arial"/>
                <w:iCs/>
                <w:sz w:val="20"/>
              </w:rPr>
              <w:t>” ,</w:t>
            </w:r>
            <w:proofErr w:type="gramEnd"/>
            <w:r>
              <w:rPr>
                <w:rFonts w:ascii="Arial" w:hAnsi="Arial" w:cs="Arial"/>
                <w:iCs/>
                <w:sz w:val="20"/>
              </w:rPr>
              <w:t xml:space="preserve"> </w:t>
            </w:r>
            <w:r>
              <w:rPr>
                <w:rFonts w:ascii="Arial" w:hAnsi="Arial" w:cs="Arial"/>
                <w:sz w:val="20"/>
              </w:rPr>
              <w:t xml:space="preserve">MO codes: </w:t>
            </w:r>
            <w:r>
              <w:rPr>
                <w:rFonts w:ascii="Arial" w:hAnsi="Arial" w:cs="Arial"/>
                <w:b/>
                <w:sz w:val="20"/>
              </w:rPr>
              <w:t>CIP</w:t>
            </w:r>
            <w:r>
              <w:rPr>
                <w:rFonts w:ascii="Arial" w:hAnsi="Arial" w:cs="Arial"/>
                <w:sz w:val="20"/>
              </w:rPr>
              <w:t>.</w:t>
            </w:r>
          </w:p>
        </w:tc>
      </w:tr>
      <w:tr w:rsidR="00C57960">
        <w:trPr>
          <w:gridAfter w:val="2"/>
          <w:wAfter w:w="5400" w:type="dxa"/>
          <w:cantSplit/>
        </w:trPr>
        <w:tc>
          <w:tcPr>
            <w:tcW w:w="1789" w:type="dxa"/>
            <w:vMerge w:val="restart"/>
            <w:tcBorders>
              <w:top w:val="nil"/>
              <w:left w:val="nil"/>
              <w:bottom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b.</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 xml:space="preserve">Perform </w:t>
            </w:r>
            <w:r w:rsidR="001508FC">
              <w:rPr>
                <w:rFonts w:ascii="Arial" w:hAnsi="Arial" w:cs="Arial"/>
                <w:sz w:val="20"/>
              </w:rPr>
              <w:t xml:space="preserve">MALDI or </w:t>
            </w:r>
            <w:r>
              <w:rPr>
                <w:rFonts w:ascii="Arial" w:hAnsi="Arial" w:cs="Arial"/>
                <w:sz w:val="20"/>
              </w:rPr>
              <w:t>Vitek® NH card to identify.</w:t>
            </w:r>
          </w:p>
        </w:tc>
      </w:tr>
      <w:tr w:rsidR="00C57960">
        <w:trPr>
          <w:gridAfter w:val="2"/>
          <w:wAfter w:w="5400" w:type="dxa"/>
          <w:cantSplit/>
        </w:trPr>
        <w:tc>
          <w:tcPr>
            <w:tcW w:w="1789" w:type="dxa"/>
            <w:vMerge/>
            <w:tcBorders>
              <w:top w:val="nil"/>
              <w:left w:val="nil"/>
              <w:bottom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c.</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 xml:space="preserve">If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sz w:val="20"/>
              </w:rPr>
              <w:t xml:space="preserve"> is isolated from a sexually active teen-ager / young adult, one identification test is acceptable</w:t>
            </w:r>
          </w:p>
        </w:tc>
      </w:tr>
      <w:tr w:rsidR="00C57960">
        <w:trPr>
          <w:gridAfter w:val="2"/>
          <w:wAfter w:w="5400" w:type="dxa"/>
          <w:cantSplit/>
        </w:trPr>
        <w:tc>
          <w:tcPr>
            <w:tcW w:w="1789" w:type="dxa"/>
            <w:vMerge/>
            <w:tcBorders>
              <w:top w:val="nil"/>
              <w:left w:val="nil"/>
              <w:bottom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d.</w:t>
            </w:r>
          </w:p>
        </w:tc>
        <w:tc>
          <w:tcPr>
            <w:tcW w:w="8642" w:type="dxa"/>
            <w:gridSpan w:val="13"/>
            <w:tcBorders>
              <w:top w:val="single" w:sz="4" w:space="0" w:color="auto"/>
              <w:left w:val="nil"/>
              <w:bottom w:val="single" w:sz="4" w:space="0" w:color="auto"/>
              <w:right w:val="nil"/>
            </w:tcBorders>
          </w:tcPr>
          <w:p w:rsidR="00C57960" w:rsidRDefault="00C57960">
            <w:pPr>
              <w:pStyle w:val="Header"/>
              <w:tabs>
                <w:tab w:val="clear" w:pos="4320"/>
                <w:tab w:val="clear" w:pos="8640"/>
              </w:tabs>
              <w:rPr>
                <w:rFonts w:ascii="Arial" w:hAnsi="Arial" w:cs="Arial"/>
                <w:b/>
                <w:bCs/>
                <w:sz w:val="20"/>
              </w:rPr>
            </w:pPr>
            <w:r>
              <w:rPr>
                <w:rFonts w:ascii="Arial" w:hAnsi="Arial" w:cs="Arial"/>
                <w:sz w:val="20"/>
              </w:rPr>
              <w:t xml:space="preserve">If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sz w:val="20"/>
              </w:rPr>
              <w:t xml:space="preserve"> is isolated from a </w:t>
            </w:r>
            <w:proofErr w:type="spellStart"/>
            <w:r>
              <w:rPr>
                <w:rFonts w:ascii="Arial" w:hAnsi="Arial" w:cs="Arial"/>
                <w:sz w:val="20"/>
              </w:rPr>
              <w:t>prepubertal</w:t>
            </w:r>
            <w:proofErr w:type="spellEnd"/>
            <w:r>
              <w:rPr>
                <w:rFonts w:ascii="Arial" w:hAnsi="Arial" w:cs="Arial"/>
                <w:sz w:val="20"/>
              </w:rPr>
              <w:t xml:space="preserve"> child (≤ 12 </w:t>
            </w:r>
            <w:proofErr w:type="spellStart"/>
            <w:r>
              <w:rPr>
                <w:rFonts w:ascii="Arial" w:hAnsi="Arial" w:cs="Arial"/>
                <w:sz w:val="20"/>
              </w:rPr>
              <w:t>y.o</w:t>
            </w:r>
            <w:proofErr w:type="spellEnd"/>
            <w:r>
              <w:rPr>
                <w:rFonts w:ascii="Arial" w:hAnsi="Arial" w:cs="Arial"/>
                <w:sz w:val="20"/>
              </w:rPr>
              <w:t xml:space="preserve">.) or is from a sexual assault, </w:t>
            </w:r>
            <w:r>
              <w:rPr>
                <w:rFonts w:ascii="Arial" w:hAnsi="Arial" w:cs="Arial"/>
                <w:b/>
                <w:bCs/>
                <w:sz w:val="20"/>
              </w:rPr>
              <w:t xml:space="preserve">two different tests must be used for identification. </w:t>
            </w:r>
          </w:p>
          <w:p w:rsidR="00C57960" w:rsidRDefault="00C57960">
            <w:pPr>
              <w:pStyle w:val="Header"/>
              <w:tabs>
                <w:tab w:val="clear" w:pos="4320"/>
                <w:tab w:val="clear" w:pos="8640"/>
              </w:tabs>
              <w:rPr>
                <w:rFonts w:ascii="Arial" w:hAnsi="Arial" w:cs="Arial"/>
                <w:sz w:val="20"/>
              </w:rPr>
            </w:pPr>
            <w:r>
              <w:rPr>
                <w:rFonts w:ascii="Arial" w:hAnsi="Arial" w:cs="Arial"/>
                <w:sz w:val="20"/>
              </w:rPr>
              <w:t>---</w:t>
            </w:r>
            <w:r w:rsidR="001508FC">
              <w:rPr>
                <w:rFonts w:ascii="Arial" w:hAnsi="Arial" w:cs="Arial"/>
                <w:sz w:val="20"/>
              </w:rPr>
              <w:t xml:space="preserve">MALDI or </w:t>
            </w:r>
            <w:r>
              <w:rPr>
                <w:rFonts w:ascii="Arial" w:hAnsi="Arial" w:cs="Arial"/>
                <w:sz w:val="20"/>
              </w:rPr>
              <w:t xml:space="preserve">Vitek® NH card </w:t>
            </w:r>
          </w:p>
          <w:p w:rsidR="00C57960" w:rsidRDefault="00C57960">
            <w:pPr>
              <w:rPr>
                <w:rFonts w:ascii="Arial" w:hAnsi="Arial" w:cs="Arial"/>
                <w:sz w:val="20"/>
              </w:rPr>
            </w:pPr>
            <w:r>
              <w:rPr>
                <w:rFonts w:ascii="Arial" w:hAnsi="Arial" w:cs="Arial"/>
                <w:sz w:val="20"/>
              </w:rPr>
              <w:t xml:space="preserve">---Send isolate to MDH for confirmation if </w:t>
            </w:r>
            <w:r w:rsidR="001508FC">
              <w:rPr>
                <w:rFonts w:ascii="Arial" w:hAnsi="Arial" w:cs="Arial"/>
                <w:sz w:val="20"/>
              </w:rPr>
              <w:t xml:space="preserve">MALDI or </w:t>
            </w:r>
            <w:r>
              <w:rPr>
                <w:rFonts w:ascii="Arial" w:hAnsi="Arial" w:cs="Arial"/>
                <w:sz w:val="20"/>
              </w:rPr>
              <w:t>Vitek® NH card = GC.</w:t>
            </w:r>
          </w:p>
        </w:tc>
      </w:tr>
      <w:tr w:rsidR="00C57960">
        <w:trPr>
          <w:gridAfter w:val="2"/>
          <w:wAfter w:w="5400" w:type="dxa"/>
          <w:cantSplit/>
        </w:trPr>
        <w:tc>
          <w:tcPr>
            <w:tcW w:w="1789" w:type="dxa"/>
            <w:vMerge/>
            <w:tcBorders>
              <w:top w:val="nil"/>
              <w:left w:val="nil"/>
              <w:bottom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sz w:val="20"/>
              </w:rPr>
            </w:pPr>
            <w:r>
              <w:rPr>
                <w:rFonts w:ascii="Arial" w:hAnsi="Arial"/>
                <w:sz w:val="20"/>
              </w:rPr>
              <w:t>e.</w:t>
            </w:r>
          </w:p>
        </w:tc>
        <w:tc>
          <w:tcPr>
            <w:tcW w:w="8642" w:type="dxa"/>
            <w:gridSpan w:val="13"/>
            <w:tcBorders>
              <w:top w:val="single" w:sz="4" w:space="0" w:color="auto"/>
              <w:left w:val="nil"/>
              <w:bottom w:val="single" w:sz="4"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See reporting guidelines above 1a and b., 2a, b and d, e., depending on the patient age, and/or clinic for reporting preliminary results.</w:t>
            </w:r>
          </w:p>
        </w:tc>
      </w:tr>
      <w:tr w:rsidR="00C57960">
        <w:trPr>
          <w:gridAfter w:val="2"/>
          <w:wAfter w:w="5400" w:type="dxa"/>
          <w:cantSplit/>
        </w:trPr>
        <w:tc>
          <w:tcPr>
            <w:tcW w:w="1789" w:type="dxa"/>
            <w:vMerge/>
            <w:tcBorders>
              <w:top w:val="nil"/>
              <w:left w:val="nil"/>
              <w:bottom w:val="nil"/>
              <w:right w:val="nil"/>
            </w:tcBorders>
          </w:tcPr>
          <w:p w:rsidR="00C57960" w:rsidRDefault="00C57960">
            <w:pPr>
              <w:rPr>
                <w:rFonts w:ascii="Arial" w:hAnsi="Arial"/>
                <w:b/>
                <w:color w:val="0000FF"/>
                <w:sz w:val="20"/>
              </w:rPr>
            </w:pPr>
          </w:p>
        </w:tc>
        <w:tc>
          <w:tcPr>
            <w:tcW w:w="9371" w:type="dxa"/>
            <w:gridSpan w:val="14"/>
            <w:tcBorders>
              <w:top w:val="single" w:sz="4" w:space="0" w:color="auto"/>
              <w:left w:val="nil"/>
              <w:bottom w:val="single" w:sz="4" w:space="0" w:color="auto"/>
              <w:right w:val="nil"/>
            </w:tcBorders>
          </w:tcPr>
          <w:p w:rsidR="00C57960" w:rsidRDefault="00C57960">
            <w:pPr>
              <w:rPr>
                <w:rFonts w:ascii="Arial" w:hAnsi="Arial" w:cs="Arial"/>
                <w:b/>
                <w:bCs/>
                <w:sz w:val="20"/>
              </w:rPr>
            </w:pPr>
            <w:r>
              <w:rPr>
                <w:rFonts w:ascii="Arial" w:hAnsi="Arial" w:cs="Arial"/>
                <w:b/>
                <w:bCs/>
                <w:sz w:val="20"/>
              </w:rPr>
              <w:t>Positive Cultures</w:t>
            </w:r>
          </w:p>
        </w:tc>
      </w:tr>
      <w:tr w:rsidR="00C57960">
        <w:trPr>
          <w:gridAfter w:val="2"/>
          <w:wAfter w:w="5400" w:type="dxa"/>
          <w:cantSplit/>
        </w:trPr>
        <w:tc>
          <w:tcPr>
            <w:tcW w:w="1789" w:type="dxa"/>
            <w:vMerge/>
            <w:tcBorders>
              <w:top w:val="nil"/>
              <w:left w:val="nil"/>
              <w:bottom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1.</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 xml:space="preserve">Positive cultures for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sz w:val="20"/>
              </w:rPr>
              <w:t xml:space="preserve">:   </w:t>
            </w:r>
          </w:p>
          <w:p w:rsidR="00C57960" w:rsidRDefault="00C57960">
            <w:pPr>
              <w:ind w:left="1440"/>
              <w:rPr>
                <w:rFonts w:ascii="Arial" w:hAnsi="Arial"/>
                <w:sz w:val="16"/>
              </w:rPr>
            </w:pPr>
            <w:r>
              <w:rPr>
                <w:rFonts w:ascii="Arial" w:hAnsi="Arial"/>
                <w:sz w:val="16"/>
              </w:rPr>
              <w:t xml:space="preserve">Observations:   1.  3+ NEISSERIA GONORRHOEAE             </w:t>
            </w:r>
            <w:r>
              <w:rPr>
                <w:rFonts w:ascii="Arial" w:hAnsi="Arial"/>
                <w:sz w:val="18"/>
              </w:rPr>
              <w:t xml:space="preserve">MO code – </w:t>
            </w:r>
            <w:r>
              <w:rPr>
                <w:rFonts w:ascii="Arial" w:hAnsi="Arial"/>
                <w:b/>
                <w:sz w:val="18"/>
              </w:rPr>
              <w:t>NGON</w:t>
            </w:r>
          </w:p>
          <w:p w:rsidR="00C57960" w:rsidRDefault="00C57960">
            <w:pPr>
              <w:ind w:left="1440"/>
              <w:rPr>
                <w:rFonts w:ascii="Arial" w:hAnsi="Arial"/>
                <w:sz w:val="16"/>
              </w:rPr>
            </w:pPr>
            <w:r>
              <w:rPr>
                <w:rFonts w:ascii="Arial" w:hAnsi="Arial"/>
                <w:sz w:val="16"/>
              </w:rPr>
              <w:t xml:space="preserve">                         2. **Called to Dr. Spring 12/4/04 @1500.</w:t>
            </w:r>
          </w:p>
          <w:p w:rsidR="00C57960" w:rsidRDefault="00C57960">
            <w:pPr>
              <w:ind w:left="1440"/>
              <w:rPr>
                <w:rFonts w:ascii="Arial" w:hAnsi="Arial"/>
                <w:sz w:val="16"/>
              </w:rPr>
            </w:pPr>
            <w:r>
              <w:rPr>
                <w:rFonts w:ascii="Arial" w:hAnsi="Arial"/>
                <w:sz w:val="16"/>
              </w:rPr>
              <w:t xml:space="preserve">                            </w:t>
            </w:r>
          </w:p>
          <w:p w:rsidR="00C57960" w:rsidRDefault="00C57960">
            <w:pPr>
              <w:ind w:left="720" w:firstLine="720"/>
              <w:rPr>
                <w:rFonts w:ascii="Arial" w:hAnsi="Arial"/>
                <w:sz w:val="16"/>
              </w:rPr>
            </w:pPr>
            <w:r>
              <w:rPr>
                <w:rFonts w:ascii="Arial" w:hAnsi="Arial"/>
                <w:sz w:val="16"/>
              </w:rPr>
              <w:t xml:space="preserve">Workups:          </w:t>
            </w:r>
            <w:proofErr w:type="spellStart"/>
            <w:r>
              <w:rPr>
                <w:rFonts w:ascii="Arial" w:hAnsi="Arial"/>
                <w:sz w:val="16"/>
              </w:rPr>
              <w:t>Wkup</w:t>
            </w:r>
            <w:proofErr w:type="spellEnd"/>
            <w:r>
              <w:rPr>
                <w:rFonts w:ascii="Arial" w:hAnsi="Arial"/>
                <w:sz w:val="16"/>
              </w:rPr>
              <w:t xml:space="preserve"> # 1   </w:t>
            </w:r>
            <w:r>
              <w:rPr>
                <w:rFonts w:ascii="Arial" w:hAnsi="Arial"/>
                <w:sz w:val="16"/>
              </w:rPr>
              <w:tab/>
            </w:r>
            <w:r>
              <w:rPr>
                <w:rFonts w:ascii="Arial" w:hAnsi="Arial"/>
                <w:sz w:val="16"/>
              </w:rPr>
              <w:tab/>
              <w:t>Workup Components</w:t>
            </w:r>
          </w:p>
          <w:p w:rsidR="00C57960" w:rsidRDefault="00C57960">
            <w:pPr>
              <w:rPr>
                <w:rFonts w:ascii="Arial" w:hAnsi="Arial"/>
                <w:sz w:val="16"/>
              </w:rPr>
            </w:pPr>
            <w:r>
              <w:rPr>
                <w:rFonts w:ascii="Arial" w:hAnsi="Arial"/>
                <w:sz w:val="16"/>
              </w:rPr>
              <w:t xml:space="preserve">                                                                Med :  CHOC</w:t>
            </w:r>
            <w:r>
              <w:rPr>
                <w:rFonts w:ascii="Arial" w:hAnsi="Arial"/>
                <w:sz w:val="16"/>
              </w:rPr>
              <w:tab/>
            </w:r>
            <w:r>
              <w:rPr>
                <w:rFonts w:ascii="Arial" w:hAnsi="Arial"/>
                <w:sz w:val="16"/>
              </w:rPr>
              <w:tab/>
              <w:t>OXI</w:t>
            </w:r>
            <w:r>
              <w:rPr>
                <w:rFonts w:ascii="Arial" w:hAnsi="Arial"/>
                <w:sz w:val="16"/>
              </w:rPr>
              <w:tab/>
              <w:t>: POS</w:t>
            </w:r>
          </w:p>
          <w:p w:rsidR="00C57960" w:rsidRDefault="00C57960">
            <w:pPr>
              <w:ind w:left="2160"/>
              <w:rPr>
                <w:rFonts w:ascii="Arial" w:hAnsi="Arial"/>
                <w:sz w:val="16"/>
              </w:rPr>
            </w:pPr>
            <w:r>
              <w:rPr>
                <w:rFonts w:ascii="Arial" w:hAnsi="Arial"/>
                <w:sz w:val="16"/>
              </w:rPr>
              <w:t xml:space="preserve">                 </w:t>
            </w:r>
            <w:proofErr w:type="spellStart"/>
            <w:r>
              <w:rPr>
                <w:rFonts w:ascii="Arial" w:hAnsi="Arial"/>
                <w:sz w:val="16"/>
              </w:rPr>
              <w:t>Desc</w:t>
            </w:r>
            <w:proofErr w:type="spellEnd"/>
            <w:r>
              <w:rPr>
                <w:rFonts w:ascii="Arial" w:hAnsi="Arial"/>
                <w:sz w:val="16"/>
              </w:rPr>
              <w:t>:  TAN</w:t>
            </w:r>
            <w:r>
              <w:rPr>
                <w:rFonts w:ascii="Arial" w:hAnsi="Arial"/>
                <w:sz w:val="16"/>
              </w:rPr>
              <w:tab/>
            </w:r>
            <w:r>
              <w:rPr>
                <w:rFonts w:ascii="Arial" w:hAnsi="Arial"/>
                <w:sz w:val="16"/>
              </w:rPr>
              <w:tab/>
              <w:t xml:space="preserve">GMS    </w:t>
            </w:r>
            <w:r>
              <w:rPr>
                <w:rFonts w:ascii="Arial" w:hAnsi="Arial"/>
                <w:sz w:val="16"/>
              </w:rPr>
              <w:tab/>
              <w:t>: NEIS</w:t>
            </w:r>
          </w:p>
          <w:p w:rsidR="00C57960" w:rsidRDefault="00C57960">
            <w:pPr>
              <w:rPr>
                <w:rFonts w:ascii="Arial" w:hAnsi="Arial" w:cs="Arial"/>
                <w:sz w:val="20"/>
              </w:rPr>
            </w:pPr>
            <w:r>
              <w:rPr>
                <w:rFonts w:ascii="Arial" w:hAnsi="Arial"/>
                <w:sz w:val="16"/>
              </w:rPr>
              <w:t xml:space="preserve">                 Id:  NEIS</w:t>
            </w:r>
            <w:r>
              <w:rPr>
                <w:rFonts w:ascii="Arial" w:hAnsi="Arial"/>
                <w:sz w:val="16"/>
              </w:rPr>
              <w:tab/>
            </w:r>
            <w:r>
              <w:rPr>
                <w:rFonts w:ascii="Arial" w:hAnsi="Arial"/>
                <w:sz w:val="16"/>
              </w:rPr>
              <w:tab/>
            </w:r>
            <w:r>
              <w:rPr>
                <w:rFonts w:ascii="Arial" w:hAnsi="Arial"/>
                <w:sz w:val="16"/>
              </w:rPr>
              <w:tab/>
              <w:t xml:space="preserve">VID   </w:t>
            </w:r>
            <w:r>
              <w:rPr>
                <w:rFonts w:ascii="Arial" w:hAnsi="Arial"/>
                <w:sz w:val="16"/>
              </w:rPr>
              <w:tab/>
              <w:t>: 1</w:t>
            </w:r>
            <w:r>
              <w:rPr>
                <w:rFonts w:ascii="Arial" w:hAnsi="Arial"/>
                <w:sz w:val="16"/>
              </w:rPr>
              <w:tab/>
            </w:r>
            <w:r>
              <w:rPr>
                <w:rFonts w:ascii="Arial" w:hAnsi="Arial"/>
                <w:sz w:val="16"/>
              </w:rPr>
              <w:tab/>
            </w:r>
            <w:r>
              <w:rPr>
                <w:rFonts w:ascii="Arial" w:hAnsi="Arial"/>
                <w:sz w:val="16"/>
              </w:rPr>
              <w:tab/>
            </w:r>
          </w:p>
        </w:tc>
      </w:tr>
      <w:tr w:rsidR="00C57960">
        <w:trPr>
          <w:gridAfter w:val="2"/>
          <w:wAfter w:w="5400" w:type="dxa"/>
          <w:cantSplit/>
        </w:trPr>
        <w:tc>
          <w:tcPr>
            <w:tcW w:w="1789" w:type="dxa"/>
            <w:vMerge/>
            <w:tcBorders>
              <w:top w:val="nil"/>
              <w:left w:val="nil"/>
              <w:bottom w:val="nil"/>
              <w:right w:val="nil"/>
            </w:tcBorders>
          </w:tcPr>
          <w:p w:rsidR="00C57960" w:rsidRDefault="00C57960">
            <w:pPr>
              <w:rPr>
                <w:rFonts w:ascii="Arial" w:hAnsi="Arial"/>
                <w:b/>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2.</w:t>
            </w:r>
          </w:p>
        </w:tc>
        <w:tc>
          <w:tcPr>
            <w:tcW w:w="8642" w:type="dxa"/>
            <w:gridSpan w:val="13"/>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bCs/>
                <w:sz w:val="20"/>
              </w:rPr>
              <w:t xml:space="preserve">Notify patient’s caregiver if </w:t>
            </w:r>
            <w:proofErr w:type="spellStart"/>
            <w:r>
              <w:rPr>
                <w:rFonts w:ascii="Arial" w:hAnsi="Arial" w:cs="Arial"/>
                <w:bCs/>
                <w:i/>
                <w:iCs/>
                <w:sz w:val="20"/>
              </w:rPr>
              <w:t>Neisseria</w:t>
            </w:r>
            <w:proofErr w:type="spellEnd"/>
            <w:r>
              <w:rPr>
                <w:rFonts w:ascii="Arial" w:hAnsi="Arial" w:cs="Arial"/>
                <w:bCs/>
                <w:i/>
                <w:iCs/>
                <w:sz w:val="20"/>
              </w:rPr>
              <w:t xml:space="preserve"> </w:t>
            </w:r>
            <w:proofErr w:type="spellStart"/>
            <w:r>
              <w:rPr>
                <w:rFonts w:ascii="Arial" w:hAnsi="Arial" w:cs="Arial"/>
                <w:bCs/>
                <w:i/>
                <w:iCs/>
                <w:sz w:val="20"/>
              </w:rPr>
              <w:t>gonorrhoeae</w:t>
            </w:r>
            <w:proofErr w:type="spellEnd"/>
            <w:r>
              <w:rPr>
                <w:rFonts w:ascii="Arial" w:hAnsi="Arial" w:cs="Arial"/>
                <w:bCs/>
                <w:sz w:val="20"/>
              </w:rPr>
              <w:t xml:space="preserve"> is isolated. </w:t>
            </w:r>
            <w:r>
              <w:rPr>
                <w:rFonts w:ascii="Arial" w:hAnsi="Arial" w:cs="Arial"/>
                <w:sz w:val="20"/>
              </w:rPr>
              <w:t xml:space="preserve">Document in </w:t>
            </w:r>
            <w:proofErr w:type="spellStart"/>
            <w:r>
              <w:rPr>
                <w:rFonts w:ascii="Arial" w:hAnsi="Arial" w:cs="Arial"/>
                <w:sz w:val="20"/>
              </w:rPr>
              <w:t>Sunquest</w:t>
            </w:r>
            <w:proofErr w:type="spellEnd"/>
            <w:r>
              <w:rPr>
                <w:rFonts w:ascii="Arial" w:hAnsi="Arial" w:cs="Arial"/>
                <w:sz w:val="20"/>
              </w:rPr>
              <w:t xml:space="preserve"> Culture Results, first name, first initial of last name, credentials, date and time.  </w:t>
            </w:r>
          </w:p>
          <w:p w:rsidR="00111D3D" w:rsidRDefault="00111D3D">
            <w:pPr>
              <w:rPr>
                <w:rFonts w:ascii="Arial" w:hAnsi="Arial" w:cs="Arial"/>
                <w:b/>
                <w:bCs/>
                <w:sz w:val="20"/>
              </w:rPr>
            </w:pPr>
          </w:p>
        </w:tc>
      </w:tr>
      <w:tr w:rsidR="00C57960">
        <w:trPr>
          <w:gridAfter w:val="2"/>
          <w:wAfter w:w="5400" w:type="dxa"/>
          <w:cantSplit/>
        </w:trPr>
        <w:tc>
          <w:tcPr>
            <w:tcW w:w="1789" w:type="dxa"/>
            <w:vMerge/>
            <w:tcBorders>
              <w:top w:val="nil"/>
              <w:left w:val="nil"/>
              <w:bottom w:val="nil"/>
              <w:right w:val="nil"/>
            </w:tcBorders>
          </w:tcPr>
          <w:p w:rsidR="00C57960" w:rsidRDefault="00C57960">
            <w:pPr>
              <w:rPr>
                <w:rFonts w:ascii="Arial" w:hAnsi="Arial"/>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3.</w:t>
            </w:r>
          </w:p>
        </w:tc>
        <w:tc>
          <w:tcPr>
            <w:tcW w:w="8642" w:type="dxa"/>
            <w:gridSpan w:val="13"/>
            <w:tcBorders>
              <w:top w:val="single" w:sz="4" w:space="0" w:color="auto"/>
              <w:left w:val="nil"/>
              <w:bottom w:val="single" w:sz="4" w:space="0" w:color="auto"/>
              <w:right w:val="nil"/>
            </w:tcBorders>
          </w:tcPr>
          <w:p w:rsidR="00C57960" w:rsidRDefault="00C57960">
            <w:pPr>
              <w:pStyle w:val="Header"/>
              <w:tabs>
                <w:tab w:val="clear" w:pos="4320"/>
                <w:tab w:val="clear" w:pos="8640"/>
              </w:tabs>
              <w:rPr>
                <w:rFonts w:ascii="Arial" w:hAnsi="Arial"/>
                <w:i/>
                <w:sz w:val="20"/>
              </w:rPr>
            </w:pPr>
            <w:r>
              <w:rPr>
                <w:rFonts w:ascii="Arial" w:hAnsi="Arial"/>
                <w:bCs/>
                <w:sz w:val="20"/>
              </w:rPr>
              <w:t>If the culture is overgrown with other organisms such</w:t>
            </w:r>
            <w:r>
              <w:rPr>
                <w:rFonts w:ascii="Arial" w:hAnsi="Arial"/>
                <w:sz w:val="20"/>
              </w:rPr>
              <w:t xml:space="preserve"> as </w:t>
            </w:r>
            <w:r>
              <w:rPr>
                <w:rFonts w:ascii="Arial" w:hAnsi="Arial"/>
                <w:i/>
                <w:sz w:val="20"/>
              </w:rPr>
              <w:t>P. mirabilis</w:t>
            </w:r>
            <w:r>
              <w:rPr>
                <w:rFonts w:ascii="Arial" w:hAnsi="Arial"/>
                <w:iCs/>
                <w:sz w:val="20"/>
              </w:rPr>
              <w:t xml:space="preserve"> or yeast</w:t>
            </w:r>
            <w:r>
              <w:rPr>
                <w:rFonts w:ascii="Arial" w:hAnsi="Arial"/>
                <w:sz w:val="20"/>
              </w:rPr>
              <w:t xml:space="preserve">, report as follows: </w:t>
            </w:r>
            <w:r>
              <w:rPr>
                <w:rFonts w:ascii="Arial" w:hAnsi="Arial"/>
                <w:b/>
                <w:sz w:val="20"/>
              </w:rPr>
              <w:t>UDET-NGON</w:t>
            </w:r>
            <w:r>
              <w:rPr>
                <w:rFonts w:ascii="Arial" w:hAnsi="Arial"/>
                <w:bCs/>
                <w:sz w:val="20"/>
              </w:rPr>
              <w:t xml:space="preserve">. </w:t>
            </w:r>
            <w:r>
              <w:rPr>
                <w:rFonts w:ascii="Arial" w:hAnsi="Arial"/>
                <w:iCs/>
                <w:sz w:val="20"/>
              </w:rPr>
              <w:t xml:space="preserve">Heavy growth of yeast is inhibitory to </w:t>
            </w:r>
            <w:r>
              <w:rPr>
                <w:rFonts w:ascii="Arial" w:hAnsi="Arial"/>
                <w:i/>
                <w:sz w:val="20"/>
              </w:rPr>
              <w:t xml:space="preserve">N. </w:t>
            </w:r>
            <w:proofErr w:type="spellStart"/>
            <w:r>
              <w:rPr>
                <w:rFonts w:ascii="Arial" w:hAnsi="Arial"/>
                <w:i/>
                <w:sz w:val="20"/>
              </w:rPr>
              <w:t>gonorrhoeae</w:t>
            </w:r>
            <w:proofErr w:type="spellEnd"/>
            <w:r>
              <w:rPr>
                <w:rFonts w:ascii="Arial" w:hAnsi="Arial"/>
                <w:i/>
                <w:sz w:val="20"/>
              </w:rPr>
              <w:t>.</w:t>
            </w:r>
          </w:p>
          <w:p w:rsidR="00C57960" w:rsidRDefault="00C57960">
            <w:pPr>
              <w:pStyle w:val="Header"/>
              <w:tabs>
                <w:tab w:val="clear" w:pos="4320"/>
                <w:tab w:val="clear" w:pos="8640"/>
              </w:tabs>
              <w:rPr>
                <w:rFonts w:ascii="Arial" w:hAnsi="Arial"/>
                <w:b/>
                <w:sz w:val="20"/>
              </w:rPr>
            </w:pPr>
          </w:p>
          <w:p w:rsidR="00C57960" w:rsidRDefault="00C57960">
            <w:pPr>
              <w:pStyle w:val="Header"/>
              <w:tabs>
                <w:tab w:val="clear" w:pos="4320"/>
                <w:tab w:val="clear" w:pos="8640"/>
              </w:tabs>
              <w:ind w:left="345"/>
              <w:rPr>
                <w:rFonts w:ascii="Arial" w:hAnsi="Arial"/>
                <w:sz w:val="16"/>
              </w:rPr>
            </w:pPr>
            <w:r>
              <w:rPr>
                <w:rFonts w:ascii="Arial" w:hAnsi="Arial"/>
                <w:sz w:val="16"/>
              </w:rPr>
              <w:t>Observations:    3.  DUE TO BACTERIAL OVERGROWTH, UNABLE TO DETERMINE THE</w:t>
            </w:r>
          </w:p>
          <w:p w:rsidR="00111D3D" w:rsidRDefault="00C57960">
            <w:pPr>
              <w:pStyle w:val="Header"/>
              <w:ind w:left="2160"/>
              <w:rPr>
                <w:rFonts w:ascii="Arial" w:hAnsi="Arial" w:cs="Arial"/>
                <w:b/>
                <w:sz w:val="16"/>
              </w:rPr>
            </w:pPr>
            <w:r>
              <w:t xml:space="preserve">            </w:t>
            </w:r>
            <w:r>
              <w:rPr>
                <w:rFonts w:ascii="Arial" w:hAnsi="Arial" w:cs="Arial"/>
                <w:sz w:val="16"/>
              </w:rPr>
              <w:t>PRESENCE OF NEISSERIA GONORRHOEAE</w:t>
            </w:r>
            <w:r>
              <w:rPr>
                <w:rFonts w:ascii="Arial" w:hAnsi="Arial" w:cs="Arial"/>
                <w:b/>
                <w:sz w:val="16"/>
              </w:rPr>
              <w:t xml:space="preserve">  </w:t>
            </w:r>
          </w:p>
          <w:p w:rsidR="00C57960" w:rsidRDefault="00C57960">
            <w:pPr>
              <w:pStyle w:val="Header"/>
              <w:ind w:left="2160"/>
              <w:rPr>
                <w:rFonts w:ascii="Arial" w:hAnsi="Arial" w:cs="Arial"/>
                <w:bCs/>
                <w:sz w:val="16"/>
              </w:rPr>
            </w:pPr>
            <w:r>
              <w:rPr>
                <w:rFonts w:ascii="Arial" w:hAnsi="Arial" w:cs="Arial"/>
                <w:b/>
                <w:sz w:val="16"/>
              </w:rPr>
              <w:t xml:space="preserve">     </w:t>
            </w:r>
          </w:p>
        </w:tc>
      </w:tr>
      <w:tr w:rsidR="00C57960">
        <w:trPr>
          <w:gridAfter w:val="2"/>
          <w:wAfter w:w="5400" w:type="dxa"/>
          <w:cantSplit/>
        </w:trPr>
        <w:tc>
          <w:tcPr>
            <w:tcW w:w="1789" w:type="dxa"/>
            <w:vMerge/>
            <w:tcBorders>
              <w:top w:val="nil"/>
              <w:left w:val="nil"/>
              <w:bottom w:val="nil"/>
              <w:right w:val="nil"/>
            </w:tcBorders>
          </w:tcPr>
          <w:p w:rsidR="00C57960" w:rsidRDefault="00C57960">
            <w:pPr>
              <w:rPr>
                <w:rFonts w:ascii="Arial" w:hAnsi="Arial"/>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4.</w:t>
            </w:r>
          </w:p>
        </w:tc>
        <w:tc>
          <w:tcPr>
            <w:tcW w:w="8642" w:type="dxa"/>
            <w:gridSpan w:val="13"/>
            <w:tcBorders>
              <w:top w:val="single" w:sz="4" w:space="0" w:color="auto"/>
              <w:left w:val="nil"/>
              <w:bottom w:val="single" w:sz="4" w:space="0" w:color="auto"/>
              <w:right w:val="nil"/>
            </w:tcBorders>
          </w:tcPr>
          <w:p w:rsidR="00C57960" w:rsidRDefault="00C57960">
            <w:pPr>
              <w:pStyle w:val="Header"/>
              <w:tabs>
                <w:tab w:val="clear" w:pos="4320"/>
                <w:tab w:val="clear" w:pos="8640"/>
              </w:tabs>
              <w:rPr>
                <w:rFonts w:ascii="Arial" w:hAnsi="Arial" w:cs="Arial"/>
                <w:sz w:val="20"/>
              </w:rPr>
            </w:pPr>
            <w:r>
              <w:rPr>
                <w:rFonts w:ascii="Arial" w:hAnsi="Arial" w:cs="Arial"/>
                <w:sz w:val="20"/>
              </w:rPr>
              <w:t xml:space="preserve">Review Culture Summary for accuracy before filing report.        </w:t>
            </w:r>
          </w:p>
        </w:tc>
      </w:tr>
      <w:tr w:rsidR="00C57960">
        <w:trPr>
          <w:gridAfter w:val="2"/>
          <w:wAfter w:w="5400" w:type="dxa"/>
          <w:cantSplit/>
        </w:trPr>
        <w:tc>
          <w:tcPr>
            <w:tcW w:w="1789" w:type="dxa"/>
            <w:vMerge w:val="restart"/>
            <w:tcBorders>
              <w:top w:val="nil"/>
              <w:left w:val="nil"/>
              <w:right w:val="nil"/>
            </w:tcBorders>
          </w:tcPr>
          <w:p w:rsidR="00C57960" w:rsidRDefault="00C57960">
            <w:pPr>
              <w:rPr>
                <w:rFonts w:ascii="Arial" w:hAnsi="Arial"/>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5.</w:t>
            </w:r>
          </w:p>
        </w:tc>
        <w:tc>
          <w:tcPr>
            <w:tcW w:w="8642" w:type="dxa"/>
            <w:gridSpan w:val="13"/>
            <w:tcBorders>
              <w:top w:val="single" w:sz="4" w:space="0" w:color="auto"/>
              <w:left w:val="nil"/>
              <w:bottom w:val="single" w:sz="4" w:space="0" w:color="auto"/>
              <w:right w:val="nil"/>
            </w:tcBorders>
          </w:tcPr>
          <w:p w:rsidR="00C57960" w:rsidRDefault="00C57960">
            <w:pPr>
              <w:pStyle w:val="Heading4"/>
              <w:numPr>
                <w:ilvl w:val="0"/>
                <w:numId w:val="0"/>
              </w:numPr>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C57960" w:rsidRDefault="00C57960" w:rsidP="00DD393A">
            <w:pPr>
              <w:pStyle w:val="Heading4"/>
              <w:numPr>
                <w:ilvl w:val="0"/>
                <w:numId w:val="11"/>
              </w:numPr>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C57960" w:rsidRDefault="00C57960" w:rsidP="00DD393A">
            <w:pPr>
              <w:pStyle w:val="Heading4"/>
              <w:numPr>
                <w:ilvl w:val="0"/>
                <w:numId w:val="11"/>
              </w:numPr>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C57960" w:rsidRDefault="00C57960" w:rsidP="00DD393A">
            <w:pPr>
              <w:pStyle w:val="Heading4"/>
              <w:numPr>
                <w:ilvl w:val="0"/>
                <w:numId w:val="11"/>
              </w:numPr>
              <w:rPr>
                <w:rFonts w:ascii="Arial" w:hAnsi="Arial" w:cs="Arial"/>
                <w:bCs w:val="0"/>
                <w:sz w:val="20"/>
              </w:rPr>
            </w:pPr>
            <w:proofErr w:type="gramStart"/>
            <w:r>
              <w:rPr>
                <w:rFonts w:ascii="Arial" w:hAnsi="Arial" w:cs="Arial"/>
                <w:bCs w:val="0"/>
                <w:sz w:val="20"/>
              </w:rPr>
              <w:t>Re-final the culture when identifications and/or testing are complete.</w:t>
            </w:r>
            <w:proofErr w:type="gramEnd"/>
          </w:p>
          <w:p w:rsidR="00C57960" w:rsidRDefault="00C57960">
            <w:pPr>
              <w:pStyle w:val="Header"/>
              <w:tabs>
                <w:tab w:val="clear" w:pos="4320"/>
                <w:tab w:val="clear" w:pos="8640"/>
              </w:tabs>
              <w:rPr>
                <w:rFonts w:ascii="Arial" w:hAnsi="Arial" w:cs="Arial"/>
                <w:sz w:val="20"/>
              </w:rPr>
            </w:pPr>
          </w:p>
        </w:tc>
      </w:tr>
      <w:tr w:rsidR="00C57960">
        <w:trPr>
          <w:gridAfter w:val="2"/>
          <w:wAfter w:w="5400" w:type="dxa"/>
          <w:cantSplit/>
        </w:trPr>
        <w:tc>
          <w:tcPr>
            <w:tcW w:w="1789" w:type="dxa"/>
            <w:vMerge/>
            <w:tcBorders>
              <w:left w:val="nil"/>
              <w:bottom w:val="nil"/>
              <w:right w:val="nil"/>
            </w:tcBorders>
          </w:tcPr>
          <w:p w:rsidR="00C57960" w:rsidRDefault="00C57960">
            <w:pPr>
              <w:rPr>
                <w:rFonts w:ascii="Arial" w:hAnsi="Arial"/>
                <w:color w:val="0000FF"/>
                <w:sz w:val="20"/>
              </w:rPr>
            </w:pPr>
          </w:p>
        </w:tc>
        <w:tc>
          <w:tcPr>
            <w:tcW w:w="729" w:type="dxa"/>
            <w:tcBorders>
              <w:top w:val="single" w:sz="4" w:space="0" w:color="auto"/>
              <w:left w:val="nil"/>
              <w:bottom w:val="single" w:sz="4" w:space="0" w:color="auto"/>
              <w:right w:val="nil"/>
            </w:tcBorders>
          </w:tcPr>
          <w:p w:rsidR="00C57960" w:rsidRDefault="00C57960">
            <w:pPr>
              <w:rPr>
                <w:rFonts w:ascii="Arial" w:hAnsi="Arial" w:cs="Arial"/>
                <w:sz w:val="20"/>
              </w:rPr>
            </w:pPr>
            <w:r>
              <w:rPr>
                <w:rFonts w:ascii="Arial" w:hAnsi="Arial" w:cs="Arial"/>
                <w:sz w:val="20"/>
              </w:rPr>
              <w:t>6.</w:t>
            </w:r>
          </w:p>
        </w:tc>
        <w:tc>
          <w:tcPr>
            <w:tcW w:w="8642" w:type="dxa"/>
            <w:gridSpan w:val="13"/>
            <w:tcBorders>
              <w:top w:val="single" w:sz="4" w:space="0" w:color="auto"/>
              <w:left w:val="nil"/>
              <w:bottom w:val="single" w:sz="4" w:space="0" w:color="auto"/>
              <w:right w:val="nil"/>
            </w:tcBorders>
          </w:tcPr>
          <w:p w:rsidR="00C57960" w:rsidRDefault="00C57960" w:rsidP="00111D3D">
            <w:pPr>
              <w:rPr>
                <w:rFonts w:ascii="Arial" w:hAnsi="Arial"/>
                <w:sz w:val="20"/>
              </w:rPr>
            </w:pPr>
            <w:r>
              <w:rPr>
                <w:rFonts w:ascii="Arial" w:hAnsi="Arial"/>
                <w:sz w:val="20"/>
              </w:rPr>
              <w:t xml:space="preserve">If a culture requires a correction, the code </w:t>
            </w:r>
            <w:r>
              <w:rPr>
                <w:rFonts w:ascii="Arial" w:hAnsi="Arial"/>
                <w:b/>
                <w:sz w:val="20"/>
              </w:rPr>
              <w:t>CORR</w:t>
            </w:r>
            <w:r>
              <w:rPr>
                <w:rFonts w:ascii="Arial" w:hAnsi="Arial"/>
                <w:sz w:val="20"/>
              </w:rPr>
              <w:t xml:space="preserve"> (corrected report) must be reported on an observation line in the </w:t>
            </w:r>
            <w:r>
              <w:rPr>
                <w:rFonts w:ascii="Arial" w:hAnsi="Arial"/>
                <w:i/>
                <w:iCs/>
                <w:sz w:val="20"/>
              </w:rPr>
              <w:t>Direct Exam</w:t>
            </w:r>
            <w:r>
              <w:rPr>
                <w:rFonts w:ascii="Arial" w:hAnsi="Arial"/>
                <w:sz w:val="20"/>
              </w:rPr>
              <w:t xml:space="preserve"> or </w:t>
            </w:r>
            <w:r>
              <w:rPr>
                <w:rFonts w:ascii="Arial" w:hAnsi="Arial"/>
                <w:i/>
                <w:iCs/>
                <w:sz w:val="20"/>
              </w:rPr>
              <w:t>Culture Entry</w:t>
            </w:r>
            <w:r>
              <w:rPr>
                <w:rFonts w:ascii="Arial" w:hAnsi="Arial"/>
                <w:sz w:val="20"/>
              </w:rPr>
              <w:t xml:space="preserve"> tab. Refer to the procedure </w:t>
            </w:r>
            <w:hyperlink r:id="rId13" w:history="1">
              <w:r>
                <w:rPr>
                  <w:rStyle w:val="Hyperlink"/>
                  <w:rFonts w:ascii="Arial" w:hAnsi="Arial"/>
                  <w:sz w:val="20"/>
                </w:rPr>
                <w:t>Labeling Errors/Specimen Mix-ups and Correcting Patient Data.</w:t>
              </w:r>
            </w:hyperlink>
          </w:p>
          <w:p w:rsidR="00111D3D" w:rsidRPr="00111D3D" w:rsidRDefault="00111D3D" w:rsidP="00111D3D">
            <w:pPr>
              <w:rPr>
                <w:rFonts w:ascii="Arial" w:hAnsi="Arial"/>
                <w:sz w:val="20"/>
              </w:rPr>
            </w:pPr>
          </w:p>
        </w:tc>
      </w:tr>
      <w:tr w:rsidR="00C57960">
        <w:trPr>
          <w:gridAfter w:val="2"/>
          <w:wAfter w:w="5400" w:type="dxa"/>
          <w:cantSplit/>
        </w:trPr>
        <w:tc>
          <w:tcPr>
            <w:tcW w:w="1789" w:type="dxa"/>
            <w:tcBorders>
              <w:top w:val="nil"/>
              <w:left w:val="nil"/>
              <w:bottom w:val="nil"/>
              <w:right w:val="nil"/>
            </w:tcBorders>
          </w:tcPr>
          <w:p w:rsidR="00C57960" w:rsidRDefault="00C57960">
            <w:pPr>
              <w:rPr>
                <w:rFonts w:ascii="Arial" w:hAnsi="Arial"/>
                <w:b/>
                <w:color w:val="0000FF"/>
                <w:sz w:val="20"/>
              </w:rPr>
            </w:pPr>
          </w:p>
          <w:p w:rsidR="00C57960" w:rsidRDefault="00C57960">
            <w:pPr>
              <w:rPr>
                <w:rFonts w:ascii="Arial" w:hAnsi="Arial"/>
                <w:b/>
                <w:color w:val="0000FF"/>
                <w:sz w:val="20"/>
              </w:rPr>
            </w:pPr>
            <w:r>
              <w:rPr>
                <w:rFonts w:ascii="Arial" w:hAnsi="Arial"/>
                <w:b/>
                <w:color w:val="0000FF"/>
                <w:sz w:val="20"/>
              </w:rPr>
              <w:t>Limitations</w:t>
            </w:r>
          </w:p>
          <w:p w:rsidR="00C57960" w:rsidRDefault="00C57960">
            <w:pPr>
              <w:rPr>
                <w:rFonts w:ascii="Arial" w:hAnsi="Arial"/>
                <w:b/>
                <w:color w:val="0000FF"/>
                <w:sz w:val="20"/>
              </w:rPr>
            </w:pPr>
          </w:p>
        </w:tc>
        <w:tc>
          <w:tcPr>
            <w:tcW w:w="9371" w:type="dxa"/>
            <w:gridSpan w:val="14"/>
            <w:tcBorders>
              <w:top w:val="single" w:sz="4" w:space="0" w:color="auto"/>
              <w:left w:val="nil"/>
              <w:bottom w:val="single" w:sz="4" w:space="0" w:color="auto"/>
              <w:right w:val="nil"/>
            </w:tcBorders>
          </w:tcPr>
          <w:p w:rsidR="00C57960" w:rsidRDefault="00C57960">
            <w:pPr>
              <w:rPr>
                <w:rFonts w:ascii="Arial" w:hAnsi="Arial"/>
                <w:sz w:val="20"/>
              </w:rPr>
            </w:pPr>
          </w:p>
          <w:p w:rsidR="00C57960" w:rsidRDefault="00C57960" w:rsidP="00DD393A">
            <w:pPr>
              <w:numPr>
                <w:ilvl w:val="0"/>
                <w:numId w:val="13"/>
              </w:numPr>
              <w:tabs>
                <w:tab w:val="left" w:pos="360"/>
              </w:tabs>
              <w:ind w:left="360"/>
              <w:rPr>
                <w:rFonts w:ascii="Arial" w:hAnsi="Arial" w:cs="Arial"/>
                <w:sz w:val="20"/>
              </w:rPr>
            </w:pPr>
            <w:r>
              <w:rPr>
                <w:rFonts w:ascii="Arial" w:hAnsi="Arial" w:cs="Arial"/>
                <w:sz w:val="20"/>
              </w:rPr>
              <w:t xml:space="preserve">Some strains of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i/>
                <w:sz w:val="20"/>
              </w:rPr>
              <w:t xml:space="preserve"> </w:t>
            </w:r>
            <w:r>
              <w:rPr>
                <w:rFonts w:ascii="Arial" w:hAnsi="Arial" w:cs="Arial"/>
                <w:sz w:val="20"/>
              </w:rPr>
              <w:t xml:space="preserve">are inhibited by the </w:t>
            </w:r>
            <w:proofErr w:type="spellStart"/>
            <w:r>
              <w:rPr>
                <w:rFonts w:ascii="Arial" w:hAnsi="Arial" w:cs="Arial"/>
                <w:sz w:val="20"/>
              </w:rPr>
              <w:t>vancomycin</w:t>
            </w:r>
            <w:proofErr w:type="spellEnd"/>
            <w:r>
              <w:rPr>
                <w:rFonts w:ascii="Arial" w:hAnsi="Arial" w:cs="Arial"/>
                <w:sz w:val="20"/>
              </w:rPr>
              <w:t xml:space="preserve"> in the MTM. It is important to view the CHOC carefully for </w:t>
            </w:r>
            <w:proofErr w:type="spellStart"/>
            <w:r>
              <w:rPr>
                <w:rFonts w:ascii="Arial" w:hAnsi="Arial" w:cs="Arial"/>
                <w:sz w:val="20"/>
              </w:rPr>
              <w:t>oxidase</w:t>
            </w:r>
            <w:proofErr w:type="spellEnd"/>
            <w:r>
              <w:rPr>
                <w:rFonts w:ascii="Arial" w:hAnsi="Arial" w:cs="Arial"/>
                <w:sz w:val="20"/>
              </w:rPr>
              <w:t xml:space="preserve"> positive organisms.</w:t>
            </w:r>
          </w:p>
          <w:p w:rsidR="00C57960" w:rsidRPr="001508FC" w:rsidRDefault="00C57960" w:rsidP="001508FC">
            <w:pPr>
              <w:numPr>
                <w:ilvl w:val="0"/>
                <w:numId w:val="13"/>
              </w:numPr>
              <w:tabs>
                <w:tab w:val="left" w:pos="360"/>
              </w:tabs>
              <w:ind w:left="360"/>
              <w:rPr>
                <w:rFonts w:ascii="Arial" w:hAnsi="Arial" w:cs="Arial"/>
                <w:sz w:val="20"/>
              </w:rPr>
            </w:pPr>
            <w:r>
              <w:rPr>
                <w:rFonts w:ascii="Arial" w:hAnsi="Arial" w:cs="Arial"/>
                <w:sz w:val="20"/>
              </w:rPr>
              <w:t xml:space="preserve">False-negative </w:t>
            </w:r>
            <w:proofErr w:type="spellStart"/>
            <w:r>
              <w:rPr>
                <w:rFonts w:ascii="Arial" w:hAnsi="Arial" w:cs="Arial"/>
                <w:sz w:val="20"/>
              </w:rPr>
              <w:t>oxidase</w:t>
            </w:r>
            <w:proofErr w:type="spellEnd"/>
            <w:r>
              <w:rPr>
                <w:rFonts w:ascii="Arial" w:hAnsi="Arial" w:cs="Arial"/>
                <w:sz w:val="20"/>
              </w:rPr>
              <w:t xml:space="preserve"> reactions from CHOC have occurred on </w:t>
            </w:r>
            <w:proofErr w:type="spellStart"/>
            <w:r>
              <w:rPr>
                <w:rFonts w:ascii="Arial" w:hAnsi="Arial" w:cs="Arial"/>
                <w:i/>
                <w:iCs/>
                <w:sz w:val="20"/>
              </w:rPr>
              <w:t>Neisseria</w:t>
            </w:r>
            <w:proofErr w:type="spellEnd"/>
            <w:r>
              <w:rPr>
                <w:rFonts w:ascii="Arial" w:hAnsi="Arial" w:cs="Arial"/>
                <w:sz w:val="20"/>
              </w:rPr>
              <w:t xml:space="preserve"> sp</w:t>
            </w:r>
            <w:proofErr w:type="gramStart"/>
            <w:r>
              <w:rPr>
                <w:rFonts w:ascii="Arial" w:hAnsi="Arial" w:cs="Arial"/>
                <w:sz w:val="20"/>
              </w:rPr>
              <w:t xml:space="preserve">. </w:t>
            </w:r>
            <w:r w:rsidRPr="001508FC">
              <w:rPr>
                <w:rFonts w:ascii="Arial" w:hAnsi="Arial" w:cs="Arial"/>
                <w:sz w:val="20"/>
              </w:rPr>
              <w:t>.</w:t>
            </w:r>
            <w:proofErr w:type="gramEnd"/>
            <w:r w:rsidRPr="001508FC">
              <w:rPr>
                <w:rFonts w:ascii="Arial" w:hAnsi="Arial" w:cs="Arial"/>
                <w:sz w:val="20"/>
              </w:rPr>
              <w:t xml:space="preserve"> </w:t>
            </w:r>
          </w:p>
          <w:p w:rsidR="00C57960" w:rsidRPr="00111D3D" w:rsidRDefault="00C57960" w:rsidP="00DD393A">
            <w:pPr>
              <w:numPr>
                <w:ilvl w:val="0"/>
                <w:numId w:val="13"/>
              </w:numPr>
              <w:tabs>
                <w:tab w:val="left" w:pos="360"/>
              </w:tabs>
              <w:ind w:left="360"/>
              <w:rPr>
                <w:rFonts w:ascii="Arial" w:hAnsi="Arial"/>
                <w:sz w:val="20"/>
              </w:rPr>
            </w:pPr>
            <w:r>
              <w:rPr>
                <w:rFonts w:ascii="Arial" w:hAnsi="Arial" w:cs="Arial"/>
                <w:sz w:val="20"/>
              </w:rPr>
              <w:t xml:space="preserve">A single negative result produced by any of the confirmatory tests does not rule out the identification of </w:t>
            </w:r>
            <w:r>
              <w:rPr>
                <w:rFonts w:ascii="Arial" w:hAnsi="Arial" w:cs="Arial"/>
                <w:i/>
                <w:iCs/>
                <w:sz w:val="20"/>
              </w:rPr>
              <w:t xml:space="preserve">N. </w:t>
            </w:r>
            <w:proofErr w:type="spellStart"/>
            <w:r>
              <w:rPr>
                <w:rFonts w:ascii="Arial" w:hAnsi="Arial" w:cs="Arial"/>
                <w:i/>
                <w:iCs/>
                <w:sz w:val="20"/>
              </w:rPr>
              <w:t>gonorrhoeae</w:t>
            </w:r>
            <w:proofErr w:type="spellEnd"/>
            <w:r>
              <w:rPr>
                <w:rFonts w:ascii="Arial" w:hAnsi="Arial" w:cs="Arial"/>
                <w:i/>
                <w:iCs/>
                <w:sz w:val="20"/>
              </w:rPr>
              <w:t>.</w:t>
            </w:r>
            <w:r>
              <w:rPr>
                <w:rFonts w:ascii="Arial" w:hAnsi="Arial" w:cs="Arial"/>
                <w:sz w:val="20"/>
              </w:rPr>
              <w:t xml:space="preserve"> Further confirmatory testing should be performed. More than one confirmatory method is essential for potential cases of child abuse, since nearly every method has errors.</w:t>
            </w:r>
          </w:p>
        </w:tc>
      </w:tr>
      <w:tr w:rsidR="00C57960">
        <w:trPr>
          <w:gridAfter w:val="2"/>
          <w:wAfter w:w="5400" w:type="dxa"/>
          <w:cantSplit/>
        </w:trPr>
        <w:tc>
          <w:tcPr>
            <w:tcW w:w="1789" w:type="dxa"/>
            <w:tcBorders>
              <w:top w:val="nil"/>
              <w:left w:val="nil"/>
              <w:bottom w:val="nil"/>
              <w:right w:val="nil"/>
            </w:tcBorders>
          </w:tcPr>
          <w:p w:rsidR="00C57960" w:rsidRDefault="00C57960">
            <w:pPr>
              <w:rPr>
                <w:rFonts w:ascii="Arial" w:hAnsi="Arial" w:cs="Arial"/>
                <w:b/>
                <w:color w:val="0000FF"/>
                <w:sz w:val="20"/>
              </w:rPr>
            </w:pPr>
          </w:p>
          <w:p w:rsidR="00C57960" w:rsidRDefault="00C57960">
            <w:pPr>
              <w:rPr>
                <w:rFonts w:ascii="Arial" w:hAnsi="Arial" w:cs="Arial"/>
                <w:bCs/>
                <w:color w:val="0000FF"/>
                <w:sz w:val="20"/>
              </w:rPr>
            </w:pPr>
            <w:r>
              <w:rPr>
                <w:rFonts w:ascii="Arial" w:hAnsi="Arial" w:cs="Arial"/>
                <w:b/>
                <w:color w:val="0000FF"/>
                <w:sz w:val="20"/>
              </w:rPr>
              <w:t>Method Performance Specifications</w:t>
            </w:r>
          </w:p>
          <w:p w:rsidR="00C57960" w:rsidRDefault="00C57960">
            <w:pPr>
              <w:rPr>
                <w:rFonts w:ascii="Arial" w:hAnsi="Arial" w:cs="Arial"/>
                <w:bCs/>
                <w:color w:val="0000FF"/>
                <w:sz w:val="20"/>
              </w:rPr>
            </w:pPr>
          </w:p>
        </w:tc>
        <w:tc>
          <w:tcPr>
            <w:tcW w:w="9371" w:type="dxa"/>
            <w:gridSpan w:val="14"/>
            <w:tcBorders>
              <w:top w:val="single" w:sz="4" w:space="0" w:color="auto"/>
              <w:left w:val="nil"/>
              <w:bottom w:val="single" w:sz="4" w:space="0" w:color="auto"/>
              <w:right w:val="nil"/>
            </w:tcBorders>
          </w:tcPr>
          <w:p w:rsidR="00C57960" w:rsidRDefault="00C57960" w:rsidP="00DD393A">
            <w:pPr>
              <w:numPr>
                <w:ilvl w:val="0"/>
                <w:numId w:val="12"/>
              </w:numPr>
              <w:rPr>
                <w:rFonts w:ascii="Arial" w:hAnsi="Arial" w:cs="Arial"/>
                <w:bCs/>
                <w:sz w:val="20"/>
              </w:rPr>
            </w:pPr>
            <w:r>
              <w:rPr>
                <w:rFonts w:ascii="Arial" w:hAnsi="Arial" w:cs="Arial"/>
                <w:bCs/>
                <w:sz w:val="20"/>
              </w:rPr>
              <w:t xml:space="preserve">Swabs are acceptable for </w:t>
            </w:r>
            <w:r>
              <w:rPr>
                <w:rFonts w:ascii="Arial" w:hAnsi="Arial" w:cs="Arial"/>
                <w:bCs/>
                <w:i/>
                <w:sz w:val="20"/>
              </w:rPr>
              <w:t xml:space="preserve">N. </w:t>
            </w:r>
            <w:proofErr w:type="spellStart"/>
            <w:r>
              <w:rPr>
                <w:rFonts w:ascii="Arial" w:hAnsi="Arial" w:cs="Arial"/>
                <w:bCs/>
                <w:i/>
                <w:sz w:val="20"/>
              </w:rPr>
              <w:t>gonorrhoeae</w:t>
            </w:r>
            <w:proofErr w:type="spellEnd"/>
            <w:r>
              <w:rPr>
                <w:rFonts w:ascii="Arial" w:hAnsi="Arial" w:cs="Arial"/>
                <w:bCs/>
                <w:sz w:val="20"/>
              </w:rPr>
              <w:t xml:space="preserve"> if the specimen will be plated within 6 hours.</w:t>
            </w:r>
          </w:p>
          <w:p w:rsidR="00C57960" w:rsidRDefault="00C57960" w:rsidP="00DD393A">
            <w:pPr>
              <w:numPr>
                <w:ilvl w:val="0"/>
                <w:numId w:val="12"/>
              </w:numPr>
              <w:rPr>
                <w:rFonts w:ascii="Arial" w:hAnsi="Arial" w:cs="Arial"/>
                <w:bCs/>
                <w:sz w:val="20"/>
              </w:rPr>
            </w:pPr>
            <w:r>
              <w:rPr>
                <w:rFonts w:ascii="Arial" w:hAnsi="Arial" w:cs="Arial"/>
                <w:bCs/>
                <w:sz w:val="20"/>
              </w:rPr>
              <w:t xml:space="preserve">Cultures must be performed in all medico-legal cases involving prepubescent children. Nucleic acid testing can be performed in addition to culture. In the United States, culture identification of </w:t>
            </w:r>
            <w:r>
              <w:rPr>
                <w:rFonts w:ascii="Arial" w:hAnsi="Arial" w:cs="Arial"/>
                <w:bCs/>
                <w:i/>
                <w:iCs/>
                <w:sz w:val="20"/>
              </w:rPr>
              <w:t xml:space="preserve">N. </w:t>
            </w:r>
            <w:proofErr w:type="spellStart"/>
            <w:r>
              <w:rPr>
                <w:rFonts w:ascii="Arial" w:hAnsi="Arial" w:cs="Arial"/>
                <w:bCs/>
                <w:i/>
                <w:iCs/>
                <w:sz w:val="20"/>
              </w:rPr>
              <w:t>gonorrhoeae</w:t>
            </w:r>
            <w:proofErr w:type="spellEnd"/>
            <w:r>
              <w:rPr>
                <w:rFonts w:ascii="Arial" w:hAnsi="Arial" w:cs="Arial"/>
                <w:bCs/>
                <w:sz w:val="20"/>
              </w:rPr>
              <w:t xml:space="preserve"> is the only definitive method of diagnosis from a legal standpoint.</w:t>
            </w:r>
          </w:p>
          <w:p w:rsidR="00C57960" w:rsidRDefault="00C57960" w:rsidP="00DD393A">
            <w:pPr>
              <w:numPr>
                <w:ilvl w:val="0"/>
                <w:numId w:val="12"/>
              </w:numPr>
              <w:rPr>
                <w:rFonts w:ascii="Arial" w:hAnsi="Arial" w:cs="Arial"/>
                <w:bCs/>
                <w:sz w:val="20"/>
              </w:rPr>
            </w:pPr>
            <w:r>
              <w:rPr>
                <w:rFonts w:ascii="Arial" w:hAnsi="Arial" w:cs="Arial"/>
                <w:bCs/>
                <w:i/>
                <w:sz w:val="20"/>
              </w:rPr>
              <w:t xml:space="preserve">N. </w:t>
            </w:r>
            <w:proofErr w:type="spellStart"/>
            <w:r>
              <w:rPr>
                <w:rFonts w:ascii="Arial" w:hAnsi="Arial" w:cs="Arial"/>
                <w:bCs/>
                <w:i/>
                <w:sz w:val="20"/>
              </w:rPr>
              <w:t>gonorrhoeae</w:t>
            </w:r>
            <w:proofErr w:type="spellEnd"/>
            <w:r>
              <w:rPr>
                <w:rFonts w:ascii="Arial" w:hAnsi="Arial" w:cs="Arial"/>
                <w:bCs/>
                <w:i/>
                <w:sz w:val="20"/>
              </w:rPr>
              <w:t xml:space="preserve"> </w:t>
            </w:r>
            <w:r>
              <w:rPr>
                <w:rFonts w:ascii="Arial" w:hAnsi="Arial" w:cs="Arial"/>
                <w:bCs/>
                <w:sz w:val="20"/>
              </w:rPr>
              <w:t>is sensitive to cold temperatures and drying.</w:t>
            </w:r>
          </w:p>
          <w:p w:rsidR="00C57960" w:rsidRDefault="00C57960" w:rsidP="00DD393A">
            <w:pPr>
              <w:numPr>
                <w:ilvl w:val="0"/>
                <w:numId w:val="12"/>
              </w:numPr>
              <w:rPr>
                <w:rFonts w:ascii="Arial" w:hAnsi="Arial" w:cs="Arial"/>
                <w:bCs/>
                <w:sz w:val="20"/>
              </w:rPr>
            </w:pPr>
            <w:r>
              <w:rPr>
                <w:rFonts w:ascii="Arial" w:hAnsi="Arial" w:cs="Arial"/>
                <w:bCs/>
                <w:iCs/>
                <w:sz w:val="20"/>
              </w:rPr>
              <w:t xml:space="preserve">Heavy growth of yeast is inhibitory to </w:t>
            </w:r>
            <w:r>
              <w:rPr>
                <w:rFonts w:ascii="Arial" w:hAnsi="Arial" w:cs="Arial"/>
                <w:bCs/>
                <w:i/>
                <w:sz w:val="20"/>
              </w:rPr>
              <w:t xml:space="preserve">N. </w:t>
            </w:r>
            <w:proofErr w:type="spellStart"/>
            <w:r>
              <w:rPr>
                <w:rFonts w:ascii="Arial" w:hAnsi="Arial" w:cs="Arial"/>
                <w:bCs/>
                <w:i/>
                <w:sz w:val="20"/>
              </w:rPr>
              <w:t>gonorrhoeae</w:t>
            </w:r>
            <w:proofErr w:type="spellEnd"/>
            <w:r>
              <w:rPr>
                <w:rFonts w:ascii="Arial" w:hAnsi="Arial" w:cs="Arial"/>
                <w:bCs/>
                <w:i/>
                <w:sz w:val="20"/>
              </w:rPr>
              <w:t>.</w:t>
            </w:r>
          </w:p>
          <w:p w:rsidR="00111D3D" w:rsidRDefault="00C57960" w:rsidP="00DD393A">
            <w:pPr>
              <w:numPr>
                <w:ilvl w:val="0"/>
                <w:numId w:val="12"/>
              </w:numPr>
              <w:rPr>
                <w:rFonts w:ascii="Arial" w:hAnsi="Arial" w:cs="Arial"/>
                <w:bCs/>
                <w:sz w:val="20"/>
              </w:rPr>
            </w:pPr>
            <w:r>
              <w:rPr>
                <w:rFonts w:ascii="Arial" w:hAnsi="Arial" w:cs="Arial"/>
                <w:bCs/>
                <w:sz w:val="20"/>
              </w:rPr>
              <w:t xml:space="preserve">Because </w:t>
            </w:r>
            <w:r>
              <w:rPr>
                <w:rFonts w:ascii="Arial" w:hAnsi="Arial" w:cs="Arial"/>
                <w:bCs/>
                <w:i/>
                <w:sz w:val="20"/>
              </w:rPr>
              <w:t xml:space="preserve">N. </w:t>
            </w:r>
            <w:proofErr w:type="spellStart"/>
            <w:r>
              <w:rPr>
                <w:rFonts w:ascii="Arial" w:hAnsi="Arial" w:cs="Arial"/>
                <w:bCs/>
                <w:i/>
                <w:sz w:val="20"/>
              </w:rPr>
              <w:t>gonorrhoeae</w:t>
            </w:r>
            <w:proofErr w:type="spellEnd"/>
            <w:r>
              <w:rPr>
                <w:rFonts w:ascii="Arial" w:hAnsi="Arial" w:cs="Arial"/>
                <w:bCs/>
                <w:sz w:val="20"/>
              </w:rPr>
              <w:t xml:space="preserve"> is very labile, a negative culture does not rule out infection.</w:t>
            </w:r>
          </w:p>
          <w:p w:rsidR="00111D3D" w:rsidRPr="00111D3D" w:rsidRDefault="00111D3D" w:rsidP="00111D3D">
            <w:pPr>
              <w:ind w:left="360"/>
              <w:rPr>
                <w:rFonts w:ascii="Arial" w:hAnsi="Arial" w:cs="Arial"/>
                <w:bCs/>
                <w:sz w:val="20"/>
              </w:rPr>
            </w:pPr>
          </w:p>
        </w:tc>
      </w:tr>
      <w:tr w:rsidR="00C579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Pr>
        <w:tc>
          <w:tcPr>
            <w:tcW w:w="1789" w:type="dxa"/>
            <w:tcBorders>
              <w:left w:val="nil"/>
            </w:tcBorders>
          </w:tcPr>
          <w:p w:rsidR="00C57960" w:rsidRDefault="00C57960">
            <w:pPr>
              <w:rPr>
                <w:rFonts w:ascii="Arial" w:hAnsi="Arial"/>
                <w:b/>
                <w:color w:val="0000FF"/>
                <w:sz w:val="20"/>
              </w:rPr>
            </w:pPr>
          </w:p>
          <w:p w:rsidR="00C57960" w:rsidRDefault="00C57960">
            <w:pPr>
              <w:rPr>
                <w:rFonts w:ascii="Arial" w:hAnsi="Arial"/>
                <w:b/>
                <w:color w:val="0000FF"/>
                <w:sz w:val="20"/>
              </w:rPr>
            </w:pPr>
            <w:r>
              <w:rPr>
                <w:rFonts w:ascii="Arial" w:hAnsi="Arial"/>
                <w:b/>
                <w:color w:val="0000FF"/>
                <w:sz w:val="20"/>
              </w:rPr>
              <w:t>References</w:t>
            </w:r>
          </w:p>
          <w:p w:rsidR="00C57960" w:rsidRDefault="00C57960">
            <w:pPr>
              <w:rPr>
                <w:rFonts w:ascii="Arial" w:hAnsi="Arial"/>
                <w:b/>
                <w:color w:val="0000FF"/>
                <w:sz w:val="20"/>
              </w:rPr>
            </w:pPr>
          </w:p>
        </w:tc>
        <w:tc>
          <w:tcPr>
            <w:tcW w:w="9371" w:type="dxa"/>
            <w:gridSpan w:val="14"/>
            <w:tcBorders>
              <w:top w:val="single" w:sz="4" w:space="0" w:color="auto"/>
              <w:bottom w:val="single" w:sz="4" w:space="0" w:color="auto"/>
              <w:right w:val="nil"/>
            </w:tcBorders>
          </w:tcPr>
          <w:p w:rsidR="00111D3D" w:rsidRDefault="00111D3D" w:rsidP="00111D3D">
            <w:pPr>
              <w:ind w:left="360"/>
              <w:rPr>
                <w:rFonts w:ascii="Arial" w:hAnsi="Arial" w:cs="Arial"/>
                <w:sz w:val="16"/>
                <w:szCs w:val="16"/>
              </w:rPr>
            </w:pPr>
          </w:p>
          <w:p w:rsidR="00C57960" w:rsidRPr="00111D3D" w:rsidRDefault="00C57960" w:rsidP="00DD393A">
            <w:pPr>
              <w:numPr>
                <w:ilvl w:val="0"/>
                <w:numId w:val="16"/>
              </w:numPr>
              <w:rPr>
                <w:rFonts w:ascii="Arial" w:hAnsi="Arial" w:cs="Arial"/>
                <w:sz w:val="16"/>
                <w:szCs w:val="16"/>
              </w:rPr>
            </w:pPr>
            <w:r w:rsidRPr="00111D3D">
              <w:rPr>
                <w:rFonts w:ascii="Arial" w:hAnsi="Arial" w:cs="Arial"/>
                <w:sz w:val="16"/>
                <w:szCs w:val="16"/>
              </w:rPr>
              <w:t xml:space="preserve">Forbes, B.A., et al., Bailey &amp; Scott’s </w:t>
            </w:r>
            <w:r w:rsidRPr="00111D3D">
              <w:rPr>
                <w:rFonts w:ascii="Arial" w:hAnsi="Arial" w:cs="Arial"/>
                <w:i/>
                <w:sz w:val="16"/>
                <w:szCs w:val="16"/>
              </w:rPr>
              <w:t>Diagnostic Microbiology</w:t>
            </w:r>
            <w:r w:rsidRPr="00111D3D">
              <w:rPr>
                <w:rFonts w:ascii="Arial" w:hAnsi="Arial" w:cs="Arial"/>
                <w:sz w:val="16"/>
                <w:szCs w:val="16"/>
              </w:rPr>
              <w:t>, twelfth edition, 2007. Mosby, Inc., St. Louis, MO., pg. 452-453.</w:t>
            </w:r>
          </w:p>
          <w:p w:rsidR="00C57960" w:rsidRPr="00111D3D" w:rsidRDefault="00111D3D" w:rsidP="00DD393A">
            <w:pPr>
              <w:numPr>
                <w:ilvl w:val="0"/>
                <w:numId w:val="16"/>
              </w:numPr>
              <w:rPr>
                <w:rFonts w:ascii="Arial" w:hAnsi="Arial" w:cs="Arial"/>
                <w:sz w:val="16"/>
                <w:szCs w:val="16"/>
              </w:rPr>
            </w:pPr>
            <w:proofErr w:type="spellStart"/>
            <w:r w:rsidRPr="00111D3D">
              <w:rPr>
                <w:rFonts w:ascii="Arial" w:hAnsi="Arial" w:cs="Arial"/>
                <w:sz w:val="16"/>
                <w:szCs w:val="16"/>
              </w:rPr>
              <w:t>Versalovic</w:t>
            </w:r>
            <w:proofErr w:type="spellEnd"/>
            <w:r w:rsidRPr="00111D3D">
              <w:rPr>
                <w:rFonts w:ascii="Arial" w:hAnsi="Arial" w:cs="Arial"/>
                <w:sz w:val="16"/>
                <w:szCs w:val="16"/>
              </w:rPr>
              <w:t>, James,</w:t>
            </w:r>
            <w:r w:rsidR="00C57960" w:rsidRPr="00111D3D">
              <w:rPr>
                <w:rFonts w:ascii="Arial" w:hAnsi="Arial" w:cs="Arial"/>
                <w:sz w:val="16"/>
                <w:szCs w:val="16"/>
              </w:rPr>
              <w:t xml:space="preserve"> et al, </w:t>
            </w:r>
            <w:r w:rsidR="00C57960" w:rsidRPr="00111D3D">
              <w:rPr>
                <w:rFonts w:ascii="Arial" w:hAnsi="Arial" w:cs="Arial"/>
                <w:i/>
                <w:sz w:val="16"/>
                <w:szCs w:val="16"/>
              </w:rPr>
              <w:t>Manual of Clinical Microbiology</w:t>
            </w:r>
            <w:r w:rsidRPr="00111D3D">
              <w:rPr>
                <w:rFonts w:ascii="Arial" w:hAnsi="Arial" w:cs="Arial"/>
                <w:sz w:val="16"/>
                <w:szCs w:val="16"/>
              </w:rPr>
              <w:t>, 2011</w:t>
            </w:r>
            <w:r w:rsidR="00C57960" w:rsidRPr="00111D3D">
              <w:rPr>
                <w:rFonts w:ascii="Arial" w:hAnsi="Arial" w:cs="Arial"/>
                <w:sz w:val="16"/>
                <w:szCs w:val="16"/>
              </w:rPr>
              <w:t>, ASM press, American Society for</w:t>
            </w:r>
            <w:r w:rsidRPr="00111D3D">
              <w:rPr>
                <w:rFonts w:ascii="Arial" w:hAnsi="Arial" w:cs="Arial"/>
                <w:sz w:val="16"/>
                <w:szCs w:val="16"/>
              </w:rPr>
              <w:t xml:space="preserve"> Microbiology, Washington, D.C.</w:t>
            </w:r>
          </w:p>
          <w:p w:rsidR="00C57960" w:rsidRPr="00111D3D" w:rsidRDefault="00C57960" w:rsidP="00DD393A">
            <w:pPr>
              <w:pStyle w:val="Header"/>
              <w:numPr>
                <w:ilvl w:val="0"/>
                <w:numId w:val="16"/>
              </w:numPr>
              <w:tabs>
                <w:tab w:val="clear" w:pos="4320"/>
                <w:tab w:val="clear" w:pos="8640"/>
              </w:tabs>
              <w:rPr>
                <w:rFonts w:ascii="Arial" w:hAnsi="Arial" w:cs="Arial"/>
                <w:sz w:val="16"/>
                <w:szCs w:val="16"/>
              </w:rPr>
            </w:pPr>
            <w:proofErr w:type="spellStart"/>
            <w:r w:rsidRPr="00111D3D">
              <w:rPr>
                <w:rFonts w:ascii="Arial" w:hAnsi="Arial" w:cs="Arial"/>
                <w:sz w:val="16"/>
                <w:szCs w:val="16"/>
              </w:rPr>
              <w:t>Pezzlo</w:t>
            </w:r>
            <w:proofErr w:type="spellEnd"/>
            <w:r w:rsidRPr="00111D3D">
              <w:rPr>
                <w:rFonts w:ascii="Arial" w:hAnsi="Arial" w:cs="Arial"/>
                <w:sz w:val="16"/>
                <w:szCs w:val="16"/>
              </w:rPr>
              <w:t xml:space="preserve">, M., Section 2, Aerobic bacteriology, 2.7, Processing and interpretation of genital cultures, </w:t>
            </w:r>
            <w:r w:rsidRPr="00111D3D">
              <w:rPr>
                <w:rFonts w:ascii="Arial" w:hAnsi="Arial" w:cs="Arial"/>
                <w:i/>
                <w:sz w:val="16"/>
                <w:szCs w:val="16"/>
              </w:rPr>
              <w:t>In</w:t>
            </w:r>
            <w:r w:rsidRPr="00111D3D">
              <w:rPr>
                <w:rFonts w:ascii="Arial" w:hAnsi="Arial" w:cs="Arial"/>
                <w:sz w:val="16"/>
                <w:szCs w:val="16"/>
              </w:rPr>
              <w:t xml:space="preserve"> H.D. Isenberg (</w:t>
            </w:r>
            <w:proofErr w:type="spellStart"/>
            <w:r w:rsidRPr="00111D3D">
              <w:rPr>
                <w:rFonts w:ascii="Arial" w:hAnsi="Arial" w:cs="Arial"/>
                <w:sz w:val="16"/>
                <w:szCs w:val="16"/>
              </w:rPr>
              <w:t>ed</w:t>
            </w:r>
            <w:proofErr w:type="spellEnd"/>
            <w:r w:rsidRPr="00111D3D">
              <w:rPr>
                <w:rFonts w:ascii="Arial" w:hAnsi="Arial" w:cs="Arial"/>
                <w:sz w:val="16"/>
                <w:szCs w:val="16"/>
              </w:rPr>
              <w:t>)</w:t>
            </w:r>
            <w:r w:rsidRPr="00111D3D">
              <w:rPr>
                <w:rFonts w:ascii="Arial" w:hAnsi="Arial" w:cs="Arial"/>
                <w:i/>
                <w:sz w:val="16"/>
                <w:szCs w:val="16"/>
              </w:rPr>
              <w:t xml:space="preserve"> Clinical Microbiology Procedures Handbook</w:t>
            </w:r>
            <w:r w:rsidRPr="00111D3D">
              <w:rPr>
                <w:rFonts w:ascii="Arial" w:hAnsi="Arial" w:cs="Arial"/>
                <w:sz w:val="16"/>
                <w:szCs w:val="16"/>
              </w:rPr>
              <w:t>, 1994, American Society for Microbiology, Washington, D.C., pg. 81-89.</w:t>
            </w:r>
          </w:p>
          <w:p w:rsidR="00C57960" w:rsidRPr="00111D3D" w:rsidRDefault="00C57960" w:rsidP="00DD393A">
            <w:pPr>
              <w:pStyle w:val="Header"/>
              <w:numPr>
                <w:ilvl w:val="0"/>
                <w:numId w:val="16"/>
              </w:numPr>
              <w:tabs>
                <w:tab w:val="clear" w:pos="4320"/>
                <w:tab w:val="clear" w:pos="8640"/>
              </w:tabs>
              <w:rPr>
                <w:rFonts w:ascii="Arial" w:hAnsi="Arial" w:cs="Arial"/>
                <w:sz w:val="16"/>
                <w:szCs w:val="16"/>
              </w:rPr>
            </w:pPr>
            <w:r w:rsidRPr="00111D3D">
              <w:rPr>
                <w:rFonts w:ascii="Arial" w:hAnsi="Arial" w:cs="Arial"/>
                <w:sz w:val="16"/>
                <w:szCs w:val="16"/>
              </w:rPr>
              <w:t>BBL Quality Control and Product Information Manual for Plated Media, L007392, Rev. 06. January 2001, pg. 81-82.</w:t>
            </w:r>
          </w:p>
          <w:p w:rsidR="00C57960" w:rsidRPr="00111D3D" w:rsidRDefault="00C57960" w:rsidP="00DD393A">
            <w:pPr>
              <w:pStyle w:val="Header"/>
              <w:numPr>
                <w:ilvl w:val="0"/>
                <w:numId w:val="16"/>
              </w:numPr>
              <w:tabs>
                <w:tab w:val="clear" w:pos="4320"/>
                <w:tab w:val="clear" w:pos="8640"/>
              </w:tabs>
              <w:rPr>
                <w:rFonts w:ascii="Arial" w:hAnsi="Arial" w:cs="Arial"/>
                <w:sz w:val="16"/>
                <w:szCs w:val="16"/>
              </w:rPr>
            </w:pPr>
            <w:r w:rsidRPr="00111D3D">
              <w:rPr>
                <w:rFonts w:ascii="Arial" w:hAnsi="Arial" w:cs="Arial"/>
                <w:sz w:val="16"/>
                <w:szCs w:val="16"/>
              </w:rPr>
              <w:t xml:space="preserve">Kellogg, D.S., Jr., K.K. Holmes, and G.A. Hill. 1976. </w:t>
            </w:r>
            <w:proofErr w:type="spellStart"/>
            <w:r w:rsidRPr="00111D3D">
              <w:rPr>
                <w:rFonts w:ascii="Arial" w:hAnsi="Arial" w:cs="Arial"/>
                <w:i/>
                <w:sz w:val="16"/>
                <w:szCs w:val="16"/>
              </w:rPr>
              <w:t>Cumitech</w:t>
            </w:r>
            <w:proofErr w:type="spellEnd"/>
            <w:r w:rsidRPr="00111D3D">
              <w:rPr>
                <w:rFonts w:ascii="Arial" w:hAnsi="Arial" w:cs="Arial"/>
                <w:i/>
                <w:sz w:val="16"/>
                <w:szCs w:val="16"/>
              </w:rPr>
              <w:t xml:space="preserve"> 4, Laboratory diagnosis of gonorrhea. </w:t>
            </w:r>
            <w:r w:rsidRPr="00111D3D">
              <w:rPr>
                <w:rFonts w:ascii="Arial" w:hAnsi="Arial" w:cs="Arial"/>
                <w:sz w:val="16"/>
                <w:szCs w:val="16"/>
              </w:rPr>
              <w:t xml:space="preserve">Coordinating ed., S. Marcus and J.C. </w:t>
            </w:r>
            <w:proofErr w:type="spellStart"/>
            <w:r w:rsidRPr="00111D3D">
              <w:rPr>
                <w:rFonts w:ascii="Arial" w:hAnsi="Arial" w:cs="Arial"/>
                <w:sz w:val="16"/>
                <w:szCs w:val="16"/>
              </w:rPr>
              <w:t>Sherris</w:t>
            </w:r>
            <w:proofErr w:type="spellEnd"/>
            <w:r w:rsidRPr="00111D3D">
              <w:rPr>
                <w:rFonts w:ascii="Arial" w:hAnsi="Arial" w:cs="Arial"/>
                <w:sz w:val="16"/>
                <w:szCs w:val="16"/>
              </w:rPr>
              <w:t>. American Society for Microbiology, Washington, D.C.</w:t>
            </w:r>
          </w:p>
          <w:p w:rsidR="00C57960" w:rsidRPr="00111D3D" w:rsidRDefault="00C57960" w:rsidP="00DD393A">
            <w:pPr>
              <w:pStyle w:val="Header"/>
              <w:numPr>
                <w:ilvl w:val="0"/>
                <w:numId w:val="16"/>
              </w:numPr>
              <w:tabs>
                <w:tab w:val="clear" w:pos="4320"/>
                <w:tab w:val="clear" w:pos="8640"/>
              </w:tabs>
              <w:rPr>
                <w:rFonts w:ascii="Arial" w:hAnsi="Arial" w:cs="Arial"/>
                <w:sz w:val="16"/>
                <w:szCs w:val="16"/>
              </w:rPr>
            </w:pPr>
            <w:r w:rsidRPr="00111D3D">
              <w:rPr>
                <w:rFonts w:ascii="Arial" w:hAnsi="Arial" w:cs="Arial"/>
                <w:bCs/>
                <w:sz w:val="16"/>
                <w:szCs w:val="16"/>
              </w:rPr>
              <w:t xml:space="preserve">Dunne, W.M., Section 3, Aerobic bacteriology, 3.9.3, </w:t>
            </w:r>
            <w:r w:rsidRPr="00111D3D">
              <w:rPr>
                <w:rFonts w:ascii="Arial" w:hAnsi="Arial" w:cs="Arial"/>
                <w:bCs/>
                <w:i/>
                <w:sz w:val="16"/>
                <w:szCs w:val="16"/>
              </w:rPr>
              <w:t>In</w:t>
            </w:r>
            <w:r w:rsidRPr="00111D3D">
              <w:rPr>
                <w:rFonts w:ascii="Arial" w:hAnsi="Arial" w:cs="Arial"/>
                <w:bCs/>
                <w:sz w:val="16"/>
                <w:szCs w:val="16"/>
              </w:rPr>
              <w:t xml:space="preserve"> L.S. Garcia (</w:t>
            </w:r>
            <w:proofErr w:type="spellStart"/>
            <w:r w:rsidRPr="00111D3D">
              <w:rPr>
                <w:rFonts w:ascii="Arial" w:hAnsi="Arial" w:cs="Arial"/>
                <w:bCs/>
                <w:sz w:val="16"/>
                <w:szCs w:val="16"/>
              </w:rPr>
              <w:t>ed</w:t>
            </w:r>
            <w:proofErr w:type="spellEnd"/>
            <w:r w:rsidRPr="00111D3D">
              <w:rPr>
                <w:rFonts w:ascii="Arial" w:hAnsi="Arial" w:cs="Arial"/>
                <w:bCs/>
                <w:sz w:val="16"/>
                <w:szCs w:val="16"/>
              </w:rPr>
              <w:t>)</w:t>
            </w:r>
            <w:r w:rsidRPr="00111D3D">
              <w:rPr>
                <w:rFonts w:ascii="Arial" w:hAnsi="Arial" w:cs="Arial"/>
                <w:bCs/>
                <w:i/>
                <w:sz w:val="16"/>
                <w:szCs w:val="16"/>
              </w:rPr>
              <w:t xml:space="preserve"> Clinical Microbiology Procedures Handbook</w:t>
            </w:r>
            <w:r w:rsidRPr="00111D3D">
              <w:rPr>
                <w:rFonts w:ascii="Arial" w:hAnsi="Arial" w:cs="Arial"/>
                <w:bCs/>
                <w:sz w:val="16"/>
                <w:szCs w:val="16"/>
              </w:rPr>
              <w:t>, 2010, American Society for Microbiology, Washington, D.C.</w:t>
            </w:r>
          </w:p>
          <w:p w:rsidR="00111D3D" w:rsidRPr="00111D3D" w:rsidRDefault="00111D3D" w:rsidP="00111D3D">
            <w:pPr>
              <w:pStyle w:val="Header"/>
              <w:tabs>
                <w:tab w:val="clear" w:pos="4320"/>
                <w:tab w:val="clear" w:pos="8640"/>
              </w:tabs>
              <w:ind w:left="360"/>
              <w:rPr>
                <w:rFonts w:ascii="Arial" w:hAnsi="Arial" w:cs="Arial"/>
                <w:sz w:val="16"/>
                <w:szCs w:val="16"/>
              </w:rPr>
            </w:pPr>
          </w:p>
        </w:tc>
      </w:tr>
      <w:tr w:rsidR="00C579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Height w:val="525"/>
        </w:trPr>
        <w:tc>
          <w:tcPr>
            <w:tcW w:w="1789" w:type="dxa"/>
            <w:tcBorders>
              <w:top w:val="nil"/>
              <w:left w:val="nil"/>
              <w:bottom w:val="nil"/>
            </w:tcBorders>
          </w:tcPr>
          <w:p w:rsidR="00C57960" w:rsidRDefault="00C57960">
            <w:pPr>
              <w:rPr>
                <w:rFonts w:ascii="Arial" w:hAnsi="Arial"/>
                <w:b/>
                <w:color w:val="0000FF"/>
                <w:sz w:val="20"/>
              </w:rPr>
            </w:pPr>
          </w:p>
          <w:p w:rsidR="00C57960" w:rsidRDefault="00C57960">
            <w:pPr>
              <w:rPr>
                <w:rFonts w:ascii="Arial" w:hAnsi="Arial"/>
                <w:b/>
                <w:color w:val="0000FF"/>
                <w:sz w:val="20"/>
              </w:rPr>
            </w:pPr>
            <w:r>
              <w:rPr>
                <w:rFonts w:ascii="Arial" w:hAnsi="Arial"/>
                <w:b/>
                <w:color w:val="0000FF"/>
                <w:sz w:val="20"/>
              </w:rPr>
              <w:t>Appendices</w:t>
            </w:r>
          </w:p>
          <w:p w:rsidR="00C57960" w:rsidRDefault="00C57960">
            <w:pPr>
              <w:rPr>
                <w:rFonts w:ascii="Arial" w:hAnsi="Arial"/>
                <w:b/>
                <w:color w:val="0000FF"/>
                <w:sz w:val="20"/>
              </w:rPr>
            </w:pPr>
          </w:p>
        </w:tc>
        <w:tc>
          <w:tcPr>
            <w:tcW w:w="9371" w:type="dxa"/>
            <w:gridSpan w:val="14"/>
            <w:tcBorders>
              <w:top w:val="single" w:sz="4" w:space="0" w:color="auto"/>
              <w:bottom w:val="single" w:sz="4" w:space="0" w:color="auto"/>
              <w:right w:val="nil"/>
            </w:tcBorders>
          </w:tcPr>
          <w:p w:rsidR="00111D3D" w:rsidRDefault="00111D3D">
            <w:pPr>
              <w:jc w:val="left"/>
              <w:rPr>
                <w:rFonts w:ascii="Arial" w:hAnsi="Arial" w:cs="Arial"/>
                <w:sz w:val="16"/>
              </w:rPr>
            </w:pPr>
          </w:p>
          <w:p w:rsidR="00C57960" w:rsidRDefault="00C57960">
            <w:pPr>
              <w:jc w:val="left"/>
              <w:rPr>
                <w:rFonts w:ascii="Arial" w:hAnsi="Arial" w:cs="Arial"/>
                <w:sz w:val="16"/>
              </w:rPr>
            </w:pPr>
            <w:r>
              <w:rPr>
                <w:rFonts w:ascii="Arial" w:hAnsi="Arial" w:cs="Arial"/>
                <w:sz w:val="16"/>
              </w:rPr>
              <w:t>WORKLABEL MEDIA FORM DEFINITION</w:t>
            </w:r>
          </w:p>
          <w:p w:rsidR="00C57960" w:rsidRDefault="00111D3D">
            <w:pPr>
              <w:pStyle w:val="Header"/>
              <w:rPr>
                <w:rFonts w:ascii="Arial" w:hAnsi="Arial" w:cs="Arial"/>
                <w:sz w:val="16"/>
              </w:rPr>
            </w:pPr>
            <w:r>
              <w:rPr>
                <w:rFonts w:ascii="Arial" w:hAnsi="Arial" w:cs="Arial"/>
                <w:sz w:val="16"/>
              </w:rPr>
              <w:t>BATTERY: GC</w:t>
            </w:r>
          </w:p>
          <w:p w:rsidR="00C57960" w:rsidRDefault="00C57960">
            <w:pPr>
              <w:pStyle w:val="Header"/>
              <w:tabs>
                <w:tab w:val="left" w:pos="90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C57960" w:rsidRDefault="00C57960">
            <w:pPr>
              <w:pStyle w:val="Header"/>
              <w:tabs>
                <w:tab w:val="left" w:pos="900"/>
              </w:tabs>
              <w:rPr>
                <w:rFonts w:ascii="Arial" w:hAnsi="Arial" w:cs="Arial"/>
                <w:sz w:val="16"/>
              </w:rPr>
            </w:pPr>
            <w:r>
              <w:rPr>
                <w:rFonts w:ascii="Arial" w:hAnsi="Arial" w:cs="Arial"/>
                <w:sz w:val="16"/>
              </w:rPr>
              <w:t>0</w:t>
            </w:r>
            <w:r>
              <w:rPr>
                <w:rFonts w:ascii="Arial" w:hAnsi="Arial" w:cs="Arial"/>
                <w:sz w:val="16"/>
              </w:rPr>
              <w:tab/>
              <w:t>CHOC, MTM</w:t>
            </w:r>
          </w:p>
          <w:p w:rsidR="00C57960" w:rsidRDefault="00C57960">
            <w:pPr>
              <w:pStyle w:val="Header"/>
              <w:tabs>
                <w:tab w:val="left" w:pos="900"/>
              </w:tabs>
              <w:rPr>
                <w:rFonts w:ascii="Arial" w:hAnsi="Arial" w:cs="Arial"/>
                <w:sz w:val="16"/>
              </w:rPr>
            </w:pPr>
            <w:r>
              <w:rPr>
                <w:rFonts w:ascii="Arial" w:hAnsi="Arial" w:cs="Arial"/>
                <w:sz w:val="16"/>
              </w:rPr>
              <w:t>RECT</w:t>
            </w:r>
            <w:r>
              <w:rPr>
                <w:rFonts w:ascii="Arial" w:hAnsi="Arial" w:cs="Arial"/>
                <w:sz w:val="16"/>
              </w:rPr>
              <w:tab/>
              <w:t>MTM</w:t>
            </w:r>
          </w:p>
          <w:p w:rsidR="00C57960" w:rsidRDefault="00C57960">
            <w:pPr>
              <w:pStyle w:val="Header"/>
              <w:tabs>
                <w:tab w:val="left" w:pos="900"/>
              </w:tabs>
              <w:rPr>
                <w:rFonts w:ascii="Arial" w:hAnsi="Arial" w:cs="Arial"/>
                <w:sz w:val="16"/>
              </w:rPr>
            </w:pPr>
            <w:r>
              <w:rPr>
                <w:rFonts w:ascii="Arial" w:hAnsi="Arial" w:cs="Arial"/>
                <w:sz w:val="16"/>
              </w:rPr>
              <w:t>RS</w:t>
            </w:r>
            <w:r>
              <w:rPr>
                <w:rFonts w:ascii="Arial" w:hAnsi="Arial" w:cs="Arial"/>
                <w:sz w:val="16"/>
              </w:rPr>
              <w:tab/>
              <w:t>MTM</w:t>
            </w:r>
          </w:p>
          <w:p w:rsidR="00C57960" w:rsidRDefault="00111D3D" w:rsidP="00111D3D">
            <w:pPr>
              <w:pStyle w:val="Header"/>
              <w:tabs>
                <w:tab w:val="clear" w:pos="4320"/>
                <w:tab w:val="clear" w:pos="8640"/>
                <w:tab w:val="left" w:pos="900"/>
              </w:tabs>
              <w:rPr>
                <w:rFonts w:ascii="Arial" w:hAnsi="Arial" w:cs="Arial"/>
                <w:sz w:val="16"/>
              </w:rPr>
            </w:pPr>
            <w:r>
              <w:rPr>
                <w:rFonts w:ascii="Arial" w:hAnsi="Arial" w:cs="Arial"/>
                <w:sz w:val="16"/>
              </w:rPr>
              <w:t>THR</w:t>
            </w:r>
            <w:r>
              <w:rPr>
                <w:rFonts w:ascii="Arial" w:hAnsi="Arial" w:cs="Arial"/>
                <w:sz w:val="16"/>
              </w:rPr>
              <w:tab/>
              <w:t>MTM</w:t>
            </w:r>
          </w:p>
          <w:p w:rsidR="00111D3D" w:rsidRDefault="00111D3D" w:rsidP="00111D3D">
            <w:pPr>
              <w:pStyle w:val="Header"/>
              <w:tabs>
                <w:tab w:val="clear" w:pos="4320"/>
                <w:tab w:val="clear" w:pos="8640"/>
                <w:tab w:val="left" w:pos="900"/>
              </w:tabs>
              <w:rPr>
                <w:rFonts w:ascii="Arial" w:hAnsi="Arial" w:cs="Arial"/>
                <w:sz w:val="16"/>
              </w:rPr>
            </w:pPr>
          </w:p>
          <w:p w:rsidR="00111D3D" w:rsidRPr="00111D3D" w:rsidRDefault="00111D3D" w:rsidP="00111D3D">
            <w:pPr>
              <w:pStyle w:val="Header"/>
              <w:tabs>
                <w:tab w:val="clear" w:pos="4320"/>
                <w:tab w:val="clear" w:pos="8640"/>
                <w:tab w:val="left" w:pos="900"/>
              </w:tabs>
              <w:rPr>
                <w:rFonts w:ascii="Arial" w:hAnsi="Arial" w:cs="Arial"/>
                <w:sz w:val="16"/>
              </w:rPr>
            </w:pPr>
          </w:p>
        </w:tc>
      </w:tr>
      <w:tr w:rsidR="00C579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60"/>
        </w:trPr>
        <w:tc>
          <w:tcPr>
            <w:tcW w:w="1789" w:type="dxa"/>
            <w:vMerge w:val="restart"/>
            <w:tcBorders>
              <w:top w:val="nil"/>
              <w:left w:val="nil"/>
              <w:right w:val="single" w:sz="4" w:space="0" w:color="auto"/>
            </w:tcBorders>
          </w:tcPr>
          <w:p w:rsidR="00C57960" w:rsidRDefault="00C57960">
            <w:pPr>
              <w:rPr>
                <w:rFonts w:ascii="Arial" w:hAnsi="Arial"/>
                <w:b/>
                <w:color w:val="0000FF"/>
                <w:sz w:val="20"/>
              </w:rPr>
            </w:pPr>
          </w:p>
          <w:p w:rsidR="00C57960" w:rsidRDefault="00C57960">
            <w:pPr>
              <w:jc w:val="left"/>
              <w:rPr>
                <w:rFonts w:ascii="Arial" w:hAnsi="Arial"/>
                <w:b/>
                <w:color w:val="0000FF"/>
                <w:sz w:val="20"/>
              </w:rPr>
            </w:pPr>
            <w:r>
              <w:rPr>
                <w:rFonts w:ascii="Arial" w:hAnsi="Arial"/>
                <w:b/>
                <w:color w:val="0000FF"/>
                <w:sz w:val="20"/>
              </w:rPr>
              <w:t>Training Plan/ Competency Assessment</w:t>
            </w:r>
          </w:p>
          <w:p w:rsidR="00C57960" w:rsidRDefault="00C57960">
            <w:pPr>
              <w:rPr>
                <w:rFonts w:ascii="Arial" w:hAnsi="Arial"/>
                <w:b/>
                <w:color w:val="0000FF"/>
                <w:sz w:val="20"/>
              </w:rPr>
            </w:pPr>
          </w:p>
        </w:tc>
        <w:tc>
          <w:tcPr>
            <w:tcW w:w="4510" w:type="dxa"/>
            <w:gridSpan w:val="8"/>
            <w:tcBorders>
              <w:top w:val="single" w:sz="4" w:space="0" w:color="auto"/>
              <w:left w:val="single" w:sz="4" w:space="0" w:color="auto"/>
              <w:bottom w:val="single" w:sz="4" w:space="0" w:color="auto"/>
              <w:right w:val="single" w:sz="4" w:space="0" w:color="auto"/>
            </w:tcBorders>
          </w:tcPr>
          <w:p w:rsidR="00C57960" w:rsidRPr="00111D3D" w:rsidRDefault="00C57960">
            <w:pPr>
              <w:jc w:val="left"/>
              <w:rPr>
                <w:rFonts w:ascii="Arial" w:hAnsi="Arial"/>
                <w:b/>
                <w:sz w:val="16"/>
                <w:szCs w:val="16"/>
              </w:rPr>
            </w:pPr>
            <w:r w:rsidRPr="00111D3D">
              <w:rPr>
                <w:rFonts w:ascii="Arial" w:hAnsi="Arial"/>
                <w:b/>
                <w:sz w:val="16"/>
                <w:szCs w:val="16"/>
              </w:rPr>
              <w:t>Training Plan</w:t>
            </w:r>
          </w:p>
        </w:tc>
        <w:tc>
          <w:tcPr>
            <w:tcW w:w="4861" w:type="dxa"/>
            <w:gridSpan w:val="6"/>
            <w:tcBorders>
              <w:top w:val="single" w:sz="4" w:space="0" w:color="auto"/>
              <w:left w:val="single" w:sz="4" w:space="0" w:color="auto"/>
              <w:bottom w:val="single" w:sz="4" w:space="0" w:color="auto"/>
              <w:right w:val="single" w:sz="4" w:space="0" w:color="auto"/>
            </w:tcBorders>
          </w:tcPr>
          <w:p w:rsidR="00C57960" w:rsidRPr="00111D3D" w:rsidRDefault="00C57960">
            <w:pPr>
              <w:jc w:val="left"/>
              <w:rPr>
                <w:rFonts w:ascii="Arial" w:hAnsi="Arial"/>
                <w:b/>
                <w:sz w:val="16"/>
                <w:szCs w:val="16"/>
              </w:rPr>
            </w:pPr>
            <w:r w:rsidRPr="00111D3D">
              <w:rPr>
                <w:rFonts w:ascii="Arial" w:hAnsi="Arial"/>
                <w:b/>
                <w:sz w:val="16"/>
                <w:szCs w:val="16"/>
              </w:rPr>
              <w:t>Initial Competency Assessment</w:t>
            </w:r>
          </w:p>
        </w:tc>
      </w:tr>
      <w:tr w:rsidR="00C57960" w:rsidT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493"/>
        </w:trPr>
        <w:tc>
          <w:tcPr>
            <w:tcW w:w="1789" w:type="dxa"/>
            <w:vMerge/>
            <w:tcBorders>
              <w:left w:val="nil"/>
              <w:bottom w:val="nil"/>
              <w:right w:val="single" w:sz="4" w:space="0" w:color="auto"/>
            </w:tcBorders>
          </w:tcPr>
          <w:p w:rsidR="00C57960" w:rsidRDefault="00C57960">
            <w:pPr>
              <w:rPr>
                <w:rFonts w:ascii="Arial" w:hAnsi="Arial"/>
                <w:b/>
                <w:color w:val="0000FF"/>
                <w:sz w:val="20"/>
              </w:rPr>
            </w:pPr>
          </w:p>
        </w:tc>
        <w:tc>
          <w:tcPr>
            <w:tcW w:w="4510" w:type="dxa"/>
            <w:gridSpan w:val="8"/>
            <w:tcBorders>
              <w:top w:val="single" w:sz="4" w:space="0" w:color="auto"/>
              <w:left w:val="single" w:sz="4" w:space="0" w:color="auto"/>
              <w:bottom w:val="single" w:sz="4" w:space="0" w:color="auto"/>
              <w:right w:val="single" w:sz="4" w:space="0" w:color="auto"/>
            </w:tcBorders>
          </w:tcPr>
          <w:p w:rsidR="00C57960" w:rsidRPr="00111D3D" w:rsidRDefault="00C57960">
            <w:pPr>
              <w:pStyle w:val="Header"/>
              <w:tabs>
                <w:tab w:val="clear" w:pos="4320"/>
                <w:tab w:val="clear" w:pos="8640"/>
              </w:tabs>
              <w:rPr>
                <w:rFonts w:ascii="Arial" w:hAnsi="Arial"/>
                <w:sz w:val="18"/>
                <w:szCs w:val="18"/>
              </w:rPr>
            </w:pPr>
          </w:p>
          <w:p w:rsidR="00C57960" w:rsidRPr="00111D3D" w:rsidRDefault="00C57960" w:rsidP="00DD393A">
            <w:pPr>
              <w:numPr>
                <w:ilvl w:val="0"/>
                <w:numId w:val="1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C57960" w:rsidRPr="00111D3D" w:rsidRDefault="00C57960" w:rsidP="00DD393A">
            <w:pPr>
              <w:numPr>
                <w:ilvl w:val="0"/>
                <w:numId w:val="1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C57960" w:rsidRPr="00111D3D" w:rsidRDefault="00C57960" w:rsidP="00DD393A">
            <w:pPr>
              <w:numPr>
                <w:ilvl w:val="0"/>
                <w:numId w:val="1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C57960" w:rsidRPr="00111D3D" w:rsidRDefault="00C57960">
            <w:pPr>
              <w:pStyle w:val="TableText"/>
              <w:autoSpaceDE/>
              <w:autoSpaceDN/>
              <w:rPr>
                <w:rFonts w:ascii="Arial" w:hAnsi="Arial"/>
                <w:sz w:val="18"/>
                <w:szCs w:val="18"/>
              </w:rPr>
            </w:pPr>
          </w:p>
        </w:tc>
        <w:tc>
          <w:tcPr>
            <w:tcW w:w="4861" w:type="dxa"/>
            <w:gridSpan w:val="6"/>
            <w:tcBorders>
              <w:top w:val="single" w:sz="4" w:space="0" w:color="auto"/>
              <w:left w:val="single" w:sz="4" w:space="0" w:color="auto"/>
              <w:bottom w:val="single" w:sz="4" w:space="0" w:color="auto"/>
              <w:right w:val="single" w:sz="4" w:space="0" w:color="auto"/>
            </w:tcBorders>
          </w:tcPr>
          <w:p w:rsidR="00C57960" w:rsidRPr="00111D3D" w:rsidRDefault="00C57960" w:rsidP="00DD393A">
            <w:pPr>
              <w:numPr>
                <w:ilvl w:val="0"/>
                <w:numId w:val="1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C57960" w:rsidRPr="00111D3D" w:rsidRDefault="00C57960">
            <w:pPr>
              <w:ind w:left="360"/>
              <w:jc w:val="left"/>
              <w:rPr>
                <w:rFonts w:ascii="Arial" w:hAnsi="Arial"/>
                <w:sz w:val="18"/>
                <w:szCs w:val="18"/>
              </w:rPr>
            </w:pP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89" w:type="dxa"/>
            <w:vMerge w:val="restart"/>
            <w:tcBorders>
              <w:left w:val="nil"/>
              <w:right w:val="single" w:sz="4" w:space="0" w:color="auto"/>
            </w:tcBorders>
          </w:tcPr>
          <w:p w:rsidR="00111D3D" w:rsidRDefault="00111D3D">
            <w:pPr>
              <w:rPr>
                <w:rFonts w:ascii="Arial" w:hAnsi="Arial"/>
                <w:b/>
                <w:color w:val="0000FF"/>
                <w:sz w:val="20"/>
              </w:rPr>
            </w:pPr>
            <w:r>
              <w:rPr>
                <w:rFonts w:ascii="Arial" w:hAnsi="Arial"/>
                <w:b/>
                <w:color w:val="0000FF"/>
                <w:sz w:val="20"/>
              </w:rPr>
              <w:t>Historical Record</w:t>
            </w: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b/>
                <w:sz w:val="16"/>
                <w:szCs w:val="16"/>
              </w:rPr>
            </w:pPr>
            <w:r w:rsidRPr="00111D3D">
              <w:rPr>
                <w:rFonts w:ascii="Arial" w:hAnsi="Arial"/>
                <w:b/>
                <w:sz w:val="16"/>
                <w:szCs w:val="16"/>
              </w:rPr>
              <w:t>Version</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b/>
                <w:sz w:val="16"/>
                <w:szCs w:val="16"/>
              </w:rPr>
            </w:pPr>
            <w:r w:rsidRPr="00111D3D">
              <w:rPr>
                <w:rFonts w:ascii="Arial" w:hAnsi="Arial"/>
                <w:b/>
                <w:sz w:val="16"/>
                <w:szCs w:val="16"/>
              </w:rPr>
              <w:t>Written/Revised by:</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b/>
                <w:sz w:val="16"/>
                <w:szCs w:val="16"/>
              </w:rPr>
            </w:pPr>
            <w:r w:rsidRPr="00111D3D">
              <w:rPr>
                <w:rFonts w:ascii="Arial" w:hAnsi="Arial"/>
                <w:b/>
                <w:sz w:val="16"/>
                <w:szCs w:val="16"/>
              </w:rPr>
              <w:t>Effective Date:</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b/>
                <w:sz w:val="16"/>
                <w:szCs w:val="16"/>
              </w:rPr>
            </w:pPr>
            <w:r w:rsidRPr="00111D3D">
              <w:rPr>
                <w:rFonts w:ascii="Arial" w:hAnsi="Arial"/>
                <w:b/>
                <w:sz w:val="16"/>
                <w:szCs w:val="16"/>
              </w:rPr>
              <w:t>Summary of Revisions</w:t>
            </w: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35"/>
        </w:trPr>
        <w:tc>
          <w:tcPr>
            <w:tcW w:w="1789" w:type="dxa"/>
            <w:vMerge/>
            <w:tcBorders>
              <w:left w:val="nil"/>
              <w:right w:val="single" w:sz="4" w:space="0" w:color="auto"/>
            </w:tcBorders>
          </w:tcPr>
          <w:p w:rsidR="00111D3D" w:rsidRDefault="00111D3D">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1.0</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Pat Ackerman</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1973</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Initial Version</w:t>
            </w: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43"/>
        </w:trPr>
        <w:tc>
          <w:tcPr>
            <w:tcW w:w="1789" w:type="dxa"/>
            <w:vMerge/>
            <w:tcBorders>
              <w:left w:val="nil"/>
              <w:bottom w:val="nil"/>
              <w:right w:val="single" w:sz="4" w:space="0" w:color="auto"/>
            </w:tcBorders>
          </w:tcPr>
          <w:p w:rsidR="00111D3D" w:rsidRDefault="00111D3D">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1.1</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Pat Ackerman</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11/1978</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Pr>
        <w:tc>
          <w:tcPr>
            <w:tcW w:w="1789" w:type="dxa"/>
            <w:vMerge/>
            <w:tcBorders>
              <w:top w:val="nil"/>
              <w:left w:val="nil"/>
              <w:bottom w:val="nil"/>
              <w:right w:val="single" w:sz="4" w:space="0" w:color="auto"/>
            </w:tcBorders>
          </w:tcPr>
          <w:p w:rsidR="00111D3D" w:rsidRDefault="00111D3D">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1.2</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Pat Ackerman</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07/20/2003</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vMerge w:val="restart"/>
            <w:tcBorders>
              <w:top w:val="nil"/>
              <w:left w:val="nil"/>
              <w:right w:val="single" w:sz="4" w:space="0" w:color="auto"/>
            </w:tcBorders>
          </w:tcPr>
          <w:p w:rsidR="00111D3D" w:rsidRDefault="00111D3D">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1.3</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Pat Ackerman</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12/10/2004</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bCs/>
                <w:sz w:val="16"/>
                <w:szCs w:val="16"/>
              </w:rPr>
            </w:pPr>
          </w:p>
        </w:tc>
        <w:tc>
          <w:tcPr>
            <w:tcW w:w="2703" w:type="dxa"/>
          </w:tcPr>
          <w:p w:rsidR="00111D3D" w:rsidRDefault="00111D3D">
            <w:pPr>
              <w:jc w:val="left"/>
              <w:rPr>
                <w:rFonts w:ascii="Arial" w:hAnsi="Arial"/>
                <w:sz w:val="20"/>
              </w:rPr>
            </w:pPr>
          </w:p>
        </w:tc>
        <w:tc>
          <w:tcPr>
            <w:tcW w:w="2697" w:type="dxa"/>
          </w:tcPr>
          <w:p w:rsidR="00111D3D" w:rsidRDefault="00111D3D">
            <w:pPr>
              <w:jc w:val="left"/>
              <w:rPr>
                <w:rFonts w:ascii="Arial" w:hAnsi="Arial"/>
                <w:sz w:val="20"/>
              </w:rPr>
            </w:pP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33"/>
        </w:trPr>
        <w:tc>
          <w:tcPr>
            <w:tcW w:w="1789" w:type="dxa"/>
            <w:vMerge/>
            <w:tcBorders>
              <w:left w:val="nil"/>
              <w:right w:val="single" w:sz="4" w:space="0" w:color="auto"/>
            </w:tcBorders>
          </w:tcPr>
          <w:p w:rsidR="00111D3D" w:rsidRDefault="00111D3D">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1.4</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Pat Ackerman</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08/05/2007</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 xml:space="preserve">Updated </w:t>
            </w:r>
            <w:proofErr w:type="spellStart"/>
            <w:r w:rsidRPr="00111D3D">
              <w:rPr>
                <w:rFonts w:ascii="Arial" w:hAnsi="Arial"/>
                <w:sz w:val="16"/>
                <w:szCs w:val="16"/>
              </w:rPr>
              <w:t>Sunquest</w:t>
            </w:r>
            <w:proofErr w:type="spellEnd"/>
            <w:r w:rsidRPr="00111D3D">
              <w:rPr>
                <w:rFonts w:ascii="Arial" w:hAnsi="Arial"/>
                <w:sz w:val="16"/>
                <w:szCs w:val="16"/>
              </w:rPr>
              <w:t xml:space="preserve"> 6.2 reporting information. Revised SRPT and CORR statements. Replaced API NH identification with Vitek NH. First voided urine specimens are only acceptable for men. Report UDET-NGON with overgrowth of yeast.</w:t>
            </w: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32"/>
        </w:trPr>
        <w:tc>
          <w:tcPr>
            <w:tcW w:w="1789" w:type="dxa"/>
            <w:vMerge/>
            <w:tcBorders>
              <w:left w:val="nil"/>
              <w:right w:val="single" w:sz="4" w:space="0" w:color="auto"/>
            </w:tcBorders>
          </w:tcPr>
          <w:p w:rsidR="00111D3D" w:rsidRDefault="00111D3D">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1.5</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Jessica Craig</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05/28/2010</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Updated into online format.</w:t>
            </w: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32"/>
        </w:trPr>
        <w:tc>
          <w:tcPr>
            <w:tcW w:w="1789" w:type="dxa"/>
            <w:vMerge/>
            <w:tcBorders>
              <w:left w:val="nil"/>
              <w:right w:val="single" w:sz="4" w:space="0" w:color="auto"/>
            </w:tcBorders>
          </w:tcPr>
          <w:p w:rsidR="00111D3D" w:rsidRDefault="00111D3D">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1.6</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Becky Carlson</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10/30/2013</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 xml:space="preserve">Revised online format.  </w:t>
            </w: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32"/>
        </w:trPr>
        <w:tc>
          <w:tcPr>
            <w:tcW w:w="1789" w:type="dxa"/>
            <w:vMerge/>
            <w:tcBorders>
              <w:left w:val="nil"/>
              <w:right w:val="single" w:sz="4" w:space="0" w:color="auto"/>
            </w:tcBorders>
          </w:tcPr>
          <w:p w:rsidR="00111D3D" w:rsidRDefault="00111D3D">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2</w:t>
            </w:r>
          </w:p>
        </w:tc>
        <w:tc>
          <w:tcPr>
            <w:tcW w:w="2700" w:type="dxa"/>
            <w:gridSpan w:val="3"/>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Becky Carlson</w:t>
            </w:r>
          </w:p>
        </w:tc>
        <w:tc>
          <w:tcPr>
            <w:tcW w:w="179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4/16/2015</w:t>
            </w:r>
          </w:p>
        </w:tc>
        <w:tc>
          <w:tcPr>
            <w:tcW w:w="3429" w:type="dxa"/>
            <w:gridSpan w:val="4"/>
            <w:tcBorders>
              <w:top w:val="single" w:sz="4" w:space="0" w:color="auto"/>
              <w:left w:val="single" w:sz="4" w:space="0" w:color="auto"/>
              <w:bottom w:val="single" w:sz="4" w:space="0" w:color="auto"/>
              <w:right w:val="single" w:sz="4" w:space="0" w:color="auto"/>
            </w:tcBorders>
          </w:tcPr>
          <w:p w:rsidR="00111D3D" w:rsidRPr="00111D3D" w:rsidRDefault="00111D3D">
            <w:pPr>
              <w:rPr>
                <w:rFonts w:ascii="Arial" w:hAnsi="Arial"/>
                <w:sz w:val="16"/>
                <w:szCs w:val="16"/>
              </w:rPr>
            </w:pPr>
            <w:r w:rsidRPr="00111D3D">
              <w:rPr>
                <w:rFonts w:ascii="Arial" w:hAnsi="Arial"/>
                <w:sz w:val="16"/>
                <w:szCs w:val="16"/>
              </w:rPr>
              <w:t xml:space="preserve">Re-numbered from MC 420 for CMS load. </w:t>
            </w:r>
          </w:p>
        </w:tc>
      </w:tr>
      <w:tr w:rsidR="001508FC">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32"/>
        </w:trPr>
        <w:tc>
          <w:tcPr>
            <w:tcW w:w="1789" w:type="dxa"/>
            <w:vMerge/>
            <w:tcBorders>
              <w:left w:val="nil"/>
              <w:right w:val="single" w:sz="4" w:space="0" w:color="auto"/>
            </w:tcBorders>
          </w:tcPr>
          <w:p w:rsidR="001508FC" w:rsidRDefault="001508FC">
            <w:pPr>
              <w:rPr>
                <w:rFonts w:ascii="Arial" w:hAnsi="Arial"/>
                <w:b/>
                <w:color w:val="0000FF"/>
                <w:sz w:val="20"/>
              </w:rPr>
            </w:pPr>
          </w:p>
        </w:tc>
        <w:tc>
          <w:tcPr>
            <w:tcW w:w="1443" w:type="dxa"/>
            <w:gridSpan w:val="3"/>
            <w:tcBorders>
              <w:top w:val="single" w:sz="4" w:space="0" w:color="auto"/>
              <w:left w:val="single" w:sz="4" w:space="0" w:color="auto"/>
              <w:bottom w:val="single" w:sz="4" w:space="0" w:color="auto"/>
              <w:right w:val="single" w:sz="4" w:space="0" w:color="auto"/>
            </w:tcBorders>
          </w:tcPr>
          <w:p w:rsidR="001508FC" w:rsidRPr="00111D3D" w:rsidRDefault="001508FC">
            <w:pPr>
              <w:rPr>
                <w:rFonts w:ascii="Arial" w:hAnsi="Arial"/>
                <w:sz w:val="16"/>
                <w:szCs w:val="16"/>
              </w:rPr>
            </w:pPr>
            <w:r>
              <w:rPr>
                <w:rFonts w:ascii="Arial" w:hAnsi="Arial"/>
                <w:sz w:val="16"/>
                <w:szCs w:val="16"/>
              </w:rPr>
              <w:t>3</w:t>
            </w:r>
          </w:p>
        </w:tc>
        <w:tc>
          <w:tcPr>
            <w:tcW w:w="2700" w:type="dxa"/>
            <w:gridSpan w:val="3"/>
            <w:tcBorders>
              <w:top w:val="single" w:sz="4" w:space="0" w:color="auto"/>
              <w:left w:val="single" w:sz="4" w:space="0" w:color="auto"/>
              <w:bottom w:val="single" w:sz="4" w:space="0" w:color="auto"/>
              <w:right w:val="single" w:sz="4" w:space="0" w:color="auto"/>
            </w:tcBorders>
          </w:tcPr>
          <w:p w:rsidR="001508FC" w:rsidRPr="00111D3D" w:rsidRDefault="001508FC">
            <w:pPr>
              <w:rPr>
                <w:rFonts w:ascii="Arial" w:hAnsi="Arial"/>
                <w:sz w:val="16"/>
                <w:szCs w:val="16"/>
              </w:rPr>
            </w:pPr>
            <w:r>
              <w:rPr>
                <w:rFonts w:ascii="Arial" w:hAnsi="Arial"/>
                <w:sz w:val="16"/>
                <w:szCs w:val="16"/>
              </w:rPr>
              <w:t xml:space="preserve">Susan </w:t>
            </w:r>
            <w:proofErr w:type="spellStart"/>
            <w:r>
              <w:rPr>
                <w:rFonts w:ascii="Arial" w:hAnsi="Arial"/>
                <w:sz w:val="16"/>
                <w:szCs w:val="16"/>
              </w:rPr>
              <w:t>DeMeyere</w:t>
            </w:r>
            <w:proofErr w:type="spellEnd"/>
          </w:p>
        </w:tc>
        <w:tc>
          <w:tcPr>
            <w:tcW w:w="1799" w:type="dxa"/>
            <w:gridSpan w:val="4"/>
            <w:tcBorders>
              <w:top w:val="single" w:sz="4" w:space="0" w:color="auto"/>
              <w:left w:val="single" w:sz="4" w:space="0" w:color="auto"/>
              <w:bottom w:val="single" w:sz="4" w:space="0" w:color="auto"/>
              <w:right w:val="single" w:sz="4" w:space="0" w:color="auto"/>
            </w:tcBorders>
          </w:tcPr>
          <w:p w:rsidR="001508FC" w:rsidRPr="00111D3D" w:rsidRDefault="001508FC">
            <w:pPr>
              <w:rPr>
                <w:rFonts w:ascii="Arial" w:hAnsi="Arial"/>
                <w:sz w:val="16"/>
                <w:szCs w:val="16"/>
              </w:rPr>
            </w:pPr>
            <w:r>
              <w:rPr>
                <w:rFonts w:ascii="Arial" w:hAnsi="Arial"/>
                <w:sz w:val="16"/>
                <w:szCs w:val="16"/>
              </w:rPr>
              <w:t>9/22/2017</w:t>
            </w:r>
          </w:p>
        </w:tc>
        <w:tc>
          <w:tcPr>
            <w:tcW w:w="3429" w:type="dxa"/>
            <w:gridSpan w:val="4"/>
            <w:tcBorders>
              <w:top w:val="single" w:sz="4" w:space="0" w:color="auto"/>
              <w:left w:val="single" w:sz="4" w:space="0" w:color="auto"/>
              <w:bottom w:val="single" w:sz="4" w:space="0" w:color="auto"/>
              <w:right w:val="single" w:sz="4" w:space="0" w:color="auto"/>
            </w:tcBorders>
          </w:tcPr>
          <w:p w:rsidR="001508FC" w:rsidRPr="00111D3D" w:rsidRDefault="001508FC">
            <w:pPr>
              <w:rPr>
                <w:rFonts w:ascii="Arial" w:hAnsi="Arial"/>
                <w:sz w:val="16"/>
                <w:szCs w:val="16"/>
              </w:rPr>
            </w:pPr>
            <w:r>
              <w:rPr>
                <w:rFonts w:ascii="Arial" w:hAnsi="Arial"/>
                <w:sz w:val="16"/>
                <w:szCs w:val="16"/>
              </w:rPr>
              <w:t xml:space="preserve">Removed </w:t>
            </w:r>
            <w:proofErr w:type="spellStart"/>
            <w:r>
              <w:rPr>
                <w:rFonts w:ascii="Arial" w:hAnsi="Arial"/>
                <w:sz w:val="16"/>
                <w:szCs w:val="16"/>
              </w:rPr>
              <w:t>Jembec</w:t>
            </w:r>
            <w:proofErr w:type="spellEnd"/>
            <w:r>
              <w:rPr>
                <w:rFonts w:ascii="Arial" w:hAnsi="Arial"/>
                <w:sz w:val="16"/>
                <w:szCs w:val="16"/>
              </w:rPr>
              <w:t xml:space="preserve"> media and workup. Added MALDI for identification. Update logo. </w:t>
            </w:r>
          </w:p>
        </w:tc>
      </w:tr>
      <w:tr w:rsidR="00111D3D">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77"/>
        </w:trPr>
        <w:tc>
          <w:tcPr>
            <w:tcW w:w="1789" w:type="dxa"/>
            <w:vMerge/>
            <w:tcBorders>
              <w:left w:val="nil"/>
              <w:bottom w:val="nil"/>
              <w:right w:val="single" w:sz="4" w:space="0" w:color="auto"/>
            </w:tcBorders>
          </w:tcPr>
          <w:p w:rsidR="00111D3D" w:rsidRDefault="00111D3D">
            <w:pPr>
              <w:rPr>
                <w:rFonts w:ascii="Arial" w:hAnsi="Arial"/>
                <w:b/>
                <w:color w:val="0000FF"/>
                <w:sz w:val="20"/>
              </w:rPr>
            </w:pPr>
          </w:p>
        </w:tc>
        <w:tc>
          <w:tcPr>
            <w:tcW w:w="1434" w:type="dxa"/>
            <w:gridSpan w:val="2"/>
            <w:tcBorders>
              <w:top w:val="single" w:sz="4" w:space="0" w:color="auto"/>
              <w:left w:val="single" w:sz="4" w:space="0" w:color="auto"/>
              <w:bottom w:val="single" w:sz="4" w:space="0" w:color="auto"/>
              <w:right w:val="single" w:sz="4" w:space="0" w:color="auto"/>
            </w:tcBorders>
          </w:tcPr>
          <w:p w:rsidR="00111D3D" w:rsidRDefault="00111D3D">
            <w:pPr>
              <w:jc w:val="left"/>
              <w:rPr>
                <w:rFonts w:ascii="Arial" w:hAnsi="Arial"/>
                <w:b/>
                <w:sz w:val="20"/>
              </w:rPr>
            </w:pPr>
            <w:r>
              <w:rPr>
                <w:rFonts w:ascii="Arial" w:hAnsi="Arial"/>
                <w:b/>
                <w:sz w:val="20"/>
              </w:rPr>
              <w:t>Archived by:</w:t>
            </w:r>
          </w:p>
        </w:tc>
        <w:tc>
          <w:tcPr>
            <w:tcW w:w="2698" w:type="dxa"/>
            <w:gridSpan w:val="3"/>
            <w:tcBorders>
              <w:top w:val="single" w:sz="4" w:space="0" w:color="auto"/>
              <w:left w:val="single" w:sz="4" w:space="0" w:color="auto"/>
              <w:bottom w:val="single" w:sz="4" w:space="0" w:color="auto"/>
              <w:right w:val="single" w:sz="4" w:space="0" w:color="auto"/>
            </w:tcBorders>
          </w:tcPr>
          <w:p w:rsidR="00111D3D" w:rsidRDefault="00111D3D">
            <w:pPr>
              <w:jc w:val="left"/>
              <w:rPr>
                <w:rFonts w:ascii="Arial" w:hAnsi="Arial"/>
                <w:sz w:val="20"/>
              </w:rPr>
            </w:pPr>
          </w:p>
        </w:tc>
        <w:tc>
          <w:tcPr>
            <w:tcW w:w="1802" w:type="dxa"/>
            <w:gridSpan w:val="4"/>
            <w:tcBorders>
              <w:top w:val="single" w:sz="4" w:space="0" w:color="auto"/>
              <w:left w:val="single" w:sz="4" w:space="0" w:color="auto"/>
              <w:bottom w:val="single" w:sz="4" w:space="0" w:color="auto"/>
              <w:right w:val="single" w:sz="4" w:space="0" w:color="auto"/>
            </w:tcBorders>
          </w:tcPr>
          <w:p w:rsidR="00111D3D" w:rsidRDefault="00111D3D">
            <w:pPr>
              <w:jc w:val="left"/>
              <w:rPr>
                <w:rFonts w:ascii="Arial" w:hAnsi="Arial"/>
                <w:b/>
                <w:sz w:val="20"/>
              </w:rPr>
            </w:pPr>
            <w:r>
              <w:rPr>
                <w:rFonts w:ascii="Arial" w:hAnsi="Arial"/>
                <w:b/>
                <w:sz w:val="20"/>
              </w:rPr>
              <w:t>Archived Date:</w:t>
            </w:r>
          </w:p>
        </w:tc>
        <w:tc>
          <w:tcPr>
            <w:tcW w:w="3437" w:type="dxa"/>
            <w:gridSpan w:val="5"/>
            <w:tcBorders>
              <w:top w:val="single" w:sz="4" w:space="0" w:color="auto"/>
              <w:left w:val="single" w:sz="4" w:space="0" w:color="auto"/>
              <w:bottom w:val="single" w:sz="4" w:space="0" w:color="auto"/>
              <w:right w:val="single" w:sz="4" w:space="0" w:color="auto"/>
            </w:tcBorders>
          </w:tcPr>
          <w:p w:rsidR="00111D3D" w:rsidRDefault="00111D3D">
            <w:pPr>
              <w:jc w:val="left"/>
              <w:rPr>
                <w:rFonts w:ascii="Arial" w:hAnsi="Arial"/>
                <w:sz w:val="20"/>
              </w:rPr>
            </w:pPr>
          </w:p>
        </w:tc>
      </w:tr>
    </w:tbl>
    <w:p w:rsidR="00C57960" w:rsidRDefault="00C57960">
      <w:pPr>
        <w:pStyle w:val="Header"/>
        <w:tabs>
          <w:tab w:val="clear" w:pos="4320"/>
          <w:tab w:val="clear" w:pos="8640"/>
        </w:tabs>
        <w:rPr>
          <w:rFonts w:ascii="Arial" w:hAnsi="Arial"/>
        </w:rPr>
      </w:pPr>
    </w:p>
    <w:sectPr w:rsidR="00C57960" w:rsidSect="00A549E1">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2D" w:rsidRDefault="0063542D">
      <w:r>
        <w:separator/>
      </w:r>
    </w:p>
  </w:endnote>
  <w:endnote w:type="continuationSeparator" w:id="0">
    <w:p w:rsidR="0063542D" w:rsidRDefault="006354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2D" w:rsidRDefault="0063542D" w:rsidP="00C57960">
    <w:pPr>
      <w:pStyle w:val="Footer"/>
    </w:pPr>
    <w:r w:rsidRPr="0097323C">
      <w:rPr>
        <w:rFonts w:ascii="Arial" w:hAnsi="Arial" w:cs="Arial"/>
        <w:sz w:val="16"/>
        <w:szCs w:val="16"/>
      </w:rPr>
      <w:t xml:space="preserve">Page </w:t>
    </w:r>
    <w:r w:rsidRPr="0097323C">
      <w:rPr>
        <w:rFonts w:ascii="Arial" w:hAnsi="Arial" w:cs="Arial"/>
        <w:b/>
        <w:sz w:val="16"/>
        <w:szCs w:val="16"/>
      </w:rPr>
      <w:fldChar w:fldCharType="begin"/>
    </w:r>
    <w:r w:rsidRPr="0097323C">
      <w:rPr>
        <w:rFonts w:ascii="Arial" w:hAnsi="Arial" w:cs="Arial"/>
        <w:b/>
        <w:sz w:val="16"/>
        <w:szCs w:val="16"/>
      </w:rPr>
      <w:instrText xml:space="preserve"> PAGE </w:instrText>
    </w:r>
    <w:r w:rsidRPr="0097323C">
      <w:rPr>
        <w:rFonts w:ascii="Arial" w:hAnsi="Arial" w:cs="Arial"/>
        <w:b/>
        <w:sz w:val="16"/>
        <w:szCs w:val="16"/>
      </w:rPr>
      <w:fldChar w:fldCharType="separate"/>
    </w:r>
    <w:r w:rsidR="001508FC">
      <w:rPr>
        <w:rFonts w:ascii="Arial" w:hAnsi="Arial" w:cs="Arial"/>
        <w:b/>
        <w:noProof/>
        <w:sz w:val="16"/>
        <w:szCs w:val="16"/>
      </w:rPr>
      <w:t>5</w:t>
    </w:r>
    <w:r w:rsidRPr="0097323C">
      <w:rPr>
        <w:rFonts w:ascii="Arial" w:hAnsi="Arial" w:cs="Arial"/>
        <w:b/>
        <w:sz w:val="16"/>
        <w:szCs w:val="16"/>
      </w:rPr>
      <w:fldChar w:fldCharType="end"/>
    </w:r>
    <w:r w:rsidRPr="0097323C">
      <w:rPr>
        <w:rFonts w:ascii="Arial" w:hAnsi="Arial" w:cs="Arial"/>
        <w:sz w:val="16"/>
        <w:szCs w:val="16"/>
      </w:rPr>
      <w:t xml:space="preserve"> of </w:t>
    </w:r>
    <w:r w:rsidRPr="0097323C">
      <w:rPr>
        <w:rFonts w:ascii="Arial" w:hAnsi="Arial" w:cs="Arial"/>
        <w:b/>
        <w:sz w:val="16"/>
        <w:szCs w:val="16"/>
      </w:rPr>
      <w:fldChar w:fldCharType="begin"/>
    </w:r>
    <w:r w:rsidRPr="0097323C">
      <w:rPr>
        <w:rFonts w:ascii="Arial" w:hAnsi="Arial" w:cs="Arial"/>
        <w:b/>
        <w:sz w:val="16"/>
        <w:szCs w:val="16"/>
      </w:rPr>
      <w:instrText xml:space="preserve"> NUMPAGES  </w:instrText>
    </w:r>
    <w:r w:rsidRPr="0097323C">
      <w:rPr>
        <w:rFonts w:ascii="Arial" w:hAnsi="Arial" w:cs="Arial"/>
        <w:b/>
        <w:sz w:val="16"/>
        <w:szCs w:val="16"/>
      </w:rPr>
      <w:fldChar w:fldCharType="separate"/>
    </w:r>
    <w:r w:rsidR="001508FC">
      <w:rPr>
        <w:rFonts w:ascii="Arial" w:hAnsi="Arial" w:cs="Arial"/>
        <w:b/>
        <w:noProof/>
        <w:sz w:val="16"/>
        <w:szCs w:val="16"/>
      </w:rPr>
      <w:t>5</w:t>
    </w:r>
    <w:r w:rsidRPr="0097323C">
      <w:rPr>
        <w:rFonts w:ascii="Arial" w:hAnsi="Arial" w:cs="Arial"/>
        <w:b/>
        <w:sz w:val="16"/>
        <w:szCs w:val="16"/>
      </w:rPr>
      <w:fldChar w:fldCharType="end"/>
    </w:r>
  </w:p>
  <w:p w:rsidR="0063542D" w:rsidRPr="008B6CFE" w:rsidRDefault="0063542D" w:rsidP="00C57960">
    <w:pPr>
      <w:pStyle w:val="Footer"/>
      <w:rPr>
        <w:sz w:val="16"/>
        <w:szCs w:val="16"/>
      </w:rPr>
    </w:pPr>
    <w:r w:rsidRPr="008B6CFE">
      <w:rPr>
        <w:sz w:val="16"/>
        <w:szCs w:val="16"/>
      </w:rPr>
      <w:t xml:space="preserve">Children’s Hospitals and Clinics of Minnesota Laboratory, </w:t>
    </w:r>
    <w:proofErr w:type="spellStart"/>
    <w:r w:rsidRPr="008B6CFE">
      <w:rPr>
        <w:sz w:val="16"/>
        <w:szCs w:val="16"/>
      </w:rPr>
      <w:t>Mpls</w:t>
    </w:r>
    <w:proofErr w:type="spellEnd"/>
    <w:r w:rsidRPr="008B6CFE">
      <w:rPr>
        <w:sz w:val="16"/>
        <w:szCs w:val="16"/>
      </w:rPr>
      <w:t>/St Paul MN</w:t>
    </w:r>
  </w:p>
  <w:p w:rsidR="0063542D" w:rsidRPr="008B6CFE" w:rsidRDefault="0063542D" w:rsidP="00C57960">
    <w:pPr>
      <w:pStyle w:val="Footer"/>
      <w:rPr>
        <w:sz w:val="16"/>
        <w:szCs w:val="16"/>
      </w:rPr>
    </w:pPr>
    <w:r w:rsidRPr="008B6CFE">
      <w:rPr>
        <w:sz w:val="16"/>
        <w:szCs w:val="16"/>
      </w:rPr>
      <w:t>Printed copy expires 2359 on day of print</w:t>
    </w:r>
  </w:p>
  <w:p w:rsidR="0063542D" w:rsidRDefault="0063542D">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2D" w:rsidRDefault="0063542D">
      <w:r>
        <w:separator/>
      </w:r>
    </w:p>
  </w:footnote>
  <w:footnote w:type="continuationSeparator" w:id="0">
    <w:p w:rsidR="0063542D" w:rsidRDefault="00635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2D" w:rsidRDefault="0063542D">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72.75pt;margin-top:6pt;width:126pt;height:40.5pt;z-index:251659776;visibility:visible;mso-wrap-style:square;mso-wrap-distance-left:9pt;mso-wrap-distance-top:0;mso-wrap-distance-right:9pt;mso-wrap-distance-bottom:0;mso-position-horizontal-relative:text;mso-position-vertical-relative:page" o:allowincell="f">
          <v:imagedata r:id="rId1" o:title="Childrens_MN_2015_logo_RGB_of_PMS280-PMS2925_800x257"/>
          <w10:wrap anchory="page"/>
        </v:shape>
      </w:pict>
    </w:r>
    <w:r>
      <w:rPr>
        <w:rFonts w:ascii="Arial" w:hAnsi="Arial"/>
        <w:sz w:val="18"/>
      </w:rPr>
      <w:t>MC 1.18 GC Culture</w:t>
    </w:r>
  </w:p>
  <w:p w:rsidR="0063542D" w:rsidRDefault="0063542D">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63542D" w:rsidRPr="00C57960" w:rsidRDefault="0063542D" w:rsidP="00C57960">
    <w:pPr>
      <w:ind w:left="-1260" w:right="-1260"/>
      <w:rPr>
        <w:rFonts w:ascii="Arial" w:hAnsi="Arial"/>
        <w:sz w:val="18"/>
      </w:rPr>
    </w:pPr>
    <w:r>
      <w:rPr>
        <w:rFonts w:ascii="Arial" w:hAnsi="Arial"/>
        <w:sz w:val="18"/>
      </w:rPr>
      <w:t>Effective Date: 9/22/2017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5D54EAF"/>
    <w:multiLevelType w:val="singleLevel"/>
    <w:tmpl w:val="0409000F"/>
    <w:lvl w:ilvl="0">
      <w:start w:val="1"/>
      <w:numFmt w:val="decimal"/>
      <w:lvlText w:val="%1."/>
      <w:lvlJc w:val="left"/>
      <w:pPr>
        <w:tabs>
          <w:tab w:val="num" w:pos="360"/>
        </w:tabs>
        <w:ind w:left="360" w:hanging="360"/>
      </w:pPr>
    </w:lvl>
  </w:abstractNum>
  <w:abstractNum w:abstractNumId="3">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9C348B1"/>
    <w:multiLevelType w:val="singleLevel"/>
    <w:tmpl w:val="04090015"/>
    <w:lvl w:ilvl="0">
      <w:start w:val="1"/>
      <w:numFmt w:val="upperLetter"/>
      <w:lvlText w:val="%1."/>
      <w:lvlJc w:val="left"/>
      <w:pPr>
        <w:tabs>
          <w:tab w:val="num" w:pos="360"/>
        </w:tabs>
        <w:ind w:left="360" w:hanging="360"/>
      </w:pPr>
    </w:lvl>
  </w:abstractNum>
  <w:abstractNum w:abstractNumId="6">
    <w:nsid w:val="34A01A2C"/>
    <w:multiLevelType w:val="singleLevel"/>
    <w:tmpl w:val="7D7A4552"/>
    <w:lvl w:ilvl="0">
      <w:start w:val="1"/>
      <w:numFmt w:val="lowerLetter"/>
      <w:lvlText w:val="%1."/>
      <w:lvlJc w:val="left"/>
      <w:pPr>
        <w:tabs>
          <w:tab w:val="num" w:pos="1080"/>
        </w:tabs>
        <w:ind w:left="1080" w:hanging="360"/>
      </w:pPr>
      <w:rPr>
        <w:rFonts w:hint="default"/>
      </w:rPr>
    </w:lvl>
  </w:abstractNum>
  <w:abstractNum w:abstractNumId="7">
    <w:nsid w:val="44634A15"/>
    <w:multiLevelType w:val="hybridMultilevel"/>
    <w:tmpl w:val="81BCAB92"/>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BC7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DC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5E11A32"/>
    <w:multiLevelType w:val="singleLevel"/>
    <w:tmpl w:val="352C4164"/>
    <w:lvl w:ilvl="0">
      <w:start w:val="1"/>
      <w:numFmt w:val="decimal"/>
      <w:lvlText w:val="%1."/>
      <w:lvlJc w:val="left"/>
      <w:pPr>
        <w:tabs>
          <w:tab w:val="num" w:pos="765"/>
        </w:tabs>
        <w:ind w:left="765" w:hanging="360"/>
      </w:pPr>
      <w:rPr>
        <w:rFonts w:hint="default"/>
      </w:rPr>
    </w:lvl>
  </w:abstractNum>
  <w:abstractNum w:abstractNumId="11">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4">
    <w:nsid w:val="6043350F"/>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825CA4"/>
    <w:multiLevelType w:val="singleLevel"/>
    <w:tmpl w:val="352C4164"/>
    <w:lvl w:ilvl="0">
      <w:start w:val="1"/>
      <w:numFmt w:val="decimal"/>
      <w:lvlText w:val="%1."/>
      <w:lvlJc w:val="left"/>
      <w:pPr>
        <w:tabs>
          <w:tab w:val="num" w:pos="765"/>
        </w:tabs>
        <w:ind w:left="765"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3"/>
  </w:num>
  <w:num w:numId="4">
    <w:abstractNumId w:val="11"/>
  </w:num>
  <w:num w:numId="5">
    <w:abstractNumId w:val="5"/>
  </w:num>
  <w:num w:numId="6">
    <w:abstractNumId w:val="9"/>
  </w:num>
  <w:num w:numId="7">
    <w:abstractNumId w:val="8"/>
  </w:num>
  <w:num w:numId="8">
    <w:abstractNumId w:val="10"/>
  </w:num>
  <w:num w:numId="9">
    <w:abstractNumId w:val="6"/>
  </w:num>
  <w:num w:numId="10">
    <w:abstractNumId w:val="7"/>
  </w:num>
  <w:num w:numId="11">
    <w:abstractNumId w:val="4"/>
  </w:num>
  <w:num w:numId="12">
    <w:abstractNumId w:val="14"/>
  </w:num>
  <w:num w:numId="13">
    <w:abstractNumId w:val="16"/>
  </w:num>
  <w:num w:numId="14">
    <w:abstractNumId w:val="3"/>
  </w:num>
  <w:num w:numId="15">
    <w:abstractNumId w:val="15"/>
  </w:num>
  <w:num w:numId="16">
    <w:abstractNumId w:val="2"/>
  </w:num>
  <w:num w:numId="17">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960"/>
    <w:rsid w:val="00111D3D"/>
    <w:rsid w:val="001508FC"/>
    <w:rsid w:val="001F45B1"/>
    <w:rsid w:val="005D71ED"/>
    <w:rsid w:val="006050B7"/>
    <w:rsid w:val="0063542D"/>
    <w:rsid w:val="00A549E1"/>
    <w:rsid w:val="00C30F04"/>
    <w:rsid w:val="00C45F20"/>
    <w:rsid w:val="00C50975"/>
    <w:rsid w:val="00C57960"/>
    <w:rsid w:val="00DD3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E1"/>
    <w:pPr>
      <w:jc w:val="both"/>
    </w:pPr>
    <w:rPr>
      <w:sz w:val="22"/>
      <w:szCs w:val="24"/>
    </w:rPr>
  </w:style>
  <w:style w:type="paragraph" w:styleId="Heading1">
    <w:name w:val="heading 1"/>
    <w:basedOn w:val="Normal"/>
    <w:next w:val="Normal"/>
    <w:qFormat/>
    <w:rsid w:val="00A549E1"/>
    <w:pPr>
      <w:keepNext/>
      <w:numPr>
        <w:numId w:val="1"/>
      </w:numPr>
      <w:outlineLvl w:val="0"/>
    </w:pPr>
    <w:rPr>
      <w:rFonts w:cs="Arial"/>
      <w:b/>
      <w:bCs/>
      <w:kern w:val="32"/>
      <w:sz w:val="26"/>
      <w:szCs w:val="32"/>
    </w:rPr>
  </w:style>
  <w:style w:type="paragraph" w:styleId="Heading2">
    <w:name w:val="heading 2"/>
    <w:basedOn w:val="Normal"/>
    <w:next w:val="Normal"/>
    <w:qFormat/>
    <w:rsid w:val="00A549E1"/>
    <w:pPr>
      <w:keepNext/>
      <w:numPr>
        <w:ilvl w:val="1"/>
        <w:numId w:val="1"/>
      </w:numPr>
      <w:outlineLvl w:val="1"/>
    </w:pPr>
    <w:rPr>
      <w:rFonts w:cs="Arial"/>
      <w:b/>
      <w:bCs/>
      <w:iCs/>
      <w:sz w:val="24"/>
      <w:szCs w:val="28"/>
    </w:rPr>
  </w:style>
  <w:style w:type="paragraph" w:styleId="Heading3">
    <w:name w:val="heading 3"/>
    <w:basedOn w:val="Normal"/>
    <w:next w:val="Normal"/>
    <w:qFormat/>
    <w:rsid w:val="00A549E1"/>
    <w:pPr>
      <w:keepNext/>
      <w:numPr>
        <w:ilvl w:val="2"/>
        <w:numId w:val="1"/>
      </w:numPr>
      <w:outlineLvl w:val="2"/>
    </w:pPr>
    <w:rPr>
      <w:rFonts w:cs="Arial"/>
      <w:b/>
      <w:bCs/>
      <w:szCs w:val="26"/>
    </w:rPr>
  </w:style>
  <w:style w:type="paragraph" w:styleId="Heading4">
    <w:name w:val="heading 4"/>
    <w:aliases w:val="Map Title"/>
    <w:basedOn w:val="Normal"/>
    <w:next w:val="Normal"/>
    <w:qFormat/>
    <w:rsid w:val="00A549E1"/>
    <w:pPr>
      <w:keepNext/>
      <w:numPr>
        <w:ilvl w:val="3"/>
        <w:numId w:val="1"/>
      </w:numPr>
      <w:outlineLvl w:val="3"/>
    </w:pPr>
    <w:rPr>
      <w:bCs/>
      <w:szCs w:val="28"/>
    </w:rPr>
  </w:style>
  <w:style w:type="paragraph" w:styleId="Heading5">
    <w:name w:val="heading 5"/>
    <w:aliases w:val="Block Label"/>
    <w:basedOn w:val="Normal"/>
    <w:next w:val="Normal"/>
    <w:qFormat/>
    <w:rsid w:val="00A549E1"/>
    <w:pPr>
      <w:keepNext/>
      <w:numPr>
        <w:ilvl w:val="4"/>
        <w:numId w:val="1"/>
      </w:numPr>
      <w:spacing w:before="20"/>
      <w:outlineLvl w:val="4"/>
    </w:pPr>
  </w:style>
  <w:style w:type="paragraph" w:styleId="Heading6">
    <w:name w:val="heading 6"/>
    <w:basedOn w:val="Normal"/>
    <w:next w:val="Normal"/>
    <w:qFormat/>
    <w:rsid w:val="00A549E1"/>
    <w:pPr>
      <w:keepNext/>
      <w:numPr>
        <w:ilvl w:val="5"/>
        <w:numId w:val="1"/>
      </w:numPr>
      <w:outlineLvl w:val="5"/>
    </w:pPr>
    <w:rPr>
      <w:b/>
      <w:bCs/>
      <w:sz w:val="18"/>
    </w:rPr>
  </w:style>
  <w:style w:type="paragraph" w:styleId="Heading7">
    <w:name w:val="heading 7"/>
    <w:basedOn w:val="Normal"/>
    <w:next w:val="Normal"/>
    <w:qFormat/>
    <w:rsid w:val="00A549E1"/>
    <w:pPr>
      <w:keepNext/>
      <w:numPr>
        <w:ilvl w:val="6"/>
        <w:numId w:val="1"/>
      </w:numPr>
      <w:outlineLvl w:val="6"/>
    </w:pPr>
    <w:rPr>
      <w:sz w:val="28"/>
    </w:rPr>
  </w:style>
  <w:style w:type="paragraph" w:styleId="Heading8">
    <w:name w:val="heading 8"/>
    <w:basedOn w:val="Normal"/>
    <w:next w:val="Normal"/>
    <w:qFormat/>
    <w:rsid w:val="00A549E1"/>
    <w:pPr>
      <w:keepNext/>
      <w:numPr>
        <w:ilvl w:val="7"/>
        <w:numId w:val="1"/>
      </w:numPr>
      <w:jc w:val="center"/>
      <w:outlineLvl w:val="7"/>
    </w:pPr>
    <w:rPr>
      <w:b/>
      <w:bCs/>
    </w:rPr>
  </w:style>
  <w:style w:type="paragraph" w:styleId="Heading9">
    <w:name w:val="heading 9"/>
    <w:basedOn w:val="Normal"/>
    <w:next w:val="Normal"/>
    <w:qFormat/>
    <w:rsid w:val="00A549E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549E1"/>
    <w:rPr>
      <w:bCs/>
      <w:iCs/>
      <w:color w:val="000000"/>
    </w:rPr>
  </w:style>
  <w:style w:type="paragraph" w:styleId="Header">
    <w:name w:val="header"/>
    <w:basedOn w:val="Normal"/>
    <w:semiHidden/>
    <w:rsid w:val="00A549E1"/>
    <w:pPr>
      <w:tabs>
        <w:tab w:val="center" w:pos="4320"/>
        <w:tab w:val="right" w:pos="8640"/>
      </w:tabs>
    </w:pPr>
  </w:style>
  <w:style w:type="paragraph" w:styleId="List">
    <w:name w:val="List"/>
    <w:basedOn w:val="Normal"/>
    <w:semiHidden/>
    <w:rsid w:val="00A549E1"/>
    <w:pPr>
      <w:ind w:left="360" w:hanging="360"/>
    </w:pPr>
  </w:style>
  <w:style w:type="paragraph" w:styleId="Title">
    <w:name w:val="Title"/>
    <w:basedOn w:val="Normal"/>
    <w:qFormat/>
    <w:rsid w:val="00A549E1"/>
    <w:pPr>
      <w:spacing w:before="240" w:after="60"/>
      <w:jc w:val="center"/>
    </w:pPr>
    <w:rPr>
      <w:rFonts w:cs="Arial"/>
      <w:b/>
      <w:bCs/>
      <w:kern w:val="28"/>
      <w:sz w:val="28"/>
      <w:szCs w:val="32"/>
    </w:rPr>
  </w:style>
  <w:style w:type="paragraph" w:styleId="BodyText2">
    <w:name w:val="Body Text 2"/>
    <w:basedOn w:val="Normal"/>
    <w:semiHidden/>
    <w:rsid w:val="00A549E1"/>
    <w:pPr>
      <w:jc w:val="left"/>
    </w:pPr>
    <w:rPr>
      <w:b/>
      <w:bCs/>
      <w:color w:val="0000FF"/>
    </w:rPr>
  </w:style>
  <w:style w:type="paragraph" w:styleId="Footer">
    <w:name w:val="footer"/>
    <w:basedOn w:val="Normal"/>
    <w:link w:val="FooterChar"/>
    <w:uiPriority w:val="99"/>
    <w:rsid w:val="00A549E1"/>
    <w:pPr>
      <w:tabs>
        <w:tab w:val="center" w:pos="4320"/>
        <w:tab w:val="right" w:pos="8640"/>
      </w:tabs>
    </w:pPr>
  </w:style>
  <w:style w:type="character" w:styleId="FootnoteReference">
    <w:name w:val="footnote reference"/>
    <w:basedOn w:val="DefaultParagraphFont"/>
    <w:semiHidden/>
    <w:rsid w:val="00A549E1"/>
    <w:rPr>
      <w:rFonts w:ascii="Times New Roman" w:hAnsi="Times New Roman"/>
      <w:sz w:val="18"/>
      <w:vertAlign w:val="superscript"/>
    </w:rPr>
  </w:style>
  <w:style w:type="paragraph" w:customStyle="1" w:styleId="Heading">
    <w:name w:val="Heading"/>
    <w:basedOn w:val="Heading1"/>
    <w:next w:val="Normal"/>
    <w:rsid w:val="00A549E1"/>
    <w:pPr>
      <w:numPr>
        <w:numId w:val="0"/>
      </w:numPr>
    </w:pPr>
  </w:style>
  <w:style w:type="paragraph" w:customStyle="1" w:styleId="TableText">
    <w:name w:val="Table Text"/>
    <w:basedOn w:val="Normal"/>
    <w:rsid w:val="00A549E1"/>
    <w:pPr>
      <w:autoSpaceDE w:val="0"/>
      <w:autoSpaceDN w:val="0"/>
      <w:jc w:val="left"/>
    </w:pPr>
    <w:rPr>
      <w:sz w:val="20"/>
    </w:rPr>
  </w:style>
  <w:style w:type="paragraph" w:customStyle="1" w:styleId="TableHeaderText">
    <w:name w:val="Table Header Text"/>
    <w:basedOn w:val="TableText"/>
    <w:rsid w:val="00A549E1"/>
    <w:pPr>
      <w:jc w:val="center"/>
    </w:pPr>
    <w:rPr>
      <w:b/>
      <w:bCs/>
    </w:rPr>
  </w:style>
  <w:style w:type="paragraph" w:styleId="BodyText3">
    <w:name w:val="Body Text 3"/>
    <w:basedOn w:val="Normal"/>
    <w:semiHidden/>
    <w:rsid w:val="00A549E1"/>
    <w:rPr>
      <w:b/>
      <w:color w:val="0000FF"/>
    </w:rPr>
  </w:style>
  <w:style w:type="paragraph" w:styleId="BodyTextIndent">
    <w:name w:val="Body Text Indent"/>
    <w:basedOn w:val="Normal"/>
    <w:semiHidden/>
    <w:rsid w:val="00A549E1"/>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A549E1"/>
    <w:rPr>
      <w:rFonts w:ascii="Arial" w:hAnsi="Arial" w:cs="Arial"/>
      <w:sz w:val="24"/>
    </w:rPr>
  </w:style>
  <w:style w:type="paragraph" w:customStyle="1" w:styleId="Custom2">
    <w:name w:val="Custom 2"/>
    <w:basedOn w:val="Normal"/>
    <w:rsid w:val="00A549E1"/>
    <w:pPr>
      <w:jc w:val="left"/>
    </w:pPr>
    <w:rPr>
      <w:rFonts w:ascii="Arial" w:hAnsi="Arial" w:cs="Arial"/>
      <w:b/>
      <w:bCs/>
      <w:color w:val="0000FF"/>
      <w:sz w:val="20"/>
    </w:rPr>
  </w:style>
  <w:style w:type="paragraph" w:customStyle="1" w:styleId="Custom3">
    <w:name w:val="Custom 3"/>
    <w:basedOn w:val="Normal"/>
    <w:rsid w:val="00A549E1"/>
    <w:rPr>
      <w:rFonts w:ascii="Arial" w:hAnsi="Arial"/>
      <w:b/>
      <w:color w:val="0000FF"/>
      <w:sz w:val="36"/>
    </w:rPr>
  </w:style>
  <w:style w:type="paragraph" w:styleId="BodyTextIndent2">
    <w:name w:val="Body Text Indent 2"/>
    <w:basedOn w:val="Normal"/>
    <w:semiHidden/>
    <w:rsid w:val="00A549E1"/>
    <w:pPr>
      <w:autoSpaceDE w:val="0"/>
      <w:autoSpaceDN w:val="0"/>
      <w:adjustRightInd w:val="0"/>
      <w:ind w:left="450"/>
      <w:jc w:val="left"/>
    </w:pPr>
    <w:rPr>
      <w:rFonts w:ascii="Arial" w:hAnsi="Arial" w:cs="Arial"/>
      <w:color w:val="000000"/>
      <w:sz w:val="20"/>
      <w:szCs w:val="14"/>
    </w:rPr>
  </w:style>
  <w:style w:type="paragraph" w:customStyle="1" w:styleId="dept">
    <w:name w:val="dept"/>
    <w:basedOn w:val="Normal"/>
    <w:rsid w:val="00A549E1"/>
    <w:pPr>
      <w:tabs>
        <w:tab w:val="left" w:pos="450"/>
        <w:tab w:val="left" w:pos="2880"/>
      </w:tabs>
      <w:jc w:val="left"/>
    </w:pPr>
    <w:rPr>
      <w:b/>
      <w:sz w:val="24"/>
      <w:szCs w:val="20"/>
    </w:rPr>
  </w:style>
  <w:style w:type="character" w:styleId="Hyperlink">
    <w:name w:val="Hyperlink"/>
    <w:basedOn w:val="DefaultParagraphFont"/>
    <w:semiHidden/>
    <w:rsid w:val="00A549E1"/>
    <w:rPr>
      <w:color w:val="0000FF"/>
      <w:u w:val="single"/>
    </w:rPr>
  </w:style>
  <w:style w:type="character" w:styleId="FollowedHyperlink">
    <w:name w:val="FollowedHyperlink"/>
    <w:basedOn w:val="DefaultParagraphFont"/>
    <w:semiHidden/>
    <w:rsid w:val="00A549E1"/>
    <w:rPr>
      <w:color w:val="800080"/>
      <w:u w:val="single"/>
    </w:rPr>
  </w:style>
  <w:style w:type="paragraph" w:styleId="BodyTextIndent3">
    <w:name w:val="Body Text Indent 3"/>
    <w:basedOn w:val="Normal"/>
    <w:semiHidden/>
    <w:rsid w:val="00A549E1"/>
    <w:pPr>
      <w:ind w:left="360"/>
    </w:pPr>
    <w:rPr>
      <w:rFonts w:ascii="Arial" w:hAnsi="Arial" w:cs="Arial"/>
      <w:sz w:val="20"/>
    </w:rPr>
  </w:style>
  <w:style w:type="character" w:customStyle="1" w:styleId="FooterChar">
    <w:name w:val="Footer Char"/>
    <w:basedOn w:val="DefaultParagraphFont"/>
    <w:link w:val="Footer"/>
    <w:uiPriority w:val="99"/>
    <w:rsid w:val="00C5796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2996.asp" TargetMode="External"/><Relationship Id="rId13" Type="http://schemas.openxmlformats.org/officeDocument/2006/relationships/hyperlink" Target="file://\\kidsnet.childrenshc.org\chcdfs\dept\Lab%20Procedures\Microbiology\1NEW%20Micro%20Procedure%20Manual.%20(same%20as%20in%20Starnet)\MC%20100%20%20%20%20Quality,Spec.%20mgmt.,Labeling,Proc.,Sendout%20Results,Billing,%20PT%20testing,Addl%20Projects\MC%20102%20%20%20Labeling%20Errors,%20Specimen%20mixups,%20Corrected%20reports.doc" TargetMode="External"/><Relationship Id="rId3" Type="http://schemas.openxmlformats.org/officeDocument/2006/relationships/settings" Target="settings.xml"/><Relationship Id="rId7" Type="http://schemas.openxmlformats.org/officeDocument/2006/relationships/hyperlink" Target="file:///\\kidsnet.childrenshc.org\chcdfs\dept\Lab%20Procedures\Microbiology\1NEW%20Micro%20Procedure%20Manual.%20(same%20as%20in%20Starnet)\Specimen%20Collection%20Procedures\GC%20Culture.doc"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idsnet.childrenshc.org\chcdfs\dept\Lab%20Procedures\Micro%20Procedure%20Manuals\MC%20200%20%20%20%20Safety\MC%20204%20%20%20Biohazardous%20spills.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4" Type="http://schemas.openxmlformats.org/officeDocument/2006/relationships/webSettings" Target="webSettings.xml"/><Relationship Id="rId9" Type="http://schemas.openxmlformats.org/officeDocument/2006/relationships/hyperlink" Target="file:///\\kidsnet.childrenshc.org\chcdfs\dept\Lab%20Procedures\Micro%20Procedure%20Manuals\MC%20200%20%20%20%20Safety\MC%20201%20%20%20Biohazard%20Containment.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2181</Words>
  <Characters>13571</Characters>
  <Application>Microsoft Office Word</Application>
  <DocSecurity>2</DocSecurity>
  <Lines>113</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15721</CharactersWithSpaces>
  <SharedDoc>false</SharedDoc>
  <HLinks>
    <vt:vector size="36" baseType="variant">
      <vt:variant>
        <vt:i4>3276850</vt:i4>
      </vt:variant>
      <vt:variant>
        <vt:i4>15</vt:i4>
      </vt:variant>
      <vt:variant>
        <vt:i4>0</vt:i4>
      </vt:variant>
      <vt:variant>
        <vt:i4>5</vt:i4>
      </vt:variant>
      <vt:variant>
        <vt:lpwstr>../MC 100    Quality,Spec. mgmt.,Labeling,Proc.,Sendout Results,Billing, PT testing,Addl Projects/MC 102   Labeling Errors, Specimen mixups, Corrected reports.doc</vt:lpwstr>
      </vt:variant>
      <vt:variant>
        <vt:lpwstr/>
      </vt:variant>
      <vt:variant>
        <vt:i4>3735637</vt:i4>
      </vt:variant>
      <vt:variant>
        <vt:i4>12</vt:i4>
      </vt:variant>
      <vt:variant>
        <vt:i4>0</vt:i4>
      </vt:variant>
      <vt:variant>
        <vt:i4>5</vt:i4>
      </vt:variant>
      <vt:variant>
        <vt:lpwstr>..\..\..\Micro Procedure Manuals\MC 200    Safety\MC 204   Biohazardous spills.doc</vt:lpwstr>
      </vt:variant>
      <vt:variant>
        <vt:lpwstr/>
      </vt:variant>
      <vt:variant>
        <vt:i4>5177403</vt:i4>
      </vt:variant>
      <vt:variant>
        <vt:i4>9</vt:i4>
      </vt:variant>
      <vt:variant>
        <vt:i4>0</vt:i4>
      </vt:variant>
      <vt:variant>
        <vt:i4>5</vt:i4>
      </vt:variant>
      <vt:variant>
        <vt:lpwstr>..\..\..\Micro Procedure Manuals\MC 200    Safety\MC 202   Safety in the Microbiology Lab Policy.doc</vt:lpwstr>
      </vt:variant>
      <vt:variant>
        <vt:lpwstr/>
      </vt:variant>
      <vt:variant>
        <vt:i4>1376366</vt:i4>
      </vt:variant>
      <vt:variant>
        <vt:i4>6</vt:i4>
      </vt:variant>
      <vt:variant>
        <vt:i4>0</vt:i4>
      </vt:variant>
      <vt:variant>
        <vt:i4>5</vt:i4>
      </vt:variant>
      <vt:variant>
        <vt:lpwstr>..\..\..\Micro Procedure Manuals\MC 200    Safety\MC 201   Biohazard Containment.doc</vt:lpwstr>
      </vt:variant>
      <vt:variant>
        <vt:lpwstr/>
      </vt:variant>
      <vt:variant>
        <vt:i4>2883619</vt:i4>
      </vt:variant>
      <vt:variant>
        <vt:i4>3</vt:i4>
      </vt:variant>
      <vt:variant>
        <vt:i4>0</vt:i4>
      </vt:variant>
      <vt:variant>
        <vt:i4>5</vt:i4>
      </vt:variant>
      <vt:variant>
        <vt:lpwstr>http://www.childrensmn.org/Manuals/Lab/MicroBioViral/032996.asp</vt:lpwstr>
      </vt:variant>
      <vt:variant>
        <vt:lpwstr/>
      </vt:variant>
      <vt:variant>
        <vt:i4>4063282</vt:i4>
      </vt:variant>
      <vt:variant>
        <vt:i4>0</vt:i4>
      </vt:variant>
      <vt:variant>
        <vt:i4>0</vt:i4>
      </vt:variant>
      <vt:variant>
        <vt:i4>5</vt:i4>
      </vt:variant>
      <vt:variant>
        <vt:lpwstr>..\Specimen Collection Procedures\GC Culture.doc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3</cp:revision>
  <cp:lastPrinted>2013-10-30T21:16:00Z</cp:lastPrinted>
  <dcterms:created xsi:type="dcterms:W3CDTF">2017-09-07T18:23:00Z</dcterms:created>
  <dcterms:modified xsi:type="dcterms:W3CDTF">2017-09-22T16:45:00Z</dcterms:modified>
</cp:coreProperties>
</file>