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540"/>
        <w:gridCol w:w="577"/>
        <w:gridCol w:w="2700"/>
        <w:gridCol w:w="1620"/>
        <w:gridCol w:w="1943"/>
        <w:gridCol w:w="2340"/>
      </w:tblGrid>
      <w:tr w:rsidR="00DC3DED">
        <w:tblPrEx>
          <w:tblCellMar>
            <w:top w:w="0" w:type="dxa"/>
            <w:bottom w:w="0" w:type="dxa"/>
          </w:tblCellMar>
        </w:tblPrEx>
        <w:trPr>
          <w:cantSplit/>
        </w:trPr>
        <w:tc>
          <w:tcPr>
            <w:tcW w:w="11160" w:type="dxa"/>
            <w:gridSpan w:val="7"/>
            <w:tcBorders>
              <w:top w:val="nil"/>
              <w:left w:val="nil"/>
              <w:bottom w:val="nil"/>
              <w:right w:val="nil"/>
            </w:tcBorders>
          </w:tcPr>
          <w:p w:rsidR="00DC3DED" w:rsidRDefault="00655E85">
            <w:pPr>
              <w:rPr>
                <w:rFonts w:ascii="Arial" w:hAnsi="Arial" w:cs="Arial"/>
                <w:b/>
                <w:bCs/>
                <w:color w:val="3366FF"/>
                <w:sz w:val="36"/>
              </w:rPr>
            </w:pPr>
            <w:r>
              <w:rPr>
                <w:rFonts w:ascii="Arial" w:hAnsi="Arial" w:cs="Arial"/>
                <w:b/>
                <w:bCs/>
                <w:color w:val="3366FF"/>
                <w:sz w:val="36"/>
              </w:rPr>
              <w:t>Intraoper</w:t>
            </w:r>
            <w:r w:rsidR="0065326D">
              <w:rPr>
                <w:rFonts w:ascii="Arial" w:hAnsi="Arial" w:cs="Arial"/>
                <w:b/>
                <w:bCs/>
                <w:color w:val="3366FF"/>
                <w:sz w:val="36"/>
              </w:rPr>
              <w:t>a</w:t>
            </w:r>
            <w:r>
              <w:rPr>
                <w:rFonts w:ascii="Arial" w:hAnsi="Arial" w:cs="Arial"/>
                <w:b/>
                <w:bCs/>
                <w:color w:val="3366FF"/>
                <w:sz w:val="36"/>
              </w:rPr>
              <w:t>tive Blood Salvage Program</w:t>
            </w:r>
          </w:p>
          <w:p w:rsidR="00DC3DED" w:rsidRDefault="00DC3DED">
            <w:pPr>
              <w:pStyle w:val="BodyText"/>
              <w:rPr>
                <w:rFonts w:ascii="Arial" w:hAnsi="Arial" w:cs="Arial"/>
                <w:sz w:val="24"/>
              </w:rPr>
            </w:pPr>
          </w:p>
        </w:tc>
      </w:tr>
      <w:tr w:rsidR="00DC3DED">
        <w:tblPrEx>
          <w:tblCellMar>
            <w:top w:w="0" w:type="dxa"/>
            <w:bottom w:w="0" w:type="dxa"/>
          </w:tblCellMar>
        </w:tblPrEx>
        <w:trPr>
          <w:cantSplit/>
          <w:trHeight w:val="780"/>
        </w:trPr>
        <w:tc>
          <w:tcPr>
            <w:tcW w:w="1440" w:type="dxa"/>
            <w:tcBorders>
              <w:top w:val="nil"/>
              <w:left w:val="nil"/>
              <w:bottom w:val="nil"/>
              <w:right w:val="nil"/>
            </w:tcBorders>
          </w:tcPr>
          <w:p w:rsidR="00DC3DED" w:rsidRDefault="00DC3DED">
            <w:pPr>
              <w:pStyle w:val="Header"/>
              <w:tabs>
                <w:tab w:val="clear" w:pos="4320"/>
                <w:tab w:val="clear" w:pos="8640"/>
              </w:tabs>
              <w:rPr>
                <w:rFonts w:ascii="Arial" w:hAnsi="Arial" w:cs="Arial"/>
                <w:b/>
                <w:sz w:val="20"/>
              </w:rPr>
            </w:pPr>
          </w:p>
          <w:p w:rsidR="00DC3DED" w:rsidRDefault="00DC3DED">
            <w:pPr>
              <w:rPr>
                <w:rFonts w:ascii="Arial" w:hAnsi="Arial" w:cs="Arial"/>
                <w:b/>
                <w:bCs/>
                <w:color w:val="3366FF"/>
                <w:sz w:val="20"/>
              </w:rPr>
            </w:pPr>
            <w:r>
              <w:rPr>
                <w:rFonts w:ascii="Arial" w:hAnsi="Arial" w:cs="Arial"/>
                <w:b/>
                <w:bCs/>
                <w:color w:val="3366FF"/>
                <w:sz w:val="20"/>
              </w:rPr>
              <w:t>Purpose</w:t>
            </w:r>
          </w:p>
        </w:tc>
        <w:tc>
          <w:tcPr>
            <w:tcW w:w="9720" w:type="dxa"/>
            <w:gridSpan w:val="6"/>
            <w:tcBorders>
              <w:top w:val="single" w:sz="12" w:space="0" w:color="C0C0C0"/>
              <w:left w:val="nil"/>
              <w:bottom w:val="single" w:sz="12" w:space="0" w:color="C0C0C0"/>
              <w:right w:val="nil"/>
            </w:tcBorders>
          </w:tcPr>
          <w:p w:rsidR="00DC3DED" w:rsidRDefault="00DC3DED">
            <w:pPr>
              <w:pStyle w:val="BodyText"/>
              <w:jc w:val="left"/>
              <w:rPr>
                <w:rFonts w:ascii="Arial" w:hAnsi="Arial" w:cs="Arial"/>
              </w:rPr>
            </w:pPr>
          </w:p>
          <w:p w:rsidR="00DC3DED" w:rsidRDefault="00655E85" w:rsidP="00655E85">
            <w:pPr>
              <w:pStyle w:val="TableText"/>
              <w:autoSpaceDE/>
              <w:autoSpaceDN/>
              <w:rPr>
                <w:rFonts w:ascii="Arial" w:hAnsi="Arial" w:cs="Arial"/>
              </w:rPr>
            </w:pPr>
            <w:r>
              <w:rPr>
                <w:rFonts w:ascii="Arial" w:hAnsi="Arial" w:cs="Arial"/>
              </w:rPr>
              <w:t>This process defines the authority, responsibility and accountability of the intraoperative/perioperative blood recovery and reinfusion program used at Children’s Minnesota</w:t>
            </w:r>
          </w:p>
        </w:tc>
      </w:tr>
      <w:tr w:rsidR="00DC3DED">
        <w:tblPrEx>
          <w:tblCellMar>
            <w:top w:w="0" w:type="dxa"/>
            <w:bottom w:w="0" w:type="dxa"/>
          </w:tblCellMar>
        </w:tblPrEx>
        <w:trPr>
          <w:cantSplit/>
          <w:trHeight w:val="627"/>
        </w:trPr>
        <w:tc>
          <w:tcPr>
            <w:tcW w:w="1440" w:type="dxa"/>
            <w:tcBorders>
              <w:top w:val="nil"/>
              <w:left w:val="nil"/>
              <w:bottom w:val="nil"/>
              <w:right w:val="nil"/>
            </w:tcBorders>
          </w:tcPr>
          <w:p w:rsidR="00DC3DED" w:rsidRDefault="00DC3DED">
            <w:pPr>
              <w:rPr>
                <w:rFonts w:ascii="Arial" w:hAnsi="Arial" w:cs="Arial"/>
                <w:b/>
                <w:bCs/>
                <w:color w:val="3366FF"/>
                <w:sz w:val="20"/>
              </w:rPr>
            </w:pPr>
          </w:p>
          <w:p w:rsidR="00DC3DED" w:rsidRDefault="00DC3DED">
            <w:pPr>
              <w:rPr>
                <w:rFonts w:ascii="Arial" w:hAnsi="Arial" w:cs="Arial"/>
                <w:b/>
                <w:bCs/>
                <w:color w:val="3366FF"/>
                <w:sz w:val="20"/>
              </w:rPr>
            </w:pPr>
            <w:r>
              <w:rPr>
                <w:rFonts w:ascii="Arial" w:hAnsi="Arial" w:cs="Arial"/>
                <w:b/>
                <w:bCs/>
                <w:color w:val="3366FF"/>
                <w:sz w:val="20"/>
              </w:rPr>
              <w:t>Policy Statements</w:t>
            </w:r>
          </w:p>
        </w:tc>
        <w:tc>
          <w:tcPr>
            <w:tcW w:w="9720" w:type="dxa"/>
            <w:gridSpan w:val="6"/>
            <w:tcBorders>
              <w:top w:val="single" w:sz="12" w:space="0" w:color="C0C0C0"/>
              <w:left w:val="nil"/>
              <w:bottom w:val="single" w:sz="12" w:space="0" w:color="C0C0C0"/>
              <w:right w:val="nil"/>
            </w:tcBorders>
          </w:tcPr>
          <w:p w:rsidR="00DC3DED" w:rsidRDefault="00DC3DED">
            <w:pPr>
              <w:ind w:left="360"/>
              <w:jc w:val="left"/>
              <w:rPr>
                <w:rFonts w:ascii="Arial" w:hAnsi="Arial" w:cs="Arial"/>
                <w:iCs/>
                <w:sz w:val="20"/>
              </w:rPr>
            </w:pPr>
          </w:p>
          <w:p w:rsidR="00DC3DED" w:rsidRDefault="0065326D" w:rsidP="00174751">
            <w:pPr>
              <w:numPr>
                <w:ilvl w:val="0"/>
                <w:numId w:val="2"/>
              </w:numPr>
              <w:tabs>
                <w:tab w:val="left" w:pos="432"/>
              </w:tabs>
              <w:ind w:hanging="648"/>
              <w:jc w:val="left"/>
              <w:rPr>
                <w:rFonts w:ascii="Arial" w:hAnsi="Arial" w:cs="Arial"/>
                <w:iCs/>
                <w:sz w:val="20"/>
              </w:rPr>
            </w:pPr>
            <w:r>
              <w:rPr>
                <w:rFonts w:ascii="Arial" w:hAnsi="Arial" w:cs="Arial"/>
                <w:iCs/>
                <w:sz w:val="20"/>
              </w:rPr>
              <w:t>The procedures for intraoperative and perioperative blood recovery and reinfusion must ensure the safety and efficacy of the recovered blood components, and comply with AABB Perioperative Blood Collection and Administration Standards.</w:t>
            </w:r>
          </w:p>
          <w:p w:rsidR="00DC3DED" w:rsidRDefault="00DC3DED">
            <w:pPr>
              <w:jc w:val="left"/>
              <w:rPr>
                <w:rFonts w:ascii="Arial" w:hAnsi="Arial" w:cs="Arial"/>
                <w:iCs/>
                <w:sz w:val="20"/>
              </w:rPr>
            </w:pPr>
          </w:p>
        </w:tc>
      </w:tr>
      <w:tr w:rsidR="00DC3DED">
        <w:tblPrEx>
          <w:tblCellMar>
            <w:top w:w="0" w:type="dxa"/>
            <w:bottom w:w="0" w:type="dxa"/>
          </w:tblCellMar>
        </w:tblPrEx>
        <w:tc>
          <w:tcPr>
            <w:tcW w:w="1440" w:type="dxa"/>
            <w:tcBorders>
              <w:top w:val="nil"/>
              <w:left w:val="nil"/>
              <w:bottom w:val="nil"/>
              <w:right w:val="nil"/>
            </w:tcBorders>
          </w:tcPr>
          <w:p w:rsidR="00DC3DED" w:rsidRDefault="00DC3DED">
            <w:pPr>
              <w:rPr>
                <w:rFonts w:ascii="Arial" w:hAnsi="Arial" w:cs="Arial"/>
                <w:b/>
                <w:color w:val="3366FF"/>
                <w:sz w:val="20"/>
              </w:rPr>
            </w:pPr>
          </w:p>
          <w:p w:rsidR="00DC3DED" w:rsidRDefault="00DC3DED">
            <w:pPr>
              <w:jc w:val="left"/>
              <w:rPr>
                <w:rFonts w:ascii="Arial" w:hAnsi="Arial" w:cs="Arial"/>
                <w:color w:val="3366FF"/>
                <w:sz w:val="20"/>
              </w:rPr>
            </w:pPr>
            <w:r>
              <w:rPr>
                <w:rFonts w:ascii="Arial" w:hAnsi="Arial" w:cs="Arial"/>
                <w:b/>
                <w:color w:val="3366FF"/>
                <w:sz w:val="20"/>
              </w:rPr>
              <w:t>Process</w:t>
            </w:r>
          </w:p>
        </w:tc>
        <w:tc>
          <w:tcPr>
            <w:tcW w:w="9720" w:type="dxa"/>
            <w:gridSpan w:val="6"/>
            <w:tcBorders>
              <w:top w:val="single" w:sz="12" w:space="0" w:color="C0C0C0"/>
              <w:left w:val="nil"/>
              <w:bottom w:val="single" w:sz="4" w:space="0" w:color="auto"/>
              <w:right w:val="nil"/>
            </w:tcBorders>
          </w:tcPr>
          <w:p w:rsidR="00DC3DED" w:rsidRDefault="00DC3DED">
            <w:pPr>
              <w:jc w:val="left"/>
              <w:rPr>
                <w:rFonts w:ascii="Arial" w:hAnsi="Arial" w:cs="Arial"/>
                <w:sz w:val="20"/>
              </w:rPr>
            </w:pPr>
          </w:p>
          <w:p w:rsidR="00DC3DED" w:rsidRDefault="00DC3DED">
            <w:pPr>
              <w:jc w:val="left"/>
              <w:rPr>
                <w:rFonts w:ascii="Arial" w:hAnsi="Arial" w:cs="Arial"/>
                <w:sz w:val="20"/>
              </w:rPr>
            </w:pPr>
          </w:p>
        </w:tc>
      </w:tr>
      <w:tr w:rsidR="002F6412" w:rsidTr="005824D2">
        <w:tblPrEx>
          <w:tblCellMar>
            <w:top w:w="0" w:type="dxa"/>
            <w:bottom w:w="0" w:type="dxa"/>
          </w:tblCellMar>
        </w:tblPrEx>
        <w:trPr>
          <w:trHeight w:val="305"/>
        </w:trPr>
        <w:tc>
          <w:tcPr>
            <w:tcW w:w="1440" w:type="dxa"/>
            <w:tcBorders>
              <w:top w:val="nil"/>
              <w:left w:val="nil"/>
              <w:bottom w:val="nil"/>
              <w:right w:val="single" w:sz="4" w:space="0" w:color="auto"/>
            </w:tcBorders>
          </w:tcPr>
          <w:p w:rsidR="002F6412" w:rsidRDefault="002F6412">
            <w:pPr>
              <w:rPr>
                <w:rFonts w:ascii="Arial" w:hAnsi="Arial" w:cs="Arial"/>
                <w:bCs/>
                <w:sz w:val="20"/>
              </w:rPr>
            </w:pPr>
          </w:p>
        </w:tc>
        <w:tc>
          <w:tcPr>
            <w:tcW w:w="7380" w:type="dxa"/>
            <w:gridSpan w:val="5"/>
            <w:tcBorders>
              <w:top w:val="single" w:sz="4" w:space="0" w:color="auto"/>
              <w:left w:val="single" w:sz="4" w:space="0" w:color="auto"/>
              <w:bottom w:val="single" w:sz="4" w:space="0" w:color="auto"/>
              <w:right w:val="single" w:sz="4" w:space="0" w:color="auto"/>
            </w:tcBorders>
            <w:shd w:val="clear" w:color="auto" w:fill="F3F3F3"/>
          </w:tcPr>
          <w:p w:rsidR="002F6412" w:rsidRDefault="002F6412" w:rsidP="002F6412">
            <w:pPr>
              <w:jc w:val="center"/>
              <w:rPr>
                <w:rFonts w:ascii="Arial" w:hAnsi="Arial" w:cs="Arial"/>
                <w:sz w:val="20"/>
              </w:rPr>
            </w:pPr>
            <w:r>
              <w:rPr>
                <w:rFonts w:ascii="Arial" w:hAnsi="Arial" w:cs="Arial"/>
                <w:b/>
                <w:bCs/>
                <w:sz w:val="20"/>
              </w:rPr>
              <w:t>Activity</w:t>
            </w:r>
          </w:p>
        </w:tc>
        <w:tc>
          <w:tcPr>
            <w:tcW w:w="2340" w:type="dxa"/>
            <w:tcBorders>
              <w:top w:val="single" w:sz="4" w:space="0" w:color="auto"/>
              <w:left w:val="single" w:sz="4" w:space="0" w:color="auto"/>
              <w:bottom w:val="single" w:sz="4" w:space="0" w:color="auto"/>
              <w:right w:val="single" w:sz="4" w:space="0" w:color="auto"/>
            </w:tcBorders>
            <w:shd w:val="clear" w:color="auto" w:fill="F3F3F3"/>
          </w:tcPr>
          <w:p w:rsidR="002F6412" w:rsidRDefault="002F6412" w:rsidP="002F6412">
            <w:pPr>
              <w:jc w:val="center"/>
              <w:rPr>
                <w:rFonts w:ascii="Arial" w:hAnsi="Arial" w:cs="Arial"/>
                <w:sz w:val="20"/>
              </w:rPr>
            </w:pPr>
            <w:r>
              <w:rPr>
                <w:rFonts w:ascii="Arial" w:hAnsi="Arial" w:cs="Arial"/>
                <w:b/>
                <w:bCs/>
                <w:sz w:val="20"/>
              </w:rPr>
              <w:t>Responsible Party</w:t>
            </w:r>
          </w:p>
        </w:tc>
      </w:tr>
      <w:tr w:rsidR="002F6412" w:rsidTr="005824D2">
        <w:tblPrEx>
          <w:tblCellMar>
            <w:top w:w="0" w:type="dxa"/>
            <w:bottom w:w="0" w:type="dxa"/>
          </w:tblCellMar>
        </w:tblPrEx>
        <w:trPr>
          <w:trHeight w:val="422"/>
        </w:trPr>
        <w:tc>
          <w:tcPr>
            <w:tcW w:w="1440" w:type="dxa"/>
            <w:tcBorders>
              <w:top w:val="nil"/>
              <w:left w:val="nil"/>
              <w:bottom w:val="nil"/>
              <w:right w:val="single" w:sz="4" w:space="0" w:color="auto"/>
            </w:tcBorders>
          </w:tcPr>
          <w:p w:rsidR="002F6412" w:rsidRDefault="002F6412">
            <w:pPr>
              <w:rPr>
                <w:rFonts w:ascii="Arial" w:hAnsi="Arial" w:cs="Arial"/>
                <w:b/>
                <w:color w:val="3366FF"/>
                <w:sz w:val="20"/>
              </w:rPr>
            </w:pPr>
          </w:p>
        </w:tc>
        <w:tc>
          <w:tcPr>
            <w:tcW w:w="540" w:type="dxa"/>
            <w:tcBorders>
              <w:top w:val="single" w:sz="4" w:space="0" w:color="auto"/>
              <w:left w:val="single" w:sz="4" w:space="0" w:color="auto"/>
              <w:bottom w:val="single" w:sz="4" w:space="0" w:color="auto"/>
              <w:right w:val="single" w:sz="4" w:space="0" w:color="auto"/>
            </w:tcBorders>
          </w:tcPr>
          <w:p w:rsidR="002F6412" w:rsidRDefault="002F6412">
            <w:pPr>
              <w:jc w:val="center"/>
              <w:rPr>
                <w:rFonts w:ascii="Arial" w:hAnsi="Arial" w:cs="Arial"/>
                <w:sz w:val="20"/>
              </w:rPr>
            </w:pPr>
            <w:r>
              <w:rPr>
                <w:rFonts w:ascii="Arial" w:hAnsi="Arial" w:cs="Arial"/>
                <w:sz w:val="20"/>
              </w:rPr>
              <w:t>1</w:t>
            </w:r>
          </w:p>
        </w:tc>
        <w:tc>
          <w:tcPr>
            <w:tcW w:w="6840" w:type="dxa"/>
            <w:gridSpan w:val="4"/>
            <w:tcBorders>
              <w:top w:val="single" w:sz="4" w:space="0" w:color="auto"/>
              <w:left w:val="single" w:sz="4" w:space="0" w:color="auto"/>
              <w:bottom w:val="single" w:sz="4" w:space="0" w:color="auto"/>
              <w:right w:val="single" w:sz="4" w:space="0" w:color="auto"/>
            </w:tcBorders>
          </w:tcPr>
          <w:p w:rsidR="002F6412" w:rsidRDefault="002F6412" w:rsidP="002F6412">
            <w:pPr>
              <w:pStyle w:val="TableText"/>
              <w:numPr>
                <w:ilvl w:val="0"/>
                <w:numId w:val="5"/>
              </w:numPr>
              <w:tabs>
                <w:tab w:val="left" w:pos="252"/>
              </w:tabs>
              <w:autoSpaceDE/>
              <w:autoSpaceDN/>
              <w:rPr>
                <w:rFonts w:ascii="Arial" w:hAnsi="Arial" w:cs="Arial"/>
              </w:rPr>
            </w:pPr>
            <w:r>
              <w:rPr>
                <w:rFonts w:ascii="Arial" w:hAnsi="Arial" w:cs="Arial"/>
              </w:rPr>
              <w:t>Overall review of intraoperative blood recovery program.</w:t>
            </w:r>
          </w:p>
          <w:p w:rsidR="002F6412" w:rsidRDefault="00DE1C21" w:rsidP="002F6412">
            <w:pPr>
              <w:pStyle w:val="TableText"/>
              <w:numPr>
                <w:ilvl w:val="0"/>
                <w:numId w:val="5"/>
              </w:numPr>
              <w:tabs>
                <w:tab w:val="left" w:pos="252"/>
              </w:tabs>
              <w:autoSpaceDE/>
              <w:autoSpaceDN/>
              <w:rPr>
                <w:rFonts w:ascii="Arial" w:hAnsi="Arial" w:cs="Arial"/>
              </w:rPr>
            </w:pPr>
            <w:r>
              <w:rPr>
                <w:rFonts w:ascii="Arial" w:hAnsi="Arial" w:cs="Arial"/>
              </w:rPr>
              <w:t>Transfusion Service provides</w:t>
            </w:r>
            <w:r w:rsidR="002F6412">
              <w:rPr>
                <w:rFonts w:ascii="Arial" w:hAnsi="Arial" w:cs="Arial"/>
              </w:rPr>
              <w:t xml:space="preserve"> input </w:t>
            </w:r>
            <w:r>
              <w:rPr>
                <w:rFonts w:ascii="Arial" w:hAnsi="Arial" w:cs="Arial"/>
              </w:rPr>
              <w:t>on policies and procedures related to intra- and perioperative blood collection and reinfusion.</w:t>
            </w:r>
            <w:r w:rsidR="002F6412">
              <w:rPr>
                <w:rFonts w:ascii="Arial" w:hAnsi="Arial" w:cs="Arial"/>
              </w:rPr>
              <w:t xml:space="preserve"> </w:t>
            </w:r>
          </w:p>
          <w:p w:rsidR="00DE1C21" w:rsidRDefault="00DE1C21" w:rsidP="006D65AC">
            <w:pPr>
              <w:pStyle w:val="TableText"/>
              <w:tabs>
                <w:tab w:val="left" w:pos="252"/>
              </w:tabs>
              <w:autoSpaceDE/>
              <w:autoSpaceDN/>
              <w:ind w:left="720"/>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2F6412" w:rsidRDefault="002F6412">
            <w:pPr>
              <w:jc w:val="left"/>
              <w:rPr>
                <w:rFonts w:ascii="Arial" w:hAnsi="Arial" w:cs="Arial"/>
                <w:sz w:val="20"/>
              </w:rPr>
            </w:pPr>
            <w:r>
              <w:rPr>
                <w:rFonts w:ascii="Arial" w:hAnsi="Arial" w:cs="Arial"/>
                <w:sz w:val="20"/>
              </w:rPr>
              <w:t>Transfusion Service Medical Director</w:t>
            </w:r>
          </w:p>
        </w:tc>
      </w:tr>
      <w:tr w:rsidR="002F6412" w:rsidTr="0065326D">
        <w:tblPrEx>
          <w:tblCellMar>
            <w:top w:w="0" w:type="dxa"/>
            <w:bottom w:w="0" w:type="dxa"/>
          </w:tblCellMar>
        </w:tblPrEx>
        <w:trPr>
          <w:trHeight w:val="368"/>
        </w:trPr>
        <w:tc>
          <w:tcPr>
            <w:tcW w:w="1440" w:type="dxa"/>
            <w:tcBorders>
              <w:top w:val="nil"/>
              <w:left w:val="nil"/>
              <w:bottom w:val="nil"/>
              <w:right w:val="single" w:sz="4" w:space="0" w:color="auto"/>
            </w:tcBorders>
          </w:tcPr>
          <w:p w:rsidR="002F6412" w:rsidRDefault="002F6412">
            <w:pPr>
              <w:rPr>
                <w:rFonts w:ascii="Arial" w:hAnsi="Arial" w:cs="Arial"/>
                <w:b/>
                <w:color w:val="3366FF"/>
                <w:sz w:val="20"/>
              </w:rPr>
            </w:pPr>
          </w:p>
        </w:tc>
        <w:tc>
          <w:tcPr>
            <w:tcW w:w="540" w:type="dxa"/>
            <w:tcBorders>
              <w:top w:val="single" w:sz="4" w:space="0" w:color="auto"/>
              <w:left w:val="single" w:sz="4" w:space="0" w:color="auto"/>
              <w:bottom w:val="single" w:sz="4" w:space="0" w:color="auto"/>
              <w:right w:val="single" w:sz="4" w:space="0" w:color="auto"/>
            </w:tcBorders>
          </w:tcPr>
          <w:p w:rsidR="002F6412" w:rsidRDefault="002F6412">
            <w:pPr>
              <w:jc w:val="center"/>
              <w:rPr>
                <w:rFonts w:ascii="Arial" w:hAnsi="Arial" w:cs="Arial"/>
                <w:sz w:val="20"/>
              </w:rPr>
            </w:pPr>
            <w:r>
              <w:rPr>
                <w:rFonts w:ascii="Arial" w:hAnsi="Arial" w:cs="Arial"/>
                <w:sz w:val="20"/>
              </w:rPr>
              <w:t>2</w:t>
            </w:r>
          </w:p>
        </w:tc>
        <w:tc>
          <w:tcPr>
            <w:tcW w:w="6840" w:type="dxa"/>
            <w:gridSpan w:val="4"/>
            <w:tcBorders>
              <w:top w:val="single" w:sz="4" w:space="0" w:color="auto"/>
              <w:left w:val="single" w:sz="4" w:space="0" w:color="auto"/>
              <w:bottom w:val="single" w:sz="4" w:space="0" w:color="auto"/>
              <w:right w:val="single" w:sz="4" w:space="0" w:color="auto"/>
            </w:tcBorders>
          </w:tcPr>
          <w:p w:rsidR="002F6412" w:rsidRDefault="002F6412" w:rsidP="002F6412">
            <w:pPr>
              <w:numPr>
                <w:ilvl w:val="0"/>
                <w:numId w:val="6"/>
              </w:numPr>
              <w:jc w:val="left"/>
              <w:rPr>
                <w:rFonts w:ascii="Arial" w:hAnsi="Arial" w:cs="Arial"/>
                <w:sz w:val="20"/>
              </w:rPr>
            </w:pPr>
            <w:r>
              <w:rPr>
                <w:rFonts w:ascii="Arial" w:hAnsi="Arial" w:cs="Arial"/>
                <w:sz w:val="20"/>
              </w:rPr>
              <w:t>Review QC testing results</w:t>
            </w:r>
            <w:r w:rsidR="00DE1C21">
              <w:rPr>
                <w:rFonts w:ascii="Arial" w:hAnsi="Arial" w:cs="Arial"/>
                <w:sz w:val="20"/>
              </w:rPr>
              <w:t xml:space="preserve"> from blood salvage procedures</w:t>
            </w:r>
            <w:r>
              <w:rPr>
                <w:rFonts w:ascii="Arial" w:hAnsi="Arial" w:cs="Arial"/>
                <w:sz w:val="20"/>
              </w:rPr>
              <w:t>.</w:t>
            </w:r>
          </w:p>
          <w:p w:rsidR="002F6412" w:rsidRDefault="002F6412" w:rsidP="002F6412">
            <w:pPr>
              <w:tabs>
                <w:tab w:val="left" w:pos="252"/>
              </w:tabs>
              <w:ind w:left="720"/>
              <w:jc w:val="left"/>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rsidR="002F6412" w:rsidRDefault="002F6412">
            <w:pPr>
              <w:jc w:val="left"/>
              <w:rPr>
                <w:rFonts w:ascii="Arial" w:hAnsi="Arial" w:cs="Arial"/>
                <w:sz w:val="20"/>
              </w:rPr>
            </w:pPr>
            <w:r>
              <w:rPr>
                <w:rFonts w:ascii="Arial" w:hAnsi="Arial" w:cs="Arial"/>
                <w:sz w:val="20"/>
              </w:rPr>
              <w:t>Transfusion Technical Specialist or designee</w:t>
            </w:r>
          </w:p>
        </w:tc>
      </w:tr>
      <w:tr w:rsidR="002F6412" w:rsidTr="0065326D">
        <w:tblPrEx>
          <w:tblCellMar>
            <w:top w:w="0" w:type="dxa"/>
            <w:bottom w:w="0" w:type="dxa"/>
          </w:tblCellMar>
        </w:tblPrEx>
        <w:trPr>
          <w:trHeight w:val="332"/>
        </w:trPr>
        <w:tc>
          <w:tcPr>
            <w:tcW w:w="1440" w:type="dxa"/>
            <w:tcBorders>
              <w:top w:val="nil"/>
              <w:left w:val="nil"/>
              <w:bottom w:val="nil"/>
              <w:right w:val="single" w:sz="4" w:space="0" w:color="auto"/>
            </w:tcBorders>
          </w:tcPr>
          <w:p w:rsidR="002F6412" w:rsidRDefault="002F6412">
            <w:pPr>
              <w:rPr>
                <w:rFonts w:ascii="Arial" w:hAnsi="Arial" w:cs="Arial"/>
                <w:b/>
                <w:color w:val="3366FF"/>
                <w:sz w:val="20"/>
              </w:rPr>
            </w:pPr>
          </w:p>
        </w:tc>
        <w:tc>
          <w:tcPr>
            <w:tcW w:w="540" w:type="dxa"/>
            <w:tcBorders>
              <w:top w:val="single" w:sz="4" w:space="0" w:color="auto"/>
              <w:left w:val="single" w:sz="4" w:space="0" w:color="auto"/>
              <w:bottom w:val="single" w:sz="4" w:space="0" w:color="auto"/>
              <w:right w:val="single" w:sz="4" w:space="0" w:color="auto"/>
            </w:tcBorders>
          </w:tcPr>
          <w:p w:rsidR="002F6412" w:rsidRDefault="002F6412">
            <w:pPr>
              <w:jc w:val="center"/>
              <w:rPr>
                <w:rFonts w:ascii="Arial" w:hAnsi="Arial" w:cs="Arial"/>
                <w:sz w:val="20"/>
              </w:rPr>
            </w:pPr>
            <w:r>
              <w:rPr>
                <w:rFonts w:ascii="Arial" w:hAnsi="Arial" w:cs="Arial"/>
                <w:sz w:val="20"/>
              </w:rPr>
              <w:t>3</w:t>
            </w:r>
          </w:p>
        </w:tc>
        <w:tc>
          <w:tcPr>
            <w:tcW w:w="6840" w:type="dxa"/>
            <w:gridSpan w:val="4"/>
            <w:tcBorders>
              <w:top w:val="single" w:sz="4" w:space="0" w:color="auto"/>
              <w:left w:val="single" w:sz="4" w:space="0" w:color="auto"/>
              <w:bottom w:val="single" w:sz="4" w:space="0" w:color="auto"/>
              <w:right w:val="single" w:sz="4" w:space="0" w:color="auto"/>
            </w:tcBorders>
          </w:tcPr>
          <w:p w:rsidR="006D65AC" w:rsidRDefault="006D65AC" w:rsidP="006D65AC">
            <w:pPr>
              <w:numPr>
                <w:ilvl w:val="0"/>
                <w:numId w:val="6"/>
              </w:numPr>
              <w:jc w:val="left"/>
              <w:rPr>
                <w:rFonts w:ascii="Arial" w:hAnsi="Arial" w:cs="Arial"/>
                <w:sz w:val="20"/>
              </w:rPr>
            </w:pPr>
            <w:r>
              <w:rPr>
                <w:szCs w:val="22"/>
              </w:rPr>
              <w:t>Medical and technical policies and procedures related to the appropriate use of these devices as related to patient care:</w:t>
            </w:r>
          </w:p>
          <w:p w:rsidR="002F6412" w:rsidRDefault="002F6412" w:rsidP="006D65AC">
            <w:pPr>
              <w:numPr>
                <w:ilvl w:val="1"/>
                <w:numId w:val="6"/>
              </w:numPr>
              <w:jc w:val="left"/>
              <w:rPr>
                <w:rFonts w:ascii="Arial" w:hAnsi="Arial" w:cs="Arial"/>
                <w:sz w:val="20"/>
              </w:rPr>
            </w:pPr>
            <w:r>
              <w:rPr>
                <w:rFonts w:ascii="Arial" w:hAnsi="Arial" w:cs="Arial"/>
                <w:sz w:val="20"/>
              </w:rPr>
              <w:t>Respond to supplier qualification and customer issues</w:t>
            </w:r>
          </w:p>
          <w:p w:rsidR="002F6412" w:rsidRDefault="002F6412" w:rsidP="006D65AC">
            <w:pPr>
              <w:numPr>
                <w:ilvl w:val="1"/>
                <w:numId w:val="6"/>
              </w:numPr>
              <w:jc w:val="left"/>
              <w:rPr>
                <w:rFonts w:ascii="Arial" w:hAnsi="Arial" w:cs="Arial"/>
                <w:sz w:val="20"/>
              </w:rPr>
            </w:pPr>
            <w:r>
              <w:rPr>
                <w:rFonts w:ascii="Arial" w:hAnsi="Arial" w:cs="Arial"/>
                <w:sz w:val="20"/>
              </w:rPr>
              <w:t>Review service agreements.</w:t>
            </w:r>
          </w:p>
          <w:p w:rsidR="002F6412" w:rsidRDefault="002F6412" w:rsidP="006D65AC">
            <w:pPr>
              <w:numPr>
                <w:ilvl w:val="1"/>
                <w:numId w:val="6"/>
              </w:numPr>
              <w:jc w:val="left"/>
              <w:rPr>
                <w:rFonts w:ascii="Arial" w:hAnsi="Arial" w:cs="Arial"/>
                <w:sz w:val="20"/>
              </w:rPr>
            </w:pPr>
            <w:r>
              <w:rPr>
                <w:rFonts w:ascii="Arial" w:hAnsi="Arial" w:cs="Arial"/>
                <w:sz w:val="20"/>
              </w:rPr>
              <w:t>Review of records</w:t>
            </w:r>
          </w:p>
          <w:p w:rsidR="002F6412" w:rsidRDefault="002F6412" w:rsidP="006D65AC">
            <w:pPr>
              <w:numPr>
                <w:ilvl w:val="2"/>
                <w:numId w:val="6"/>
              </w:numPr>
              <w:jc w:val="left"/>
              <w:rPr>
                <w:rFonts w:ascii="Arial" w:hAnsi="Arial" w:cs="Arial"/>
                <w:sz w:val="20"/>
              </w:rPr>
            </w:pPr>
            <w:r>
              <w:rPr>
                <w:rFonts w:ascii="Arial" w:hAnsi="Arial" w:cs="Arial"/>
                <w:sz w:val="20"/>
              </w:rPr>
              <w:t>Training</w:t>
            </w:r>
          </w:p>
          <w:p w:rsidR="002F6412" w:rsidRDefault="002F6412" w:rsidP="006D65AC">
            <w:pPr>
              <w:numPr>
                <w:ilvl w:val="2"/>
                <w:numId w:val="6"/>
              </w:numPr>
              <w:jc w:val="left"/>
              <w:rPr>
                <w:rFonts w:ascii="Arial" w:hAnsi="Arial" w:cs="Arial"/>
                <w:sz w:val="20"/>
              </w:rPr>
            </w:pPr>
            <w:r>
              <w:rPr>
                <w:rFonts w:ascii="Arial" w:hAnsi="Arial" w:cs="Arial"/>
                <w:sz w:val="20"/>
              </w:rPr>
              <w:t>Competency</w:t>
            </w:r>
          </w:p>
          <w:p w:rsidR="006D65AC" w:rsidRPr="006D65AC" w:rsidRDefault="002F6412" w:rsidP="006D65AC">
            <w:pPr>
              <w:numPr>
                <w:ilvl w:val="2"/>
                <w:numId w:val="6"/>
              </w:numPr>
              <w:jc w:val="left"/>
              <w:rPr>
                <w:rFonts w:ascii="Arial" w:hAnsi="Arial" w:cs="Arial"/>
                <w:sz w:val="20"/>
              </w:rPr>
            </w:pPr>
            <w:r>
              <w:rPr>
                <w:rFonts w:ascii="Arial" w:hAnsi="Arial" w:cs="Arial"/>
                <w:sz w:val="20"/>
              </w:rPr>
              <w:t>Corrective actions</w:t>
            </w:r>
          </w:p>
          <w:tbl>
            <w:tblPr>
              <w:tblW w:w="0" w:type="auto"/>
              <w:tblBorders>
                <w:top w:val="nil"/>
                <w:left w:val="nil"/>
                <w:bottom w:val="nil"/>
                <w:right w:val="nil"/>
              </w:tblBorders>
              <w:tblLayout w:type="fixed"/>
              <w:tblLook w:val="0000"/>
            </w:tblPr>
            <w:tblGrid>
              <w:gridCol w:w="7060"/>
            </w:tblGrid>
            <w:tr w:rsidR="006D65AC">
              <w:tblPrEx>
                <w:tblCellMar>
                  <w:top w:w="0" w:type="dxa"/>
                  <w:bottom w:w="0" w:type="dxa"/>
                </w:tblCellMar>
              </w:tblPrEx>
              <w:trPr>
                <w:trHeight w:val="353"/>
              </w:trPr>
              <w:tc>
                <w:tcPr>
                  <w:tcW w:w="7060" w:type="dxa"/>
                </w:tcPr>
                <w:p w:rsidR="006D65AC" w:rsidRDefault="006D65AC" w:rsidP="006D65AC">
                  <w:pPr>
                    <w:pStyle w:val="Default"/>
                    <w:rPr>
                      <w:sz w:val="22"/>
                      <w:szCs w:val="22"/>
                    </w:rPr>
                  </w:pPr>
                </w:p>
              </w:tc>
            </w:tr>
          </w:tbl>
          <w:p w:rsidR="006D65AC" w:rsidRPr="0065326D" w:rsidRDefault="006D65AC" w:rsidP="006D65AC">
            <w:pPr>
              <w:ind w:left="1080"/>
              <w:jc w:val="left"/>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2F6412" w:rsidRDefault="005824D2">
            <w:pPr>
              <w:jc w:val="left"/>
              <w:rPr>
                <w:rFonts w:ascii="Arial" w:hAnsi="Arial" w:cs="Arial"/>
                <w:sz w:val="20"/>
              </w:rPr>
            </w:pPr>
            <w:r>
              <w:rPr>
                <w:rFonts w:ascii="Arial" w:hAnsi="Arial" w:cs="Arial"/>
                <w:sz w:val="20"/>
              </w:rPr>
              <w:t>Medical Director  of each program or designee</w:t>
            </w:r>
          </w:p>
        </w:tc>
      </w:tr>
      <w:tr w:rsidR="002F6412" w:rsidTr="005824D2">
        <w:tblPrEx>
          <w:tblCellMar>
            <w:top w:w="0" w:type="dxa"/>
            <w:bottom w:w="0" w:type="dxa"/>
          </w:tblCellMar>
        </w:tblPrEx>
        <w:tc>
          <w:tcPr>
            <w:tcW w:w="1440" w:type="dxa"/>
            <w:tcBorders>
              <w:top w:val="nil"/>
              <w:left w:val="nil"/>
              <w:bottom w:val="nil"/>
              <w:right w:val="single" w:sz="4" w:space="0" w:color="auto"/>
            </w:tcBorders>
          </w:tcPr>
          <w:p w:rsidR="002F6412" w:rsidRDefault="002F6412">
            <w:pPr>
              <w:rPr>
                <w:rFonts w:ascii="Arial" w:hAnsi="Arial" w:cs="Arial"/>
                <w:b/>
                <w:color w:val="3366FF"/>
                <w:sz w:val="20"/>
              </w:rPr>
            </w:pPr>
          </w:p>
        </w:tc>
        <w:tc>
          <w:tcPr>
            <w:tcW w:w="540" w:type="dxa"/>
            <w:tcBorders>
              <w:top w:val="single" w:sz="4" w:space="0" w:color="auto"/>
              <w:left w:val="single" w:sz="4" w:space="0" w:color="auto"/>
              <w:bottom w:val="single" w:sz="4" w:space="0" w:color="auto"/>
              <w:right w:val="single" w:sz="4" w:space="0" w:color="auto"/>
            </w:tcBorders>
          </w:tcPr>
          <w:p w:rsidR="002F6412" w:rsidRDefault="002F6412">
            <w:pPr>
              <w:jc w:val="center"/>
              <w:rPr>
                <w:rFonts w:ascii="Arial" w:hAnsi="Arial" w:cs="Arial"/>
                <w:sz w:val="20"/>
              </w:rPr>
            </w:pPr>
            <w:r>
              <w:rPr>
                <w:rFonts w:ascii="Arial" w:hAnsi="Arial" w:cs="Arial"/>
                <w:sz w:val="20"/>
              </w:rPr>
              <w:t>4</w:t>
            </w:r>
          </w:p>
        </w:tc>
        <w:tc>
          <w:tcPr>
            <w:tcW w:w="6840" w:type="dxa"/>
            <w:gridSpan w:val="4"/>
            <w:tcBorders>
              <w:top w:val="single" w:sz="4" w:space="0" w:color="auto"/>
              <w:left w:val="single" w:sz="4" w:space="0" w:color="auto"/>
              <w:bottom w:val="single" w:sz="4" w:space="0" w:color="auto"/>
              <w:right w:val="single" w:sz="4" w:space="0" w:color="auto"/>
            </w:tcBorders>
          </w:tcPr>
          <w:p w:rsidR="002F6412" w:rsidRDefault="00302224" w:rsidP="00302224">
            <w:pPr>
              <w:numPr>
                <w:ilvl w:val="0"/>
                <w:numId w:val="7"/>
              </w:numPr>
              <w:jc w:val="left"/>
              <w:rPr>
                <w:rFonts w:ascii="Arial" w:hAnsi="Arial" w:cs="Arial"/>
                <w:sz w:val="20"/>
              </w:rPr>
            </w:pPr>
            <w:r>
              <w:rPr>
                <w:rFonts w:ascii="Arial" w:hAnsi="Arial" w:cs="Arial"/>
                <w:sz w:val="20"/>
              </w:rPr>
              <w:t>Develop, maintain and update all standard operating procedures.</w:t>
            </w:r>
          </w:p>
          <w:p w:rsidR="00302224" w:rsidRDefault="00302224" w:rsidP="00302224">
            <w:pPr>
              <w:numPr>
                <w:ilvl w:val="0"/>
                <w:numId w:val="7"/>
              </w:numPr>
              <w:jc w:val="left"/>
              <w:rPr>
                <w:rFonts w:ascii="Arial" w:hAnsi="Arial" w:cs="Arial"/>
                <w:sz w:val="20"/>
              </w:rPr>
            </w:pPr>
            <w:r>
              <w:rPr>
                <w:rFonts w:ascii="Arial" w:hAnsi="Arial" w:cs="Arial"/>
                <w:sz w:val="20"/>
              </w:rPr>
              <w:t>Maintain, calibrate and monitor equipment</w:t>
            </w:r>
          </w:p>
          <w:p w:rsidR="00302224" w:rsidRDefault="00302224" w:rsidP="00302224">
            <w:pPr>
              <w:numPr>
                <w:ilvl w:val="0"/>
                <w:numId w:val="7"/>
              </w:numPr>
              <w:jc w:val="left"/>
              <w:rPr>
                <w:rFonts w:ascii="Arial" w:hAnsi="Arial" w:cs="Arial"/>
                <w:sz w:val="20"/>
              </w:rPr>
            </w:pPr>
            <w:r>
              <w:rPr>
                <w:rFonts w:ascii="Arial" w:hAnsi="Arial" w:cs="Arial"/>
                <w:sz w:val="20"/>
              </w:rPr>
              <w:t>Maintain records of training and competency.</w:t>
            </w:r>
          </w:p>
          <w:p w:rsidR="00302224" w:rsidRDefault="00302224" w:rsidP="00302224">
            <w:pPr>
              <w:numPr>
                <w:ilvl w:val="0"/>
                <w:numId w:val="7"/>
              </w:numPr>
              <w:jc w:val="left"/>
              <w:rPr>
                <w:rFonts w:ascii="Arial" w:hAnsi="Arial" w:cs="Arial"/>
                <w:sz w:val="20"/>
              </w:rPr>
            </w:pPr>
            <w:r>
              <w:rPr>
                <w:rFonts w:ascii="Arial" w:hAnsi="Arial" w:cs="Arial"/>
                <w:sz w:val="20"/>
              </w:rPr>
              <w:t>Monitor processes to ensure the safety and quality of the product.</w:t>
            </w:r>
          </w:p>
          <w:p w:rsidR="00302224" w:rsidRDefault="00302224" w:rsidP="00302224">
            <w:pPr>
              <w:numPr>
                <w:ilvl w:val="0"/>
                <w:numId w:val="7"/>
              </w:numPr>
              <w:jc w:val="left"/>
              <w:rPr>
                <w:rFonts w:ascii="Arial" w:hAnsi="Arial" w:cs="Arial"/>
                <w:sz w:val="20"/>
              </w:rPr>
            </w:pPr>
            <w:r>
              <w:rPr>
                <w:rFonts w:ascii="Arial" w:hAnsi="Arial" w:cs="Arial"/>
                <w:sz w:val="20"/>
              </w:rPr>
              <w:t>Maintain Quality Site Manual for Children’s Minnesota</w:t>
            </w:r>
          </w:p>
          <w:p w:rsidR="00302224" w:rsidRDefault="00302224" w:rsidP="00302224">
            <w:pPr>
              <w:numPr>
                <w:ilvl w:val="0"/>
                <w:numId w:val="7"/>
              </w:numPr>
              <w:jc w:val="left"/>
              <w:rPr>
                <w:rFonts w:ascii="Arial" w:hAnsi="Arial" w:cs="Arial"/>
                <w:sz w:val="20"/>
              </w:rPr>
            </w:pPr>
            <w:r>
              <w:rPr>
                <w:rFonts w:ascii="Arial" w:hAnsi="Arial" w:cs="Arial"/>
                <w:sz w:val="20"/>
              </w:rPr>
              <w:t>Perform intraoperative/perioperative blood recovery and reinfusion</w:t>
            </w:r>
          </w:p>
          <w:p w:rsidR="00302224" w:rsidRDefault="00302224" w:rsidP="00302224">
            <w:pPr>
              <w:numPr>
                <w:ilvl w:val="0"/>
                <w:numId w:val="7"/>
              </w:numPr>
              <w:jc w:val="left"/>
              <w:rPr>
                <w:rFonts w:ascii="Arial" w:hAnsi="Arial" w:cs="Arial"/>
                <w:sz w:val="20"/>
              </w:rPr>
            </w:pPr>
            <w:r>
              <w:rPr>
                <w:rFonts w:ascii="Arial" w:hAnsi="Arial" w:cs="Arial"/>
                <w:sz w:val="20"/>
              </w:rPr>
              <w:t>Document all cases</w:t>
            </w:r>
          </w:p>
          <w:p w:rsidR="00302224" w:rsidRDefault="00302224" w:rsidP="00302224">
            <w:pPr>
              <w:numPr>
                <w:ilvl w:val="0"/>
                <w:numId w:val="7"/>
              </w:numPr>
              <w:jc w:val="left"/>
              <w:rPr>
                <w:rFonts w:ascii="Arial" w:hAnsi="Arial" w:cs="Arial"/>
                <w:sz w:val="20"/>
              </w:rPr>
            </w:pPr>
            <w:r>
              <w:rPr>
                <w:rFonts w:ascii="Arial" w:hAnsi="Arial" w:cs="Arial"/>
                <w:sz w:val="20"/>
              </w:rPr>
              <w:t>Ensure all components and critical materials used in processing are traceable</w:t>
            </w:r>
          </w:p>
          <w:p w:rsidR="00302224" w:rsidRDefault="00302224" w:rsidP="00302224">
            <w:pPr>
              <w:numPr>
                <w:ilvl w:val="0"/>
                <w:numId w:val="7"/>
              </w:numPr>
              <w:jc w:val="left"/>
              <w:rPr>
                <w:rFonts w:ascii="Arial" w:hAnsi="Arial" w:cs="Arial"/>
                <w:sz w:val="20"/>
              </w:rPr>
            </w:pPr>
            <w:r>
              <w:rPr>
                <w:rFonts w:ascii="Arial" w:hAnsi="Arial" w:cs="Arial"/>
                <w:sz w:val="20"/>
              </w:rPr>
              <w:t>Perform QC testing on all intraoperative/periopertive blood recovery.</w:t>
            </w:r>
          </w:p>
          <w:p w:rsidR="00302224" w:rsidRDefault="00302224" w:rsidP="00302224">
            <w:pPr>
              <w:numPr>
                <w:ilvl w:val="1"/>
                <w:numId w:val="7"/>
              </w:numPr>
              <w:jc w:val="left"/>
              <w:rPr>
                <w:rFonts w:ascii="Arial" w:hAnsi="Arial" w:cs="Arial"/>
                <w:sz w:val="20"/>
              </w:rPr>
            </w:pPr>
            <w:r>
              <w:rPr>
                <w:rFonts w:ascii="Arial" w:hAnsi="Arial" w:cs="Arial"/>
                <w:sz w:val="20"/>
              </w:rPr>
              <w:t>Potassium</w:t>
            </w:r>
          </w:p>
          <w:p w:rsidR="004010D5" w:rsidRDefault="004010D5" w:rsidP="004010D5">
            <w:pPr>
              <w:numPr>
                <w:ilvl w:val="2"/>
                <w:numId w:val="7"/>
              </w:numPr>
              <w:jc w:val="left"/>
              <w:rPr>
                <w:rFonts w:ascii="Arial" w:hAnsi="Arial" w:cs="Arial"/>
                <w:sz w:val="20"/>
              </w:rPr>
            </w:pPr>
            <w:r>
              <w:rPr>
                <w:rFonts w:ascii="Arial" w:hAnsi="Arial" w:cs="Arial"/>
                <w:sz w:val="20"/>
              </w:rPr>
              <w:t>&lt;6.5 mEq/L</w:t>
            </w:r>
          </w:p>
          <w:p w:rsidR="00302224" w:rsidRDefault="00661C19" w:rsidP="00302224">
            <w:pPr>
              <w:numPr>
                <w:ilvl w:val="1"/>
                <w:numId w:val="7"/>
              </w:numPr>
              <w:jc w:val="left"/>
              <w:rPr>
                <w:rFonts w:ascii="Arial" w:hAnsi="Arial" w:cs="Arial"/>
                <w:sz w:val="20"/>
              </w:rPr>
            </w:pPr>
            <w:r>
              <w:rPr>
                <w:rFonts w:ascii="Arial" w:hAnsi="Arial" w:cs="Arial"/>
                <w:sz w:val="20"/>
              </w:rPr>
              <w:t>HGB</w:t>
            </w:r>
          </w:p>
          <w:p w:rsidR="004010D5" w:rsidRDefault="004010D5" w:rsidP="004010D5">
            <w:pPr>
              <w:numPr>
                <w:ilvl w:val="2"/>
                <w:numId w:val="7"/>
              </w:numPr>
              <w:jc w:val="left"/>
              <w:rPr>
                <w:rFonts w:ascii="Arial" w:hAnsi="Arial" w:cs="Arial"/>
                <w:sz w:val="20"/>
              </w:rPr>
            </w:pPr>
            <w:r>
              <w:rPr>
                <w:rFonts w:ascii="Arial" w:hAnsi="Arial" w:cs="Arial"/>
                <w:sz w:val="20"/>
              </w:rPr>
              <w:t>Acceptable range ≥</w:t>
            </w:r>
            <w:r w:rsidR="00661C19">
              <w:rPr>
                <w:rFonts w:ascii="Arial" w:hAnsi="Arial" w:cs="Arial"/>
                <w:sz w:val="20"/>
              </w:rPr>
              <w:t xml:space="preserve">15 </w:t>
            </w:r>
            <w:r w:rsidR="004927BA">
              <w:rPr>
                <w:rFonts w:ascii="Arial" w:hAnsi="Arial" w:cs="Arial"/>
                <w:sz w:val="20"/>
              </w:rPr>
              <w:t>g</w:t>
            </w:r>
            <w:r w:rsidR="00661C19">
              <w:rPr>
                <w:rFonts w:ascii="Arial" w:hAnsi="Arial" w:cs="Arial"/>
                <w:sz w:val="20"/>
              </w:rPr>
              <w:t>/dL</w:t>
            </w:r>
          </w:p>
          <w:p w:rsidR="002F6412" w:rsidRDefault="002F6412" w:rsidP="002F6412">
            <w:pPr>
              <w:ind w:left="720"/>
              <w:jc w:val="left"/>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rsidR="002F6412" w:rsidRDefault="00302224">
            <w:pPr>
              <w:jc w:val="left"/>
              <w:rPr>
                <w:rFonts w:ascii="Arial" w:hAnsi="Arial" w:cs="Arial"/>
                <w:sz w:val="20"/>
              </w:rPr>
            </w:pPr>
            <w:r>
              <w:rPr>
                <w:rFonts w:ascii="Arial" w:hAnsi="Arial" w:cs="Arial"/>
                <w:sz w:val="20"/>
              </w:rPr>
              <w:t>Outside Children’s Minnesota contract vendor</w:t>
            </w:r>
          </w:p>
        </w:tc>
      </w:tr>
      <w:tr w:rsidR="002F6412">
        <w:tblPrEx>
          <w:tblCellMar>
            <w:top w:w="0" w:type="dxa"/>
            <w:bottom w:w="0" w:type="dxa"/>
          </w:tblCellMar>
        </w:tblPrEx>
        <w:tc>
          <w:tcPr>
            <w:tcW w:w="1440" w:type="dxa"/>
            <w:tcBorders>
              <w:top w:val="nil"/>
              <w:left w:val="nil"/>
              <w:bottom w:val="nil"/>
              <w:right w:val="nil"/>
            </w:tcBorders>
          </w:tcPr>
          <w:p w:rsidR="002F6412" w:rsidRDefault="002F6412">
            <w:pPr>
              <w:rPr>
                <w:rFonts w:ascii="Arial" w:hAnsi="Arial" w:cs="Arial"/>
                <w:b/>
                <w:color w:val="3366FF"/>
                <w:sz w:val="20"/>
              </w:rPr>
            </w:pPr>
          </w:p>
        </w:tc>
        <w:tc>
          <w:tcPr>
            <w:tcW w:w="9720" w:type="dxa"/>
            <w:gridSpan w:val="6"/>
            <w:tcBorders>
              <w:top w:val="single" w:sz="4" w:space="0" w:color="auto"/>
              <w:left w:val="nil"/>
              <w:bottom w:val="nil"/>
              <w:right w:val="nil"/>
            </w:tcBorders>
          </w:tcPr>
          <w:p w:rsidR="002F6412" w:rsidRDefault="002F6412">
            <w:pPr>
              <w:jc w:val="left"/>
              <w:rPr>
                <w:rFonts w:ascii="Arial" w:hAnsi="Arial" w:cs="Arial"/>
                <w:sz w:val="20"/>
              </w:rPr>
            </w:pPr>
          </w:p>
        </w:tc>
      </w:tr>
      <w:tr w:rsidR="002F6412">
        <w:tblPrEx>
          <w:tblCellMar>
            <w:top w:w="0" w:type="dxa"/>
            <w:bottom w:w="0" w:type="dxa"/>
          </w:tblCellMar>
        </w:tblPrEx>
        <w:trPr>
          <w:cantSplit/>
          <w:trHeight w:val="386"/>
        </w:trPr>
        <w:tc>
          <w:tcPr>
            <w:tcW w:w="1440" w:type="dxa"/>
            <w:tcBorders>
              <w:top w:val="nil"/>
              <w:left w:val="nil"/>
              <w:bottom w:val="nil"/>
              <w:right w:val="nil"/>
            </w:tcBorders>
          </w:tcPr>
          <w:p w:rsidR="002F6412" w:rsidRDefault="002F6412">
            <w:pPr>
              <w:rPr>
                <w:rFonts w:ascii="Arial" w:hAnsi="Arial" w:cs="Arial"/>
                <w:b/>
                <w:sz w:val="20"/>
              </w:rPr>
            </w:pPr>
          </w:p>
        </w:tc>
        <w:tc>
          <w:tcPr>
            <w:tcW w:w="9720" w:type="dxa"/>
            <w:gridSpan w:val="6"/>
            <w:tcBorders>
              <w:top w:val="nil"/>
              <w:left w:val="nil"/>
              <w:bottom w:val="single" w:sz="12" w:space="0" w:color="C0C0C0"/>
              <w:right w:val="nil"/>
            </w:tcBorders>
          </w:tcPr>
          <w:p w:rsidR="002F6412" w:rsidRDefault="002F6412">
            <w:pPr>
              <w:jc w:val="left"/>
              <w:rPr>
                <w:rFonts w:ascii="Arial" w:hAnsi="Arial" w:cs="Arial"/>
                <w:iCs/>
                <w:sz w:val="20"/>
              </w:rPr>
            </w:pPr>
          </w:p>
        </w:tc>
      </w:tr>
      <w:tr w:rsidR="002F641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525"/>
        </w:trPr>
        <w:tc>
          <w:tcPr>
            <w:tcW w:w="1440" w:type="dxa"/>
            <w:tcBorders>
              <w:top w:val="nil"/>
              <w:left w:val="nil"/>
              <w:bottom w:val="nil"/>
            </w:tcBorders>
          </w:tcPr>
          <w:p w:rsidR="002F6412" w:rsidRDefault="002F6412">
            <w:pPr>
              <w:rPr>
                <w:rFonts w:ascii="Arial" w:hAnsi="Arial" w:cs="Arial"/>
                <w:b/>
                <w:bCs/>
                <w:color w:val="3366FF"/>
                <w:sz w:val="20"/>
              </w:rPr>
            </w:pPr>
          </w:p>
          <w:p w:rsidR="002F6412" w:rsidRDefault="0065326D">
            <w:pPr>
              <w:jc w:val="left"/>
              <w:rPr>
                <w:rFonts w:ascii="Arial" w:hAnsi="Arial" w:cs="Arial"/>
                <w:b/>
                <w:bCs/>
                <w:color w:val="3366FF"/>
                <w:sz w:val="20"/>
              </w:rPr>
            </w:pPr>
            <w:r>
              <w:rPr>
                <w:rFonts w:ascii="Arial" w:hAnsi="Arial" w:cs="Arial"/>
                <w:b/>
                <w:bCs/>
                <w:color w:val="3366FF"/>
                <w:sz w:val="20"/>
              </w:rPr>
              <w:t>References</w:t>
            </w:r>
          </w:p>
          <w:p w:rsidR="002F6412" w:rsidRDefault="002F6412">
            <w:pPr>
              <w:rPr>
                <w:rFonts w:ascii="Arial" w:hAnsi="Arial" w:cs="Arial"/>
                <w:b/>
                <w:bCs/>
                <w:color w:val="3366FF"/>
                <w:sz w:val="20"/>
              </w:rPr>
            </w:pPr>
          </w:p>
        </w:tc>
        <w:tc>
          <w:tcPr>
            <w:tcW w:w="9720" w:type="dxa"/>
            <w:gridSpan w:val="6"/>
            <w:tcBorders>
              <w:top w:val="single" w:sz="12" w:space="0" w:color="C0C0C0"/>
              <w:bottom w:val="single" w:sz="12" w:space="0" w:color="C0C0C0"/>
              <w:right w:val="nil"/>
            </w:tcBorders>
          </w:tcPr>
          <w:p w:rsidR="002F6412" w:rsidRDefault="002F6412">
            <w:pPr>
              <w:jc w:val="left"/>
              <w:rPr>
                <w:rFonts w:ascii="Arial" w:hAnsi="Arial" w:cs="Arial"/>
                <w:iCs/>
                <w:sz w:val="20"/>
              </w:rPr>
            </w:pPr>
          </w:p>
          <w:p w:rsidR="002F6412" w:rsidRPr="0065326D" w:rsidRDefault="0065326D" w:rsidP="0065326D">
            <w:pPr>
              <w:pStyle w:val="TableText"/>
              <w:numPr>
                <w:ilvl w:val="0"/>
                <w:numId w:val="3"/>
              </w:numPr>
              <w:tabs>
                <w:tab w:val="clear" w:pos="720"/>
                <w:tab w:val="num" w:pos="252"/>
              </w:tabs>
              <w:autoSpaceDE/>
              <w:autoSpaceDN/>
              <w:ind w:left="432"/>
              <w:rPr>
                <w:rFonts w:ascii="Arial" w:hAnsi="Arial" w:cs="Arial"/>
                <w:iCs/>
              </w:rPr>
            </w:pPr>
            <w:r>
              <w:rPr>
                <w:rFonts w:ascii="Arial" w:hAnsi="Arial" w:cs="Arial"/>
                <w:iCs/>
              </w:rPr>
              <w:t>Transfusion Medicine Checklist, CAP Accreditation Program, current edition. Northfield, IL: College of American Pathologist</w:t>
            </w:r>
          </w:p>
          <w:p w:rsidR="002F6412" w:rsidRDefault="002F6412">
            <w:pPr>
              <w:rPr>
                <w:rFonts w:ascii="Arial" w:hAnsi="Arial" w:cs="Arial"/>
                <w:iCs/>
                <w:sz w:val="20"/>
              </w:rPr>
            </w:pPr>
          </w:p>
        </w:tc>
      </w:tr>
      <w:tr w:rsidR="002F641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525"/>
        </w:trPr>
        <w:tc>
          <w:tcPr>
            <w:tcW w:w="1440" w:type="dxa"/>
            <w:tcBorders>
              <w:top w:val="nil"/>
              <w:left w:val="nil"/>
              <w:bottom w:val="nil"/>
            </w:tcBorders>
          </w:tcPr>
          <w:p w:rsidR="002F6412" w:rsidRDefault="002F6412">
            <w:pPr>
              <w:rPr>
                <w:rFonts w:ascii="Arial" w:hAnsi="Arial" w:cs="Arial"/>
                <w:b/>
                <w:bCs/>
                <w:color w:val="3366FF"/>
                <w:sz w:val="20"/>
              </w:rPr>
            </w:pPr>
          </w:p>
          <w:p w:rsidR="002F6412" w:rsidRDefault="002F6412">
            <w:pPr>
              <w:rPr>
                <w:rFonts w:ascii="Arial" w:hAnsi="Arial" w:cs="Arial"/>
                <w:b/>
                <w:bCs/>
                <w:color w:val="3366FF"/>
                <w:sz w:val="20"/>
              </w:rPr>
            </w:pPr>
            <w:r>
              <w:rPr>
                <w:rFonts w:ascii="Arial" w:hAnsi="Arial" w:cs="Arial"/>
                <w:b/>
                <w:bCs/>
                <w:color w:val="3366FF"/>
                <w:sz w:val="20"/>
              </w:rPr>
              <w:t>Approval</w:t>
            </w:r>
          </w:p>
          <w:p w:rsidR="002F6412" w:rsidRDefault="002F6412">
            <w:pPr>
              <w:rPr>
                <w:rFonts w:ascii="Arial" w:hAnsi="Arial" w:cs="Arial"/>
                <w:b/>
                <w:bCs/>
                <w:color w:val="3366FF"/>
                <w:sz w:val="20"/>
              </w:rPr>
            </w:pPr>
            <w:r>
              <w:rPr>
                <w:rFonts w:ascii="Arial" w:hAnsi="Arial" w:cs="Arial"/>
                <w:b/>
                <w:bCs/>
                <w:color w:val="3366FF"/>
                <w:sz w:val="20"/>
              </w:rPr>
              <w:t>Workflow</w:t>
            </w:r>
          </w:p>
        </w:tc>
        <w:tc>
          <w:tcPr>
            <w:tcW w:w="9720" w:type="dxa"/>
            <w:gridSpan w:val="6"/>
            <w:tcBorders>
              <w:top w:val="single" w:sz="12" w:space="0" w:color="C0C0C0"/>
              <w:bottom w:val="single" w:sz="12" w:space="0" w:color="C0C0C0"/>
              <w:right w:val="nil"/>
            </w:tcBorders>
          </w:tcPr>
          <w:p w:rsidR="002F6412" w:rsidRDefault="002F6412">
            <w:pPr>
              <w:jc w:val="left"/>
              <w:rPr>
                <w:rFonts w:ascii="Arial" w:hAnsi="Arial" w:cs="Arial"/>
                <w:iCs/>
                <w:sz w:val="20"/>
              </w:rPr>
            </w:pPr>
          </w:p>
          <w:p w:rsidR="002F6412" w:rsidRDefault="002F6412">
            <w:pPr>
              <w:jc w:val="left"/>
              <w:rPr>
                <w:rFonts w:ascii="Arial" w:hAnsi="Arial" w:cs="Arial"/>
                <w:iCs/>
                <w:sz w:val="20"/>
              </w:rPr>
            </w:pPr>
            <w:r>
              <w:rPr>
                <w:rFonts w:ascii="Arial" w:hAnsi="Arial" w:cs="Arial"/>
                <w:iCs/>
                <w:sz w:val="20"/>
              </w:rPr>
              <w:t>Transfusion Service/</w:t>
            </w:r>
            <w:r w:rsidR="0065326D">
              <w:rPr>
                <w:rFonts w:ascii="Arial" w:hAnsi="Arial" w:cs="Arial"/>
                <w:iCs/>
                <w:sz w:val="20"/>
              </w:rPr>
              <w:t>Lab Director</w:t>
            </w:r>
          </w:p>
          <w:p w:rsidR="002F6412" w:rsidRDefault="002F6412">
            <w:pPr>
              <w:jc w:val="left"/>
              <w:rPr>
                <w:rFonts w:ascii="Arial" w:hAnsi="Arial" w:cs="Arial"/>
                <w:iCs/>
                <w:sz w:val="20"/>
              </w:rPr>
            </w:pPr>
          </w:p>
        </w:tc>
      </w:tr>
      <w:tr w:rsidR="002F641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0"/>
        </w:trPr>
        <w:tc>
          <w:tcPr>
            <w:tcW w:w="1440" w:type="dxa"/>
            <w:tcBorders>
              <w:top w:val="nil"/>
              <w:left w:val="nil"/>
              <w:bottom w:val="nil"/>
            </w:tcBorders>
          </w:tcPr>
          <w:p w:rsidR="002F6412" w:rsidRDefault="002F6412">
            <w:pPr>
              <w:rPr>
                <w:rFonts w:ascii="Arial" w:hAnsi="Arial" w:cs="Arial"/>
                <w:color w:val="3366FF"/>
                <w:sz w:val="20"/>
              </w:rPr>
            </w:pPr>
          </w:p>
        </w:tc>
        <w:tc>
          <w:tcPr>
            <w:tcW w:w="9720" w:type="dxa"/>
            <w:gridSpan w:val="6"/>
            <w:tcBorders>
              <w:top w:val="single" w:sz="12" w:space="0" w:color="C0C0C0"/>
              <w:bottom w:val="single" w:sz="4" w:space="0" w:color="auto"/>
              <w:right w:val="nil"/>
            </w:tcBorders>
          </w:tcPr>
          <w:p w:rsidR="002F6412" w:rsidRDefault="002F6412">
            <w:pPr>
              <w:pStyle w:val="TableText"/>
              <w:autoSpaceDE/>
              <w:autoSpaceDN/>
              <w:rPr>
                <w:rFonts w:ascii="Arial" w:hAnsi="Arial" w:cs="Arial"/>
                <w:iCs/>
              </w:rPr>
            </w:pPr>
          </w:p>
        </w:tc>
      </w:tr>
      <w:tr w:rsidR="002F641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25"/>
        </w:trPr>
        <w:tc>
          <w:tcPr>
            <w:tcW w:w="1440" w:type="dxa"/>
            <w:vMerge w:val="restart"/>
            <w:tcBorders>
              <w:left w:val="nil"/>
              <w:bottom w:val="nil"/>
              <w:right w:val="single" w:sz="2" w:space="0" w:color="auto"/>
            </w:tcBorders>
          </w:tcPr>
          <w:p w:rsidR="002F6412" w:rsidRDefault="002F6412">
            <w:pPr>
              <w:jc w:val="left"/>
              <w:rPr>
                <w:rFonts w:ascii="Arial" w:hAnsi="Arial" w:cs="Arial"/>
                <w:b/>
                <w:bCs/>
                <w:color w:val="3366FF"/>
                <w:sz w:val="20"/>
              </w:rPr>
            </w:pPr>
            <w:r>
              <w:rPr>
                <w:rFonts w:ascii="Arial" w:hAnsi="Arial" w:cs="Arial"/>
                <w:b/>
                <w:bCs/>
                <w:color w:val="3366FF"/>
                <w:sz w:val="20"/>
              </w:rPr>
              <w:t>Historical Record</w:t>
            </w:r>
          </w:p>
        </w:tc>
        <w:tc>
          <w:tcPr>
            <w:tcW w:w="1117" w:type="dxa"/>
            <w:gridSpan w:val="2"/>
            <w:tcBorders>
              <w:top w:val="single" w:sz="4" w:space="0" w:color="auto"/>
              <w:left w:val="single" w:sz="2" w:space="0" w:color="auto"/>
              <w:bottom w:val="single" w:sz="4" w:space="0" w:color="auto"/>
              <w:right w:val="single" w:sz="4" w:space="0" w:color="auto"/>
            </w:tcBorders>
          </w:tcPr>
          <w:p w:rsidR="002F6412" w:rsidRDefault="002F6412">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rsidR="002F6412" w:rsidRDefault="002F6412">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2F6412" w:rsidRDefault="002F6412">
            <w:pPr>
              <w:jc w:val="left"/>
              <w:rPr>
                <w:rFonts w:ascii="Arial" w:hAnsi="Arial" w:cs="Arial"/>
                <w:b/>
                <w:bCs/>
                <w:iCs/>
                <w:sz w:val="20"/>
              </w:rPr>
            </w:pPr>
            <w:r>
              <w:rPr>
                <w:rFonts w:ascii="Arial" w:hAnsi="Arial" w:cs="Arial"/>
                <w:b/>
                <w:bCs/>
                <w:iCs/>
                <w:sz w:val="20"/>
              </w:rPr>
              <w:t>Effective Date:</w:t>
            </w:r>
          </w:p>
        </w:tc>
        <w:tc>
          <w:tcPr>
            <w:tcW w:w="4283" w:type="dxa"/>
            <w:gridSpan w:val="2"/>
            <w:tcBorders>
              <w:top w:val="single" w:sz="4" w:space="0" w:color="auto"/>
              <w:left w:val="single" w:sz="4" w:space="0" w:color="auto"/>
              <w:bottom w:val="single" w:sz="4" w:space="0" w:color="auto"/>
              <w:right w:val="single" w:sz="4" w:space="0" w:color="auto"/>
            </w:tcBorders>
          </w:tcPr>
          <w:p w:rsidR="002F6412" w:rsidRDefault="002F6412">
            <w:pPr>
              <w:jc w:val="left"/>
              <w:rPr>
                <w:rFonts w:ascii="Arial" w:hAnsi="Arial" w:cs="Arial"/>
                <w:b/>
                <w:bCs/>
                <w:iCs/>
                <w:sz w:val="20"/>
              </w:rPr>
            </w:pPr>
            <w:r>
              <w:rPr>
                <w:rFonts w:ascii="Arial" w:hAnsi="Arial" w:cs="Arial"/>
                <w:b/>
                <w:bCs/>
                <w:iCs/>
                <w:sz w:val="20"/>
              </w:rPr>
              <w:t>Summary of Revisions</w:t>
            </w:r>
          </w:p>
        </w:tc>
      </w:tr>
      <w:tr w:rsidR="002F641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35"/>
        </w:trPr>
        <w:tc>
          <w:tcPr>
            <w:tcW w:w="1440" w:type="dxa"/>
            <w:vMerge/>
            <w:tcBorders>
              <w:top w:val="single" w:sz="12" w:space="0" w:color="C0C0C0"/>
              <w:left w:val="nil"/>
              <w:bottom w:val="nil"/>
              <w:right w:val="single" w:sz="2" w:space="0" w:color="auto"/>
            </w:tcBorders>
          </w:tcPr>
          <w:p w:rsidR="002F6412" w:rsidRDefault="002F6412">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rsidR="002F6412" w:rsidRDefault="002F6412">
            <w:pPr>
              <w:jc w:val="center"/>
              <w:rPr>
                <w:rFonts w:ascii="Arial" w:hAnsi="Arial" w:cs="Arial"/>
                <w:sz w:val="20"/>
              </w:rPr>
            </w:pPr>
            <w:r>
              <w:rPr>
                <w:rFonts w:ascii="Arial" w:hAnsi="Arial" w:cs="Arial"/>
                <w:sz w:val="20"/>
              </w:rPr>
              <w:t>1</w:t>
            </w:r>
          </w:p>
        </w:tc>
        <w:tc>
          <w:tcPr>
            <w:tcW w:w="2700" w:type="dxa"/>
            <w:tcBorders>
              <w:top w:val="single" w:sz="4" w:space="0" w:color="auto"/>
              <w:left w:val="single" w:sz="4" w:space="0" w:color="auto"/>
              <w:bottom w:val="single" w:sz="4" w:space="0" w:color="auto"/>
              <w:right w:val="single" w:sz="4" w:space="0" w:color="auto"/>
            </w:tcBorders>
          </w:tcPr>
          <w:p w:rsidR="002F6412" w:rsidRDefault="00894781">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rsidR="002F6412" w:rsidRDefault="00894781" w:rsidP="00E769F0">
            <w:pPr>
              <w:jc w:val="left"/>
              <w:rPr>
                <w:rFonts w:ascii="Arial" w:hAnsi="Arial" w:cs="Arial"/>
                <w:iCs/>
                <w:sz w:val="20"/>
              </w:rPr>
            </w:pPr>
            <w:r>
              <w:rPr>
                <w:rFonts w:ascii="Arial" w:hAnsi="Arial" w:cs="Arial"/>
                <w:iCs/>
                <w:sz w:val="20"/>
              </w:rPr>
              <w:t>11/</w:t>
            </w:r>
            <w:r w:rsidR="00E769F0">
              <w:rPr>
                <w:rFonts w:ascii="Arial" w:hAnsi="Arial" w:cs="Arial"/>
                <w:iCs/>
                <w:sz w:val="20"/>
              </w:rPr>
              <w:t>24</w:t>
            </w:r>
            <w:r>
              <w:rPr>
                <w:rFonts w:ascii="Arial" w:hAnsi="Arial" w:cs="Arial"/>
                <w:iCs/>
                <w:sz w:val="20"/>
              </w:rPr>
              <w:t>/2017</w:t>
            </w:r>
          </w:p>
        </w:tc>
        <w:tc>
          <w:tcPr>
            <w:tcW w:w="4283" w:type="dxa"/>
            <w:gridSpan w:val="2"/>
            <w:tcBorders>
              <w:top w:val="single" w:sz="4" w:space="0" w:color="auto"/>
              <w:left w:val="single" w:sz="4" w:space="0" w:color="auto"/>
              <w:bottom w:val="single" w:sz="4" w:space="0" w:color="auto"/>
              <w:right w:val="single" w:sz="4" w:space="0" w:color="auto"/>
            </w:tcBorders>
          </w:tcPr>
          <w:p w:rsidR="002F6412" w:rsidRDefault="002F6412">
            <w:pPr>
              <w:jc w:val="left"/>
              <w:rPr>
                <w:rFonts w:ascii="Arial" w:hAnsi="Arial" w:cs="Arial"/>
                <w:sz w:val="20"/>
              </w:rPr>
            </w:pPr>
            <w:r>
              <w:rPr>
                <w:rFonts w:ascii="Arial" w:hAnsi="Arial" w:cs="Arial"/>
                <w:sz w:val="20"/>
              </w:rPr>
              <w:t>Initial Version</w:t>
            </w:r>
          </w:p>
        </w:tc>
      </w:tr>
    </w:tbl>
    <w:p w:rsidR="00DC3DED" w:rsidRDefault="00DC3DED" w:rsidP="004010D5">
      <w:pPr>
        <w:pStyle w:val="Header"/>
        <w:tabs>
          <w:tab w:val="clear" w:pos="4320"/>
          <w:tab w:val="clear" w:pos="8640"/>
        </w:tabs>
        <w:rPr>
          <w:rFonts w:ascii="Arial" w:hAnsi="Arial" w:cs="Arial"/>
        </w:rPr>
      </w:pPr>
    </w:p>
    <w:sectPr w:rsidR="00DC3DED">
      <w:headerReference w:type="even" r:id="rId7"/>
      <w:headerReference w:type="default" r:id="rId8"/>
      <w:footerReference w:type="default" r:id="rId9"/>
      <w:headerReference w:type="first" r:id="rId10"/>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2BF" w:rsidRDefault="00D802BF">
      <w:r>
        <w:separator/>
      </w:r>
    </w:p>
  </w:endnote>
  <w:endnote w:type="continuationSeparator" w:id="0">
    <w:p w:rsidR="00D802BF" w:rsidRDefault="00D802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C21" w:rsidRDefault="00DE1C21">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0262FB">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0262FB">
      <w:rPr>
        <w:rFonts w:ascii="Arial" w:hAnsi="Arial" w:cs="Arial"/>
        <w:noProof/>
        <w:sz w:val="16"/>
      </w:rPr>
      <w:t>2</w:t>
    </w:r>
    <w:r>
      <w:rPr>
        <w:rFonts w:ascii="Arial" w:hAnsi="Arial" w:cs="Arial"/>
        <w:sz w:val="16"/>
      </w:rPr>
      <w:fldChar w:fldCharType="end"/>
    </w:r>
  </w:p>
  <w:p w:rsidR="00DE1C21" w:rsidRDefault="00DE1C21">
    <w:pPr>
      <w:pStyle w:val="Footer"/>
      <w:tabs>
        <w:tab w:val="clear" w:pos="8640"/>
        <w:tab w:val="right" w:pos="9720"/>
      </w:tabs>
      <w:ind w:left="-720"/>
      <w:rPr>
        <w:rFonts w:ascii="Arial" w:hAnsi="Arial" w:cs="Arial"/>
        <w:sz w:val="16"/>
      </w:rPr>
    </w:pPr>
    <w:r>
      <w:rPr>
        <w:rFonts w:ascii="Arial" w:hAnsi="Arial" w:cs="Arial"/>
        <w:sz w:val="16"/>
      </w:rPr>
      <w:t>Printed copy expires at 2359 on date of print.</w:t>
    </w:r>
  </w:p>
  <w:p w:rsidR="00DE1C21" w:rsidRDefault="00DE1C21">
    <w:pPr>
      <w:ind w:left="-72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2BF" w:rsidRDefault="00D802BF">
      <w:r>
        <w:separator/>
      </w:r>
    </w:p>
  </w:footnote>
  <w:footnote w:type="continuationSeparator" w:id="0">
    <w:p w:rsidR="00D802BF" w:rsidRDefault="00D802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C21" w:rsidRDefault="00DE1C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1152" w:type="dxa"/>
      <w:tblLook w:val="0000"/>
    </w:tblPr>
    <w:tblGrid>
      <w:gridCol w:w="5760"/>
      <w:gridCol w:w="5580"/>
    </w:tblGrid>
    <w:tr w:rsidR="00DE1C21">
      <w:tblPrEx>
        <w:tblCellMar>
          <w:top w:w="0" w:type="dxa"/>
          <w:bottom w:w="0" w:type="dxa"/>
        </w:tblCellMar>
      </w:tblPrEx>
      <w:trPr>
        <w:cantSplit/>
        <w:trHeight w:val="245"/>
      </w:trPr>
      <w:tc>
        <w:tcPr>
          <w:tcW w:w="5760" w:type="dxa"/>
        </w:tcPr>
        <w:p w:rsidR="00DE1C21" w:rsidRDefault="00DE1C21">
          <w:pPr>
            <w:pStyle w:val="Header"/>
            <w:tabs>
              <w:tab w:val="clear" w:pos="8640"/>
            </w:tabs>
            <w:rPr>
              <w:rFonts w:ascii="Arial" w:hAnsi="Arial" w:cs="Arial"/>
              <w:sz w:val="18"/>
            </w:rPr>
          </w:pPr>
          <w:r>
            <w:rPr>
              <w:rFonts w:ascii="Arial" w:hAnsi="Arial" w:cs="Arial"/>
              <w:sz w:val="18"/>
            </w:rPr>
            <w:t>Process: Intraoperative Blood Salvage Program</w:t>
          </w:r>
        </w:p>
      </w:tc>
      <w:tc>
        <w:tcPr>
          <w:tcW w:w="5580" w:type="dxa"/>
          <w:vMerge w:val="restart"/>
        </w:tcPr>
        <w:p w:rsidR="00DE1C21" w:rsidRDefault="00DE1C21" w:rsidP="00DC3DED">
          <w:pPr>
            <w:pStyle w:val="Header"/>
            <w:tabs>
              <w:tab w:val="clear" w:pos="8640"/>
            </w:tabs>
          </w:pPr>
          <w:r>
            <w:t xml:space="preserve">                                                          </w:t>
          </w:r>
          <w:r w:rsidRPr="00DC3DE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85pt;height:29.85pt">
                <v:imagedata r:id="rId1" o:title="SM-Childrens-logo_2016"/>
              </v:shape>
            </w:pict>
          </w:r>
          <w:r>
            <w:t xml:space="preserve">          </w:t>
          </w:r>
        </w:p>
      </w:tc>
    </w:tr>
    <w:tr w:rsidR="00DE1C21">
      <w:tblPrEx>
        <w:tblCellMar>
          <w:top w:w="0" w:type="dxa"/>
          <w:bottom w:w="0" w:type="dxa"/>
        </w:tblCellMar>
      </w:tblPrEx>
      <w:trPr>
        <w:cantSplit/>
        <w:trHeight w:val="245"/>
      </w:trPr>
      <w:tc>
        <w:tcPr>
          <w:tcW w:w="5760" w:type="dxa"/>
        </w:tcPr>
        <w:p w:rsidR="00DE1C21" w:rsidRDefault="00DE1C21" w:rsidP="0065326D">
          <w:pPr>
            <w:pStyle w:val="Header"/>
            <w:tabs>
              <w:tab w:val="clear" w:pos="8640"/>
            </w:tabs>
            <w:rPr>
              <w:rFonts w:ascii="Arial" w:hAnsi="Arial" w:cs="Arial"/>
              <w:sz w:val="18"/>
            </w:rPr>
          </w:pPr>
          <w:r>
            <w:rPr>
              <w:rFonts w:ascii="Arial" w:hAnsi="Arial" w:cs="Arial"/>
              <w:sz w:val="18"/>
            </w:rPr>
            <w:t>Document: TS 3.29 Version 1</w:t>
          </w:r>
        </w:p>
      </w:tc>
      <w:tc>
        <w:tcPr>
          <w:tcW w:w="5580" w:type="dxa"/>
          <w:vMerge/>
        </w:tcPr>
        <w:p w:rsidR="00DE1C21" w:rsidRDefault="00DE1C21">
          <w:pPr>
            <w:pStyle w:val="Header"/>
            <w:tabs>
              <w:tab w:val="clear" w:pos="8640"/>
            </w:tabs>
          </w:pPr>
        </w:p>
      </w:tc>
    </w:tr>
    <w:tr w:rsidR="00DE1C21">
      <w:tblPrEx>
        <w:tblCellMar>
          <w:top w:w="0" w:type="dxa"/>
          <w:bottom w:w="0" w:type="dxa"/>
        </w:tblCellMar>
      </w:tblPrEx>
      <w:trPr>
        <w:cantSplit/>
        <w:trHeight w:val="245"/>
      </w:trPr>
      <w:tc>
        <w:tcPr>
          <w:tcW w:w="5760" w:type="dxa"/>
        </w:tcPr>
        <w:p w:rsidR="00DE1C21" w:rsidRDefault="00DE1C21" w:rsidP="00E769F0">
          <w:pPr>
            <w:pStyle w:val="Header"/>
            <w:tabs>
              <w:tab w:val="clear" w:pos="8640"/>
            </w:tabs>
            <w:rPr>
              <w:rFonts w:ascii="Arial" w:hAnsi="Arial" w:cs="Arial"/>
              <w:sz w:val="18"/>
            </w:rPr>
          </w:pPr>
          <w:r>
            <w:rPr>
              <w:rFonts w:ascii="Arial" w:hAnsi="Arial" w:cs="Arial"/>
              <w:sz w:val="18"/>
            </w:rPr>
            <w:t>Effective Date: 11/</w:t>
          </w:r>
          <w:r w:rsidR="00E769F0">
            <w:rPr>
              <w:rFonts w:ascii="Arial" w:hAnsi="Arial" w:cs="Arial"/>
              <w:sz w:val="18"/>
            </w:rPr>
            <w:t>24</w:t>
          </w:r>
          <w:r>
            <w:rPr>
              <w:rFonts w:ascii="Arial" w:hAnsi="Arial" w:cs="Arial"/>
              <w:sz w:val="18"/>
            </w:rPr>
            <w:t>/2017</w:t>
          </w:r>
        </w:p>
      </w:tc>
      <w:tc>
        <w:tcPr>
          <w:tcW w:w="5580" w:type="dxa"/>
          <w:vMerge/>
        </w:tcPr>
        <w:p w:rsidR="00DE1C21" w:rsidRDefault="00DE1C21">
          <w:pPr>
            <w:pStyle w:val="Header"/>
            <w:tabs>
              <w:tab w:val="clear" w:pos="8640"/>
            </w:tabs>
          </w:pPr>
        </w:p>
      </w:tc>
    </w:tr>
  </w:tbl>
  <w:p w:rsidR="00DE1C21" w:rsidRDefault="00DE1C21">
    <w:pPr>
      <w:pStyle w:val="Header"/>
      <w:rPr>
        <w:rFonts w:ascii="Calibri" w:hAnsi="Calibri"/>
        <w:b/>
        <w:bCs/>
        <w:sz w:val="16"/>
      </w:rPr>
    </w:pPr>
  </w:p>
  <w:p w:rsidR="00DE1C21" w:rsidRDefault="00DE1C21">
    <w:pPr>
      <w:ind w:right="-1260"/>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C21" w:rsidRDefault="00DE1C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0FE"/>
    <w:multiLevelType w:val="hybridMultilevel"/>
    <w:tmpl w:val="230CD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1D201CC2"/>
    <w:multiLevelType w:val="hybridMultilevel"/>
    <w:tmpl w:val="95208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B41D8"/>
    <w:multiLevelType w:val="hybridMultilevel"/>
    <w:tmpl w:val="662C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6D01D1"/>
    <w:multiLevelType w:val="hybridMultilevel"/>
    <w:tmpl w:val="CAC46752"/>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5">
    <w:nsid w:val="48005C70"/>
    <w:multiLevelType w:val="hybridMultilevel"/>
    <w:tmpl w:val="19D2D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4C69C7"/>
    <w:multiLevelType w:val="hybridMultilevel"/>
    <w:tmpl w:val="859AE5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attachedTemplate r:id="rId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DED"/>
    <w:rsid w:val="000262FB"/>
    <w:rsid w:val="00036B0B"/>
    <w:rsid w:val="00174751"/>
    <w:rsid w:val="002F6412"/>
    <w:rsid w:val="00302224"/>
    <w:rsid w:val="004010D5"/>
    <w:rsid w:val="004927BA"/>
    <w:rsid w:val="004D2F38"/>
    <w:rsid w:val="00500D05"/>
    <w:rsid w:val="005824D2"/>
    <w:rsid w:val="00602D4F"/>
    <w:rsid w:val="0063139E"/>
    <w:rsid w:val="0065326D"/>
    <w:rsid w:val="00655E85"/>
    <w:rsid w:val="00661C19"/>
    <w:rsid w:val="006D65AC"/>
    <w:rsid w:val="007C1A51"/>
    <w:rsid w:val="00894781"/>
    <w:rsid w:val="00A3425C"/>
    <w:rsid w:val="00AD362E"/>
    <w:rsid w:val="00D802BF"/>
    <w:rsid w:val="00D962AF"/>
    <w:rsid w:val="00DC3DED"/>
    <w:rsid w:val="00DC46A8"/>
    <w:rsid w:val="00DE1C21"/>
    <w:rsid w:val="00E769F0"/>
    <w:rsid w:val="00FB6A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paragraph" w:styleId="BalloonText">
    <w:name w:val="Balloon Text"/>
    <w:basedOn w:val="Normal"/>
    <w:link w:val="BalloonTextChar"/>
    <w:uiPriority w:val="99"/>
    <w:semiHidden/>
    <w:unhideWhenUsed/>
    <w:rsid w:val="007C1A51"/>
    <w:rPr>
      <w:rFonts w:ascii="Tahoma" w:hAnsi="Tahoma" w:cs="Tahoma"/>
      <w:sz w:val="16"/>
      <w:szCs w:val="16"/>
    </w:rPr>
  </w:style>
  <w:style w:type="character" w:customStyle="1" w:styleId="BalloonTextChar">
    <w:name w:val="Balloon Text Char"/>
    <w:basedOn w:val="DefaultParagraphFont"/>
    <w:link w:val="BalloonText"/>
    <w:uiPriority w:val="99"/>
    <w:semiHidden/>
    <w:rsid w:val="007C1A51"/>
    <w:rPr>
      <w:rFonts w:ascii="Tahoma" w:hAnsi="Tahoma" w:cs="Tahoma"/>
      <w:sz w:val="16"/>
      <w:szCs w:val="16"/>
    </w:rPr>
  </w:style>
  <w:style w:type="paragraph" w:customStyle="1" w:styleId="Default">
    <w:name w:val="Default"/>
    <w:rsid w:val="006D65AC"/>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Analytic Procedure Draft 2 Version 072308.dot</Template>
  <TotalTime>0</TotalTime>
  <Pages>2</Pages>
  <Words>289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CE005489</cp:lastModifiedBy>
  <cp:revision>2</cp:revision>
  <cp:lastPrinted>2017-11-01T21:56:00Z</cp:lastPrinted>
  <dcterms:created xsi:type="dcterms:W3CDTF">2017-11-14T16:52:00Z</dcterms:created>
  <dcterms:modified xsi:type="dcterms:W3CDTF">2017-11-14T16:52:00Z</dcterms:modified>
</cp:coreProperties>
</file>