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974"/>
        <w:gridCol w:w="1446"/>
        <w:gridCol w:w="1256"/>
        <w:gridCol w:w="372"/>
        <w:gridCol w:w="1431"/>
        <w:gridCol w:w="1171"/>
        <w:gridCol w:w="2250"/>
        <w:gridCol w:w="8"/>
        <w:gridCol w:w="2696"/>
        <w:gridCol w:w="2696"/>
      </w:tblGrid>
      <w:tr w:rsidR="006775C1">
        <w:trPr>
          <w:gridAfter w:val="2"/>
          <w:wAfter w:w="5392" w:type="dxa"/>
          <w:cantSplit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75C1" w:rsidRDefault="007D308C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REAGENT</w:t>
            </w:r>
            <w:r w:rsidR="0039451C">
              <w:rPr>
                <w:rFonts w:ascii="Arial" w:hAnsi="Arial"/>
                <w:color w:val="0000FF"/>
              </w:rPr>
              <w:t xml:space="preserve">  </w:t>
            </w:r>
            <w:r>
              <w:rPr>
                <w:rFonts w:ascii="Arial" w:hAnsi="Arial"/>
                <w:color w:val="0000FF"/>
              </w:rPr>
              <w:t>QUALITY</w:t>
            </w:r>
            <w:r w:rsidR="0039451C">
              <w:rPr>
                <w:rFonts w:ascii="Arial" w:hAnsi="Arial"/>
                <w:color w:val="0000FF"/>
              </w:rPr>
              <w:t xml:space="preserve">  </w:t>
            </w:r>
            <w:r>
              <w:rPr>
                <w:rFonts w:ascii="Arial" w:hAnsi="Arial"/>
                <w:color w:val="0000FF"/>
              </w:rPr>
              <w:t xml:space="preserve">CONTROL </w:t>
            </w:r>
            <w:r w:rsidR="0039451C">
              <w:rPr>
                <w:rFonts w:ascii="Arial" w:hAnsi="Arial"/>
                <w:color w:val="0000FF"/>
              </w:rPr>
              <w:t xml:space="preserve"> </w:t>
            </w:r>
            <w:r>
              <w:rPr>
                <w:rFonts w:ascii="Arial" w:hAnsi="Arial"/>
                <w:color w:val="0000FF"/>
              </w:rPr>
              <w:t xml:space="preserve">FOR </w:t>
            </w:r>
            <w:r w:rsidR="0039451C">
              <w:rPr>
                <w:rFonts w:ascii="Arial" w:hAnsi="Arial"/>
                <w:color w:val="0000FF"/>
              </w:rPr>
              <w:t xml:space="preserve"> </w:t>
            </w:r>
            <w:r>
              <w:rPr>
                <w:rFonts w:ascii="Arial" w:hAnsi="Arial"/>
                <w:color w:val="0000FF"/>
              </w:rPr>
              <w:t xml:space="preserve">ID PANELS </w:t>
            </w:r>
            <w:r w:rsidR="0039451C">
              <w:rPr>
                <w:rFonts w:ascii="Arial" w:hAnsi="Arial"/>
                <w:color w:val="0000FF"/>
              </w:rPr>
              <w:t xml:space="preserve"> </w:t>
            </w:r>
            <w:r>
              <w:rPr>
                <w:rFonts w:ascii="Arial" w:hAnsi="Arial"/>
                <w:color w:val="0000FF"/>
              </w:rPr>
              <w:t xml:space="preserve">AND </w:t>
            </w:r>
            <w:r w:rsidR="0039451C">
              <w:rPr>
                <w:rFonts w:ascii="Arial" w:hAnsi="Arial"/>
                <w:color w:val="0000FF"/>
              </w:rPr>
              <w:t xml:space="preserve"> </w:t>
            </w:r>
            <w:r>
              <w:rPr>
                <w:rFonts w:ascii="Arial" w:hAnsi="Arial"/>
                <w:color w:val="0000FF"/>
              </w:rPr>
              <w:t>BIO TUBES</w:t>
            </w:r>
          </w:p>
          <w:p w:rsidR="006775C1" w:rsidRDefault="006775C1">
            <w:pPr>
              <w:pStyle w:val="Custom"/>
            </w:pPr>
          </w:p>
        </w:tc>
      </w:tr>
      <w:tr w:rsidR="006775C1" w:rsidTr="00E15324">
        <w:trPr>
          <w:gridAfter w:val="2"/>
          <w:wAfter w:w="5392" w:type="dxa"/>
          <w:trHeight w:val="10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775C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5C1" w:rsidRDefault="007D308C">
            <w:pPr>
              <w:pStyle w:val="TableText"/>
              <w:autoSpaceDE/>
              <w:autoSpaceDN/>
              <w:rPr>
                <w:rFonts w:ascii="Arial" w:hAnsi="Arial"/>
                <w:szCs w:val="20"/>
              </w:rPr>
            </w:pPr>
            <w:r w:rsidRPr="007D308C">
              <w:rPr>
                <w:rFonts w:ascii="Arial" w:hAnsi="Arial"/>
                <w:szCs w:val="20"/>
              </w:rPr>
              <w:t>This procedure provides instruction for REAGENT QUALITY CONTROL FOR ID PANELS AND BIO TUBES</w:t>
            </w:r>
          </w:p>
          <w:p w:rsidR="00392560" w:rsidRPr="007D308C" w:rsidRDefault="00392560">
            <w:pPr>
              <w:pStyle w:val="TableText"/>
              <w:autoSpaceDE/>
              <w:autoSpaceDN/>
              <w:rPr>
                <w:rFonts w:ascii="Arial" w:hAnsi="Arial"/>
                <w:szCs w:val="20"/>
              </w:rPr>
            </w:pPr>
          </w:p>
          <w:p w:rsidR="007D308C" w:rsidRPr="007D308C" w:rsidRDefault="007D308C" w:rsidP="007D308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 xml:space="preserve">The API 20E Reagent QC test is a standardized and abbreviated version of the API 20E strip used to quality control reagents used during ID panel testing and tube biochemicals.  Each strip contains substrates for </w:t>
            </w:r>
            <w:r w:rsidR="009C2C3E" w:rsidRPr="007D308C">
              <w:rPr>
                <w:rFonts w:ascii="Arial" w:hAnsi="Arial"/>
                <w:sz w:val="20"/>
                <w:szCs w:val="20"/>
              </w:rPr>
              <w:t>tryptophan</w:t>
            </w:r>
            <w:r w:rsidRPr="007D308C">
              <w:rPr>
                <w:rFonts w:ascii="Arial" w:hAnsi="Arial"/>
                <w:sz w:val="20"/>
                <w:szCs w:val="20"/>
              </w:rPr>
              <w:t xml:space="preserve"> deaminase, indole, nitrate reduction, and Voges-Proskauer.  The substrates are incorporated into microtubes and provide a positive and negative control set on each strip.  After reconstitution with a bacterial suspension and incubation, reagents are added to each microtube.  Results are read based on a color change.  Quality control is performed on each new lot or shipment</w:t>
            </w:r>
            <w:r w:rsidR="009C2C3E">
              <w:rPr>
                <w:rFonts w:ascii="Arial" w:hAnsi="Arial"/>
                <w:sz w:val="20"/>
                <w:szCs w:val="20"/>
              </w:rPr>
              <w:t xml:space="preserve"> of reagents</w:t>
            </w:r>
            <w:r w:rsidRPr="007D308C">
              <w:rPr>
                <w:rFonts w:ascii="Arial" w:hAnsi="Arial"/>
                <w:sz w:val="20"/>
                <w:szCs w:val="20"/>
              </w:rPr>
              <w:t xml:space="preserve"> and weekly thereafter.</w:t>
            </w:r>
          </w:p>
          <w:p w:rsidR="007D308C" w:rsidRDefault="007D308C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6775C1" w:rsidTr="00E15324">
        <w:trPr>
          <w:gridAfter w:val="2"/>
          <w:wAfter w:w="5392" w:type="dxa"/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75C1" w:rsidRPr="00E15324" w:rsidRDefault="00FC05C7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E15324">
              <w:rPr>
                <w:rFonts w:ascii="Arial" w:hAnsi="Arial"/>
                <w:b/>
                <w:color w:val="0000FF"/>
                <w:sz w:val="18"/>
                <w:szCs w:val="18"/>
              </w:rPr>
              <w:t>Policy Statements</w:t>
            </w:r>
          </w:p>
        </w:tc>
        <w:tc>
          <w:tcPr>
            <w:tcW w:w="99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08C" w:rsidRPr="007D308C" w:rsidRDefault="007D308C" w:rsidP="007D308C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7D308C">
              <w:rPr>
                <w:rFonts w:ascii="Arial" w:hAnsi="Arial"/>
                <w:sz w:val="20"/>
              </w:rPr>
              <w:t>This procedure applies to laboratory perso</w:t>
            </w:r>
            <w:r>
              <w:rPr>
                <w:rFonts w:ascii="Arial" w:hAnsi="Arial"/>
                <w:sz w:val="20"/>
              </w:rPr>
              <w:t>nnel who perform culture set-up and/or plate reading.</w:t>
            </w:r>
          </w:p>
          <w:p w:rsidR="006775C1" w:rsidRDefault="006775C1">
            <w:pPr>
              <w:ind w:left="360"/>
              <w:jc w:val="left"/>
              <w:rPr>
                <w:rFonts w:ascii="Arial" w:hAnsi="Arial"/>
                <w:sz w:val="20"/>
              </w:rPr>
            </w:pPr>
          </w:p>
        </w:tc>
      </w:tr>
      <w:tr w:rsidR="00640EC7" w:rsidTr="006D3F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640EC7" w:rsidRDefault="009C2C3E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Default="00640E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Default="00640E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Default="00640E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Equipment</w:t>
            </w:r>
          </w:p>
        </w:tc>
      </w:tr>
      <w:tr w:rsidR="00640EC7" w:rsidTr="006D3F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trHeight w:val="530"/>
        </w:trPr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:rsidR="00640EC7" w:rsidRDefault="00640E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Pr="00D2396B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Kovac’s indole (IND).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2396B">
              <w:rPr>
                <w:rFonts w:ascii="Arial" w:hAnsi="Arial"/>
                <w:sz w:val="20"/>
                <w:szCs w:val="20"/>
              </w:rPr>
              <w:t>Dade Behring MicroScan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product number B1010-41A.</w:t>
            </w:r>
          </w:p>
          <w:p w:rsidR="00640EC7" w:rsidRPr="00D2396B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40% potassium hydroxide (VP1).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2396B">
              <w:rPr>
                <w:rFonts w:ascii="Arial" w:hAnsi="Arial"/>
                <w:sz w:val="20"/>
                <w:szCs w:val="20"/>
              </w:rPr>
              <w:t>Dade Behring MicroScan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product number B1010-43A.</w:t>
            </w:r>
          </w:p>
          <w:p w:rsidR="00640EC7" w:rsidRDefault="00640EC7" w:rsidP="00D239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61"/>
            </w:r>
            <w:r w:rsidRPr="00D2396B">
              <w:rPr>
                <w:rFonts w:ascii="Arial" w:hAnsi="Arial"/>
                <w:sz w:val="20"/>
                <w:szCs w:val="20"/>
              </w:rPr>
              <w:t>-napthol (VPA), Becton, Dickinson and Company product number 261192.</w:t>
            </w:r>
          </w:p>
          <w:p w:rsidR="00640EC7" w:rsidRDefault="00640EC7" w:rsidP="00D239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2396B">
              <w:rPr>
                <w:rFonts w:ascii="Arial" w:hAnsi="Arial"/>
                <w:sz w:val="20"/>
                <w:szCs w:val="20"/>
              </w:rPr>
              <w:t>0.8% sulfanilic acid (NIT1). Dade Behring MicroScan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product number B1010-44A.</w:t>
            </w:r>
          </w:p>
          <w:p w:rsidR="00640EC7" w:rsidRPr="00D2396B" w:rsidRDefault="00640EC7" w:rsidP="00D239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2396B">
              <w:rPr>
                <w:rFonts w:ascii="Arial" w:hAnsi="Arial"/>
                <w:sz w:val="20"/>
                <w:szCs w:val="20"/>
              </w:rPr>
              <w:t>0.5% N, N-dimethylalphanapthylamine (NIT2). Dade Behring MicroScan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product number B1010-45A.</w:t>
            </w:r>
          </w:p>
          <w:p w:rsidR="00640EC7" w:rsidRPr="00D2396B" w:rsidRDefault="00640EC7" w:rsidP="00D2396B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10% ferric chloride (TDA). Dade Behring MicroScan</w:t>
            </w:r>
            <w:r w:rsidRPr="00D2396B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D2396B">
              <w:rPr>
                <w:rFonts w:ascii="Arial" w:hAnsi="Arial"/>
                <w:sz w:val="20"/>
                <w:szCs w:val="20"/>
              </w:rPr>
              <w:t xml:space="preserve"> product number B1010-48A.</w:t>
            </w:r>
          </w:p>
          <w:p w:rsidR="00640EC7" w:rsidRPr="00D12872" w:rsidRDefault="00640EC7" w:rsidP="00D12872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sym w:font="Symbol" w:char="F0B7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12872">
              <w:rPr>
                <w:rFonts w:ascii="Arial" w:hAnsi="Arial"/>
                <w:sz w:val="20"/>
                <w:szCs w:val="20"/>
              </w:rPr>
              <w:t>Granular zinc dust.  Baker Chemical Company product number 1-4244</w:t>
            </w:r>
          </w:p>
          <w:p w:rsidR="00640EC7" w:rsidRDefault="00640EC7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Pr="00640EC7" w:rsidRDefault="00640EC7" w:rsidP="00640EC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AP</w:t>
            </w:r>
            <w:r w:rsidR="009C2C3E">
              <w:rPr>
                <w:rFonts w:ascii="Arial" w:hAnsi="Arial"/>
                <w:sz w:val="20"/>
                <w:szCs w:val="20"/>
              </w:rPr>
              <w:t xml:space="preserve">I 20E Reagent QC Strips.  </w:t>
            </w:r>
            <w:r w:rsidR="00581046">
              <w:rPr>
                <w:rFonts w:ascii="Arial" w:hAnsi="Arial"/>
                <w:sz w:val="20"/>
                <w:szCs w:val="20"/>
              </w:rPr>
              <w:t>bioMérieux</w:t>
            </w:r>
            <w:r w:rsidRPr="00640EC7">
              <w:rPr>
                <w:rFonts w:ascii="Arial" w:hAnsi="Arial"/>
                <w:sz w:val="20"/>
                <w:szCs w:val="20"/>
              </w:rPr>
              <w:t xml:space="preserve"> product number 20240.</w:t>
            </w:r>
          </w:p>
          <w:p w:rsidR="00640EC7" w:rsidRPr="00640EC7" w:rsidRDefault="00640EC7" w:rsidP="00640EC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API 20E Reagent QC inoculating trays and lids.  Included in API20E Reagent QC kit.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5-ml sterile, normal saline.  Cardinal Health product number 4321819.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Sterile, cotton tipped applicator swabs.  Warehouse product number 112.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Sterile, wooden applicator sticks.  Cardinal Health product number A500-1.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Sterile, disposable plastic transfer pipettes.  Cardinal Health product number P5214-1S.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MicroScan Reagent Bottle Dropper Caps. Dade Behring MicroScan</w:t>
            </w:r>
            <w:r w:rsidRPr="00640EC7">
              <w:rPr>
                <w:rFonts w:ascii="Arial" w:hAnsi="Arial"/>
                <w:sz w:val="20"/>
                <w:szCs w:val="20"/>
              </w:rPr>
              <w:sym w:font="Symbol" w:char="F0E2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product number B1013-12A.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Deionized water.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Pr="00640EC7" w:rsidRDefault="00640EC7" w:rsidP="00640EC7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35-37</w:t>
            </w:r>
            <w:r w:rsidRPr="00640EC7">
              <w:rPr>
                <w:rFonts w:ascii="Arial" w:hAnsi="Arial"/>
                <w:sz w:val="20"/>
                <w:szCs w:val="20"/>
              </w:rPr>
              <w:sym w:font="Symbol" w:char="F0B0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C ambient air, non-CO</w:t>
            </w:r>
            <w:r w:rsidRPr="00640EC7">
              <w:rPr>
                <w:rFonts w:ascii="Arial" w:hAnsi="Arial"/>
                <w:sz w:val="20"/>
                <w:szCs w:val="20"/>
                <w:vertAlign w:val="subscript"/>
              </w:rPr>
              <w:t>2</w:t>
            </w:r>
            <w:r w:rsidRPr="00640EC7">
              <w:rPr>
                <w:rFonts w:ascii="Arial" w:hAnsi="Arial"/>
                <w:sz w:val="20"/>
                <w:szCs w:val="20"/>
              </w:rPr>
              <w:t xml:space="preserve"> incubator</w:t>
            </w:r>
          </w:p>
          <w:p w:rsidR="00640EC7" w:rsidRPr="00640EC7" w:rsidRDefault="00640EC7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2-8</w:t>
            </w:r>
            <w:r w:rsidRPr="00640EC7">
              <w:rPr>
                <w:rFonts w:ascii="Arial" w:hAnsi="Arial"/>
                <w:sz w:val="20"/>
                <w:szCs w:val="20"/>
              </w:rPr>
              <w:sym w:font="Symbol" w:char="F0B0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C refrigerator</w:t>
            </w:r>
          </w:p>
          <w:p w:rsidR="00640EC7" w:rsidRDefault="00640EC7">
            <w:pPr>
              <w:jc w:val="left"/>
              <w:rPr>
                <w:rFonts w:ascii="Arial" w:hAnsi="Arial"/>
                <w:sz w:val="20"/>
              </w:rPr>
            </w:pPr>
            <w:r w:rsidRPr="00640EC7">
              <w:rPr>
                <w:rFonts w:ascii="Arial" w:hAnsi="Arial"/>
                <w:sz w:val="20"/>
                <w:szCs w:val="20"/>
              </w:rPr>
              <w:sym w:font="Symbol" w:char="F0B7"/>
            </w:r>
            <w:r w:rsidRPr="00640EC7">
              <w:rPr>
                <w:rFonts w:ascii="Arial" w:hAnsi="Arial"/>
                <w:sz w:val="20"/>
                <w:szCs w:val="20"/>
              </w:rPr>
              <w:t xml:space="preserve"> Vortex</w:t>
            </w:r>
          </w:p>
        </w:tc>
      </w:tr>
      <w:tr w:rsidR="00640EC7" w:rsidTr="00E15324">
        <w:trPr>
          <w:gridAfter w:val="3"/>
          <w:wAfter w:w="5400" w:type="dxa"/>
          <w:cantSplit/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EC7" w:rsidRDefault="00CD2B6F">
            <w:pPr>
              <w:pStyle w:val="Custom2"/>
            </w:pPr>
            <w:r>
              <w:t>Sample</w:t>
            </w: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EC7" w:rsidRPr="00640EC7" w:rsidRDefault="00640EC7">
            <w:pPr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Quality Control Organisms</w:t>
            </w:r>
          </w:p>
        </w:tc>
      </w:tr>
      <w:tr w:rsidR="00640EC7" w:rsidTr="00E15324">
        <w:trPr>
          <w:gridAfter w:val="3"/>
          <w:wAfter w:w="5400" w:type="dxa"/>
          <w:cantSplit/>
          <w:trHeight w:val="82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EC7" w:rsidRDefault="00640EC7">
            <w:pPr>
              <w:pStyle w:val="Custom2"/>
            </w:pPr>
          </w:p>
        </w:tc>
        <w:tc>
          <w:tcPr>
            <w:tcW w:w="99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C7" w:rsidRPr="00640EC7" w:rsidRDefault="00640EC7" w:rsidP="00640EC7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35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i/>
                <w:sz w:val="20"/>
                <w:szCs w:val="20"/>
              </w:rPr>
              <w:t>Enterobacter cloacae</w:t>
            </w:r>
            <w:r w:rsidRPr="00640EC7">
              <w:rPr>
                <w:rFonts w:ascii="Arial" w:hAnsi="Arial"/>
                <w:sz w:val="20"/>
                <w:szCs w:val="20"/>
              </w:rPr>
              <w:t xml:space="preserve"> ATCC 13047</w:t>
            </w:r>
            <w:r w:rsidR="00A368C1">
              <w:rPr>
                <w:rFonts w:ascii="Arial" w:hAnsi="Arial"/>
                <w:sz w:val="20"/>
                <w:szCs w:val="20"/>
              </w:rPr>
              <w:t>*</w:t>
            </w:r>
          </w:p>
          <w:p w:rsidR="00640EC7" w:rsidRPr="00640EC7" w:rsidRDefault="00640EC7" w:rsidP="00640EC7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35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 w:rsidRPr="00640EC7">
              <w:rPr>
                <w:rFonts w:ascii="Arial" w:hAnsi="Arial"/>
                <w:i/>
                <w:sz w:val="20"/>
                <w:szCs w:val="20"/>
              </w:rPr>
              <w:t>Proteus vulgaris</w:t>
            </w:r>
            <w:r w:rsidRPr="00640EC7">
              <w:rPr>
                <w:rFonts w:ascii="Arial" w:hAnsi="Arial"/>
                <w:sz w:val="20"/>
                <w:szCs w:val="20"/>
              </w:rPr>
              <w:t xml:space="preserve"> ATCC 13315</w:t>
            </w:r>
            <w:r w:rsidR="00A368C1">
              <w:rPr>
                <w:rFonts w:ascii="Arial" w:hAnsi="Arial"/>
                <w:sz w:val="20"/>
                <w:szCs w:val="20"/>
              </w:rPr>
              <w:t>*</w:t>
            </w:r>
          </w:p>
          <w:p w:rsidR="00640EC7" w:rsidRDefault="00A368C1" w:rsidP="00640EC7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350"/>
              </w:tabs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Myroides (Flavobacterium)</w:t>
            </w:r>
            <w:r w:rsidR="00640EC7" w:rsidRPr="00640EC7">
              <w:rPr>
                <w:rFonts w:ascii="Arial" w:hAnsi="Arial"/>
                <w:i/>
                <w:sz w:val="20"/>
                <w:szCs w:val="20"/>
              </w:rPr>
              <w:t xml:space="preserve"> oderatus</w:t>
            </w:r>
            <w:r w:rsidR="00640EC7" w:rsidRPr="00640EC7">
              <w:rPr>
                <w:rFonts w:ascii="Arial" w:hAnsi="Arial"/>
                <w:sz w:val="20"/>
                <w:szCs w:val="20"/>
              </w:rPr>
              <w:t xml:space="preserve"> ATCC 4651</w:t>
            </w:r>
            <w:r>
              <w:rPr>
                <w:rFonts w:ascii="Arial" w:hAnsi="Arial"/>
                <w:sz w:val="20"/>
                <w:szCs w:val="20"/>
              </w:rPr>
              <w:t>*</w:t>
            </w:r>
          </w:p>
          <w:p w:rsidR="00A368C1" w:rsidRDefault="00A368C1" w:rsidP="00A368C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A368C1" w:rsidRPr="00640EC7" w:rsidRDefault="00A368C1" w:rsidP="00A368C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*Fresh, 18-24 hour old pure cultures of the recommended organisms isolated on non-selective agar should be used.</w:t>
            </w:r>
          </w:p>
          <w:p w:rsidR="00640EC7" w:rsidRPr="00640EC7" w:rsidRDefault="00640EC7" w:rsidP="00640EC7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6775C1" w:rsidTr="00E15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775C1" w:rsidRDefault="006775C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775C1" w:rsidRPr="00E15324" w:rsidRDefault="00FC05C7">
            <w:pPr>
              <w:jc w:val="left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Special Safety </w:t>
            </w:r>
            <w:r w:rsidRPr="00E15324">
              <w:rPr>
                <w:rFonts w:ascii="Arial" w:hAnsi="Arial"/>
                <w:b/>
                <w:color w:val="0000FF"/>
                <w:sz w:val="18"/>
                <w:szCs w:val="18"/>
              </w:rPr>
              <w:t>Precautions</w:t>
            </w:r>
          </w:p>
          <w:p w:rsidR="006775C1" w:rsidRDefault="006775C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908" w:type="dxa"/>
            <w:gridSpan w:val="8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775C1" w:rsidRDefault="00FC05C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are subject to occupational risks associated with specimen handling. Refer to the safety policie</w:t>
            </w:r>
            <w:r w:rsidR="009C2C3E">
              <w:rPr>
                <w:rFonts w:ascii="Arial" w:hAnsi="Arial" w:cs="Arial"/>
                <w:i/>
                <w:sz w:val="20"/>
                <w:u w:val="single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:rsidR="006775C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 Containment</w:t>
            </w:r>
          </w:p>
          <w:p w:rsidR="006775C1" w:rsidRDefault="00FC05C7" w:rsidP="00FC05C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Safety in the Microbiology/Virology Laboratory</w:t>
            </w:r>
          </w:p>
          <w:p w:rsidR="006775C1" w:rsidRPr="00CD2B6F" w:rsidRDefault="00FC05C7" w:rsidP="00CD2B6F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Biohazardous Spills</w:t>
            </w:r>
          </w:p>
        </w:tc>
      </w:tr>
      <w:tr w:rsidR="006775C1" w:rsidTr="00E153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6775C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908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2396B" w:rsidRPr="00D2396B" w:rsidRDefault="00D2396B" w:rsidP="00D2396B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t>Perform QC with each new lot or shipment before put into service. Record results in API QC manual.</w:t>
            </w:r>
          </w:p>
          <w:p w:rsidR="00D2396B" w:rsidRPr="00D2396B" w:rsidRDefault="00D2396B" w:rsidP="00D2396B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t>Once kit is in use, Reagent QC is performed weekly.</w:t>
            </w:r>
          </w:p>
          <w:p w:rsidR="006775C1" w:rsidRPr="00CD2B6F" w:rsidRDefault="00D2396B" w:rsidP="00581046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2396B">
              <w:rPr>
                <w:rFonts w:ascii="Arial" w:hAnsi="Arial"/>
                <w:sz w:val="20"/>
                <w:szCs w:val="20"/>
              </w:rPr>
              <w:t>If there is a QC failure; document observati</w:t>
            </w:r>
            <w:r w:rsidR="009C2C3E">
              <w:rPr>
                <w:rFonts w:ascii="Arial" w:hAnsi="Arial"/>
                <w:sz w:val="20"/>
                <w:szCs w:val="20"/>
              </w:rPr>
              <w:t xml:space="preserve">on, notify supervisor and call </w:t>
            </w:r>
            <w:r w:rsidR="00581046">
              <w:rPr>
                <w:rFonts w:ascii="Arial" w:hAnsi="Arial"/>
                <w:sz w:val="20"/>
                <w:szCs w:val="20"/>
              </w:rPr>
              <w:t>bioMérieux</w:t>
            </w:r>
            <w:r w:rsidRPr="00D2396B">
              <w:rPr>
                <w:rFonts w:ascii="Arial" w:hAnsi="Arial"/>
                <w:sz w:val="20"/>
                <w:szCs w:val="20"/>
              </w:rPr>
              <w:t xml:space="preserve"> technical service at 1-</w:t>
            </w:r>
            <w:r w:rsidR="00581046">
              <w:rPr>
                <w:rFonts w:ascii="Arial" w:hAnsi="Arial"/>
                <w:sz w:val="20"/>
                <w:szCs w:val="20"/>
              </w:rPr>
              <w:t>800-682-2666</w:t>
            </w:r>
            <w:r w:rsidRPr="00D2396B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6775C1" w:rsidTr="00E15324">
        <w:trPr>
          <w:gridAfter w:val="2"/>
          <w:wAfter w:w="5392" w:type="dxa"/>
          <w:trHeight w:val="258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75C1" w:rsidRDefault="00CD2B6F" w:rsidP="00CD2B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lastRenderedPageBreak/>
              <w:t>Procedure</w:t>
            </w:r>
          </w:p>
        </w:tc>
        <w:tc>
          <w:tcPr>
            <w:tcW w:w="9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08C" w:rsidRPr="007D308C" w:rsidRDefault="007D308C" w:rsidP="007D308C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308C">
              <w:rPr>
                <w:rFonts w:ascii="Arial" w:hAnsi="Arial"/>
                <w:b w:val="0"/>
                <w:sz w:val="20"/>
                <w:szCs w:val="20"/>
              </w:rPr>
              <w:t>Inoculum Preparation:</w:t>
            </w:r>
          </w:p>
          <w:p w:rsidR="007D308C" w:rsidRPr="007D308C" w:rsidRDefault="007D308C" w:rsidP="007D308C">
            <w:pPr>
              <w:pStyle w:val="Heading3"/>
              <w:numPr>
                <w:ilvl w:val="0"/>
                <w:numId w:val="4"/>
              </w:numPr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308C">
              <w:rPr>
                <w:rFonts w:ascii="Arial" w:hAnsi="Arial"/>
                <w:b w:val="0"/>
                <w:sz w:val="20"/>
                <w:szCs w:val="20"/>
              </w:rPr>
              <w:t>Using a sterile applicator stick or cotton swab, gently touch the center of a well-isolated colony 2-3 millimeters in diameter.</w:t>
            </w:r>
          </w:p>
          <w:p w:rsidR="007D308C" w:rsidRPr="007D308C" w:rsidRDefault="007D308C" w:rsidP="007D308C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Insert the inoculated applicator stick into a labeled tube of normal saline and mix well in a vortex-like fashion.</w:t>
            </w:r>
          </w:p>
          <w:p w:rsidR="007D308C" w:rsidRPr="007D308C" w:rsidRDefault="007D308C" w:rsidP="007D308C">
            <w:pPr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Repeat the previous steps for each organism to be tested.</w:t>
            </w:r>
          </w:p>
          <w:p w:rsidR="007D308C" w:rsidRPr="007D308C" w:rsidRDefault="007D308C" w:rsidP="007D308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D308C" w:rsidRPr="007D308C" w:rsidRDefault="007D308C" w:rsidP="007D308C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Arial" w:hAnsi="Arial"/>
                <w:b w:val="0"/>
                <w:sz w:val="20"/>
                <w:szCs w:val="20"/>
              </w:rPr>
            </w:pPr>
            <w:r w:rsidRPr="007D308C">
              <w:rPr>
                <w:rFonts w:ascii="Arial" w:hAnsi="Arial"/>
                <w:b w:val="0"/>
                <w:sz w:val="20"/>
                <w:szCs w:val="20"/>
              </w:rPr>
              <w:t>Strip Preparation:</w:t>
            </w:r>
          </w:p>
          <w:p w:rsidR="007D308C" w:rsidRPr="007D308C" w:rsidRDefault="007D308C" w:rsidP="007D308C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Label the elongated flap of incubation tray with date testing is performed.</w:t>
            </w:r>
          </w:p>
          <w:p w:rsidR="007D308C" w:rsidRPr="007D308C" w:rsidRDefault="007D308C" w:rsidP="007D308C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Distribute approximately five milliliters of deionized water into incubation tray to provide a moist environment.</w:t>
            </w:r>
          </w:p>
          <w:p w:rsidR="007D308C" w:rsidRPr="007D308C" w:rsidRDefault="007D308C" w:rsidP="007D308C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Remove one API 20E Reagent QC Strip and place it into moistened incubation tray.  Reseal pouch with clip seal.</w:t>
            </w:r>
          </w:p>
          <w:p w:rsidR="007D308C" w:rsidRPr="007D308C" w:rsidRDefault="007D308C" w:rsidP="007D308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308C" w:rsidRPr="007D308C" w:rsidRDefault="007D308C" w:rsidP="007D308C">
            <w:pPr>
              <w:pStyle w:val="Heading4"/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Strip Inoculation</w:t>
            </w:r>
          </w:p>
          <w:p w:rsidR="007D308C" w:rsidRPr="007D308C" w:rsidRDefault="007D308C" w:rsidP="007D308C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API 20E Reagent QC strips contain eight labeled microtubes, each consisting of a tube and cupule portion.  Fill only the lower, tube portion for TDA, IND, and NIT tests.  Fill both the tube and cupule portions for the VP test.</w:t>
            </w:r>
          </w:p>
          <w:p w:rsidR="007D308C" w:rsidRPr="007D308C" w:rsidRDefault="007D308C" w:rsidP="007D308C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>Using a separate sterile pipette for each organism:</w:t>
            </w:r>
          </w:p>
          <w:p w:rsidR="007D308C" w:rsidRPr="007D308C" w:rsidRDefault="007D308C" w:rsidP="007D308C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</w:tabs>
              <w:ind w:left="108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 xml:space="preserve">Fill the first set of microtubes (1-4) with the suspension of </w:t>
            </w:r>
            <w:r w:rsidRPr="007D308C">
              <w:rPr>
                <w:rFonts w:ascii="Arial" w:hAnsi="Arial" w:cs="Arial"/>
                <w:i/>
                <w:sz w:val="20"/>
                <w:szCs w:val="20"/>
              </w:rPr>
              <w:t>M. oderatus</w:t>
            </w:r>
            <w:r w:rsidRPr="007D30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308C" w:rsidRPr="007D308C" w:rsidRDefault="007D308C" w:rsidP="007D308C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</w:tabs>
              <w:ind w:left="108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 xml:space="preserve">Fill the TDA, IND and NIT portions of the second set of microtubes (6-8) with the suspension of </w:t>
            </w:r>
            <w:r w:rsidRPr="007D308C">
              <w:rPr>
                <w:rFonts w:ascii="Arial" w:hAnsi="Arial" w:cs="Arial"/>
                <w:i/>
                <w:sz w:val="20"/>
                <w:szCs w:val="20"/>
              </w:rPr>
              <w:t>P. vulgaris</w:t>
            </w:r>
            <w:r w:rsidRPr="007D30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308C" w:rsidRPr="007D308C" w:rsidRDefault="007D308C" w:rsidP="007D308C">
            <w:pPr>
              <w:numPr>
                <w:ilvl w:val="1"/>
                <w:numId w:val="6"/>
              </w:numPr>
              <w:tabs>
                <w:tab w:val="clear" w:pos="1800"/>
                <w:tab w:val="num" w:pos="1080"/>
              </w:tabs>
              <w:ind w:left="108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308C">
              <w:rPr>
                <w:rFonts w:ascii="Arial" w:hAnsi="Arial" w:cs="Arial"/>
                <w:sz w:val="20"/>
                <w:szCs w:val="20"/>
              </w:rPr>
              <w:t xml:space="preserve">Fill the VP microtube (10) with the suspension of </w:t>
            </w:r>
            <w:r w:rsidRPr="007D308C">
              <w:rPr>
                <w:rFonts w:ascii="Arial" w:hAnsi="Arial" w:cs="Arial"/>
                <w:i/>
                <w:sz w:val="20"/>
                <w:szCs w:val="20"/>
              </w:rPr>
              <w:t>E. cloacae</w:t>
            </w:r>
            <w:r w:rsidRPr="007D30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75C1" w:rsidRDefault="00677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</w:tc>
      </w:tr>
      <w:tr w:rsidR="006775C1" w:rsidTr="00E15324">
        <w:trPr>
          <w:gridAfter w:val="2"/>
          <w:wAfter w:w="5392" w:type="dxa"/>
          <w:trHeight w:val="54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75C1" w:rsidRDefault="00FC05C7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br w:type="page"/>
            </w:r>
          </w:p>
          <w:p w:rsidR="006775C1" w:rsidRPr="00E15324" w:rsidRDefault="00FC05C7" w:rsidP="00E15324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  <w:r w:rsidRPr="00E15324">
              <w:rPr>
                <w:rFonts w:ascii="Arial" w:hAnsi="Arial"/>
                <w:b/>
                <w:color w:val="0000FF"/>
                <w:sz w:val="16"/>
                <w:szCs w:val="16"/>
              </w:rPr>
              <w:t>Interpretation</w:t>
            </w:r>
          </w:p>
        </w:tc>
        <w:tc>
          <w:tcPr>
            <w:tcW w:w="9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  <w:p w:rsidR="006775C1" w:rsidRDefault="00A368C1" w:rsidP="00A368C1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incubating 18-24 hours, add reagents to appropriate cupules on the strip. Quantities of reagents and reaction interpretation appear below.</w:t>
            </w:r>
          </w:p>
          <w:p w:rsidR="00A368C1" w:rsidRDefault="00A368C1" w:rsidP="00A368C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85"/>
              <w:gridCol w:w="2894"/>
              <w:gridCol w:w="1689"/>
              <w:gridCol w:w="1627"/>
            </w:tblGrid>
            <w:tr w:rsidR="00A368C1" w:rsidTr="00A368C1">
              <w:trPr>
                <w:cantSplit/>
                <w:jc w:val="center"/>
              </w:trPr>
              <w:tc>
                <w:tcPr>
                  <w:tcW w:w="1185" w:type="dxa"/>
                  <w:vMerge w:val="restart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TEST:</w:t>
                  </w:r>
                </w:p>
              </w:tc>
              <w:tc>
                <w:tcPr>
                  <w:tcW w:w="2894" w:type="dxa"/>
                  <w:vMerge w:val="restart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REAGENT:</w:t>
                  </w:r>
                </w:p>
              </w:tc>
              <w:tc>
                <w:tcPr>
                  <w:tcW w:w="3316" w:type="dxa"/>
                  <w:gridSpan w:val="2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INTERPRETATION:</w:t>
                  </w:r>
                </w:p>
              </w:tc>
            </w:tr>
            <w:tr w:rsidR="00A368C1" w:rsidTr="00A368C1">
              <w:trPr>
                <w:cantSplit/>
                <w:trHeight w:val="278"/>
                <w:jc w:val="center"/>
              </w:trPr>
              <w:tc>
                <w:tcPr>
                  <w:tcW w:w="1185" w:type="dxa"/>
                  <w:vMerge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894" w:type="dxa"/>
                  <w:vMerge/>
                </w:tcPr>
                <w:p w:rsidR="00A368C1" w:rsidRDefault="00A368C1" w:rsidP="00A368C1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1689" w:type="dxa"/>
                </w:tcPr>
                <w:p w:rsidR="00A368C1" w:rsidRDefault="00A368C1" w:rsidP="00A368C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positive:</w:t>
                  </w:r>
                </w:p>
              </w:tc>
              <w:tc>
                <w:tcPr>
                  <w:tcW w:w="1627" w:type="dxa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negative:</w:t>
                  </w:r>
                </w:p>
              </w:tc>
            </w:tr>
            <w:tr w:rsidR="00A368C1" w:rsidTr="00A368C1">
              <w:trPr>
                <w:jc w:val="center"/>
              </w:trPr>
              <w:tc>
                <w:tcPr>
                  <w:tcW w:w="1185" w:type="dxa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TDA</w:t>
                  </w:r>
                </w:p>
              </w:tc>
              <w:tc>
                <w:tcPr>
                  <w:tcW w:w="2894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 drop of TDA reagent</w:t>
                  </w:r>
                </w:p>
              </w:tc>
              <w:tc>
                <w:tcPr>
                  <w:tcW w:w="1689" w:type="dxa"/>
                </w:tcPr>
                <w:p w:rsidR="00A368C1" w:rsidRDefault="00A368C1" w:rsidP="00A36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brown – red</w:t>
                  </w:r>
                </w:p>
              </w:tc>
              <w:tc>
                <w:tcPr>
                  <w:tcW w:w="1627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yellow</w:t>
                  </w:r>
                </w:p>
              </w:tc>
            </w:tr>
            <w:tr w:rsidR="00A368C1" w:rsidTr="00A368C1">
              <w:trPr>
                <w:jc w:val="center"/>
              </w:trPr>
              <w:tc>
                <w:tcPr>
                  <w:tcW w:w="1185" w:type="dxa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IND</w:t>
                  </w:r>
                </w:p>
              </w:tc>
              <w:tc>
                <w:tcPr>
                  <w:tcW w:w="2894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 drop of Kovac’s reagent</w:t>
                  </w:r>
                </w:p>
              </w:tc>
              <w:tc>
                <w:tcPr>
                  <w:tcW w:w="1689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Red ring</w:t>
                  </w:r>
                </w:p>
              </w:tc>
              <w:tc>
                <w:tcPr>
                  <w:tcW w:w="1627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Yellow</w:t>
                  </w:r>
                </w:p>
              </w:tc>
            </w:tr>
            <w:tr w:rsidR="00A368C1" w:rsidTr="00A368C1">
              <w:trPr>
                <w:jc w:val="center"/>
              </w:trPr>
              <w:tc>
                <w:tcPr>
                  <w:tcW w:w="1185" w:type="dxa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NIT</w:t>
                  </w:r>
                </w:p>
              </w:tc>
              <w:tc>
                <w:tcPr>
                  <w:tcW w:w="2894" w:type="dxa"/>
                </w:tcPr>
                <w:p w:rsidR="00A368C1" w:rsidRDefault="00A368C1" w:rsidP="00A36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2 drops of NIT1 reagent, and 2 drops NIT2 reagent; then zinc dust in tubes with negative reactions</w:t>
                  </w:r>
                </w:p>
              </w:tc>
              <w:tc>
                <w:tcPr>
                  <w:tcW w:w="1689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NO</w:t>
                  </w:r>
                  <w:r>
                    <w:rPr>
                      <w:rFonts w:ascii="Arial" w:hAnsi="Arial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  <w:sz w:val="18"/>
                    </w:rPr>
                    <w:t>:  red</w:t>
                  </w:r>
                </w:p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</w:t>
                  </w:r>
                  <w:r>
                    <w:rPr>
                      <w:rFonts w:ascii="Arial" w:hAnsi="Arial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  <w:sz w:val="18"/>
                    </w:rPr>
                    <w:t xml:space="preserve"> gas:  yellow with zinc</w:t>
                  </w:r>
                </w:p>
              </w:tc>
              <w:tc>
                <w:tcPr>
                  <w:tcW w:w="1627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NO</w:t>
                  </w:r>
                  <w:r>
                    <w:rPr>
                      <w:rFonts w:ascii="Arial" w:hAnsi="Arial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  <w:sz w:val="18"/>
                    </w:rPr>
                    <w:t>:  yellow</w:t>
                  </w:r>
                </w:p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</w:t>
                  </w:r>
                  <w:r>
                    <w:rPr>
                      <w:rFonts w:ascii="Arial" w:hAnsi="Arial"/>
                      <w:sz w:val="18"/>
                      <w:vertAlign w:val="subscript"/>
                    </w:rPr>
                    <w:t>2</w:t>
                  </w:r>
                  <w:r>
                    <w:rPr>
                      <w:rFonts w:ascii="Arial" w:hAnsi="Arial"/>
                      <w:sz w:val="18"/>
                    </w:rPr>
                    <w:t xml:space="preserve"> gas:  red-pink with zinc</w:t>
                  </w:r>
                </w:p>
              </w:tc>
            </w:tr>
            <w:tr w:rsidR="00A368C1" w:rsidTr="00A368C1">
              <w:trPr>
                <w:jc w:val="center"/>
              </w:trPr>
              <w:tc>
                <w:tcPr>
                  <w:tcW w:w="1185" w:type="dxa"/>
                </w:tcPr>
                <w:p w:rsidR="00A368C1" w:rsidRDefault="00A368C1" w:rsidP="00A368C1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VP</w:t>
                  </w:r>
                </w:p>
              </w:tc>
              <w:tc>
                <w:tcPr>
                  <w:tcW w:w="2894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 drop of VP1 reagent, then 1 drop VPA reagent</w:t>
                  </w:r>
                </w:p>
              </w:tc>
              <w:tc>
                <w:tcPr>
                  <w:tcW w:w="1689" w:type="dxa"/>
                </w:tcPr>
                <w:p w:rsidR="00A368C1" w:rsidRDefault="00A368C1" w:rsidP="00A36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pink-red</w:t>
                  </w:r>
                </w:p>
              </w:tc>
              <w:tc>
                <w:tcPr>
                  <w:tcW w:w="1627" w:type="dxa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colorless</w:t>
                  </w:r>
                </w:p>
              </w:tc>
            </w:tr>
          </w:tbl>
          <w:p w:rsidR="00A368C1" w:rsidRDefault="00A368C1" w:rsidP="00A368C1">
            <w:pPr>
              <w:jc w:val="left"/>
              <w:rPr>
                <w:rFonts w:ascii="Arial" w:hAnsi="Arial"/>
                <w:sz w:val="20"/>
              </w:rPr>
            </w:pPr>
          </w:p>
          <w:p w:rsidR="00A368C1" w:rsidRDefault="00A368C1" w:rsidP="00A368C1">
            <w:pPr>
              <w:numPr>
                <w:ilvl w:val="0"/>
                <w:numId w:val="17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Interpretation of test results:</w:t>
            </w:r>
          </w:p>
          <w:p w:rsid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Expected reactions for each quality control organism appear below.</w:t>
            </w:r>
          </w:p>
          <w:p w:rsidR="00A368C1" w:rsidRDefault="00A368C1" w:rsidP="00A368C1">
            <w:pPr>
              <w:ind w:left="720"/>
              <w:jc w:val="left"/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90"/>
              <w:gridCol w:w="697"/>
              <w:gridCol w:w="698"/>
              <w:gridCol w:w="697"/>
              <w:gridCol w:w="698"/>
            </w:tblGrid>
            <w:tr w:rsidR="00A368C1" w:rsidTr="00A368C1">
              <w:trPr>
                <w:trHeight w:val="155"/>
                <w:jc w:val="center"/>
              </w:trPr>
              <w:tc>
                <w:tcPr>
                  <w:tcW w:w="2790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TDA: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IND: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NIT: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VP:</w:t>
                  </w:r>
                </w:p>
              </w:tc>
            </w:tr>
            <w:tr w:rsidR="00A368C1" w:rsidTr="00A368C1">
              <w:trPr>
                <w:trHeight w:val="311"/>
                <w:jc w:val="center"/>
              </w:trPr>
              <w:tc>
                <w:tcPr>
                  <w:tcW w:w="2790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M. oderatus </w:t>
                  </w:r>
                  <w:r>
                    <w:rPr>
                      <w:rFonts w:ascii="Arial" w:hAnsi="Arial"/>
                      <w:sz w:val="18"/>
                    </w:rPr>
                    <w:t>ATCC 4651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-</w:t>
                  </w:r>
                </w:p>
              </w:tc>
            </w:tr>
            <w:tr w:rsidR="00A368C1" w:rsidTr="00A368C1">
              <w:trPr>
                <w:trHeight w:val="311"/>
                <w:jc w:val="center"/>
              </w:trPr>
              <w:tc>
                <w:tcPr>
                  <w:tcW w:w="2790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P. vulgaris</w:t>
                  </w:r>
                  <w:r>
                    <w:rPr>
                      <w:rFonts w:ascii="Arial" w:hAnsi="Arial"/>
                      <w:sz w:val="18"/>
                    </w:rPr>
                    <w:t xml:space="preserve"> ATCC 13315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+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+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+</w:t>
                  </w: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A368C1" w:rsidTr="00A368C1">
              <w:trPr>
                <w:trHeight w:val="323"/>
                <w:jc w:val="center"/>
              </w:trPr>
              <w:tc>
                <w:tcPr>
                  <w:tcW w:w="2790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E. cloacae</w:t>
                  </w:r>
                  <w:r>
                    <w:rPr>
                      <w:rFonts w:ascii="Arial" w:hAnsi="Arial"/>
                      <w:sz w:val="18"/>
                    </w:rPr>
                    <w:t xml:space="preserve"> ATCC 13047</w:t>
                  </w: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697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698" w:type="dxa"/>
                  <w:vAlign w:val="bottom"/>
                </w:tcPr>
                <w:p w:rsidR="00A368C1" w:rsidRDefault="00A368C1" w:rsidP="00A368C1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+</w:t>
                  </w:r>
                </w:p>
              </w:tc>
            </w:tr>
          </w:tbl>
          <w:p w:rsidR="00A368C1" w:rsidRPr="00A368C1" w:rsidRDefault="00A368C1" w:rsidP="00A368C1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A368C1" w:rsidRP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A368C1">
              <w:rPr>
                <w:rFonts w:ascii="Arial" w:hAnsi="Arial"/>
                <w:sz w:val="20"/>
                <w:szCs w:val="20"/>
              </w:rPr>
              <w:t>If observed reactions match those in above table, reagents are considered satisfactory for use.</w:t>
            </w:r>
          </w:p>
          <w:p w:rsidR="00A368C1" w:rsidRP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A368C1">
              <w:rPr>
                <w:rFonts w:ascii="Arial" w:hAnsi="Arial"/>
                <w:sz w:val="20"/>
                <w:szCs w:val="20"/>
              </w:rPr>
              <w:t>If any observed reaction differs from above table, the reagent is considered unsatisfactory and should be removed from use until the discrepancy is resolved.</w:t>
            </w:r>
          </w:p>
          <w:p w:rsidR="00A368C1" w:rsidRP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A368C1">
              <w:rPr>
                <w:rFonts w:ascii="Arial" w:hAnsi="Arial"/>
                <w:sz w:val="20"/>
                <w:szCs w:val="20"/>
              </w:rPr>
              <w:t>The TDA and IND reactions produce an immediate color change.</w:t>
            </w:r>
          </w:p>
          <w:p w:rsidR="00A368C1" w:rsidRP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A368C1">
              <w:rPr>
                <w:rFonts w:ascii="Arial" w:hAnsi="Arial"/>
                <w:sz w:val="20"/>
                <w:szCs w:val="20"/>
              </w:rPr>
              <w:t>When testing reagents for VP test, wait 10 minutes before considering the reaction negative.  A pale pink color developing after 10 minutes should be considered negative.  An immediate pale pink color changing to dark pink or red after 10 minutes should be considered positive.</w:t>
            </w:r>
          </w:p>
          <w:p w:rsidR="00A368C1" w:rsidRPr="00A368C1" w:rsidRDefault="00A368C1" w:rsidP="00A368C1">
            <w:pPr>
              <w:numPr>
                <w:ilvl w:val="0"/>
                <w:numId w:val="19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A368C1">
              <w:rPr>
                <w:rFonts w:ascii="Arial" w:hAnsi="Arial"/>
                <w:sz w:val="20"/>
                <w:szCs w:val="20"/>
              </w:rPr>
              <w:t>A positive NIT reaction may take 2-5 minutes for color development.  A red color change after the addition of zinc dust confirms a negative reaction.</w:t>
            </w:r>
          </w:p>
          <w:p w:rsidR="006775C1" w:rsidRDefault="006775C1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6775C1" w:rsidTr="00E15324">
        <w:trPr>
          <w:gridAfter w:val="2"/>
          <w:wAfter w:w="5392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75C1" w:rsidRPr="00E15324" w:rsidRDefault="006775C1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</w:p>
          <w:p w:rsidR="006775C1" w:rsidRPr="00E15324" w:rsidRDefault="00FC05C7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E15324">
              <w:rPr>
                <w:rFonts w:ascii="Arial" w:hAnsi="Arial"/>
                <w:b/>
                <w:color w:val="0000FF"/>
                <w:sz w:val="18"/>
                <w:szCs w:val="18"/>
              </w:rPr>
              <w:t>Limitations</w:t>
            </w:r>
          </w:p>
          <w:p w:rsidR="006775C1" w:rsidRPr="00E15324" w:rsidRDefault="006775C1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08C" w:rsidRPr="007D308C" w:rsidRDefault="007D308C" w:rsidP="007D308C">
            <w:pPr>
              <w:rPr>
                <w:rFonts w:ascii="Arial" w:hAnsi="Arial"/>
                <w:sz w:val="20"/>
                <w:szCs w:val="20"/>
              </w:rPr>
            </w:pPr>
          </w:p>
          <w:p w:rsidR="007D308C" w:rsidRPr="007D308C" w:rsidRDefault="007D308C" w:rsidP="007D308C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>The API 20E Reagent QC kit is designed for quality control of reagents used in the TDA, IND, NIT, and VP tests.</w:t>
            </w:r>
          </w:p>
          <w:p w:rsidR="007D308C" w:rsidRPr="007D308C" w:rsidRDefault="007D308C" w:rsidP="007D308C">
            <w:pPr>
              <w:numPr>
                <w:ilvl w:val="0"/>
                <w:numId w:val="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>The kit is not designed as an identification scheme and should not be used as such.</w:t>
            </w:r>
          </w:p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</w:trPr>
        <w:tc>
          <w:tcPr>
            <w:tcW w:w="1260" w:type="dxa"/>
            <w:tcBorders>
              <w:left w:val="nil"/>
            </w:tcBorders>
          </w:tcPr>
          <w:p w:rsidR="006775C1" w:rsidRPr="00E15324" w:rsidRDefault="006775C1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</w:p>
          <w:p w:rsidR="006775C1" w:rsidRPr="00E15324" w:rsidRDefault="00FC05C7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E15324">
              <w:rPr>
                <w:rFonts w:ascii="Arial" w:hAnsi="Arial"/>
                <w:b/>
                <w:color w:val="0000FF"/>
                <w:sz w:val="18"/>
                <w:szCs w:val="18"/>
              </w:rPr>
              <w:t>References</w:t>
            </w:r>
          </w:p>
          <w:p w:rsidR="006775C1" w:rsidRPr="00E15324" w:rsidRDefault="006775C1">
            <w:pPr>
              <w:rPr>
                <w:rFonts w:ascii="Arial" w:hAnsi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99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  <w:p w:rsidR="006775C1" w:rsidRDefault="0058104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bioMérieux. (2003</w:t>
            </w:r>
            <w:r w:rsidR="007D308C">
              <w:rPr>
                <w:rFonts w:ascii="Arial" w:hAnsi="Arial"/>
                <w:sz w:val="20"/>
              </w:rPr>
              <w:t>). API 20E Reagent QC product insert. Revised</w:t>
            </w:r>
            <w:r>
              <w:rPr>
                <w:rFonts w:ascii="Arial" w:hAnsi="Arial"/>
                <w:sz w:val="20"/>
              </w:rPr>
              <w:t xml:space="preserve"> November 2003</w:t>
            </w:r>
            <w:r w:rsidR="007D308C">
              <w:rPr>
                <w:rFonts w:ascii="Arial" w:hAnsi="Arial"/>
                <w:sz w:val="20"/>
              </w:rPr>
              <w:t xml:space="preserve">. </w:t>
            </w:r>
            <w:r>
              <w:rPr>
                <w:rFonts w:ascii="Arial" w:hAnsi="Arial"/>
                <w:sz w:val="20"/>
              </w:rPr>
              <w:t>Durham, North Carolina</w:t>
            </w:r>
            <w:r w:rsidR="007D308C">
              <w:rPr>
                <w:rFonts w:ascii="Arial" w:hAnsi="Arial"/>
                <w:sz w:val="20"/>
              </w:rPr>
              <w:t>.</w:t>
            </w:r>
          </w:p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64"/>
        </w:trPr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15324" w:rsidRDefault="00FC05C7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 xml:space="preserve">Training Plan/ </w:t>
            </w:r>
          </w:p>
          <w:p w:rsidR="00E15324" w:rsidRDefault="00E1532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6775C1" w:rsidRPr="00E15324" w:rsidRDefault="00FC05C7">
            <w:pPr>
              <w:jc w:val="left"/>
              <w:rPr>
                <w:rFonts w:ascii="Arial" w:hAnsi="Arial"/>
                <w:b/>
                <w:color w:val="0000FF"/>
                <w:sz w:val="16"/>
                <w:szCs w:val="16"/>
              </w:rPr>
            </w:pPr>
            <w:r w:rsidRPr="00E15324">
              <w:rPr>
                <w:rFonts w:ascii="Arial" w:hAnsi="Arial"/>
                <w:b/>
                <w:color w:val="0000FF"/>
                <w:sz w:val="16"/>
                <w:szCs w:val="16"/>
              </w:rPr>
              <w:t>Competency Assessment</w:t>
            </w:r>
          </w:p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872"/>
        </w:trPr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C" w:rsidRPr="007D308C" w:rsidRDefault="007D308C" w:rsidP="007D308C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7D308C" w:rsidRPr="007D308C" w:rsidRDefault="007D308C" w:rsidP="007D308C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>Employee will observe trainer performing the procedure.</w:t>
            </w:r>
          </w:p>
          <w:p w:rsidR="007D308C" w:rsidRPr="007D308C" w:rsidRDefault="007D308C" w:rsidP="007D308C">
            <w:pPr>
              <w:numPr>
                <w:ilvl w:val="0"/>
                <w:numId w:val="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7D308C">
              <w:rPr>
                <w:rFonts w:ascii="Arial" w:hAnsi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7D308C" w:rsidP="007D308C">
            <w:pPr>
              <w:numPr>
                <w:ilvl w:val="0"/>
                <w:numId w:val="10"/>
              </w:num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25"/>
        </w:trPr>
        <w:tc>
          <w:tcPr>
            <w:tcW w:w="1260" w:type="dxa"/>
            <w:vMerge w:val="restart"/>
            <w:tcBorders>
              <w:left w:val="nil"/>
              <w:right w:val="single" w:sz="4" w:space="0" w:color="auto"/>
            </w:tcBorders>
          </w:tcPr>
          <w:p w:rsidR="006775C1" w:rsidRDefault="00C52E7C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35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A368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A368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02/02/1992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43"/>
        </w:trPr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A368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A368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Kristen Renner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A368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11/20/2003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9C2C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Reformat to PC version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9C2C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9C2C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Becky Carlson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9C2C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4/4/2015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9C2C3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Re-format to CMS template and Re-numbered from MC 813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DA10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DA10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DA10C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5/1/2017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DA10C9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Updated logo, Updated references, and bioMérieux technical Services contact information.</w:t>
            </w:r>
          </w:p>
        </w:tc>
        <w:tc>
          <w:tcPr>
            <w:tcW w:w="2696" w:type="dxa"/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6" w:type="dxa"/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172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E12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E12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E12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2/26/2018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E12B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Biennial review 2/5/2018 SD</w:t>
            </w:r>
          </w:p>
        </w:tc>
      </w:tr>
      <w:tr w:rsidR="006775C1" w:rsidTr="00E153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2" w:type="dxa"/>
          <w:cantSplit/>
          <w:trHeight w:val="277"/>
        </w:trPr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775C1" w:rsidRDefault="006775C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FC05C7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C1" w:rsidRDefault="006775C1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6775C1" w:rsidRDefault="006775C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6775C1" w:rsidSect="006775C1">
      <w:headerReference w:type="default" r:id="rId7"/>
      <w:footerReference w:type="default" r:id="rId8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7C" w:rsidRDefault="00C52E7C">
      <w:r>
        <w:separator/>
      </w:r>
    </w:p>
  </w:endnote>
  <w:endnote w:type="continuationSeparator" w:id="0">
    <w:p w:rsidR="00C52E7C" w:rsidRDefault="00C5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7C" w:rsidRPr="009C2C3E" w:rsidRDefault="00C52E7C" w:rsidP="009C2C3E">
    <w:pPr>
      <w:pStyle w:val="Footer"/>
      <w:rPr>
        <w:rFonts w:ascii="Arial" w:hAnsi="Arial" w:cs="Arial"/>
      </w:rPr>
    </w:pPr>
    <w:r w:rsidRPr="009C2C3E">
      <w:rPr>
        <w:rFonts w:ascii="Arial" w:hAnsi="Arial" w:cs="Arial"/>
        <w:sz w:val="16"/>
        <w:szCs w:val="16"/>
      </w:rPr>
      <w:t xml:space="preserve">Page </w:t>
    </w:r>
    <w:r w:rsidR="00450CBA" w:rsidRPr="009C2C3E">
      <w:rPr>
        <w:rFonts w:ascii="Arial" w:hAnsi="Arial" w:cs="Arial"/>
        <w:b/>
        <w:sz w:val="16"/>
        <w:szCs w:val="16"/>
      </w:rPr>
      <w:fldChar w:fldCharType="begin"/>
    </w:r>
    <w:r w:rsidRPr="009C2C3E">
      <w:rPr>
        <w:rFonts w:ascii="Arial" w:hAnsi="Arial" w:cs="Arial"/>
        <w:b/>
        <w:sz w:val="16"/>
        <w:szCs w:val="16"/>
      </w:rPr>
      <w:instrText xml:space="preserve"> PAGE </w:instrText>
    </w:r>
    <w:r w:rsidR="00450CBA" w:rsidRPr="009C2C3E">
      <w:rPr>
        <w:rFonts w:ascii="Arial" w:hAnsi="Arial" w:cs="Arial"/>
        <w:b/>
        <w:sz w:val="16"/>
        <w:szCs w:val="16"/>
      </w:rPr>
      <w:fldChar w:fldCharType="separate"/>
    </w:r>
    <w:r w:rsidR="00E12B78">
      <w:rPr>
        <w:rFonts w:ascii="Arial" w:hAnsi="Arial" w:cs="Arial"/>
        <w:b/>
        <w:noProof/>
        <w:sz w:val="16"/>
        <w:szCs w:val="16"/>
      </w:rPr>
      <w:t>1</w:t>
    </w:r>
    <w:r w:rsidR="00450CBA" w:rsidRPr="009C2C3E">
      <w:rPr>
        <w:rFonts w:ascii="Arial" w:hAnsi="Arial" w:cs="Arial"/>
        <w:b/>
        <w:sz w:val="16"/>
        <w:szCs w:val="16"/>
      </w:rPr>
      <w:fldChar w:fldCharType="end"/>
    </w:r>
    <w:r w:rsidRPr="009C2C3E">
      <w:rPr>
        <w:rFonts w:ascii="Arial" w:hAnsi="Arial" w:cs="Arial"/>
        <w:sz w:val="16"/>
        <w:szCs w:val="16"/>
      </w:rPr>
      <w:t xml:space="preserve"> of </w:t>
    </w:r>
    <w:r w:rsidR="00450CBA" w:rsidRPr="009C2C3E">
      <w:rPr>
        <w:rFonts w:ascii="Arial" w:hAnsi="Arial" w:cs="Arial"/>
        <w:b/>
        <w:sz w:val="16"/>
        <w:szCs w:val="16"/>
      </w:rPr>
      <w:fldChar w:fldCharType="begin"/>
    </w:r>
    <w:r w:rsidRPr="009C2C3E">
      <w:rPr>
        <w:rFonts w:ascii="Arial" w:hAnsi="Arial" w:cs="Arial"/>
        <w:b/>
        <w:sz w:val="16"/>
        <w:szCs w:val="16"/>
      </w:rPr>
      <w:instrText xml:space="preserve"> NUMPAGES  </w:instrText>
    </w:r>
    <w:r w:rsidR="00450CBA" w:rsidRPr="009C2C3E">
      <w:rPr>
        <w:rFonts w:ascii="Arial" w:hAnsi="Arial" w:cs="Arial"/>
        <w:b/>
        <w:sz w:val="16"/>
        <w:szCs w:val="16"/>
      </w:rPr>
      <w:fldChar w:fldCharType="separate"/>
    </w:r>
    <w:r w:rsidR="00E12B78">
      <w:rPr>
        <w:rFonts w:ascii="Arial" w:hAnsi="Arial" w:cs="Arial"/>
        <w:b/>
        <w:noProof/>
        <w:sz w:val="16"/>
        <w:szCs w:val="16"/>
      </w:rPr>
      <w:t>3</w:t>
    </w:r>
    <w:r w:rsidR="00450CBA" w:rsidRPr="009C2C3E">
      <w:rPr>
        <w:rFonts w:ascii="Arial" w:hAnsi="Arial" w:cs="Arial"/>
        <w:b/>
        <w:sz w:val="16"/>
        <w:szCs w:val="16"/>
      </w:rPr>
      <w:fldChar w:fldCharType="end"/>
    </w:r>
  </w:p>
  <w:p w:rsidR="00C52E7C" w:rsidRPr="009C2C3E" w:rsidRDefault="00C52E7C" w:rsidP="009C2C3E">
    <w:pPr>
      <w:pStyle w:val="Footer"/>
      <w:rPr>
        <w:rFonts w:ascii="Arial" w:hAnsi="Arial" w:cs="Arial"/>
        <w:sz w:val="16"/>
        <w:szCs w:val="16"/>
      </w:rPr>
    </w:pPr>
    <w:r w:rsidRPr="009C2C3E">
      <w:rPr>
        <w:rFonts w:ascii="Arial" w:hAnsi="Arial" w:cs="Arial"/>
        <w:sz w:val="16"/>
        <w:szCs w:val="16"/>
      </w:rPr>
      <w:t>Children’s Hospitals and Clinics of Minnesota Laboratory, Mpls/St Paul MN</w:t>
    </w:r>
  </w:p>
  <w:p w:rsidR="00C52E7C" w:rsidRPr="009C2C3E" w:rsidRDefault="00C52E7C" w:rsidP="009C2C3E">
    <w:pPr>
      <w:pStyle w:val="Footer"/>
      <w:rPr>
        <w:rFonts w:ascii="Arial" w:hAnsi="Arial" w:cs="Arial"/>
        <w:sz w:val="16"/>
        <w:szCs w:val="16"/>
      </w:rPr>
    </w:pPr>
    <w:r w:rsidRPr="009C2C3E">
      <w:rPr>
        <w:rFonts w:ascii="Arial" w:hAnsi="Arial" w:cs="Arial"/>
        <w:sz w:val="16"/>
        <w:szCs w:val="16"/>
      </w:rPr>
      <w:t>Printed copy expires 2359 on day of print</w:t>
    </w:r>
  </w:p>
  <w:p w:rsidR="00C52E7C" w:rsidRDefault="00C52E7C">
    <w:pPr>
      <w:ind w:left="-1260" w:right="-1260"/>
      <w:rPr>
        <w:rFonts w:ascii="Arial" w:hAnsi="Arial"/>
        <w:sz w:val="16"/>
      </w:rPr>
    </w:pP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 w:rsidRPr="009C2C3E">
      <w:rPr>
        <w:rFonts w:ascii="Arial" w:hAnsi="Arial" w:cs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7C" w:rsidRDefault="00C52E7C">
      <w:r>
        <w:separator/>
      </w:r>
    </w:p>
  </w:footnote>
  <w:footnote w:type="continuationSeparator" w:id="0">
    <w:p w:rsidR="00C52E7C" w:rsidRDefault="00C5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7C" w:rsidRDefault="00450CBA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alt="Childrens_MN_2015_logo_RGB_of_PMS280-PMS2925_800x257" style="position:absolute;left:0;text-align:left;margin-left:380.25pt;margin-top:26.25pt;width:104.25pt;height:33.5pt;z-index:251658240;visibility:visible;mso-position-vertical-relative:page" o:allowincell="f">
          <v:imagedata r:id="rId1" o:title="Childrens_MN_2015_logo_RGB_of_PMS280-PMS2925_800x257"/>
          <w10:wrap anchory="page"/>
        </v:shape>
      </w:pict>
    </w:r>
    <w:r w:rsidR="00C52E7C">
      <w:rPr>
        <w:rFonts w:ascii="Arial" w:hAnsi="Arial"/>
        <w:sz w:val="18"/>
      </w:rPr>
      <w:t>MC 8.2 REAGENT QUALITY CONTROL FOR ID PANELS AND BIO TUBES</w:t>
    </w:r>
    <w:r w:rsidR="00C52E7C">
      <w:rPr>
        <w:rFonts w:ascii="Arial" w:hAnsi="Arial"/>
        <w:sz w:val="18"/>
      </w:rPr>
      <w:tab/>
    </w:r>
    <w:r w:rsidR="00C52E7C">
      <w:rPr>
        <w:rFonts w:ascii="Arial" w:hAnsi="Arial"/>
        <w:sz w:val="18"/>
      </w:rPr>
      <w:tab/>
    </w:r>
    <w:r w:rsidR="00C52E7C">
      <w:rPr>
        <w:rFonts w:ascii="Arial" w:hAnsi="Arial"/>
        <w:sz w:val="18"/>
      </w:rPr>
      <w:tab/>
    </w:r>
    <w:r w:rsidR="00C52E7C">
      <w:rPr>
        <w:rFonts w:ascii="Arial" w:hAnsi="Arial"/>
        <w:sz w:val="18"/>
      </w:rPr>
      <w:tab/>
    </w:r>
    <w:r w:rsidR="00C52E7C">
      <w:rPr>
        <w:rFonts w:ascii="Arial" w:hAnsi="Arial"/>
        <w:sz w:val="18"/>
      </w:rPr>
      <w:tab/>
    </w:r>
  </w:p>
  <w:p w:rsidR="00C52E7C" w:rsidRDefault="00E12B78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 3</w:t>
    </w:r>
  </w:p>
  <w:p w:rsidR="00C52E7C" w:rsidRDefault="00C52E7C" w:rsidP="009C2C3E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Date: </w:t>
    </w:r>
    <w:r w:rsidR="00E12B78">
      <w:rPr>
        <w:rFonts w:ascii="Arial" w:hAnsi="Arial"/>
        <w:sz w:val="18"/>
      </w:rPr>
      <w:t>2/26/2018</w:t>
    </w:r>
  </w:p>
  <w:p w:rsidR="00C52E7C" w:rsidRDefault="00C52E7C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6872BF"/>
    <w:multiLevelType w:val="hybridMultilevel"/>
    <w:tmpl w:val="359E5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6578"/>
    <w:multiLevelType w:val="hybridMultilevel"/>
    <w:tmpl w:val="DFD0DE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EB6806"/>
    <w:multiLevelType w:val="singleLevel"/>
    <w:tmpl w:val="F6DE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3177E8B"/>
    <w:multiLevelType w:val="hybridMultilevel"/>
    <w:tmpl w:val="4E406B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F14F4"/>
    <w:multiLevelType w:val="hybridMultilevel"/>
    <w:tmpl w:val="F2FA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3B8"/>
    <w:multiLevelType w:val="hybridMultilevel"/>
    <w:tmpl w:val="6666B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E849B0"/>
    <w:multiLevelType w:val="hybridMultilevel"/>
    <w:tmpl w:val="060078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76815"/>
    <w:multiLevelType w:val="singleLevel"/>
    <w:tmpl w:val="BA78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CEC5132"/>
    <w:multiLevelType w:val="hybridMultilevel"/>
    <w:tmpl w:val="5F7C97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2">
    <w:nsid w:val="5A391305"/>
    <w:multiLevelType w:val="hybridMultilevel"/>
    <w:tmpl w:val="047A3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D06952"/>
    <w:multiLevelType w:val="hybridMultilevel"/>
    <w:tmpl w:val="835CC286"/>
    <w:lvl w:ilvl="0" w:tplc="8E7A5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A2478C"/>
    <w:multiLevelType w:val="hybridMultilevel"/>
    <w:tmpl w:val="11F89CD0"/>
    <w:lvl w:ilvl="0" w:tplc="35F6980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521C0E"/>
    <w:multiLevelType w:val="singleLevel"/>
    <w:tmpl w:val="1BA6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DC15D51"/>
    <w:multiLevelType w:val="hybridMultilevel"/>
    <w:tmpl w:val="54582A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EE0995"/>
    <w:multiLevelType w:val="singleLevel"/>
    <w:tmpl w:val="B734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4DF6034"/>
    <w:multiLevelType w:val="singleLevel"/>
    <w:tmpl w:val="C01CAD18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9">
    <w:nsid w:val="7ECF31BF"/>
    <w:multiLevelType w:val="hybridMultilevel"/>
    <w:tmpl w:val="1B3E83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12"/>
  </w:num>
  <w:num w:numId="11">
    <w:abstractNumId w:val="16"/>
  </w:num>
  <w:num w:numId="12">
    <w:abstractNumId w:val="4"/>
  </w:num>
  <w:num w:numId="13">
    <w:abstractNumId w:val="15"/>
  </w:num>
  <w:num w:numId="14">
    <w:abstractNumId w:val="2"/>
  </w:num>
  <w:num w:numId="15">
    <w:abstractNumId w:val="6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EA"/>
    <w:rsid w:val="0001291C"/>
    <w:rsid w:val="001F350E"/>
    <w:rsid w:val="00202F8A"/>
    <w:rsid w:val="00313E5C"/>
    <w:rsid w:val="003348A2"/>
    <w:rsid w:val="00392560"/>
    <w:rsid w:val="0039451C"/>
    <w:rsid w:val="00450CBA"/>
    <w:rsid w:val="00581046"/>
    <w:rsid w:val="00612BE4"/>
    <w:rsid w:val="00640EC7"/>
    <w:rsid w:val="0066531B"/>
    <w:rsid w:val="00674D90"/>
    <w:rsid w:val="006775C1"/>
    <w:rsid w:val="006D3FB4"/>
    <w:rsid w:val="00704C73"/>
    <w:rsid w:val="007232E4"/>
    <w:rsid w:val="007D308C"/>
    <w:rsid w:val="00827FEA"/>
    <w:rsid w:val="009C2C3E"/>
    <w:rsid w:val="00A368C1"/>
    <w:rsid w:val="00A67AA6"/>
    <w:rsid w:val="00A77160"/>
    <w:rsid w:val="00C52E7C"/>
    <w:rsid w:val="00C60A90"/>
    <w:rsid w:val="00CD2B6F"/>
    <w:rsid w:val="00D12872"/>
    <w:rsid w:val="00D2396B"/>
    <w:rsid w:val="00DA10C9"/>
    <w:rsid w:val="00E12B78"/>
    <w:rsid w:val="00E15324"/>
    <w:rsid w:val="00E903E9"/>
    <w:rsid w:val="00EB0D74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C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6775C1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6775C1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775C1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6775C1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6775C1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6775C1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775C1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775C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6775C1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775C1"/>
    <w:rPr>
      <w:bCs/>
      <w:iCs/>
      <w:color w:val="000000"/>
    </w:rPr>
  </w:style>
  <w:style w:type="paragraph" w:styleId="Header">
    <w:name w:val="header"/>
    <w:basedOn w:val="Normal"/>
    <w:semiHidden/>
    <w:rsid w:val="006775C1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6775C1"/>
    <w:pPr>
      <w:ind w:left="360" w:hanging="360"/>
    </w:pPr>
  </w:style>
  <w:style w:type="paragraph" w:styleId="Title">
    <w:name w:val="Title"/>
    <w:basedOn w:val="Normal"/>
    <w:qFormat/>
    <w:rsid w:val="006775C1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6775C1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6775C1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6775C1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6775C1"/>
    <w:pPr>
      <w:numPr>
        <w:numId w:val="0"/>
      </w:numPr>
    </w:pPr>
  </w:style>
  <w:style w:type="paragraph" w:customStyle="1" w:styleId="TableText">
    <w:name w:val="Table Text"/>
    <w:basedOn w:val="Normal"/>
    <w:rsid w:val="006775C1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6775C1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6775C1"/>
    <w:rPr>
      <w:b/>
      <w:color w:val="0000FF"/>
    </w:rPr>
  </w:style>
  <w:style w:type="paragraph" w:styleId="BodyTextIndent">
    <w:name w:val="Body Text Indent"/>
    <w:basedOn w:val="Normal"/>
    <w:semiHidden/>
    <w:rsid w:val="006775C1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6775C1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6775C1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6775C1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6775C1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6775C1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775C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C2C3E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1049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11</cp:revision>
  <cp:lastPrinted>2009-06-27T01:51:00Z</cp:lastPrinted>
  <dcterms:created xsi:type="dcterms:W3CDTF">2017-04-13T13:44:00Z</dcterms:created>
  <dcterms:modified xsi:type="dcterms:W3CDTF">2018-02-05T21:50:00Z</dcterms:modified>
</cp:coreProperties>
</file>