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8910"/>
      </w:tblGrid>
      <w:tr w:rsidR="008C6EDC" w:rsidTr="00D120DB">
        <w:trPr>
          <w:cantSplit/>
          <w:tblHeader/>
        </w:trPr>
        <w:tc>
          <w:tcPr>
            <w:tcW w:w="11070" w:type="dxa"/>
            <w:gridSpan w:val="2"/>
            <w:tcBorders>
              <w:bottom w:val="single" w:sz="18" w:space="0" w:color="A6A6A6" w:themeColor="background1" w:themeShade="A6"/>
            </w:tcBorders>
          </w:tcPr>
          <w:p w:rsidR="008C6EDC" w:rsidRDefault="00253C63">
            <w:pPr>
              <w:pStyle w:val="Header"/>
              <w:tabs>
                <w:tab w:val="clear" w:pos="4320"/>
                <w:tab w:val="clear" w:pos="8640"/>
                <w:tab w:val="left" w:pos="11520"/>
              </w:tabs>
              <w:jc w:val="both"/>
              <w:rPr>
                <w:rFonts w:cs="Arial"/>
                <w:b/>
                <w:bCs/>
                <w:color w:val="0000FF"/>
                <w:sz w:val="36"/>
              </w:rPr>
            </w:pPr>
            <w:r>
              <w:rPr>
                <w:rFonts w:cs="Arial"/>
                <w:b/>
                <w:bCs/>
                <w:color w:val="0000FF"/>
                <w:sz w:val="36"/>
              </w:rPr>
              <w:t>PTH</w:t>
            </w:r>
            <w:r w:rsidR="00A566DF">
              <w:rPr>
                <w:rFonts w:cs="Arial"/>
                <w:b/>
                <w:bCs/>
                <w:color w:val="0000FF"/>
                <w:sz w:val="36"/>
              </w:rPr>
              <w:t>, Intact</w:t>
            </w:r>
          </w:p>
          <w:p w:rsidR="008C6EDC" w:rsidRDefault="008C6EDC">
            <w:pPr>
              <w:pStyle w:val="Header"/>
              <w:tabs>
                <w:tab w:val="clear" w:pos="4320"/>
                <w:tab w:val="clear" w:pos="8640"/>
                <w:tab w:val="left" w:pos="11520"/>
              </w:tabs>
              <w:jc w:val="both"/>
              <w:rPr>
                <w:rFonts w:cs="Arial"/>
                <w:color w:val="0000FF"/>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8634BF" w:rsidRDefault="008C6EDC" w:rsidP="008C6EDC">
            <w:pPr>
              <w:jc w:val="both"/>
              <w:rPr>
                <w:rFonts w:cs="Arial"/>
                <w:szCs w:val="20"/>
              </w:rPr>
            </w:pPr>
          </w:p>
          <w:p w:rsidR="008C6EDC" w:rsidRPr="008634BF" w:rsidRDefault="00253C63" w:rsidP="008C6EDC">
            <w:pPr>
              <w:autoSpaceDE w:val="0"/>
              <w:autoSpaceDN w:val="0"/>
              <w:adjustRightInd w:val="0"/>
              <w:jc w:val="both"/>
              <w:rPr>
                <w:rFonts w:cs="Arial"/>
                <w:szCs w:val="20"/>
              </w:rPr>
            </w:pPr>
            <w:r>
              <w:rPr>
                <w:rFonts w:cs="Arial"/>
              </w:rPr>
              <w:t>This procedure provides instructions for performing IN</w:t>
            </w:r>
            <w:r w:rsidR="00A82A92">
              <w:rPr>
                <w:rFonts w:cs="Arial"/>
              </w:rPr>
              <w:t>T</w:t>
            </w:r>
            <w:r w:rsidR="00A566DF">
              <w:rPr>
                <w:rFonts w:cs="Arial"/>
              </w:rPr>
              <w:t>ACT PARATHYROID HORMONE (PTH)</w:t>
            </w:r>
            <w:r>
              <w:rPr>
                <w:rFonts w:cs="Arial"/>
              </w:rPr>
              <w:t xml:space="preserve"> on the Abbott Architect</w:t>
            </w:r>
            <w:r w:rsidR="00A566DF">
              <w:rPr>
                <w:rFonts w:cs="Arial"/>
              </w:rPr>
              <w:t xml:space="preserve"> i1000SR</w:t>
            </w:r>
            <w:r>
              <w:rPr>
                <w:rFonts w:cs="Arial"/>
              </w:rPr>
              <w:t>.</w:t>
            </w:r>
          </w:p>
          <w:p w:rsidR="008C6EDC" w:rsidRPr="008634BF" w:rsidRDefault="008C6EDC" w:rsidP="008C6EDC">
            <w:pPr>
              <w:jc w:val="both"/>
              <w:rPr>
                <w:rFonts w:cs="Arial"/>
                <w:szCs w:val="20"/>
              </w:rPr>
            </w:pPr>
          </w:p>
        </w:tc>
      </w:tr>
      <w:tr w:rsidR="008C6EDC" w:rsidTr="00D120DB">
        <w:trPr>
          <w:trHeight w:val="93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tcBorders>
              <w:top w:val="single" w:sz="18" w:space="0" w:color="A6A6A6" w:themeColor="background1" w:themeShade="A6"/>
              <w:bottom w:val="single" w:sz="18" w:space="0" w:color="A6A6A6" w:themeColor="background1" w:themeShade="A6"/>
            </w:tcBorders>
            <w:vAlign w:val="center"/>
          </w:tcPr>
          <w:p w:rsidR="008C6EDC" w:rsidRPr="001246C0" w:rsidRDefault="008C6EDC" w:rsidP="00253C63">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00253C63">
              <w:rPr>
                <w:rFonts w:cs="Arial"/>
                <w:szCs w:val="20"/>
              </w:rPr>
              <w:t>Abbott Architect</w:t>
            </w:r>
            <w:r w:rsidR="00A566DF">
              <w:rPr>
                <w:rFonts w:cs="Arial"/>
                <w:szCs w:val="20"/>
              </w:rPr>
              <w:t xml:space="preserve"> i1000SR</w:t>
            </w:r>
            <w:r w:rsidR="00253C63">
              <w:rPr>
                <w:rFonts w:cs="Arial"/>
                <w:szCs w:val="20"/>
              </w:rPr>
              <w:t>.</w:t>
            </w: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BodyText"/>
              <w:spacing w:after="0"/>
              <w:jc w:val="both"/>
              <w:rPr>
                <w:rFonts w:cs="Arial"/>
              </w:rPr>
            </w:pPr>
          </w:p>
          <w:p w:rsidR="008C6EDC" w:rsidRDefault="00253C63" w:rsidP="00253C63">
            <w:pPr>
              <w:autoSpaceDE w:val="0"/>
              <w:autoSpaceDN w:val="0"/>
              <w:adjustRightInd w:val="0"/>
              <w:rPr>
                <w:rFonts w:eastAsia="HelenPro-Regular" w:cs="Arial"/>
                <w:szCs w:val="20"/>
              </w:rPr>
            </w:pPr>
            <w:r w:rsidRPr="00FD2EA5">
              <w:rPr>
                <w:rFonts w:eastAsia="HelenPro-Regular" w:cs="Arial"/>
                <w:szCs w:val="20"/>
              </w:rPr>
              <w:t>The ARCHITECT Intact PTH assay is a two-step sandwich</w:t>
            </w:r>
            <w:r>
              <w:rPr>
                <w:rFonts w:eastAsia="HelenPro-Regular" w:cs="Arial"/>
                <w:szCs w:val="20"/>
              </w:rPr>
              <w:t xml:space="preserve"> </w:t>
            </w:r>
            <w:r w:rsidRPr="00FD2EA5">
              <w:rPr>
                <w:rFonts w:eastAsia="HelenPro-Regular" w:cs="Arial"/>
                <w:szCs w:val="20"/>
              </w:rPr>
              <w:t>immunoassay for the quantitative determination of intact PTH in</w:t>
            </w:r>
            <w:r>
              <w:rPr>
                <w:rFonts w:eastAsia="HelenPro-Regular" w:cs="Arial"/>
                <w:szCs w:val="20"/>
              </w:rPr>
              <w:t xml:space="preserve"> </w:t>
            </w:r>
            <w:r w:rsidRPr="00FD2EA5">
              <w:rPr>
                <w:rFonts w:eastAsia="HelenPro-Regular" w:cs="Arial"/>
                <w:szCs w:val="20"/>
              </w:rPr>
              <w:t>human serum and plasma using CMIA</w:t>
            </w:r>
            <w:r>
              <w:rPr>
                <w:rFonts w:eastAsia="HelenPro-Regular" w:cs="Arial"/>
                <w:szCs w:val="20"/>
              </w:rPr>
              <w:t xml:space="preserve"> technology with flexible assay </w:t>
            </w:r>
            <w:r w:rsidRPr="00FD2EA5">
              <w:rPr>
                <w:rFonts w:eastAsia="HelenPro-Regular" w:cs="Arial"/>
                <w:szCs w:val="20"/>
              </w:rPr>
              <w:t>protocols, referred to as Chemiflex. Sample, assay diluent, a</w:t>
            </w:r>
            <w:r>
              <w:rPr>
                <w:rFonts w:eastAsia="HelenPro-Regular" w:cs="Arial"/>
                <w:szCs w:val="20"/>
              </w:rPr>
              <w:t xml:space="preserve">nd anti-PTH coated paramagnetic </w:t>
            </w:r>
            <w:r w:rsidRPr="00FD2EA5">
              <w:rPr>
                <w:rFonts w:eastAsia="HelenPro-Regular" w:cs="Arial"/>
                <w:szCs w:val="20"/>
              </w:rPr>
              <w:t>microparticles are combined. Intact PTH present in the sample</w:t>
            </w:r>
            <w:r>
              <w:rPr>
                <w:rFonts w:eastAsia="HelenPro-Regular" w:cs="Arial"/>
                <w:szCs w:val="20"/>
              </w:rPr>
              <w:t xml:space="preserve"> </w:t>
            </w:r>
            <w:r w:rsidRPr="00FD2EA5">
              <w:rPr>
                <w:rFonts w:eastAsia="HelenPro-Regular" w:cs="Arial"/>
                <w:szCs w:val="20"/>
              </w:rPr>
              <w:t>binds to the anti-PTH coated microparticles.</w:t>
            </w:r>
            <w:r>
              <w:rPr>
                <w:rFonts w:eastAsia="HelenPro-Regular" w:cs="Arial"/>
                <w:szCs w:val="20"/>
              </w:rPr>
              <w:t xml:space="preserve"> </w:t>
            </w:r>
            <w:r w:rsidRPr="00FD2EA5">
              <w:rPr>
                <w:rFonts w:eastAsia="HelenPro-Regular" w:cs="Arial"/>
                <w:szCs w:val="20"/>
              </w:rPr>
              <w:t>After washing, anti-PTH acridinium-labeled conjugate is added to</w:t>
            </w:r>
            <w:r>
              <w:rPr>
                <w:rFonts w:eastAsia="HelenPro-Regular" w:cs="Arial"/>
                <w:szCs w:val="20"/>
              </w:rPr>
              <w:t xml:space="preserve"> </w:t>
            </w:r>
            <w:r w:rsidRPr="00FD2EA5">
              <w:rPr>
                <w:rFonts w:eastAsia="HelenPro-Regular" w:cs="Arial"/>
                <w:szCs w:val="20"/>
              </w:rPr>
              <w:t>create a reaction mixture.</w:t>
            </w:r>
            <w:r>
              <w:rPr>
                <w:rFonts w:eastAsia="HelenPro-Regular" w:cs="Arial"/>
                <w:szCs w:val="20"/>
              </w:rPr>
              <w:t xml:space="preserve"> </w:t>
            </w:r>
            <w:r w:rsidRPr="00FD2EA5">
              <w:rPr>
                <w:rFonts w:eastAsia="HelenPro-Regular" w:cs="Arial"/>
                <w:szCs w:val="20"/>
              </w:rPr>
              <w:t>Following another wash cycle, Pre-Trigger and Trigger Solutions</w:t>
            </w:r>
            <w:r>
              <w:rPr>
                <w:rFonts w:eastAsia="HelenPro-Regular" w:cs="Arial"/>
                <w:szCs w:val="20"/>
              </w:rPr>
              <w:t xml:space="preserve"> </w:t>
            </w:r>
            <w:r w:rsidRPr="00FD2EA5">
              <w:rPr>
                <w:rFonts w:eastAsia="HelenPro-Regular" w:cs="Arial"/>
                <w:szCs w:val="20"/>
              </w:rPr>
              <w:t>are added to the reaction mixture.</w:t>
            </w:r>
            <w:r>
              <w:rPr>
                <w:rFonts w:eastAsia="HelenPro-Regular" w:cs="Arial"/>
                <w:szCs w:val="20"/>
              </w:rPr>
              <w:t xml:space="preserve"> </w:t>
            </w:r>
            <w:r w:rsidRPr="00FD2EA5">
              <w:rPr>
                <w:rFonts w:eastAsia="HelenPro-Regular" w:cs="Arial"/>
                <w:szCs w:val="20"/>
              </w:rPr>
              <w:t xml:space="preserve"> The resulting chemiluminescent reaction is measured as relative</w:t>
            </w:r>
            <w:r>
              <w:rPr>
                <w:rFonts w:eastAsia="HelenPro-Regular" w:cs="Arial"/>
                <w:szCs w:val="20"/>
              </w:rPr>
              <w:t xml:space="preserve"> </w:t>
            </w:r>
            <w:r w:rsidRPr="00FD2EA5">
              <w:rPr>
                <w:rFonts w:eastAsia="HelenPro-Regular" w:cs="Arial"/>
                <w:szCs w:val="20"/>
              </w:rPr>
              <w:t>light units (RLUs). There is a direct relationship between th</w:t>
            </w:r>
            <w:r>
              <w:rPr>
                <w:rFonts w:eastAsia="HelenPro-Regular" w:cs="Arial"/>
                <w:szCs w:val="20"/>
              </w:rPr>
              <w:t xml:space="preserve">e </w:t>
            </w:r>
            <w:r w:rsidRPr="00FD2EA5">
              <w:rPr>
                <w:rFonts w:eastAsia="HelenPro-Regular" w:cs="Arial"/>
                <w:szCs w:val="20"/>
              </w:rPr>
              <w:t>amount of intact PTH in the sample and the RLUs detected by</w:t>
            </w:r>
            <w:r>
              <w:rPr>
                <w:rFonts w:eastAsia="HelenPro-Regular" w:cs="Arial"/>
                <w:szCs w:val="20"/>
              </w:rPr>
              <w:t xml:space="preserve"> </w:t>
            </w:r>
            <w:r w:rsidRPr="00FD2EA5">
              <w:rPr>
                <w:rFonts w:eastAsia="HelenPro-Regular" w:cs="Arial"/>
                <w:szCs w:val="20"/>
              </w:rPr>
              <w:t>the ARCHITECT iSystem optics</w:t>
            </w:r>
            <w:r>
              <w:rPr>
                <w:rFonts w:eastAsia="HelenPro-Regular" w:cs="Arial"/>
                <w:szCs w:val="20"/>
              </w:rPr>
              <w:t xml:space="preserve">. </w:t>
            </w:r>
            <w:r w:rsidRPr="00FD2EA5">
              <w:rPr>
                <w:rFonts w:eastAsia="HelenPro-Regular" w:cs="Arial"/>
                <w:szCs w:val="20"/>
              </w:rPr>
              <w:t>The ARCHITECT Intact PTH assay can be used with both STAT</w:t>
            </w:r>
            <w:r>
              <w:rPr>
                <w:rFonts w:eastAsia="HelenPro-Regular" w:cs="Arial"/>
                <w:szCs w:val="20"/>
              </w:rPr>
              <w:t xml:space="preserve"> </w:t>
            </w:r>
            <w:r w:rsidRPr="00FD2EA5">
              <w:rPr>
                <w:rFonts w:eastAsia="HelenPro-Regular" w:cs="Arial"/>
                <w:szCs w:val="20"/>
              </w:rPr>
              <w:t>and Routine protocols. The STAT protocol has a shorter incubation</w:t>
            </w:r>
            <w:r>
              <w:rPr>
                <w:rFonts w:eastAsia="HelenPro-Regular" w:cs="Arial"/>
                <w:szCs w:val="20"/>
              </w:rPr>
              <w:t xml:space="preserve"> </w:t>
            </w:r>
            <w:r w:rsidRPr="00FD2EA5">
              <w:rPr>
                <w:rFonts w:eastAsia="HelenPro-Regular" w:cs="Arial"/>
                <w:szCs w:val="20"/>
              </w:rPr>
              <w:t>time in comparison to the Routine protocol. STAT and Routine</w:t>
            </w:r>
            <w:r>
              <w:rPr>
                <w:rFonts w:eastAsia="HelenPro-Regular" w:cs="Arial"/>
                <w:szCs w:val="20"/>
              </w:rPr>
              <w:t xml:space="preserve"> </w:t>
            </w:r>
            <w:r w:rsidRPr="00FD2EA5">
              <w:rPr>
                <w:rFonts w:eastAsia="HelenPro-Regular" w:cs="Arial"/>
                <w:szCs w:val="20"/>
              </w:rPr>
              <w:t>protocols require separate ca</w:t>
            </w:r>
            <w:r>
              <w:rPr>
                <w:rFonts w:eastAsia="HelenPro-Regular" w:cs="Arial"/>
                <w:szCs w:val="20"/>
              </w:rPr>
              <w:t xml:space="preserve">librations but require only one </w:t>
            </w:r>
            <w:r w:rsidRPr="00FD2EA5">
              <w:rPr>
                <w:rFonts w:eastAsia="HelenPro-Regular" w:cs="Arial"/>
                <w:szCs w:val="20"/>
              </w:rPr>
              <w:t>reagent kit. To account for differences between the STAT and</w:t>
            </w:r>
            <w:r>
              <w:rPr>
                <w:rFonts w:eastAsia="HelenPro-Regular" w:cs="Arial"/>
                <w:szCs w:val="20"/>
              </w:rPr>
              <w:t xml:space="preserve"> </w:t>
            </w:r>
            <w:r w:rsidRPr="00FD2EA5">
              <w:rPr>
                <w:rFonts w:eastAsia="HelenPro-Regular" w:cs="Arial"/>
                <w:szCs w:val="20"/>
              </w:rPr>
              <w:t>Routine protocols, a correction factor has been added to the STAT</w:t>
            </w:r>
            <w:r>
              <w:rPr>
                <w:rFonts w:eastAsia="HelenPro-Regular" w:cs="Arial"/>
                <w:szCs w:val="20"/>
              </w:rPr>
              <w:t xml:space="preserve"> </w:t>
            </w:r>
            <w:r w:rsidRPr="00FD2EA5">
              <w:rPr>
                <w:rFonts w:eastAsia="HelenPro-Regular" w:cs="Arial"/>
                <w:szCs w:val="20"/>
              </w:rPr>
              <w:t>protocol. The correction factor ensures that patient specimen</w:t>
            </w:r>
            <w:r>
              <w:rPr>
                <w:rFonts w:eastAsia="HelenPro-Regular" w:cs="Arial"/>
                <w:szCs w:val="20"/>
              </w:rPr>
              <w:t xml:space="preserve"> </w:t>
            </w:r>
            <w:r w:rsidRPr="00FD2EA5">
              <w:rPr>
                <w:rFonts w:eastAsia="HelenPro-Regular" w:cs="Arial"/>
                <w:szCs w:val="20"/>
              </w:rPr>
              <w:t>results are consistent between the STAT and Routine protocols. As</w:t>
            </w:r>
            <w:r>
              <w:rPr>
                <w:rFonts w:eastAsia="HelenPro-Regular" w:cs="Arial"/>
                <w:szCs w:val="20"/>
              </w:rPr>
              <w:t xml:space="preserve"> </w:t>
            </w:r>
            <w:r w:rsidRPr="00FD2EA5">
              <w:rPr>
                <w:rFonts w:eastAsia="HelenPro-Regular" w:cs="Arial"/>
                <w:szCs w:val="20"/>
              </w:rPr>
              <w:t>a consequence of the correction factor, controls read differently</w:t>
            </w:r>
            <w:r>
              <w:rPr>
                <w:rFonts w:eastAsia="HelenPro-Regular" w:cs="Arial"/>
                <w:szCs w:val="20"/>
              </w:rPr>
              <w:t xml:space="preserve"> </w:t>
            </w:r>
            <w:r w:rsidRPr="00FD2EA5">
              <w:rPr>
                <w:rFonts w:eastAsia="HelenPro-Regular" w:cs="Arial"/>
                <w:szCs w:val="20"/>
              </w:rPr>
              <w:t>between the STAT and Routine protocols.</w:t>
            </w:r>
          </w:p>
          <w:p w:rsidR="00A82A92" w:rsidRPr="00253C63" w:rsidRDefault="00A82A92" w:rsidP="00253C63">
            <w:pPr>
              <w:autoSpaceDE w:val="0"/>
              <w:autoSpaceDN w:val="0"/>
              <w:adjustRightInd w:val="0"/>
              <w:rPr>
                <w:rFonts w:eastAsia="HelenPro-Regular" w:cs="Arial"/>
                <w:szCs w:val="20"/>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253C63" w:rsidRPr="00FD2EA5" w:rsidRDefault="00253C63" w:rsidP="00253C63">
            <w:pPr>
              <w:autoSpaceDE w:val="0"/>
              <w:autoSpaceDN w:val="0"/>
              <w:adjustRightInd w:val="0"/>
              <w:rPr>
                <w:rFonts w:eastAsia="HelenPro-Regular" w:cs="Arial"/>
                <w:szCs w:val="20"/>
              </w:rPr>
            </w:pPr>
            <w:r w:rsidRPr="00FD2EA5">
              <w:rPr>
                <w:rFonts w:eastAsia="HelenPro-Regular" w:cs="Arial"/>
                <w:szCs w:val="20"/>
              </w:rPr>
              <w:t>PTH is a single chain polypeptide of 84 amino acids produced by the parathyroid gland. Intact PTH1-84 is secreted into the blood stream and undergoes extensive proteolytic modifications. In contrast to its degradation products, the concentration of intact PTH is relatively independent of glomerular filtration rate and reflects the biologically active portion of the hormone. The primary role of PTH is to regulate the blood calcium level. PTH synthesis and secretion are stimulated within a few minutes by low concentrations of ionized calcium (Cai). The biological activity of PTH is to increase absorption of dietary calcium, decrease renal clearance and mobilize skeletal calcium stores. Abnormally high Cai concentrations suppress secretion of PTH. In conjunction with serum calcium levels, the ARCHITECT Intact PTH assay may be used as an aid in the differential diagnosis of hypercalcemia, hypocalcemia and parathyroid disorders. PTH determination is important in monitoring dialysis patients to manage renal osteodystrophy.</w:t>
            </w:r>
          </w:p>
          <w:p w:rsidR="008C6EDC" w:rsidRDefault="008C6EDC" w:rsidP="00253C63">
            <w:pPr>
              <w:pStyle w:val="Header"/>
              <w:tabs>
                <w:tab w:val="clear" w:pos="4320"/>
                <w:tab w:val="clear" w:pos="8640"/>
              </w:tabs>
              <w:jc w:val="both"/>
              <w:rPr>
                <w:rFonts w:cs="Arial"/>
                <w:szCs w:val="15"/>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8C6EDC" w:rsidRDefault="008C6EDC" w:rsidP="008C6EDC">
            <w:pPr>
              <w:pStyle w:val="Header"/>
              <w:tabs>
                <w:tab w:val="clear" w:pos="4320"/>
                <w:tab w:val="clear" w:pos="8640"/>
              </w:tabs>
              <w:spacing w:line="360" w:lineRule="auto"/>
              <w:jc w:val="both"/>
              <w:rPr>
                <w:rFonts w:cs="Arial"/>
              </w:rPr>
            </w:pPr>
            <w:r w:rsidRPr="00D05869">
              <w:rPr>
                <w:b/>
                <w:bCs/>
                <w:color w:val="5F497A"/>
              </w:rPr>
              <w:t>PRIMARY METHOD:</w:t>
            </w:r>
            <w:r w:rsidRPr="00B1018B">
              <w:rPr>
                <w:b/>
                <w:bCs/>
              </w:rPr>
              <w:t xml:space="preserve"> </w:t>
            </w:r>
            <w:r w:rsidR="00253C63">
              <w:t xml:space="preserve">Abbott Architect </w:t>
            </w:r>
            <w:r w:rsidR="00A566DF">
              <w:t>i1000SR</w:t>
            </w:r>
          </w:p>
          <w:p w:rsidR="008C6EDC" w:rsidRDefault="008C6EDC" w:rsidP="008C6EDC">
            <w:pPr>
              <w:pStyle w:val="Header"/>
              <w:tabs>
                <w:tab w:val="clear" w:pos="4320"/>
                <w:tab w:val="clear" w:pos="8640"/>
              </w:tabs>
              <w:spacing w:line="360" w:lineRule="auto"/>
              <w:jc w:val="both"/>
              <w:rPr>
                <w:rFonts w:cs="Arial"/>
              </w:rPr>
            </w:pPr>
            <w:r w:rsidRPr="00D05869">
              <w:rPr>
                <w:b/>
                <w:bCs/>
                <w:color w:val="76923C"/>
              </w:rPr>
              <w:t>SECONDARY (BACKUP) METHOD</w:t>
            </w:r>
            <w:r w:rsidRPr="00B1018B">
              <w:rPr>
                <w:b/>
                <w:bCs/>
              </w:rPr>
              <w:t xml:space="preserve">: </w:t>
            </w:r>
            <w:r w:rsidR="003571BD" w:rsidRPr="003571BD">
              <w:rPr>
                <w:bCs/>
              </w:rPr>
              <w:t xml:space="preserve">Send out to </w:t>
            </w:r>
            <w:r w:rsidR="00253C63" w:rsidRPr="003571BD">
              <w:rPr>
                <w:bCs/>
              </w:rPr>
              <w:t>Esoterix Lab</w:t>
            </w:r>
          </w:p>
          <w:p w:rsidR="008C6EDC" w:rsidRDefault="008C6EDC" w:rsidP="008C6EDC">
            <w:pPr>
              <w:pStyle w:val="Header"/>
              <w:tabs>
                <w:tab w:val="clear" w:pos="4320"/>
                <w:tab w:val="clear" w:pos="8640"/>
              </w:tabs>
              <w:jc w:val="both"/>
              <w:rPr>
                <w:rFonts w:cs="Arial"/>
                <w:szCs w:val="15"/>
              </w:rPr>
            </w:pPr>
          </w:p>
        </w:tc>
      </w:tr>
      <w:tr w:rsidR="00B816B4" w:rsidTr="00D120DB">
        <w:trPr>
          <w:trHeight w:val="697"/>
          <w:tblHeader/>
        </w:trPr>
        <w:tc>
          <w:tcPr>
            <w:tcW w:w="216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A566DF" w:rsidP="003571BD">
            <w:pPr>
              <w:rPr>
                <w:rFonts w:cs="Arial"/>
                <w:szCs w:val="15"/>
              </w:rPr>
            </w:pPr>
            <w:r>
              <w:rPr>
                <w:rFonts w:cs="Arial"/>
                <w:szCs w:val="15"/>
              </w:rPr>
              <w:t>IPTHC, PTH with Calcium</w:t>
            </w:r>
          </w:p>
          <w:p w:rsidR="00A566DF" w:rsidRDefault="00A566DF" w:rsidP="003571BD">
            <w:pPr>
              <w:rPr>
                <w:rFonts w:cs="Arial"/>
                <w:szCs w:val="15"/>
              </w:rPr>
            </w:pPr>
          </w:p>
        </w:tc>
      </w:tr>
      <w:tr w:rsidR="008C6EDC" w:rsidTr="00D120DB">
        <w:trPr>
          <w:cantSplit/>
          <w:trHeight w:val="2095"/>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8C6EDC" w:rsidRDefault="008C6EDC" w:rsidP="00FC6715">
            <w:pPr>
              <w:pStyle w:val="Header"/>
              <w:tabs>
                <w:tab w:val="clear" w:pos="4320"/>
                <w:tab w:val="clear" w:pos="8640"/>
              </w:tabs>
              <w:rPr>
                <w:rFonts w:cs="Arial"/>
              </w:rPr>
            </w:pPr>
            <w:r>
              <w:rPr>
                <w:rFonts w:cs="Arial"/>
              </w:rPr>
              <w:t>Plasma (</w:t>
            </w:r>
            <w:r w:rsidR="00FC6715">
              <w:rPr>
                <w:rFonts w:cs="Arial"/>
              </w:rPr>
              <w:t>Potassium EDTA</w:t>
            </w:r>
            <w:r w:rsidR="000625DB">
              <w:rPr>
                <w:rFonts w:cs="Arial"/>
              </w:rPr>
              <w:t>)</w:t>
            </w:r>
            <w:r w:rsidR="00FC6715">
              <w:rPr>
                <w:rFonts w:cs="Arial"/>
              </w:rPr>
              <w:t xml:space="preserve">, Lithium Heparin (no gel) for </w:t>
            </w:r>
            <w:r w:rsidR="00F814F1">
              <w:rPr>
                <w:rFonts w:cs="Arial"/>
              </w:rPr>
              <w:t>intraoperative</w:t>
            </w:r>
            <w:r w:rsidR="00FC6715">
              <w:rPr>
                <w:rFonts w:cs="Arial"/>
              </w:rPr>
              <w:t xml:space="preserve"> PTH specimens</w:t>
            </w:r>
            <w:r>
              <w:rPr>
                <w:rFonts w:cs="Arial"/>
              </w:rPr>
              <w:t xml:space="preserve">. </w:t>
            </w:r>
            <w:r w:rsidR="00253C63">
              <w:rPr>
                <w:rFonts w:cs="Arial"/>
              </w:rPr>
              <w:t>Refer to specimen collection procedures.</w:t>
            </w:r>
          </w:p>
          <w:p w:rsidR="008C6EDC" w:rsidRDefault="008C6EDC" w:rsidP="00FC6715">
            <w:pPr>
              <w:rPr>
                <w:rFonts w:cs="Arial"/>
              </w:rPr>
            </w:pPr>
          </w:p>
          <w:p w:rsidR="008C6EDC" w:rsidRDefault="008C6EDC" w:rsidP="00FC6715">
            <w:pPr>
              <w:pStyle w:val="Header"/>
              <w:tabs>
                <w:tab w:val="clear" w:pos="4320"/>
                <w:tab w:val="clear" w:pos="8640"/>
              </w:tabs>
              <w:rPr>
                <w:rFonts w:cs="Arial"/>
              </w:rPr>
            </w:pPr>
            <w:r>
              <w:rPr>
                <w:rFonts w:cs="Arial"/>
                <w:b/>
                <w:bCs/>
              </w:rPr>
              <w:t>Minimum volume:</w:t>
            </w:r>
            <w:r>
              <w:rPr>
                <w:rFonts w:cs="Arial"/>
              </w:rPr>
              <w:t xml:space="preserve"> </w:t>
            </w:r>
            <w:r w:rsidRPr="009F5F31">
              <w:rPr>
                <w:rFonts w:cs="Arial"/>
                <w:szCs w:val="20"/>
              </w:rPr>
              <w:t xml:space="preserve">200 µL </w:t>
            </w:r>
            <w:r w:rsidR="00FC6715">
              <w:rPr>
                <w:rFonts w:cs="Arial"/>
                <w:szCs w:val="20"/>
              </w:rPr>
              <w:t>of potassium EDTA plasma, 100</w:t>
            </w:r>
            <w:r w:rsidR="00FC6715" w:rsidRPr="009F5F31">
              <w:rPr>
                <w:rFonts w:cs="Arial"/>
                <w:szCs w:val="20"/>
              </w:rPr>
              <w:t xml:space="preserve"> µL</w:t>
            </w:r>
            <w:r w:rsidR="00FC6715">
              <w:rPr>
                <w:rFonts w:cs="Arial"/>
                <w:szCs w:val="20"/>
              </w:rPr>
              <w:t xml:space="preserve"> of lithium </w:t>
            </w:r>
            <w:r w:rsidR="00F814F1">
              <w:rPr>
                <w:rFonts w:cs="Arial"/>
                <w:szCs w:val="20"/>
              </w:rPr>
              <w:t>heparin</w:t>
            </w:r>
            <w:r w:rsidR="00FC6715">
              <w:rPr>
                <w:rFonts w:cs="Arial"/>
                <w:szCs w:val="20"/>
              </w:rPr>
              <w:t xml:space="preserve"> </w:t>
            </w:r>
            <w:r w:rsidR="00F814F1">
              <w:rPr>
                <w:rFonts w:cs="Arial"/>
                <w:szCs w:val="20"/>
              </w:rPr>
              <w:t>plasma</w:t>
            </w:r>
            <w:r w:rsidR="00FC6715">
              <w:rPr>
                <w:rFonts w:cs="Arial"/>
                <w:szCs w:val="20"/>
              </w:rPr>
              <w:t xml:space="preserve"> for Ca</w:t>
            </w:r>
          </w:p>
          <w:p w:rsidR="008C6EDC" w:rsidRDefault="008C6EDC" w:rsidP="00FC6715">
            <w:pPr>
              <w:rPr>
                <w:rFonts w:cs="Arial"/>
              </w:rPr>
            </w:pPr>
          </w:p>
          <w:p w:rsidR="008C6EDC" w:rsidRDefault="008C6EDC" w:rsidP="00FC6715">
            <w:pPr>
              <w:pStyle w:val="Header"/>
              <w:tabs>
                <w:tab w:val="clear" w:pos="4320"/>
                <w:tab w:val="clear" w:pos="8640"/>
              </w:tabs>
              <w:rPr>
                <w:rFonts w:cs="Arial"/>
              </w:rPr>
            </w:pPr>
            <w:r>
              <w:rPr>
                <w:rFonts w:cs="Arial"/>
                <w:b/>
                <w:bCs/>
              </w:rPr>
              <w:t>Stability:</w:t>
            </w:r>
            <w:r>
              <w:rPr>
                <w:rFonts w:cs="Arial"/>
              </w:rPr>
              <w:t xml:space="preserve"> 2-8 </w:t>
            </w:r>
            <w:r>
              <w:rPr>
                <w:rFonts w:cs="Arial"/>
              </w:rPr>
              <w:sym w:font="Symbol" w:char="F0B0"/>
            </w:r>
            <w:r w:rsidR="00253C63">
              <w:rPr>
                <w:rFonts w:cs="Arial"/>
              </w:rPr>
              <w:t>C / ≤</w:t>
            </w:r>
            <w:r w:rsidR="00F814F1">
              <w:rPr>
                <w:rFonts w:cs="Arial"/>
              </w:rPr>
              <w:t>2 days</w:t>
            </w:r>
            <w:r>
              <w:rPr>
                <w:rFonts w:cs="Arial"/>
              </w:rPr>
              <w:t>, &lt; -20</w:t>
            </w:r>
            <w:r>
              <w:rPr>
                <w:rFonts w:cs="Arial"/>
              </w:rPr>
              <w:sym w:font="Symbol" w:char="F0B0"/>
            </w:r>
            <w:r w:rsidR="00253C63">
              <w:rPr>
                <w:rFonts w:cs="Arial"/>
              </w:rPr>
              <w:t xml:space="preserve">C / 6 </w:t>
            </w:r>
            <w:r>
              <w:rPr>
                <w:rFonts w:cs="Arial"/>
              </w:rPr>
              <w:t>month</w:t>
            </w:r>
            <w:r w:rsidR="00253C63">
              <w:rPr>
                <w:rFonts w:cs="Arial"/>
              </w:rPr>
              <w:t>s</w:t>
            </w:r>
            <w:r>
              <w:rPr>
                <w:rFonts w:cs="Arial"/>
              </w:rPr>
              <w:t xml:space="preserve"> (centrifuge thawed samples prior to use). Avoid </w:t>
            </w:r>
            <w:r w:rsidR="00253C63">
              <w:rPr>
                <w:rFonts w:cs="Arial"/>
              </w:rPr>
              <w:t xml:space="preserve">more than 5 </w:t>
            </w:r>
            <w:r>
              <w:rPr>
                <w:rFonts w:cs="Arial"/>
              </w:rPr>
              <w:t>freeze thaw cycles.</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Unlabeled tube, other than </w:t>
            </w:r>
            <w:r w:rsidR="00FC6715">
              <w:rPr>
                <w:rFonts w:cs="Arial"/>
              </w:rPr>
              <w:t xml:space="preserve">potassium EDTA for Intact PTH.  </w:t>
            </w:r>
            <w:r w:rsidR="00FC6715">
              <w:rPr>
                <w:rFonts w:eastAsia="HelenPro-Regular"/>
              </w:rPr>
              <w:t>G</w:t>
            </w:r>
            <w:r w:rsidR="00FC6715" w:rsidRPr="00DB0E90">
              <w:rPr>
                <w:rFonts w:eastAsia="HelenPro-Regular"/>
              </w:rPr>
              <w:t>rossly hemolyzed (&gt; 500 mg/dL)</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9F5F31" w:rsidRDefault="008C6EDC" w:rsidP="00FC6715">
            <w:pPr>
              <w:numPr>
                <w:ilvl w:val="0"/>
                <w:numId w:val="14"/>
              </w:numPr>
              <w:rPr>
                <w:rFonts w:cs="Arial"/>
                <w:szCs w:val="20"/>
              </w:rPr>
            </w:pPr>
            <w:r w:rsidRPr="009F5F31">
              <w:rPr>
                <w:rFonts w:cs="Arial"/>
                <w:szCs w:val="20"/>
              </w:rPr>
              <w:t>Whole blood specimens should be centrifuged following complete clot formation, according to Specimen Processing procedures prior to analysis.</w:t>
            </w:r>
          </w:p>
          <w:p w:rsidR="008C6EDC" w:rsidRDefault="008C6EDC" w:rsidP="00FC6715">
            <w:pPr>
              <w:numPr>
                <w:ilvl w:val="0"/>
                <w:numId w:val="14"/>
              </w:numPr>
              <w:autoSpaceDE w:val="0"/>
              <w:autoSpaceDN w:val="0"/>
              <w:adjustRightInd w:val="0"/>
              <w:rPr>
                <w:rFonts w:cs="Arial"/>
                <w:szCs w:val="20"/>
              </w:rPr>
            </w:pPr>
            <w:r w:rsidRPr="009F5F31">
              <w:rPr>
                <w:rFonts w:cs="Arial"/>
                <w:szCs w:val="20"/>
              </w:rPr>
              <w:t>Serum or plasma should be physically separated from cells as soon as possible with a maximum limit of two hours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8C6EDC" w:rsidRDefault="008C6EDC" w:rsidP="00FC6715">
            <w:pPr>
              <w:autoSpaceDE w:val="0"/>
              <w:autoSpaceDN w:val="0"/>
              <w:adjustRightInd w:val="0"/>
              <w:rPr>
                <w:rFonts w:cs="Arial"/>
              </w:rPr>
            </w:pPr>
          </w:p>
        </w:tc>
      </w:tr>
      <w:tr w:rsidR="00B816B4" w:rsidTr="00D120DB">
        <w:trPr>
          <w:trHeight w:val="5417"/>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DF4638">
            <w:pPr>
              <w:rPr>
                <w:rFonts w:cs="Arial"/>
                <w:b/>
                <w:bCs/>
                <w:color w:val="0000FF"/>
              </w:rPr>
            </w:pPr>
            <w:r>
              <w:rPr>
                <w:rFonts w:cs="Arial"/>
                <w:b/>
                <w:bCs/>
                <w:color w:val="0000FF"/>
              </w:rPr>
              <w:t>r</w:t>
            </w:r>
          </w:p>
        </w:tc>
        <w:tc>
          <w:tcPr>
            <w:tcW w:w="891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F814F1" w:rsidP="008C6EDC">
                  <w:pPr>
                    <w:autoSpaceDE w:val="0"/>
                    <w:autoSpaceDN w:val="0"/>
                    <w:adjustRightInd w:val="0"/>
                    <w:rPr>
                      <w:rFonts w:cs="Arial"/>
                      <w:szCs w:val="20"/>
                    </w:rPr>
                  </w:pPr>
                  <w:r>
                    <w:rPr>
                      <w:rFonts w:cs="Arial"/>
                      <w:szCs w:val="20"/>
                    </w:rPr>
                    <w:t>Intact</w:t>
                  </w:r>
                  <w:r w:rsidR="002265E2">
                    <w:rPr>
                      <w:rFonts w:cs="Arial"/>
                      <w:szCs w:val="20"/>
                    </w:rPr>
                    <w:t xml:space="preserve"> PTH Reagent</w:t>
                  </w: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2265E2" w:rsidP="008C6EDC">
                  <w:pPr>
                    <w:pStyle w:val="BodyText"/>
                    <w:tabs>
                      <w:tab w:val="left" w:pos="3240"/>
                    </w:tabs>
                    <w:rPr>
                      <w:rFonts w:cs="Arial"/>
                      <w:szCs w:val="20"/>
                    </w:rPr>
                  </w:pPr>
                  <w:r>
                    <w:rPr>
                      <w:rFonts w:cs="Arial"/>
                      <w:szCs w:val="20"/>
                    </w:rPr>
                    <w:t>8K25</w:t>
                  </w:r>
                </w:p>
              </w:tc>
              <w:tc>
                <w:tcPr>
                  <w:tcW w:w="4140" w:type="dxa"/>
                  <w:vAlign w:val="center"/>
                </w:tcPr>
                <w:p w:rsidR="00B816B4" w:rsidRPr="00214007" w:rsidRDefault="00B816B4" w:rsidP="002265E2">
                  <w:pPr>
                    <w:pStyle w:val="Reagents"/>
                    <w:spacing w:after="80"/>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2265E2">
                  <w:pPr>
                    <w:pStyle w:val="Reagents"/>
                    <w:spacing w:after="80"/>
                    <w:rPr>
                      <w:rFonts w:ascii="Arial" w:hAnsi="Arial" w:cs="Arial"/>
                      <w:bCs/>
                    </w:rPr>
                  </w:pPr>
                  <w:r w:rsidRPr="00214007">
                    <w:rPr>
                      <w:rFonts w:ascii="Arial" w:hAnsi="Arial" w:cs="Arial"/>
                      <w:b/>
                      <w:bCs/>
                    </w:rPr>
                    <w:t>Unopened</w:t>
                  </w:r>
                  <w:r w:rsidR="002265E2">
                    <w:rPr>
                      <w:rFonts w:ascii="Arial" w:hAnsi="Arial" w:cs="Arial"/>
                      <w:b/>
                      <w:bCs/>
                    </w:rPr>
                    <w:t>/Opened</w:t>
                  </w:r>
                  <w:r w:rsidRPr="00214007">
                    <w:rPr>
                      <w:rFonts w:ascii="Arial" w:hAnsi="Arial" w:cs="Arial"/>
                      <w:b/>
                      <w:bCs/>
                    </w:rPr>
                    <w:t>:</w:t>
                  </w:r>
                  <w:r w:rsidR="002265E2">
                    <w:rPr>
                      <w:rFonts w:ascii="Arial" w:hAnsi="Arial" w:cs="Arial"/>
                      <w:b/>
                      <w:bCs/>
                    </w:rPr>
                    <w:t xml:space="preserve"> </w:t>
                  </w:r>
                  <w:r w:rsidR="002265E2">
                    <w:rPr>
                      <w:rFonts w:ascii="Arial" w:hAnsi="Arial" w:cs="Arial"/>
                      <w:bCs/>
                    </w:rPr>
                    <w:t>Manufacture expiration date</w:t>
                  </w:r>
                  <w:r w:rsidRPr="00214007">
                    <w:rPr>
                      <w:rFonts w:ascii="Arial" w:hAnsi="Arial" w:cs="Arial"/>
                      <w:bCs/>
                    </w:rPr>
                    <w:t>.</w:t>
                  </w:r>
                </w:p>
                <w:p w:rsidR="00B816B4" w:rsidRPr="00214007" w:rsidRDefault="00B816B4" w:rsidP="002265E2">
                  <w:pPr>
                    <w:autoSpaceDE w:val="0"/>
                    <w:autoSpaceDN w:val="0"/>
                    <w:adjustRightInd w:val="0"/>
                    <w:spacing w:after="80"/>
                    <w:rPr>
                      <w:rFonts w:cs="Arial"/>
                      <w:szCs w:val="20"/>
                    </w:rPr>
                  </w:pPr>
                  <w:r w:rsidRPr="00214007">
                    <w:rPr>
                      <w:rFonts w:cs="Arial"/>
                      <w:b/>
                      <w:bCs/>
                      <w:szCs w:val="20"/>
                    </w:rPr>
                    <w:t xml:space="preserve">On-board: </w:t>
                  </w:r>
                  <w:r w:rsidR="002265E2">
                    <w:rPr>
                      <w:rFonts w:cs="Arial"/>
                      <w:szCs w:val="20"/>
                    </w:rPr>
                    <w:t>30 Days</w:t>
                  </w:r>
                </w:p>
              </w:tc>
            </w:tr>
            <w:tr w:rsidR="00B816B4" w:rsidRPr="007B2A3E">
              <w:trPr>
                <w:gridAfter w:val="1"/>
                <w:wAfter w:w="393" w:type="dxa"/>
              </w:trPr>
              <w:tc>
                <w:tcPr>
                  <w:tcW w:w="2857" w:type="dxa"/>
                </w:tcPr>
                <w:p w:rsidR="00B816B4" w:rsidRPr="006A36C8" w:rsidRDefault="002265E2" w:rsidP="008C6EDC">
                  <w:pPr>
                    <w:pStyle w:val="BodyText"/>
                    <w:rPr>
                      <w:rFonts w:cs="Arial"/>
                      <w:szCs w:val="20"/>
                    </w:rPr>
                  </w:pPr>
                  <w:r>
                    <w:rPr>
                      <w:rFonts w:cs="Arial"/>
                      <w:szCs w:val="20"/>
                    </w:rPr>
                    <w:t>Intact PTH Calibrator</w:t>
                  </w:r>
                </w:p>
              </w:tc>
              <w:tc>
                <w:tcPr>
                  <w:tcW w:w="1710" w:type="dxa"/>
                </w:tcPr>
                <w:p w:rsidR="00B816B4" w:rsidRPr="006A36C8" w:rsidRDefault="002265E2" w:rsidP="008C6EDC">
                  <w:pPr>
                    <w:pStyle w:val="BodyText"/>
                    <w:rPr>
                      <w:rFonts w:cs="Arial"/>
                      <w:szCs w:val="20"/>
                    </w:rPr>
                  </w:pPr>
                  <w:r>
                    <w:rPr>
                      <w:rFonts w:cs="Arial"/>
                      <w:szCs w:val="20"/>
                    </w:rPr>
                    <w:t>8K25-01</w:t>
                  </w:r>
                </w:p>
              </w:tc>
              <w:tc>
                <w:tcPr>
                  <w:tcW w:w="4140" w:type="dxa"/>
                  <w:vAlign w:val="center"/>
                </w:tcPr>
                <w:p w:rsidR="00B816B4" w:rsidRDefault="00260A50" w:rsidP="008C6EDC">
                  <w:pPr>
                    <w:pStyle w:val="BodyText"/>
                    <w:spacing w:after="80"/>
                    <w:jc w:val="both"/>
                    <w:rPr>
                      <w:rFonts w:cs="Arial"/>
                      <w:bCs/>
                    </w:rPr>
                  </w:pPr>
                  <w:r>
                    <w:rPr>
                      <w:rFonts w:cs="Arial"/>
                      <w:b/>
                      <w:szCs w:val="20"/>
                    </w:rPr>
                    <w:t xml:space="preserve">Store at: </w:t>
                  </w:r>
                  <w:r>
                    <w:rPr>
                      <w:rFonts w:cs="Arial"/>
                      <w:szCs w:val="20"/>
                    </w:rPr>
                    <w:t xml:space="preserve"> &lt;-20</w:t>
                  </w:r>
                  <w:r w:rsidRPr="00214007">
                    <w:rPr>
                      <w:rFonts w:cs="Arial"/>
                      <w:bCs/>
                    </w:rPr>
                    <w:t>°C</w:t>
                  </w:r>
                </w:p>
                <w:p w:rsidR="00260A50" w:rsidRDefault="00260A50" w:rsidP="008C6EDC">
                  <w:pPr>
                    <w:pStyle w:val="BodyText"/>
                    <w:spacing w:after="80"/>
                    <w:jc w:val="both"/>
                    <w:rPr>
                      <w:rFonts w:cs="Arial"/>
                      <w:bCs/>
                    </w:rPr>
                  </w:pPr>
                  <w:r w:rsidRPr="00260A50">
                    <w:rPr>
                      <w:rFonts w:cs="Arial"/>
                      <w:b/>
                      <w:bCs/>
                    </w:rPr>
                    <w:t>To Use</w:t>
                  </w:r>
                  <w:r>
                    <w:rPr>
                      <w:rFonts w:cs="Arial"/>
                      <w:bCs/>
                    </w:rPr>
                    <w:t>: Thaw completely at Room Temp</w:t>
                  </w:r>
                </w:p>
                <w:p w:rsidR="00260A50" w:rsidRDefault="00260A50" w:rsidP="008C6EDC">
                  <w:pPr>
                    <w:pStyle w:val="BodyText"/>
                    <w:spacing w:after="80"/>
                    <w:jc w:val="both"/>
                    <w:rPr>
                      <w:rFonts w:cs="Arial"/>
                      <w:bCs/>
                    </w:rPr>
                  </w:pPr>
                  <w:r w:rsidRPr="00260A50">
                    <w:rPr>
                      <w:rFonts w:cs="Arial"/>
                      <w:b/>
                      <w:bCs/>
                    </w:rPr>
                    <w:t>Unopened</w:t>
                  </w:r>
                  <w:r>
                    <w:rPr>
                      <w:rFonts w:cs="Arial"/>
                      <w:bCs/>
                    </w:rPr>
                    <w:t>: Manufacture espiration date.</w:t>
                  </w:r>
                </w:p>
                <w:p w:rsidR="00260A50" w:rsidRPr="00260A50" w:rsidRDefault="00260A50" w:rsidP="008C6EDC">
                  <w:pPr>
                    <w:pStyle w:val="BodyText"/>
                    <w:spacing w:after="80"/>
                    <w:jc w:val="both"/>
                    <w:rPr>
                      <w:rFonts w:cs="Arial"/>
                      <w:szCs w:val="20"/>
                    </w:rPr>
                  </w:pPr>
                  <w:r w:rsidRPr="00260A50">
                    <w:rPr>
                      <w:rFonts w:cs="Arial"/>
                      <w:b/>
                      <w:bCs/>
                    </w:rPr>
                    <w:t>Opened</w:t>
                  </w:r>
                  <w:r>
                    <w:rPr>
                      <w:rFonts w:cs="Arial"/>
                      <w:bCs/>
                    </w:rPr>
                    <w:t xml:space="preserve">: Store at </w:t>
                  </w:r>
                  <w:r w:rsidRPr="00214007">
                    <w:rPr>
                      <w:rFonts w:cs="Arial"/>
                      <w:bCs/>
                    </w:rPr>
                    <w:t>2 – 8 °C</w:t>
                  </w:r>
                  <w:r>
                    <w:rPr>
                      <w:rFonts w:cs="Arial"/>
                      <w:bCs/>
                    </w:rPr>
                    <w:t xml:space="preserve"> and store for 30 days.</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Multiasay Diluent</w:t>
                  </w:r>
                </w:p>
              </w:tc>
              <w:tc>
                <w:tcPr>
                  <w:tcW w:w="1710" w:type="dxa"/>
                </w:tcPr>
                <w:p w:rsidR="002265E2" w:rsidRDefault="002265E2" w:rsidP="008C6EDC">
                  <w:pPr>
                    <w:pStyle w:val="BodyText"/>
                    <w:rPr>
                      <w:rFonts w:cs="Arial"/>
                      <w:szCs w:val="20"/>
                    </w:rPr>
                  </w:pPr>
                  <w:r w:rsidRPr="00DB0E90">
                    <w:rPr>
                      <w:rFonts w:eastAsia="HelenPro-Regular"/>
                    </w:rPr>
                    <w:t>7D82-50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Pre-Trigger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06E23-65</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Trigger Solution</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06C55-60</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2265E2" w:rsidP="008C6EDC">
                  <w:pPr>
                    <w:pStyle w:val="BodyText"/>
                    <w:rPr>
                      <w:rFonts w:cs="Arial"/>
                      <w:szCs w:val="20"/>
                    </w:rPr>
                  </w:pPr>
                  <w:r>
                    <w:rPr>
                      <w:rFonts w:cs="Arial"/>
                      <w:szCs w:val="20"/>
                    </w:rPr>
                    <w:t>Wash Buffer</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06C54-58</w:t>
                  </w:r>
                </w:p>
              </w:tc>
              <w:tc>
                <w:tcPr>
                  <w:tcW w:w="4140" w:type="dxa"/>
                  <w:vAlign w:val="center"/>
                </w:tcPr>
                <w:p w:rsidR="002265E2" w:rsidRPr="007B2A3E" w:rsidRDefault="00E2166F" w:rsidP="008C6EDC">
                  <w:pPr>
                    <w:pStyle w:val="BodyText"/>
                    <w:spacing w:after="80"/>
                    <w:jc w:val="both"/>
                    <w:rPr>
                      <w:rFonts w:cs="Arial"/>
                      <w:szCs w:val="20"/>
                    </w:rPr>
                  </w:pPr>
                  <w:r>
                    <w:rPr>
                      <w:rFonts w:cs="Arial"/>
                      <w:szCs w:val="20"/>
                    </w:rPr>
                    <w:t>Refer to Supply Status on Analyzer</w:t>
                  </w:r>
                </w:p>
              </w:tc>
            </w:tr>
            <w:tr w:rsidR="002265E2" w:rsidRPr="007B2A3E">
              <w:trPr>
                <w:gridAfter w:val="1"/>
                <w:wAfter w:w="393" w:type="dxa"/>
              </w:trPr>
              <w:tc>
                <w:tcPr>
                  <w:tcW w:w="2857" w:type="dxa"/>
                </w:tcPr>
                <w:p w:rsidR="002265E2" w:rsidRDefault="00F814F1" w:rsidP="008C6EDC">
                  <w:pPr>
                    <w:pStyle w:val="BodyText"/>
                    <w:rPr>
                      <w:rFonts w:cs="Arial"/>
                      <w:szCs w:val="20"/>
                    </w:rPr>
                  </w:pPr>
                  <w:r>
                    <w:rPr>
                      <w:rFonts w:cs="Arial"/>
                      <w:szCs w:val="20"/>
                    </w:rPr>
                    <w:t>Reaction Vessels</w:t>
                  </w:r>
                  <w:r w:rsidR="002265E2">
                    <w:rPr>
                      <w:rFonts w:cs="Arial"/>
                      <w:szCs w:val="20"/>
                    </w:rPr>
                    <w:t xml:space="preserve"> </w:t>
                  </w:r>
                </w:p>
              </w:tc>
              <w:tc>
                <w:tcPr>
                  <w:tcW w:w="1710" w:type="dxa"/>
                </w:tcPr>
                <w:p w:rsidR="002265E2" w:rsidRPr="00DE32D9" w:rsidRDefault="00DE32D9" w:rsidP="008C6EDC">
                  <w:pPr>
                    <w:pStyle w:val="BodyText"/>
                    <w:rPr>
                      <w:rFonts w:cs="Arial"/>
                      <w:szCs w:val="20"/>
                    </w:rPr>
                  </w:pPr>
                  <w:r w:rsidRPr="00DE32D9">
                    <w:rPr>
                      <w:rFonts w:eastAsia="HelenPro-Regular" w:cs="Arial"/>
                      <w:szCs w:val="20"/>
                    </w:rPr>
                    <w:t>07C15 (-02 or -03)</w:t>
                  </w:r>
                </w:p>
              </w:tc>
              <w:tc>
                <w:tcPr>
                  <w:tcW w:w="4140" w:type="dxa"/>
                  <w:vAlign w:val="center"/>
                </w:tcPr>
                <w:p w:rsidR="002265E2" w:rsidRPr="007B2A3E" w:rsidRDefault="002265E2" w:rsidP="008C6EDC">
                  <w:pPr>
                    <w:pStyle w:val="BodyText"/>
                    <w:spacing w:after="80"/>
                    <w:jc w:val="both"/>
                    <w:rPr>
                      <w:rFonts w:cs="Arial"/>
                      <w:szCs w:val="20"/>
                    </w:rPr>
                  </w:pPr>
                  <w:r>
                    <w:rPr>
                      <w:rFonts w:cs="Arial"/>
                      <w:szCs w:val="20"/>
                    </w:rPr>
                    <w:t>N/A</w:t>
                  </w:r>
                </w:p>
              </w:tc>
            </w:tr>
          </w:tbl>
          <w:p w:rsidR="00B816B4" w:rsidRDefault="00B816B4" w:rsidP="008C6EDC">
            <w:pPr>
              <w:pStyle w:val="Header"/>
              <w:tabs>
                <w:tab w:val="clear" w:pos="4320"/>
                <w:tab w:val="clear" w:pos="8640"/>
              </w:tabs>
              <w:rPr>
                <w:rFonts w:cs="Arial"/>
              </w:rPr>
            </w:pPr>
          </w:p>
        </w:tc>
      </w:tr>
      <w:tr w:rsidR="008C6EDC" w:rsidTr="00D120DB">
        <w:trPr>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8C6EDC" w:rsidRPr="00A072CE" w:rsidRDefault="00A072CE" w:rsidP="00A072CE">
            <w:pPr>
              <w:autoSpaceDE w:val="0"/>
              <w:autoSpaceDN w:val="0"/>
              <w:adjustRightInd w:val="0"/>
              <w:rPr>
                <w:rFonts w:eastAsia="HelenPro-Regular" w:cs="Arial"/>
                <w:szCs w:val="20"/>
              </w:rPr>
            </w:pPr>
            <w:r w:rsidRPr="00A072CE">
              <w:rPr>
                <w:rFonts w:eastAsia="HelenPro-Regular" w:cs="Arial"/>
                <w:szCs w:val="20"/>
              </w:rPr>
              <w:t>Contains polyethylene glycol octylphenyl</w:t>
            </w:r>
            <w:r>
              <w:rPr>
                <w:rFonts w:eastAsia="HelenPro-Regular" w:cs="Arial"/>
                <w:szCs w:val="20"/>
              </w:rPr>
              <w:t xml:space="preserve"> </w:t>
            </w:r>
            <w:r w:rsidRPr="00A072CE">
              <w:rPr>
                <w:rFonts w:eastAsia="HelenPro-Regular" w:cs="Arial"/>
                <w:szCs w:val="20"/>
              </w:rPr>
              <w:t>ether and sodium azide</w:t>
            </w:r>
            <w:r>
              <w:rPr>
                <w:rFonts w:ascii="HelenPro-Regular" w:eastAsia="HelenPro-Regular" w:hAnsi="Times New Roman" w:cs="HelenPro-Regular"/>
                <w:sz w:val="17"/>
                <w:szCs w:val="17"/>
              </w:rPr>
              <w:t>.</w:t>
            </w:r>
            <w:r w:rsidR="008C6EDC" w:rsidRPr="005516E7">
              <w:rPr>
                <w:rFonts w:cs="Arial"/>
                <w:szCs w:val="20"/>
              </w:rPr>
              <w:t>Avoid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Pr>
                <w:rFonts w:eastAsia="HelenPro-Regular" w:cs="Arial"/>
                <w:szCs w:val="20"/>
              </w:rPr>
              <w:t xml:space="preserve">  Dispose of in appropriate Hazardous Waste Container.</w:t>
            </w:r>
          </w:p>
        </w:tc>
      </w:tr>
      <w:tr w:rsidR="00B816B4" w:rsidTr="00D120DB">
        <w:trPr>
          <w:trHeight w:val="5520"/>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1F2FF6" w:rsidP="008C6EDC">
                  <w:pPr>
                    <w:pStyle w:val="CalVerTable"/>
                    <w:ind w:left="0" w:firstLine="0"/>
                    <w:jc w:val="both"/>
                    <w:rPr>
                      <w:rFonts w:ascii="Arial" w:hAnsi="Arial" w:cs="Arial"/>
                    </w:rPr>
                  </w:pPr>
                  <w:r>
                    <w:rPr>
                      <w:rFonts w:ascii="Arial" w:eastAsia="HelenPro-Regular" w:hAnsi="Arial" w:cs="Arial"/>
                    </w:rPr>
                    <w:t>4</w:t>
                  </w:r>
                  <w:r w:rsidR="00FC6715" w:rsidRPr="00FC6715">
                    <w:rPr>
                      <w:rFonts w:ascii="Arial" w:eastAsia="HelenPro-Regular" w:hAnsi="Arial" w:cs="Arial"/>
                    </w:rPr>
                    <w:t>.0 – 2500.0 pg/mL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FC6715" w:rsidP="008C6EDC">
                  <w:pPr>
                    <w:pStyle w:val="CalVerTable"/>
                    <w:ind w:left="0" w:firstLine="0"/>
                    <w:jc w:val="both"/>
                    <w:rPr>
                      <w:rFonts w:ascii="Arial" w:hAnsi="Arial" w:cs="Arial"/>
                    </w:rPr>
                  </w:pPr>
                  <w:r>
                    <w:rPr>
                      <w:rFonts w:ascii="Arial" w:hAnsi="Arial" w:cs="Arial"/>
                    </w:rPr>
                    <w:t>Intact PTH Calibrator 8K25-01</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260A50">
                    <w:rPr>
                      <w:rFonts w:ascii="Arial" w:hAnsi="Arial" w:cs="Arial"/>
                    </w:rPr>
                    <w:t xml:space="preserve"> – 0.0 pg/mL</w:t>
                  </w:r>
                </w:p>
                <w:p w:rsidR="00260A50" w:rsidRDefault="00FC6715" w:rsidP="008C6EDC">
                  <w:pPr>
                    <w:pStyle w:val="CalVerTable"/>
                    <w:ind w:left="0" w:firstLine="0"/>
                    <w:jc w:val="both"/>
                    <w:rPr>
                      <w:rFonts w:ascii="Arial" w:hAnsi="Arial" w:cs="Arial"/>
                    </w:rPr>
                  </w:pPr>
                  <w:r>
                    <w:rPr>
                      <w:rFonts w:ascii="Arial" w:hAnsi="Arial" w:cs="Arial"/>
                    </w:rPr>
                    <w:t>B</w:t>
                  </w:r>
                  <w:r w:rsidR="00260A50">
                    <w:rPr>
                      <w:rFonts w:ascii="Arial" w:hAnsi="Arial" w:cs="Arial"/>
                    </w:rPr>
                    <w:t xml:space="preserve"> – 4.8 pg/mL</w:t>
                  </w:r>
                </w:p>
                <w:p w:rsidR="00FC6715" w:rsidRDefault="00FC6715" w:rsidP="008C6EDC">
                  <w:pPr>
                    <w:pStyle w:val="CalVerTable"/>
                    <w:ind w:left="0" w:firstLine="0"/>
                    <w:jc w:val="both"/>
                    <w:rPr>
                      <w:rFonts w:ascii="Arial" w:hAnsi="Arial" w:cs="Arial"/>
                    </w:rPr>
                  </w:pPr>
                  <w:r>
                    <w:rPr>
                      <w:rFonts w:ascii="Arial" w:hAnsi="Arial" w:cs="Arial"/>
                    </w:rPr>
                    <w:t>C</w:t>
                  </w:r>
                  <w:r w:rsidR="00260A50">
                    <w:rPr>
                      <w:rFonts w:ascii="Arial" w:hAnsi="Arial" w:cs="Arial"/>
                    </w:rPr>
                    <w:t xml:space="preserve"> – 24.0 pg/mL</w:t>
                  </w:r>
                </w:p>
                <w:p w:rsidR="00FC6715" w:rsidRDefault="00FC6715" w:rsidP="008C6EDC">
                  <w:pPr>
                    <w:pStyle w:val="CalVerTable"/>
                    <w:ind w:left="0" w:firstLine="0"/>
                    <w:jc w:val="both"/>
                    <w:rPr>
                      <w:rFonts w:ascii="Arial" w:hAnsi="Arial" w:cs="Arial"/>
                    </w:rPr>
                  </w:pPr>
                  <w:r>
                    <w:rPr>
                      <w:rFonts w:ascii="Arial" w:hAnsi="Arial" w:cs="Arial"/>
                    </w:rPr>
                    <w:t>D</w:t>
                  </w:r>
                  <w:r w:rsidR="00260A50">
                    <w:rPr>
                      <w:rFonts w:ascii="Arial" w:hAnsi="Arial" w:cs="Arial"/>
                    </w:rPr>
                    <w:t xml:space="preserve"> – 120.0 pg/mL</w:t>
                  </w:r>
                </w:p>
                <w:p w:rsidR="00FC6715" w:rsidRDefault="00FC6715" w:rsidP="008C6EDC">
                  <w:pPr>
                    <w:pStyle w:val="CalVerTable"/>
                    <w:ind w:left="0" w:firstLine="0"/>
                    <w:jc w:val="both"/>
                    <w:rPr>
                      <w:rFonts w:ascii="Arial" w:hAnsi="Arial" w:cs="Arial"/>
                    </w:rPr>
                  </w:pPr>
                  <w:r>
                    <w:rPr>
                      <w:rFonts w:ascii="Arial" w:hAnsi="Arial" w:cs="Arial"/>
                    </w:rPr>
                    <w:t>E</w:t>
                  </w:r>
                  <w:r w:rsidR="00260A50">
                    <w:rPr>
                      <w:rFonts w:ascii="Arial" w:hAnsi="Arial" w:cs="Arial"/>
                    </w:rPr>
                    <w:t xml:space="preserve"> – 600.0 pg/mL</w:t>
                  </w:r>
                </w:p>
                <w:p w:rsidR="00260A50" w:rsidRPr="00E14C48" w:rsidRDefault="00FC6715" w:rsidP="008C6EDC">
                  <w:pPr>
                    <w:pStyle w:val="CalVerTable"/>
                    <w:ind w:left="0" w:firstLine="0"/>
                    <w:jc w:val="both"/>
                    <w:rPr>
                      <w:rFonts w:ascii="Arial" w:hAnsi="Arial" w:cs="Arial"/>
                    </w:rPr>
                  </w:pPr>
                  <w:r>
                    <w:rPr>
                      <w:rFonts w:ascii="Arial" w:hAnsi="Arial" w:cs="Arial"/>
                    </w:rPr>
                    <w:t>F</w:t>
                  </w:r>
                  <w:r w:rsidR="00260A50">
                    <w:rPr>
                      <w:rFonts w:ascii="Arial" w:hAnsi="Arial" w:cs="Arial"/>
                    </w:rPr>
                    <w:t xml:space="preserve"> – 3000 pg/mL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n=6</w:t>
                  </w:r>
                </w:p>
              </w:tc>
            </w:tr>
            <w:tr w:rsidR="00B816B4" w:rsidTr="003571BD">
              <w:trPr>
                <w:gridAfter w:val="1"/>
                <w:wAfter w:w="509" w:type="dxa"/>
                <w:trHeight w:val="116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D120DB">
        <w:trPr>
          <w:cantSplit/>
          <w:trHeight w:val="590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tcBorders>
              <w:top w:val="single" w:sz="18" w:space="0" w:color="A6A6A6" w:themeColor="background1" w:themeShade="A6"/>
              <w:bottom w:val="single" w:sz="18" w:space="0" w:color="A6A6A6" w:themeColor="background1" w:themeShade="A6"/>
            </w:tcBorders>
            <w:vAlign w:val="center"/>
          </w:tcPr>
          <w:p w:rsidR="00B816B4" w:rsidRDefault="00B816B4" w:rsidP="008C6EDC">
            <w:pPr>
              <w:jc w:val="both"/>
              <w:rPr>
                <w:rFonts w:cs="Arial"/>
                <w:b/>
                <w:bCs/>
                <w:color w:val="5F497A"/>
                <w:szCs w:val="20"/>
              </w:rPr>
            </w:pPr>
            <w:r>
              <w:rPr>
                <w:rFonts w:cs="Arial"/>
                <w:color w:val="000000"/>
                <w:szCs w:val="20"/>
              </w:rPr>
              <w:t>BioRad</w:t>
            </w:r>
            <w:r w:rsidR="003571BD">
              <w:rPr>
                <w:rFonts w:cs="Arial"/>
                <w:color w:val="000000"/>
                <w:szCs w:val="20"/>
              </w:rPr>
              <w:t xml:space="preserve"> Lyphochek Specialty Immunoassay Levels 1,2 and 3</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3571BD">
              <w:rPr>
                <w:rFonts w:cs="Arial"/>
                <w:szCs w:val="20"/>
              </w:rPr>
              <w:t>Three levels each day of use.</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 xml:space="preserve">: </w:t>
            </w:r>
            <w:r w:rsidR="00A82A92">
              <w:rPr>
                <w:rFonts w:cs="Arial"/>
                <w:bCs/>
                <w:szCs w:val="20"/>
              </w:rPr>
              <w:t xml:space="preserve">30 Day at </w:t>
            </w:r>
            <w:r w:rsidR="00A82A92">
              <w:rPr>
                <w:rFonts w:cs="Arial"/>
                <w:szCs w:val="20"/>
              </w:rPr>
              <w:t>-20 to -70</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3571BD">
              <w:rPr>
                <w:rFonts w:cs="Arial"/>
                <w:szCs w:val="20"/>
              </w:rPr>
              <w:t xml:space="preserve">Reconstitute </w:t>
            </w:r>
            <w:proofErr w:type="gramStart"/>
            <w:r w:rsidR="003571BD">
              <w:rPr>
                <w:rFonts w:cs="Arial"/>
                <w:szCs w:val="20"/>
              </w:rPr>
              <w:t>with  2mL</w:t>
            </w:r>
            <w:proofErr w:type="gramEnd"/>
            <w:r w:rsidR="003571BD">
              <w:rPr>
                <w:rFonts w:cs="Arial"/>
                <w:szCs w:val="20"/>
              </w:rPr>
              <w:t xml:space="preserve"> of DI water let vials sit for 15 minutes and gently swirl. Aliquot controls into 5 aliqots.</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82A92">
              <w:rPr>
                <w:rFonts w:cs="Arial"/>
                <w:szCs w:val="20"/>
              </w:rPr>
              <w:t xml:space="preserve"> Level 1 = C-LYSI1</w:t>
            </w:r>
            <w:r>
              <w:rPr>
                <w:rFonts w:cs="Arial"/>
                <w:szCs w:val="20"/>
              </w:rPr>
              <w:t>, Level 2 = C-</w:t>
            </w:r>
            <w:r w:rsidR="00A82A92">
              <w:rPr>
                <w:rFonts w:cs="Arial"/>
                <w:szCs w:val="20"/>
              </w:rPr>
              <w:t>LYSI2, Level 3= C-LYSI3</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tc>
      </w:tr>
      <w:tr w:rsidR="008C6EDC" w:rsidTr="00D120DB">
        <w:trPr>
          <w:cantSplit/>
          <w:trHeight w:val="1944"/>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E63CB7" w:rsidRDefault="00A82A92" w:rsidP="00A82A92">
            <w:pPr>
              <w:pStyle w:val="Default"/>
              <w:numPr>
                <w:ilvl w:val="0"/>
                <w:numId w:val="24"/>
              </w:numPr>
              <w:jc w:val="both"/>
              <w:rPr>
                <w:rFonts w:ascii="Arial" w:hAnsi="Arial" w:cs="Arial"/>
                <w:color w:val="auto"/>
                <w:sz w:val="20"/>
                <w:szCs w:val="20"/>
              </w:rPr>
            </w:pPr>
            <w:r>
              <w:rPr>
                <w:rFonts w:ascii="Arial" w:hAnsi="Arial" w:cs="Arial"/>
                <w:color w:val="auto"/>
                <w:sz w:val="20"/>
                <w:szCs w:val="20"/>
              </w:rPr>
              <w:t xml:space="preserve">Use </w:t>
            </w:r>
            <w:proofErr w:type="gramStart"/>
            <w:r>
              <w:rPr>
                <w:rFonts w:ascii="Arial" w:hAnsi="Arial" w:cs="Arial"/>
                <w:color w:val="auto"/>
                <w:sz w:val="20"/>
                <w:szCs w:val="20"/>
              </w:rPr>
              <w:t>of  serum</w:t>
            </w:r>
            <w:proofErr w:type="gramEnd"/>
            <w:r>
              <w:rPr>
                <w:rFonts w:ascii="Arial" w:hAnsi="Arial" w:cs="Arial"/>
                <w:color w:val="auto"/>
                <w:sz w:val="20"/>
                <w:szCs w:val="20"/>
              </w:rPr>
              <w:t xml:space="preserve"> separator tube may result in a decrease concentration of up to 20% when compared with serum collected in tubes without additives.</w:t>
            </w:r>
          </w:p>
          <w:p w:rsidR="00A82A92" w:rsidRDefault="00A82A92" w:rsidP="00A82A92">
            <w:pPr>
              <w:pStyle w:val="Default"/>
              <w:numPr>
                <w:ilvl w:val="0"/>
                <w:numId w:val="24"/>
              </w:numPr>
              <w:jc w:val="both"/>
              <w:rPr>
                <w:rFonts w:ascii="Arial" w:hAnsi="Arial" w:cs="Arial"/>
                <w:color w:val="auto"/>
                <w:sz w:val="20"/>
                <w:szCs w:val="20"/>
              </w:rPr>
            </w:pPr>
            <w:r>
              <w:rPr>
                <w:rFonts w:ascii="Arial" w:hAnsi="Arial" w:cs="Arial"/>
                <w:color w:val="auto"/>
                <w:sz w:val="20"/>
                <w:szCs w:val="20"/>
              </w:rPr>
              <w:t>PTH degradation may be observed when using thrombinmediated serum tubes.</w:t>
            </w:r>
          </w:p>
          <w:p w:rsidR="00A82A92" w:rsidRDefault="00A82A92" w:rsidP="00A82A92">
            <w:pPr>
              <w:pStyle w:val="Default"/>
              <w:numPr>
                <w:ilvl w:val="0"/>
                <w:numId w:val="24"/>
              </w:numPr>
              <w:jc w:val="both"/>
              <w:rPr>
                <w:rFonts w:ascii="Arial" w:hAnsi="Arial" w:cs="Arial"/>
                <w:color w:val="auto"/>
                <w:sz w:val="20"/>
                <w:szCs w:val="20"/>
              </w:rPr>
            </w:pPr>
            <w:r>
              <w:rPr>
                <w:rFonts w:ascii="Arial" w:hAnsi="Arial" w:cs="Arial"/>
                <w:color w:val="auto"/>
                <w:sz w:val="20"/>
                <w:szCs w:val="20"/>
              </w:rPr>
              <w:t>Liquid anticoagulants may have a dilution effect resulting in lower concentrations for individual patient specimens.</w:t>
            </w:r>
          </w:p>
          <w:p w:rsidR="00A82A92" w:rsidRPr="00E63CB7" w:rsidRDefault="00A82A92" w:rsidP="0009335B">
            <w:pPr>
              <w:pStyle w:val="Default"/>
              <w:numPr>
                <w:ilvl w:val="0"/>
                <w:numId w:val="24"/>
              </w:numPr>
              <w:jc w:val="both"/>
              <w:rPr>
                <w:rFonts w:ascii="Arial" w:hAnsi="Arial" w:cs="Arial"/>
                <w:color w:val="auto"/>
                <w:sz w:val="20"/>
                <w:szCs w:val="20"/>
              </w:rPr>
            </w:pPr>
            <w:r>
              <w:rPr>
                <w:rFonts w:ascii="Arial" w:hAnsi="Arial" w:cs="Arial"/>
                <w:color w:val="auto"/>
                <w:sz w:val="20"/>
                <w:szCs w:val="20"/>
              </w:rPr>
              <w:t>Do not use specimens with the followi</w:t>
            </w:r>
            <w:r w:rsidR="00B00AD4">
              <w:rPr>
                <w:rFonts w:ascii="Arial" w:hAnsi="Arial" w:cs="Arial"/>
                <w:color w:val="auto"/>
                <w:sz w:val="20"/>
                <w:szCs w:val="20"/>
              </w:rPr>
              <w:t>ng conditions: heat-inactivated</w:t>
            </w:r>
            <w:r w:rsidR="0009335B">
              <w:rPr>
                <w:rFonts w:ascii="Arial" w:hAnsi="Arial" w:cs="Arial"/>
                <w:color w:val="auto"/>
                <w:sz w:val="20"/>
                <w:szCs w:val="20"/>
              </w:rPr>
              <w:t>, pooled, or gross hemolysis (&gt;500mg/dL)</w:t>
            </w:r>
          </w:p>
        </w:tc>
      </w:tr>
      <w:tr w:rsidR="008C6EDC" w:rsidTr="00D120DB">
        <w:trPr>
          <w:trHeight w:val="2124"/>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lastRenderedPageBreak/>
              <w:t>Reference Range</w:t>
            </w:r>
          </w:p>
        </w:tc>
        <w:tc>
          <w:tcPr>
            <w:tcW w:w="8910" w:type="dxa"/>
            <w:tcBorders>
              <w:top w:val="single" w:sz="18" w:space="0" w:color="A6A6A6" w:themeColor="background1" w:themeShade="A6"/>
              <w:bottom w:val="single" w:sz="18" w:space="0" w:color="A6A6A6" w:themeColor="background1" w:themeShade="A6"/>
            </w:tcBorders>
            <w:vAlign w:val="center"/>
          </w:tcPr>
          <w:tbl>
            <w:tblPr>
              <w:tblStyle w:val="TableGrid"/>
              <w:tblW w:w="0" w:type="auto"/>
              <w:tblLayout w:type="fixed"/>
              <w:tblLook w:val="04A0"/>
            </w:tblPr>
            <w:tblGrid>
              <w:gridCol w:w="2893"/>
              <w:gridCol w:w="2893"/>
              <w:gridCol w:w="2893"/>
            </w:tblGrid>
            <w:tr w:rsidR="001F2FF6" w:rsidTr="001F2FF6">
              <w:tc>
                <w:tcPr>
                  <w:tcW w:w="2893" w:type="dxa"/>
                </w:tcPr>
                <w:p w:rsidR="001F2FF6" w:rsidRPr="001F2FF6" w:rsidRDefault="001F2FF6" w:rsidP="001F2FF6">
                  <w:pPr>
                    <w:rPr>
                      <w:rFonts w:cs="Arial"/>
                      <w:b/>
                    </w:rPr>
                  </w:pPr>
                  <w:r w:rsidRPr="001F2FF6">
                    <w:rPr>
                      <w:rFonts w:cs="Arial"/>
                      <w:b/>
                    </w:rPr>
                    <w:t>Age</w:t>
                  </w:r>
                </w:p>
              </w:tc>
              <w:tc>
                <w:tcPr>
                  <w:tcW w:w="2893" w:type="dxa"/>
                </w:tcPr>
                <w:p w:rsidR="001F2FF6" w:rsidRPr="001F2FF6" w:rsidRDefault="001F2FF6" w:rsidP="001F2FF6">
                  <w:pPr>
                    <w:rPr>
                      <w:rFonts w:cs="Arial"/>
                      <w:b/>
                    </w:rPr>
                  </w:pPr>
                  <w:r w:rsidRPr="001F2FF6">
                    <w:rPr>
                      <w:rFonts w:cs="Arial"/>
                      <w:b/>
                    </w:rPr>
                    <w:t>Lower Limit</w:t>
                  </w:r>
                </w:p>
              </w:tc>
              <w:tc>
                <w:tcPr>
                  <w:tcW w:w="2893" w:type="dxa"/>
                </w:tcPr>
                <w:p w:rsidR="001F2FF6" w:rsidRPr="001F2FF6" w:rsidRDefault="001F2FF6" w:rsidP="001F2FF6">
                  <w:pPr>
                    <w:rPr>
                      <w:rFonts w:cs="Arial"/>
                      <w:b/>
                    </w:rPr>
                  </w:pPr>
                  <w:r w:rsidRPr="001F2FF6">
                    <w:rPr>
                      <w:rFonts w:cs="Arial"/>
                      <w:b/>
                    </w:rPr>
                    <w:t>Upper Limit</w:t>
                  </w:r>
                </w:p>
              </w:tc>
            </w:tr>
            <w:tr w:rsidR="001F2FF6" w:rsidTr="001F2FF6">
              <w:tc>
                <w:tcPr>
                  <w:tcW w:w="2893" w:type="dxa"/>
                </w:tcPr>
                <w:p w:rsidR="001F2FF6" w:rsidRDefault="001F2FF6" w:rsidP="008C6EDC">
                  <w:pPr>
                    <w:jc w:val="both"/>
                    <w:rPr>
                      <w:rFonts w:cs="Arial"/>
                    </w:rPr>
                  </w:pPr>
                  <w:r>
                    <w:rPr>
                      <w:rFonts w:cs="Arial"/>
                    </w:rPr>
                    <w:t>Birth to &lt; 1 year</w:t>
                  </w:r>
                </w:p>
              </w:tc>
              <w:tc>
                <w:tcPr>
                  <w:tcW w:w="2893" w:type="dxa"/>
                </w:tcPr>
                <w:p w:rsidR="001F2FF6" w:rsidRDefault="001F2FF6" w:rsidP="008C6EDC">
                  <w:pPr>
                    <w:jc w:val="both"/>
                    <w:rPr>
                      <w:rFonts w:cs="Arial"/>
                    </w:rPr>
                  </w:pPr>
                  <w:r>
                    <w:rPr>
                      <w:rFonts w:cs="Arial"/>
                    </w:rPr>
                    <w:t>6 pg/mL</w:t>
                  </w:r>
                </w:p>
              </w:tc>
              <w:tc>
                <w:tcPr>
                  <w:tcW w:w="2893" w:type="dxa"/>
                </w:tcPr>
                <w:p w:rsidR="001F2FF6" w:rsidRDefault="001F2FF6" w:rsidP="008C6EDC">
                  <w:pPr>
                    <w:jc w:val="both"/>
                    <w:rPr>
                      <w:rFonts w:cs="Arial"/>
                    </w:rPr>
                  </w:pPr>
                  <w:r>
                    <w:rPr>
                      <w:rFonts w:cs="Arial"/>
                    </w:rPr>
                    <w:t>88 pg/mL</w:t>
                  </w:r>
                </w:p>
              </w:tc>
            </w:tr>
            <w:tr w:rsidR="001F2FF6" w:rsidTr="001F2FF6">
              <w:tc>
                <w:tcPr>
                  <w:tcW w:w="2893" w:type="dxa"/>
                </w:tcPr>
                <w:p w:rsidR="001F2FF6" w:rsidRDefault="001F2FF6" w:rsidP="008C6EDC">
                  <w:pPr>
                    <w:jc w:val="both"/>
                    <w:rPr>
                      <w:rFonts w:cs="Arial"/>
                    </w:rPr>
                  </w:pPr>
                  <w:r>
                    <w:rPr>
                      <w:rFonts w:cs="Arial"/>
                    </w:rPr>
                    <w:t>1 year to &lt; 9 years</w:t>
                  </w:r>
                </w:p>
              </w:tc>
              <w:tc>
                <w:tcPr>
                  <w:tcW w:w="2893" w:type="dxa"/>
                </w:tcPr>
                <w:p w:rsidR="001F2FF6" w:rsidRDefault="001F2FF6" w:rsidP="008C6EDC">
                  <w:pPr>
                    <w:jc w:val="both"/>
                    <w:rPr>
                      <w:rFonts w:cs="Arial"/>
                    </w:rPr>
                  </w:pPr>
                  <w:r>
                    <w:rPr>
                      <w:rFonts w:cs="Arial"/>
                    </w:rPr>
                    <w:t>16 pg/mL</w:t>
                  </w:r>
                </w:p>
              </w:tc>
              <w:tc>
                <w:tcPr>
                  <w:tcW w:w="2893" w:type="dxa"/>
                </w:tcPr>
                <w:p w:rsidR="001F2FF6" w:rsidRDefault="001F2FF6" w:rsidP="008C6EDC">
                  <w:pPr>
                    <w:jc w:val="both"/>
                    <w:rPr>
                      <w:rFonts w:cs="Arial"/>
                    </w:rPr>
                  </w:pPr>
                  <w:r>
                    <w:rPr>
                      <w:rFonts w:cs="Arial"/>
                    </w:rPr>
                    <w:t>63 pg/mL</w:t>
                  </w:r>
                </w:p>
              </w:tc>
            </w:tr>
            <w:tr w:rsidR="001F2FF6" w:rsidTr="001F2FF6">
              <w:tc>
                <w:tcPr>
                  <w:tcW w:w="2893" w:type="dxa"/>
                </w:tcPr>
                <w:p w:rsidR="001F2FF6" w:rsidRDefault="001F2FF6" w:rsidP="008C6EDC">
                  <w:pPr>
                    <w:jc w:val="both"/>
                    <w:rPr>
                      <w:rFonts w:cs="Arial"/>
                    </w:rPr>
                  </w:pPr>
                  <w:r>
                    <w:rPr>
                      <w:rFonts w:cs="Arial"/>
                    </w:rPr>
                    <w:t>9 years to &lt;17 years</w:t>
                  </w:r>
                </w:p>
              </w:tc>
              <w:tc>
                <w:tcPr>
                  <w:tcW w:w="2893" w:type="dxa"/>
                </w:tcPr>
                <w:p w:rsidR="001F2FF6" w:rsidRDefault="001F2FF6" w:rsidP="008C6EDC">
                  <w:pPr>
                    <w:jc w:val="both"/>
                    <w:rPr>
                      <w:rFonts w:cs="Arial"/>
                    </w:rPr>
                  </w:pPr>
                  <w:r>
                    <w:rPr>
                      <w:rFonts w:cs="Arial"/>
                    </w:rPr>
                    <w:t>22 pg/mL</w:t>
                  </w:r>
                </w:p>
              </w:tc>
              <w:tc>
                <w:tcPr>
                  <w:tcW w:w="2893" w:type="dxa"/>
                </w:tcPr>
                <w:p w:rsidR="001F2FF6" w:rsidRDefault="001F2FF6" w:rsidP="008C6EDC">
                  <w:pPr>
                    <w:jc w:val="both"/>
                    <w:rPr>
                      <w:rFonts w:cs="Arial"/>
                    </w:rPr>
                  </w:pPr>
                  <w:r>
                    <w:rPr>
                      <w:rFonts w:cs="Arial"/>
                    </w:rPr>
                    <w:t>88 pg/mL</w:t>
                  </w:r>
                </w:p>
              </w:tc>
            </w:tr>
            <w:tr w:rsidR="001F2FF6" w:rsidTr="001F2FF6">
              <w:tc>
                <w:tcPr>
                  <w:tcW w:w="2893" w:type="dxa"/>
                </w:tcPr>
                <w:p w:rsidR="001F2FF6" w:rsidRDefault="001F2FF6" w:rsidP="008C6EDC">
                  <w:pPr>
                    <w:jc w:val="both"/>
                    <w:rPr>
                      <w:rFonts w:cs="Arial"/>
                    </w:rPr>
                  </w:pPr>
                  <w:r>
                    <w:rPr>
                      <w:rFonts w:cs="Arial"/>
                    </w:rPr>
                    <w:t>17 years to &lt; 19 years</w:t>
                  </w:r>
                </w:p>
              </w:tc>
              <w:tc>
                <w:tcPr>
                  <w:tcW w:w="2893" w:type="dxa"/>
                </w:tcPr>
                <w:p w:rsidR="001F2FF6" w:rsidRDefault="001F2FF6" w:rsidP="008C6EDC">
                  <w:pPr>
                    <w:jc w:val="both"/>
                    <w:rPr>
                      <w:rFonts w:cs="Arial"/>
                    </w:rPr>
                  </w:pPr>
                  <w:r>
                    <w:rPr>
                      <w:rFonts w:cs="Arial"/>
                    </w:rPr>
                    <w:t>15 pg/mL</w:t>
                  </w:r>
                </w:p>
              </w:tc>
              <w:tc>
                <w:tcPr>
                  <w:tcW w:w="2893" w:type="dxa"/>
                </w:tcPr>
                <w:p w:rsidR="001F2FF6" w:rsidRDefault="001F2FF6" w:rsidP="008C6EDC">
                  <w:pPr>
                    <w:jc w:val="both"/>
                    <w:rPr>
                      <w:rFonts w:cs="Arial"/>
                    </w:rPr>
                  </w:pPr>
                  <w:r>
                    <w:rPr>
                      <w:rFonts w:cs="Arial"/>
                    </w:rPr>
                    <w:t>65 pg/mL</w:t>
                  </w:r>
                </w:p>
              </w:tc>
            </w:tr>
          </w:tbl>
          <w:p w:rsidR="008C6EDC" w:rsidRDefault="008C6EDC" w:rsidP="008C6EDC">
            <w:pPr>
              <w:jc w:val="both"/>
              <w:rPr>
                <w:rFonts w:cs="Arial"/>
              </w:rPr>
            </w:pPr>
          </w:p>
          <w:p w:rsidR="001F2FF6" w:rsidRDefault="001F2FF6" w:rsidP="008C6EDC">
            <w:pPr>
              <w:jc w:val="both"/>
              <w:rPr>
                <w:rFonts w:cs="Arial"/>
              </w:rPr>
            </w:pPr>
          </w:p>
        </w:tc>
      </w:tr>
      <w:tr w:rsidR="008C6EDC" w:rsidTr="00D120DB">
        <w:trPr>
          <w:trHeight w:val="701"/>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D120DB">
        <w:trPr>
          <w:trHeight w:val="593"/>
          <w:tblHeader/>
        </w:trPr>
        <w:tc>
          <w:tcPr>
            <w:tcW w:w="216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p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C6EDC" w:rsidRDefault="008C6EDC">
            <w:pPr>
              <w:rPr>
                <w:rFonts w:cs="Arial"/>
              </w:rPr>
            </w:pPr>
          </w:p>
        </w:tc>
      </w:tr>
      <w:tr w:rsidR="00B816B4" w:rsidTr="00D120DB">
        <w:trPr>
          <w:trHeight w:val="864"/>
          <w:tblHeader/>
        </w:trPr>
        <w:tc>
          <w:tcPr>
            <w:tcW w:w="216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B816B4" w:rsidRPr="00C77940" w:rsidRDefault="00B00AD4" w:rsidP="003571BD">
            <w:pPr>
              <w:pStyle w:val="CalVerTable"/>
              <w:ind w:left="0" w:firstLine="0"/>
              <w:rPr>
                <w:rFonts w:ascii="Arial" w:hAnsi="Arial" w:cs="Arial"/>
              </w:rPr>
            </w:pPr>
            <w:r>
              <w:rPr>
                <w:rFonts w:ascii="Arial" w:hAnsi="Arial" w:cs="Arial"/>
              </w:rPr>
              <w:t>Do not dilute Intact PTH assay.</w:t>
            </w:r>
          </w:p>
        </w:tc>
      </w:tr>
      <w:tr w:rsidR="008C6EDC" w:rsidTr="00D120DB">
        <w:trPr>
          <w:trHeight w:val="1566"/>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B00AD4" w:rsidP="008E43B5">
            <w:pPr>
              <w:pStyle w:val="Header"/>
              <w:numPr>
                <w:ilvl w:val="0"/>
                <w:numId w:val="4"/>
              </w:numPr>
              <w:tabs>
                <w:tab w:val="clear" w:pos="4320"/>
                <w:tab w:val="clear" w:pos="8640"/>
              </w:tabs>
              <w:jc w:val="both"/>
              <w:rPr>
                <w:rFonts w:cs="Arial"/>
              </w:rPr>
            </w:pPr>
            <w:r>
              <w:rPr>
                <w:rFonts w:cs="Arial"/>
              </w:rPr>
              <w:t>Results between 4 – 2500 pg/mL</w:t>
            </w:r>
            <w:r w:rsidR="008C6EDC">
              <w:rPr>
                <w:rFonts w:cs="Arial"/>
              </w:rPr>
              <w:t xml:space="preserve"> without error messages are released</w:t>
            </w:r>
          </w:p>
          <w:p w:rsidR="008C6EDC" w:rsidRDefault="00B00AD4" w:rsidP="008E43B5">
            <w:pPr>
              <w:pStyle w:val="Header"/>
              <w:numPr>
                <w:ilvl w:val="0"/>
                <w:numId w:val="4"/>
              </w:numPr>
              <w:tabs>
                <w:tab w:val="clear" w:pos="4320"/>
                <w:tab w:val="clear" w:pos="8640"/>
              </w:tabs>
              <w:jc w:val="both"/>
              <w:rPr>
                <w:rFonts w:cs="Arial"/>
              </w:rPr>
            </w:pPr>
            <w:r>
              <w:rPr>
                <w:rFonts w:cs="Arial"/>
              </w:rPr>
              <w:t>Results less than 4</w:t>
            </w:r>
            <w:r w:rsidR="008C6EDC">
              <w:rPr>
                <w:rFonts w:cs="Arial"/>
              </w:rPr>
              <w:t xml:space="preserve"> are reported as </w:t>
            </w:r>
            <w:r>
              <w:rPr>
                <w:rFonts w:cs="Arial"/>
              </w:rPr>
              <w:t>&lt; 4</w:t>
            </w:r>
            <w:r w:rsidR="008C6EDC">
              <w:rPr>
                <w:rFonts w:cs="Arial"/>
              </w:rPr>
              <w:t xml:space="preserve"> rather than the numerical value</w:t>
            </w:r>
          </w:p>
          <w:p w:rsidR="008C6EDC" w:rsidRPr="00B00AD4" w:rsidRDefault="00B00AD4" w:rsidP="00B00AD4">
            <w:pPr>
              <w:numPr>
                <w:ilvl w:val="0"/>
                <w:numId w:val="4"/>
              </w:numPr>
              <w:jc w:val="both"/>
              <w:rPr>
                <w:rFonts w:cs="Arial"/>
              </w:rPr>
            </w:pPr>
            <w:r>
              <w:rPr>
                <w:rFonts w:cs="Arial"/>
              </w:rPr>
              <w:t>Results greater than 2500 pg/mL</w:t>
            </w:r>
            <w:r w:rsidR="008C6EDC">
              <w:rPr>
                <w:rFonts w:cs="Arial"/>
              </w:rPr>
              <w:t xml:space="preserve"> </w:t>
            </w:r>
            <w:r>
              <w:rPr>
                <w:rFonts w:cs="Arial"/>
              </w:rPr>
              <w:t>are reported as &gt;2500 pg/mL rather than the numerical value</w:t>
            </w:r>
          </w:p>
        </w:tc>
      </w:tr>
      <w:tr w:rsidR="008C6EDC" w:rsidTr="00D120DB">
        <w:trPr>
          <w:trHeight w:val="1160"/>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 storage. Samples are retained 7 days in specimen storage freezer.</w:t>
            </w:r>
          </w:p>
        </w:tc>
      </w:tr>
      <w:tr w:rsidR="008C6EDC" w:rsidTr="00D120DB">
        <w:trPr>
          <w:trHeight w:val="2898"/>
          <w:tblHeader/>
        </w:trPr>
        <w:tc>
          <w:tcPr>
            <w:tcW w:w="216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tcBorders>
              <w:top w:val="single" w:sz="18" w:space="0" w:color="A6A6A6" w:themeColor="background1" w:themeShade="A6"/>
              <w:bottom w:val="single" w:sz="18" w:space="0" w:color="A6A6A6" w:themeColor="background1" w:themeShade="A6"/>
            </w:tcBorders>
            <w:vAlign w:val="center"/>
          </w:tcPr>
          <w:p w:rsidR="008C6EDC" w:rsidRDefault="0009335B" w:rsidP="008E43B5">
            <w:pPr>
              <w:numPr>
                <w:ilvl w:val="0"/>
                <w:numId w:val="6"/>
              </w:numPr>
              <w:jc w:val="both"/>
              <w:rPr>
                <w:rFonts w:cs="Arial"/>
              </w:rPr>
            </w:pPr>
            <w:r>
              <w:rPr>
                <w:rFonts w:cs="Arial"/>
              </w:rPr>
              <w:t xml:space="preserve">Abbott Architect </w:t>
            </w:r>
            <w:r w:rsidR="00A566DF">
              <w:rPr>
                <w:rFonts w:cs="Arial"/>
              </w:rPr>
              <w:t xml:space="preserve">Intact PTH </w:t>
            </w:r>
            <w:r>
              <w:rPr>
                <w:rFonts w:cs="Arial"/>
              </w:rPr>
              <w:t>reagent cartridg</w:t>
            </w:r>
            <w:r w:rsidR="00A52AF8">
              <w:rPr>
                <w:rFonts w:cs="Arial"/>
              </w:rPr>
              <w:t>e insert sheet Abbott Laboratories, Abbott Park, IL, 60064.</w:t>
            </w:r>
            <w:r>
              <w:rPr>
                <w:rFonts w:cs="Arial"/>
              </w:rPr>
              <w:t xml:space="preserve"> Revised Date Janurary 2016</w:t>
            </w:r>
          </w:p>
          <w:p w:rsidR="00A403A4" w:rsidRDefault="00A403A4" w:rsidP="008E43B5">
            <w:pPr>
              <w:numPr>
                <w:ilvl w:val="0"/>
                <w:numId w:val="6"/>
              </w:numPr>
              <w:jc w:val="both"/>
              <w:rPr>
                <w:rFonts w:cs="Arial"/>
              </w:rPr>
            </w:pPr>
            <w:r>
              <w:rPr>
                <w:rFonts w:cs="Arial"/>
              </w:rPr>
              <w:t xml:space="preserve">Abbott Architect </w:t>
            </w:r>
            <w:r w:rsidR="00A566DF">
              <w:rPr>
                <w:rFonts w:cs="Arial"/>
              </w:rPr>
              <w:t xml:space="preserve">Intact PTH </w:t>
            </w:r>
            <w:r>
              <w:rPr>
                <w:rFonts w:cs="Arial"/>
              </w:rPr>
              <w:t>calibrator insert sheet Abbott Laboratires, Abbott Park, IL 60064</w:t>
            </w:r>
            <w:r w:rsidR="00DF4638">
              <w:rPr>
                <w:rFonts w:cs="Arial"/>
              </w:rPr>
              <w:t>. Revised November 2015.</w:t>
            </w:r>
          </w:p>
          <w:p w:rsidR="00A403A4" w:rsidRPr="009E6926" w:rsidRDefault="00A403A4" w:rsidP="008E43B5">
            <w:pPr>
              <w:numPr>
                <w:ilvl w:val="0"/>
                <w:numId w:val="6"/>
              </w:numPr>
              <w:jc w:val="both"/>
              <w:rPr>
                <w:rFonts w:cs="Arial"/>
              </w:rPr>
            </w:pPr>
            <w:r>
              <w:rPr>
                <w:rFonts w:cs="Arial"/>
              </w:rPr>
              <w:t xml:space="preserve">Abbott Architect Safety Data Sheet, Abbott </w:t>
            </w:r>
            <w:r w:rsidR="00A52AF8">
              <w:rPr>
                <w:rFonts w:cs="Arial"/>
              </w:rPr>
              <w:t>Diganostics, Abbott Park, IL 60064. Revised 2016-04-09.</w:t>
            </w:r>
          </w:p>
          <w:p w:rsidR="008C6EDC" w:rsidRPr="008F4957" w:rsidRDefault="008C6EDC" w:rsidP="008E43B5">
            <w:pPr>
              <w:numPr>
                <w:ilvl w:val="0"/>
                <w:numId w:val="6"/>
              </w:numPr>
              <w:jc w:val="both"/>
              <w:rPr>
                <w:rFonts w:cs="Arial"/>
              </w:rPr>
            </w:pPr>
            <w:r w:rsidRPr="009E6926">
              <w:rPr>
                <w:rFonts w:cs="Arial"/>
                <w:bCs/>
                <w:szCs w:val="12"/>
              </w:rPr>
              <w:t>Biorad</w:t>
            </w:r>
            <w:r w:rsidR="00A403A4">
              <w:rPr>
                <w:rFonts w:cs="Arial"/>
                <w:bCs/>
                <w:szCs w:val="12"/>
              </w:rPr>
              <w:t xml:space="preserve"> Lyphochek Specialty Immunoassay Control Product Insert, Bio-Rad Laboratories, Irvine, CA 92618 Janurary 2018</w:t>
            </w:r>
          </w:p>
          <w:p w:rsidR="00513F9B" w:rsidRPr="00513F9B" w:rsidRDefault="00A403A4" w:rsidP="00513F9B">
            <w:pPr>
              <w:numPr>
                <w:ilvl w:val="0"/>
                <w:numId w:val="6"/>
              </w:numPr>
              <w:jc w:val="both"/>
              <w:rPr>
                <w:rFonts w:cs="Arial"/>
              </w:rPr>
            </w:pPr>
            <w:r>
              <w:rPr>
                <w:rFonts w:cs="Arial"/>
              </w:rPr>
              <w:t>Caliper Paediatric Reference Intervals.  The Hospit</w:t>
            </w:r>
            <w:r w:rsidR="00F814F1">
              <w:rPr>
                <w:rFonts w:cs="Arial"/>
              </w:rPr>
              <w:t>a</w:t>
            </w:r>
            <w:r>
              <w:rPr>
                <w:rFonts w:cs="Arial"/>
              </w:rPr>
              <w:t>l for Sick Children, Toronto, Ontario.</w:t>
            </w:r>
          </w:p>
        </w:tc>
      </w:tr>
      <w:tr w:rsidR="003571BD" w:rsidTr="00D120DB">
        <w:tblPrEx>
          <w:tblBorders>
            <w:bottom w:val="single" w:sz="4" w:space="0" w:color="auto"/>
          </w:tblBorders>
        </w:tblPrEx>
        <w:trPr>
          <w:cantSplit/>
          <w:trHeight w:val="255"/>
        </w:trPr>
        <w:tc>
          <w:tcPr>
            <w:tcW w:w="216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891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p>
              </w:tc>
              <w:tc>
                <w:tcPr>
                  <w:tcW w:w="1980" w:type="dxa"/>
                </w:tcPr>
                <w:p w:rsidR="003571BD" w:rsidRDefault="00A566DF">
                  <w:pPr>
                    <w:rPr>
                      <w:rFonts w:cs="Arial"/>
                      <w:iCs/>
                    </w:rPr>
                  </w:pPr>
                  <w:r>
                    <w:rPr>
                      <w:rFonts w:cs="Arial"/>
                      <w:iCs/>
                    </w:rPr>
                    <w:t>03/29/2018</w:t>
                  </w:r>
                </w:p>
              </w:tc>
              <w:tc>
                <w:tcPr>
                  <w:tcW w:w="3510" w:type="dxa"/>
                </w:tcPr>
                <w:p w:rsidR="003571BD" w:rsidRDefault="003571BD">
                  <w:pPr>
                    <w:rPr>
                      <w:rFonts w:cs="Arial"/>
                      <w:iCs/>
                    </w:rPr>
                  </w:pPr>
                  <w:r>
                    <w:rPr>
                      <w:rFonts w:cs="Arial"/>
                      <w:iCs/>
                    </w:rPr>
                    <w:t>New Procedure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1"/>
      <w:footerReference w:type="default" r:id="rId12"/>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12" w:rsidRDefault="00597012">
      <w:r>
        <w:separator/>
      </w:r>
    </w:p>
  </w:endnote>
  <w:endnote w:type="continuationSeparator" w:id="0">
    <w:p w:rsidR="00597012" w:rsidRDefault="00597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12" w:rsidRPr="001A774F" w:rsidRDefault="00597012"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07320F">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07320F">
      <w:rPr>
        <w:noProof/>
        <w:sz w:val="18"/>
      </w:rPr>
      <w:t>4</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12" w:rsidRDefault="00597012">
      <w:r>
        <w:separator/>
      </w:r>
    </w:p>
  </w:footnote>
  <w:footnote w:type="continuationSeparator" w:id="0">
    <w:p w:rsidR="00597012" w:rsidRDefault="00597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12" w:rsidRDefault="00597012">
    <w:pPr>
      <w:ind w:left="-1260" w:right="-1260"/>
      <w:rPr>
        <w:rFonts w:cs="Arial"/>
        <w:sz w:val="18"/>
      </w:rPr>
    </w:pPr>
    <w:r w:rsidRPr="005440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 xml:space="preserve">CH6.112 PTH, Intact </w:t>
    </w:r>
  </w:p>
  <w:p w:rsidR="00597012" w:rsidRDefault="00597012">
    <w:pPr>
      <w:ind w:left="-1260" w:right="-1260"/>
      <w:rPr>
        <w:rFonts w:cs="Arial"/>
        <w:sz w:val="18"/>
      </w:rPr>
    </w:pPr>
    <w:r>
      <w:rPr>
        <w:rFonts w:cs="Arial"/>
        <w:sz w:val="18"/>
      </w:rPr>
      <w:t>Version 1</w:t>
    </w:r>
  </w:p>
  <w:p w:rsidR="00597012" w:rsidRDefault="00597012">
    <w:pPr>
      <w:ind w:left="-1260" w:right="-1260"/>
      <w:rPr>
        <w:rFonts w:cs="Arial"/>
        <w:sz w:val="18"/>
      </w:rPr>
    </w:pPr>
    <w:r>
      <w:rPr>
        <w:rFonts w:cs="Arial"/>
        <w:sz w:val="18"/>
      </w:rPr>
      <w:t>Effective Date: 03/29/2018</w:t>
    </w:r>
  </w:p>
  <w:p w:rsidR="00597012" w:rsidRDefault="00597012">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16"/>
  </w:num>
  <w:num w:numId="4">
    <w:abstractNumId w:val="4"/>
  </w:num>
  <w:num w:numId="5">
    <w:abstractNumId w:val="12"/>
  </w:num>
  <w:num w:numId="6">
    <w:abstractNumId w:val="11"/>
  </w:num>
  <w:num w:numId="7">
    <w:abstractNumId w:val="14"/>
  </w:num>
  <w:num w:numId="8">
    <w:abstractNumId w:val="21"/>
  </w:num>
  <w:num w:numId="9">
    <w:abstractNumId w:val="10"/>
  </w:num>
  <w:num w:numId="10">
    <w:abstractNumId w:val="1"/>
  </w:num>
  <w:num w:numId="11">
    <w:abstractNumId w:val="23"/>
  </w:num>
  <w:num w:numId="12">
    <w:abstractNumId w:val="19"/>
  </w:num>
  <w:num w:numId="13">
    <w:abstractNumId w:val="3"/>
  </w:num>
  <w:num w:numId="14">
    <w:abstractNumId w:val="8"/>
  </w:num>
  <w:num w:numId="15">
    <w:abstractNumId w:val="7"/>
  </w:num>
  <w:num w:numId="16">
    <w:abstractNumId w:val="13"/>
  </w:num>
  <w:num w:numId="17">
    <w:abstractNumId w:val="6"/>
  </w:num>
  <w:num w:numId="18">
    <w:abstractNumId w:val="5"/>
  </w:num>
  <w:num w:numId="19">
    <w:abstractNumId w:val="17"/>
  </w:num>
  <w:num w:numId="20">
    <w:abstractNumId w:val="20"/>
  </w:num>
  <w:num w:numId="21">
    <w:abstractNumId w:val="22"/>
  </w:num>
  <w:num w:numId="22">
    <w:abstractNumId w:val="18"/>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4669D"/>
    <w:rsid w:val="000625DB"/>
    <w:rsid w:val="0007320F"/>
    <w:rsid w:val="0009335B"/>
    <w:rsid w:val="00143FF4"/>
    <w:rsid w:val="001E2DF4"/>
    <w:rsid w:val="001F2FF6"/>
    <w:rsid w:val="002265E2"/>
    <w:rsid w:val="00253C63"/>
    <w:rsid w:val="00260A50"/>
    <w:rsid w:val="00287C41"/>
    <w:rsid w:val="0029711F"/>
    <w:rsid w:val="002A65EF"/>
    <w:rsid w:val="002D50CB"/>
    <w:rsid w:val="003571BD"/>
    <w:rsid w:val="00513F9B"/>
    <w:rsid w:val="00542D1B"/>
    <w:rsid w:val="005440AA"/>
    <w:rsid w:val="005516E7"/>
    <w:rsid w:val="00597012"/>
    <w:rsid w:val="00707507"/>
    <w:rsid w:val="00712847"/>
    <w:rsid w:val="00814EAD"/>
    <w:rsid w:val="008168BB"/>
    <w:rsid w:val="0083747A"/>
    <w:rsid w:val="008C6EDC"/>
    <w:rsid w:val="008E43B5"/>
    <w:rsid w:val="009945A2"/>
    <w:rsid w:val="009F5B34"/>
    <w:rsid w:val="00A072CE"/>
    <w:rsid w:val="00A403A4"/>
    <w:rsid w:val="00A52AF8"/>
    <w:rsid w:val="00A566DF"/>
    <w:rsid w:val="00A82A92"/>
    <w:rsid w:val="00B00AD4"/>
    <w:rsid w:val="00B816B4"/>
    <w:rsid w:val="00C0536C"/>
    <w:rsid w:val="00D120DB"/>
    <w:rsid w:val="00DE32D9"/>
    <w:rsid w:val="00DF4638"/>
    <w:rsid w:val="00E2166F"/>
    <w:rsid w:val="00E63CB7"/>
    <w:rsid w:val="00F814F1"/>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1336</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8831</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3</cp:revision>
  <cp:lastPrinted>2011-06-16T20:36:00Z</cp:lastPrinted>
  <dcterms:created xsi:type="dcterms:W3CDTF">2018-03-21T16:18:00Z</dcterms:created>
  <dcterms:modified xsi:type="dcterms:W3CDTF">2018-03-21T16:32:00Z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