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Complete Cell Count of Whole Blood – Sysmex XN 3000</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The Sysmex 3000 in an integrated system that incorporates two hematology analytical modules as well as an automated slide maker / stainer.</w:t>
            </w:r>
          </w:p>
          <w:p w:rsidR="00A02B86" w:rsidRDefault="00A02B86" w:rsidP="000D28BD">
            <w:pPr>
              <w:pStyle w:val="TableText"/>
              <w:autoSpaceDE/>
              <w:autoSpaceDN/>
              <w:rPr>
                <w:rFonts w:ascii="Arial" w:hAnsi="Arial" w:cs="Arial"/>
                <w:iCs/>
              </w:rPr>
            </w:pPr>
            <w:r>
              <w:rPr>
                <w:rFonts w:ascii="Arial" w:hAnsi="Arial" w:cs="Arial"/>
                <w:iCs/>
              </w:rPr>
              <w:t>The analyzer performs hematology analysis according to the hydrodynamic focusing (DC Detection), flow cytometry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Red blood cells and platelets are counted using electronic resistance detection. Hematocrit is measured as a ratio of the total RBC volume to whole blood using cumulative pulse height detection. Hemoglobin is converted to SLS-hemoglobin and read photometrically.</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WBC count, differential, reticulocytes, nucleated RBC’s, and fluorescent platelets are all evaluated using flow cytometry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staning.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Sysmex SP-10 is a fully automated hematology slide preparation and staining system. Whole blood specimens are mixed and aspirated and a blood smear is prepared using hematocrit information from the Sysmex XN to determine optimum smearing criteria. The dried smear is automatically loaded  into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Slides prepared by the Sysmex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r>
              <w:rPr>
                <w:rFonts w:ascii="Arial" w:hAnsi="Arial"/>
                <w:b/>
                <w:sz w:val="20"/>
                <w:szCs w:val="20"/>
              </w:rPr>
              <w:lastRenderedPageBreak/>
              <w:t>Sysmex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Reagent used for measuring the numbers and sizes of RBC’s and Platelets by hydrodynamic focusing With the addition of specified lyse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On the SP-10 slide maker / stainer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Chc#</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Concentrated diluent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w:t>
            </w:r>
            <w:r>
              <w:rPr>
                <w:rFonts w:ascii="Arial" w:hAnsi="Arial" w:cs="Arial"/>
                <w:sz w:val="20"/>
                <w:szCs w:val="20"/>
              </w:rPr>
              <w:lastRenderedPageBreak/>
              <w:t>Platelets by hydrodynamic focusing With the addition of specified lyse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Chc#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RET</w:t>
            </w:r>
            <w:r w:rsidR="004331C6">
              <w:rPr>
                <w:rFonts w:ascii="Arial" w:hAnsi="Arial" w:cs="Arial"/>
                <w:sz w:val="20"/>
                <w:szCs w:val="20"/>
              </w:rPr>
              <w:t xml:space="preserve"> for the analysis of reticulocytes or with Fluorocell PLT for the analysis of of platelets by flow cytometry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Chc#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Sulfolyser:</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Lysercell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WNR. RBC’s are hemolyzed and WBC’s are differentiated into non-Basophils, Basophils, and Nucleated RBC’s. This allows for a WBC count, Basophil count, Basophil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r w:rsidR="000777ED">
              <w:rPr>
                <w:rFonts w:ascii="Arial" w:hAnsi="Arial" w:cs="Arial"/>
                <w:b/>
                <w:sz w:val="20"/>
                <w:szCs w:val="20"/>
              </w:rPr>
              <w:t>Lysercell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WDF. RBC’s are hemolyzed and dyeing the WBC component with Fluorocell WDF  the counts and percentages of Neutrophils, Lymphocytes, Monocytes and Eosinophils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Chc#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Fluorocell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w:t>
            </w:r>
            <w:r w:rsidR="00264851">
              <w:rPr>
                <w:rFonts w:ascii="Arial" w:hAnsi="Arial" w:cs="Arial"/>
                <w:sz w:val="20"/>
                <w:szCs w:val="20"/>
              </w:rPr>
              <w:lastRenderedPageBreak/>
              <w:t>cells for the determination  of WBC count, NRBC count and Basophil 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r>
              <w:rPr>
                <w:rFonts w:ascii="Arial" w:hAnsi="Arial" w:cs="Arial"/>
                <w:sz w:val="20"/>
                <w:szCs w:val="20"/>
              </w:rPr>
              <w:t>Chc#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Fluorocell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Chc#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Fluorocell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Reticulocytes </w:t>
            </w:r>
            <w:r w:rsidR="009B1E61">
              <w:rPr>
                <w:rFonts w:ascii="Arial" w:hAnsi="Arial" w:cs="Arial"/>
                <w:sz w:val="20"/>
                <w:szCs w:val="20"/>
              </w:rPr>
              <w:t xml:space="preserve"> for the assay of Reticulocyte count, Reticulocyte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Chc#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Fluorocell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Chc#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CellClean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Sysmex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Chc#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 Calibrator used for WBC, </w:t>
            </w:r>
            <w:r>
              <w:rPr>
                <w:rFonts w:ascii="Arial" w:hAnsi="Arial" w:cs="Arial"/>
                <w:sz w:val="20"/>
                <w:szCs w:val="20"/>
              </w:rPr>
              <w:lastRenderedPageBreak/>
              <w:t>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s please see MSDS on line on Childrens Star Net;</w:t>
            </w:r>
            <w:r w:rsidRPr="00ED1C43">
              <w:rPr>
                <w:rFonts w:ascii="Arial" w:hAnsi="Arial" w:cs="Arial"/>
                <w:b/>
                <w:sz w:val="20"/>
                <w:szCs w:val="20"/>
              </w:rPr>
              <w:t xml:space="preserve"> </w:t>
            </w:r>
          </w:p>
          <w:p w:rsidR="005C16C4" w:rsidRPr="000D3CED" w:rsidRDefault="006F09D6"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MSDS Search | MSDSonline</w:t>
              </w:r>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WARNING:POTENTIALLY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r w:rsidRPr="00585911">
              <w:rPr>
                <w:rFonts w:ascii="Arial" w:hAnsi="Arial" w:cs="Arial"/>
                <w:sz w:val="20"/>
                <w:szCs w:val="20"/>
              </w:rPr>
              <w:t>Chc#</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D16B8E" w:rsidRDefault="00014C21" w:rsidP="00D16B8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w:t>
            </w:r>
            <w:r w:rsidR="00D16B8E">
              <w:rPr>
                <w:rFonts w:ascii="Arial" w:hAnsi="Arial" w:cs="Arial"/>
                <w:sz w:val="20"/>
                <w:szCs w:val="20"/>
              </w:rPr>
              <w:t>Wrights Stain (Protocol)</w:t>
            </w:r>
          </w:p>
          <w:p w:rsidR="00D16B8E" w:rsidRDefault="00D16B8E" w:rsidP="00D16B8E">
            <w:pPr>
              <w:jc w:val="left"/>
              <w:rPr>
                <w:rFonts w:ascii="Arial" w:hAnsi="Arial" w:cs="Arial"/>
                <w:sz w:val="20"/>
                <w:szCs w:val="20"/>
              </w:rPr>
            </w:pPr>
            <w:r>
              <w:rPr>
                <w:rFonts w:ascii="Arial" w:hAnsi="Arial" w:cs="Arial"/>
                <w:sz w:val="20"/>
                <w:szCs w:val="20"/>
              </w:rPr>
              <w:t>Fisher Scientific 23-264981</w:t>
            </w:r>
          </w:p>
          <w:p w:rsidR="00014C21" w:rsidRDefault="00D16B8E" w:rsidP="00D16B8E">
            <w:pPr>
              <w:jc w:val="left"/>
              <w:rPr>
                <w:rFonts w:ascii="Arial" w:hAnsi="Arial" w:cs="Arial"/>
                <w:sz w:val="20"/>
                <w:szCs w:val="20"/>
              </w:rPr>
            </w:pPr>
            <w:r>
              <w:rPr>
                <w:rFonts w:ascii="Arial" w:hAnsi="Arial" w:cs="Arial"/>
                <w:sz w:val="20"/>
                <w:szCs w:val="20"/>
              </w:rPr>
              <w:t>Chc#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r>
              <w:rPr>
                <w:rFonts w:ascii="Arial" w:hAnsi="Arial" w:cs="Arial"/>
                <w:sz w:val="20"/>
                <w:szCs w:val="20"/>
              </w:rPr>
              <w:t>Chc#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r>
              <w:rPr>
                <w:rFonts w:ascii="Arial" w:hAnsi="Arial" w:cs="Arial"/>
                <w:sz w:val="20"/>
                <w:szCs w:val="20"/>
              </w:rPr>
              <w:t>Chc#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773524" w:rsidRDefault="00773524" w:rsidP="00AF745B">
            <w:pPr>
              <w:rPr>
                <w:rFonts w:ascii="Arial" w:hAnsi="Arial" w:cs="Arial"/>
                <w:b/>
                <w:bCs/>
                <w:color w:val="0000FF"/>
                <w:sz w:val="20"/>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F1E73" w:rsidRDefault="00AF1E73" w:rsidP="00AF745B">
            <w:pPr>
              <w:rPr>
                <w:rFonts w:ascii="Arial" w:hAnsi="Arial" w:cs="Arial"/>
                <w:b/>
                <w:bCs/>
                <w:color w:val="0000FF"/>
                <w:sz w:val="20"/>
              </w:rPr>
            </w:pPr>
          </w:p>
          <w:p w:rsidR="00AF1E73" w:rsidRDefault="00AF1E73" w:rsidP="00AF745B">
            <w:pPr>
              <w:rPr>
                <w:rFonts w:ascii="Arial" w:hAnsi="Arial" w:cs="Arial"/>
                <w:b/>
                <w:bCs/>
                <w:color w:val="0000FF"/>
                <w:sz w:val="20"/>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BB784E" w:rsidRDefault="00BB784E"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Sunquest</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2C72B9" w:rsidRDefault="002C72B9"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8C5ACA" w:rsidRDefault="008C5ACA" w:rsidP="00AF745B">
            <w:pPr>
              <w:rPr>
                <w:rFonts w:ascii="Arial" w:hAnsi="Arial" w:cs="Arial"/>
                <w:b/>
                <w:bCs/>
                <w:color w:val="0000FF"/>
                <w:sz w:val="20"/>
              </w:rPr>
            </w:pPr>
          </w:p>
          <w:p w:rsidR="00134595" w:rsidRDefault="00134595"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r w:rsidRPr="0010075E">
              <w:rPr>
                <w:rFonts w:ascii="Arial" w:hAnsi="Arial" w:cs="Arial"/>
                <w:sz w:val="20"/>
                <w:szCs w:val="20"/>
              </w:rPr>
              <w:t>1.</w:t>
            </w:r>
            <w:r w:rsidR="004B0B9B" w:rsidRPr="0010075E">
              <w:rPr>
                <w:rFonts w:ascii="Arial" w:hAnsi="Arial" w:cs="Arial"/>
                <w:sz w:val="20"/>
                <w:szCs w:val="20"/>
              </w:rPr>
              <w:t xml:space="preserve">When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4F7386" w:rsidRDefault="004F7386" w:rsidP="002539EC">
            <w:pPr>
              <w:pStyle w:val="ListParagraph"/>
              <w:jc w:val="left"/>
              <w:rPr>
                <w:rFonts w:ascii="Arial" w:hAnsi="Arial" w:cs="Arial"/>
                <w:sz w:val="20"/>
                <w:szCs w:val="20"/>
              </w:rPr>
            </w:pPr>
          </w:p>
          <w:p w:rsidR="004F7386" w:rsidRDefault="004F7386" w:rsidP="004F7386">
            <w:pPr>
              <w:jc w:val="left"/>
              <w:rPr>
                <w:rFonts w:ascii="Arial" w:hAnsi="Arial" w:cs="Arial"/>
                <w:b/>
                <w:sz w:val="20"/>
                <w:szCs w:val="20"/>
              </w:rPr>
            </w:pPr>
            <w:r>
              <w:rPr>
                <w:rFonts w:ascii="Arial" w:hAnsi="Arial" w:cs="Arial"/>
                <w:b/>
                <w:sz w:val="20"/>
                <w:szCs w:val="20"/>
              </w:rPr>
              <w:t>5.) Emergency replacement of DST with an RU-20 with DCL Cell Pack</w:t>
            </w:r>
          </w:p>
          <w:p w:rsidR="004F7386" w:rsidRPr="004F7386" w:rsidRDefault="004F7386" w:rsidP="004F7386">
            <w:pPr>
              <w:jc w:val="left"/>
              <w:rPr>
                <w:rFonts w:ascii="Arial" w:hAnsi="Arial" w:cs="Arial"/>
                <w:sz w:val="20"/>
                <w:szCs w:val="20"/>
              </w:rPr>
            </w:pPr>
            <w:r>
              <w:rPr>
                <w:rFonts w:ascii="Arial" w:hAnsi="Arial" w:cs="Arial"/>
                <w:b/>
                <w:sz w:val="20"/>
                <w:szCs w:val="20"/>
              </w:rPr>
              <w:t xml:space="preserve">              </w:t>
            </w:r>
            <w:r w:rsidR="0017648C">
              <w:rPr>
                <w:rFonts w:ascii="Arial" w:hAnsi="Arial" w:cs="Arial"/>
                <w:sz w:val="20"/>
                <w:szCs w:val="20"/>
              </w:rPr>
              <w:t xml:space="preserve">See RU-20 Quick Guide pages 8-9 </w:t>
            </w:r>
            <w:hyperlink r:id="rId13" w:history="1">
              <w:r w:rsidR="00B614D5" w:rsidRPr="00B614D5">
                <w:rPr>
                  <w:rStyle w:val="Hyperlink"/>
                  <w:rFonts w:ascii="Arial" w:hAnsi="Arial" w:cs="Arial"/>
                  <w:sz w:val="20"/>
                  <w:szCs w:val="20"/>
                </w:rPr>
                <w:t>RU-20 Quick Guide</w:t>
              </w:r>
            </w:hyperlink>
          </w:p>
          <w:p w:rsidR="008C5608" w:rsidRPr="0010075E" w:rsidRDefault="008C5608" w:rsidP="002539EC">
            <w:pPr>
              <w:pStyle w:val="ListParagraph"/>
              <w:jc w:val="left"/>
              <w:rPr>
                <w:rFonts w:ascii="Arial" w:hAnsi="Arial" w:cs="Arial"/>
                <w:sz w:val="20"/>
                <w:szCs w:val="20"/>
              </w:rPr>
            </w:pPr>
          </w:p>
          <w:p w:rsidR="008C5608" w:rsidRPr="0010075E" w:rsidRDefault="004F7386" w:rsidP="008C5608">
            <w:pPr>
              <w:pStyle w:val="ListParagraph"/>
              <w:tabs>
                <w:tab w:val="left" w:pos="900"/>
              </w:tabs>
              <w:ind w:left="0"/>
              <w:jc w:val="left"/>
              <w:rPr>
                <w:rFonts w:ascii="Arial" w:hAnsi="Arial" w:cs="Arial"/>
                <w:b/>
                <w:sz w:val="20"/>
                <w:szCs w:val="20"/>
              </w:rPr>
            </w:pPr>
            <w:r>
              <w:rPr>
                <w:rFonts w:ascii="Arial" w:hAnsi="Arial" w:cs="Arial"/>
                <w:b/>
                <w:sz w:val="20"/>
                <w:szCs w:val="20"/>
              </w:rPr>
              <w:t>6</w:t>
            </w:r>
            <w:r w:rsidR="008C5608" w:rsidRPr="0010075E">
              <w:rPr>
                <w:rFonts w:ascii="Arial" w:hAnsi="Arial" w:cs="Arial"/>
                <w:b/>
                <w:sz w:val="20"/>
                <w:szCs w:val="20"/>
              </w:rPr>
              <w:t>.)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lastRenderedPageBreak/>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b/>
                <w:sz w:val="20"/>
                <w:szCs w:val="20"/>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r w:rsidR="00286A08" w:rsidRPr="0010075E">
              <w:rPr>
                <w:rFonts w:ascii="Arial" w:hAnsi="Arial" w:cs="Arial"/>
                <w:sz w:val="20"/>
                <w:szCs w:val="20"/>
              </w:rPr>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and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filled.</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d.) </w:t>
            </w:r>
            <w:r w:rsidR="00286A08" w:rsidRPr="0010075E">
              <w:rPr>
                <w:rFonts w:ascii="Arial" w:hAnsi="Arial" w:cs="Arial"/>
                <w:sz w:val="20"/>
                <w:szCs w:val="20"/>
              </w:rPr>
              <w:t xml:space="preserve">Replace reagent using clean technique. </w:t>
            </w:r>
            <w:r w:rsidR="004B207C">
              <w:rPr>
                <w:rFonts w:ascii="Arial" w:hAnsi="Arial" w:cs="Arial"/>
                <w:sz w:val="20"/>
                <w:szCs w:val="20"/>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10075E">
              <w:rPr>
                <w:rFonts w:ascii="Arial" w:hAnsi="Arial" w:cs="Arial"/>
                <w:b/>
                <w:sz w:val="20"/>
                <w:szCs w:val="20"/>
              </w:rPr>
              <w:t>Document all reagent changes on the appropriate lo</w:t>
            </w:r>
            <w:r w:rsidR="00463F14" w:rsidRPr="0010075E">
              <w:rPr>
                <w:rFonts w:ascii="Arial" w:hAnsi="Arial" w:cs="Arial"/>
                <w:b/>
                <w:sz w:val="20"/>
                <w:szCs w:val="20"/>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sample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microtainer,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removed and analyzed in a red top microtainer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r w:rsidR="00873A2C" w:rsidRPr="0010075E">
              <w:rPr>
                <w:rFonts w:ascii="Arial" w:hAnsi="Arial" w:cs="Arial"/>
                <w:sz w:val="20"/>
                <w:szCs w:val="20"/>
              </w:rPr>
              <w:t>sample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d.) Manual mode (red top microtainer) – 300ul minimum volume, 60ul is aspirated.</w:t>
            </w:r>
          </w:p>
          <w:p w:rsidR="00374C75" w:rsidRPr="0010075E" w:rsidRDefault="00374C75" w:rsidP="002004D8">
            <w:pPr>
              <w:jc w:val="left"/>
              <w:rPr>
                <w:rFonts w:ascii="Arial" w:hAnsi="Arial" w:cs="Arial"/>
                <w:sz w:val="20"/>
                <w:szCs w:val="20"/>
              </w:rPr>
            </w:pPr>
          </w:p>
          <w:p w:rsidR="00374C75" w:rsidRPr="0010075E" w:rsidRDefault="00374C75" w:rsidP="00374C75">
            <w:pPr>
              <w:jc w:val="left"/>
              <w:rPr>
                <w:rFonts w:ascii="Arial" w:hAnsi="Arial" w:cs="Arial"/>
                <w:sz w:val="20"/>
                <w:szCs w:val="20"/>
              </w:rPr>
            </w:pPr>
            <w:r w:rsidRPr="0010075E">
              <w:rPr>
                <w:rFonts w:ascii="Arial" w:hAnsi="Arial" w:cs="Arial"/>
                <w:sz w:val="20"/>
                <w:szCs w:val="20"/>
              </w:rPr>
              <w:t>4.) 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be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hemolyzed samples.</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473204" w:rsidRPr="0010075E" w:rsidRDefault="00B8012B" w:rsidP="00374C75">
            <w:pPr>
              <w:jc w:val="left"/>
              <w:rPr>
                <w:rFonts w:ascii="Arial" w:hAnsi="Arial" w:cs="Arial"/>
                <w:b/>
                <w:sz w:val="20"/>
                <w:szCs w:val="20"/>
              </w:rPr>
            </w:pPr>
            <w:r w:rsidRPr="0010075E">
              <w:rPr>
                <w:rFonts w:ascii="Arial" w:hAnsi="Arial" w:cs="Arial"/>
                <w:sz w:val="20"/>
                <w:szCs w:val="20"/>
              </w:rPr>
              <w:t xml:space="preserve">    </w:t>
            </w:r>
          </w:p>
          <w:p w:rsidR="00B8012B" w:rsidRPr="0010075E" w:rsidRDefault="008668ED" w:rsidP="00374C75">
            <w:pPr>
              <w:jc w:val="left"/>
              <w:rPr>
                <w:rFonts w:ascii="Arial" w:hAnsi="Arial" w:cs="Arial"/>
                <w:b/>
                <w:sz w:val="20"/>
                <w:szCs w:val="20"/>
              </w:rPr>
            </w:pPr>
            <w:r w:rsidRPr="0010075E">
              <w:rPr>
                <w:rFonts w:ascii="Arial" w:hAnsi="Arial" w:cs="Arial"/>
                <w:b/>
                <w:sz w:val="20"/>
                <w:szCs w:val="20"/>
              </w:rPr>
              <w:t xml:space="preserve">      </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0E5DBF" w:rsidRPr="0010075E">
              <w:rPr>
                <w:rFonts w:ascii="Arial" w:hAnsi="Arial" w:cs="Arial"/>
                <w:sz w:val="20"/>
                <w:szCs w:val="20"/>
              </w:rPr>
              <w:t>5.) Characteristics that may affect test results: lipemia, icterus, and cold agglutinins.</w:t>
            </w:r>
          </w:p>
          <w:p w:rsidR="00BB5EE3" w:rsidRPr="0010075E" w:rsidRDefault="00BB5EE3" w:rsidP="000E5DBF">
            <w:pPr>
              <w:jc w:val="left"/>
              <w:rPr>
                <w:rFonts w:ascii="Arial" w:hAnsi="Arial" w:cs="Arial"/>
                <w:sz w:val="20"/>
                <w:szCs w:val="20"/>
              </w:rPr>
            </w:pPr>
          </w:p>
          <w:p w:rsidR="00BB5EE3" w:rsidRPr="0010075E" w:rsidRDefault="007D63D9" w:rsidP="00BB5EE3">
            <w:pPr>
              <w:jc w:val="left"/>
              <w:rPr>
                <w:rFonts w:ascii="Arial" w:hAnsi="Arial" w:cs="Arial"/>
                <w:sz w:val="20"/>
                <w:szCs w:val="20"/>
              </w:rPr>
            </w:pPr>
            <w:r w:rsidRPr="0010075E">
              <w:rPr>
                <w:rFonts w:ascii="Arial" w:hAnsi="Arial" w:cs="Arial"/>
                <w:sz w:val="20"/>
                <w:szCs w:val="20"/>
              </w:rPr>
              <w:t xml:space="preserve"> 6.)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without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exhibit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cell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r w:rsidR="00B84E06" w:rsidRPr="00E17B3C">
              <w:rPr>
                <w:rFonts w:ascii="Arial" w:hAnsi="Arial" w:cs="Arial"/>
                <w:sz w:val="20"/>
                <w:szCs w:val="20"/>
              </w:rPr>
              <w:t>Sysmex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r w:rsidRPr="0010075E">
              <w:rPr>
                <w:rFonts w:ascii="Arial" w:hAnsi="Arial" w:cs="Arial"/>
                <w:sz w:val="20"/>
                <w:szCs w:val="20"/>
              </w:rPr>
              <w:t xml:space="preserve">results, </w:t>
            </w:r>
            <w:r w:rsidR="00241FB1" w:rsidRPr="0010075E">
              <w:rPr>
                <w:rFonts w:ascii="Arial" w:hAnsi="Arial" w:cs="Arial"/>
                <w:sz w:val="20"/>
                <w:szCs w:val="20"/>
              </w:rPr>
              <w:t>and X-BarM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Calibration verification procedures may be done by a Sysmex SE on site</w:t>
            </w:r>
            <w:r w:rsidR="00C54D88" w:rsidRPr="0010075E">
              <w:rPr>
                <w:rFonts w:ascii="Arial" w:hAnsi="Arial" w:cs="Arial"/>
                <w:sz w:val="20"/>
                <w:szCs w:val="20"/>
              </w:rPr>
              <w:t>,</w:t>
            </w:r>
            <w:r w:rsidRPr="0010075E">
              <w:rPr>
                <w:rFonts w:ascii="Arial" w:hAnsi="Arial" w:cs="Arial"/>
                <w:sz w:val="20"/>
                <w:szCs w:val="20"/>
              </w:rPr>
              <w:t xml:space="preserve"> or remotely through the Sysmex Network Communications System ( SNCS )</w:t>
            </w:r>
            <w:r w:rsidR="00C54D88" w:rsidRPr="0010075E">
              <w:rPr>
                <w:rFonts w:ascii="Arial" w:hAnsi="Arial" w:cs="Arial"/>
                <w:sz w:val="20"/>
                <w:szCs w:val="20"/>
              </w:rPr>
              <w:t xml:space="preserve"> with the Sysmex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The following items are completed by the Sysmex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Sysmex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Sysmex calibrator accoeding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precision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certificate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Sysmex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calibration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lastRenderedPageBreak/>
              <w:t xml:space="preserve">        2.) Sysmex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Sysmex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r w:rsidR="00DF70D1" w:rsidRPr="0010075E">
              <w:rPr>
                <w:rFonts w:ascii="Arial" w:hAnsi="Arial" w:cs="Arial"/>
                <w:sz w:val="20"/>
                <w:szCs w:val="20"/>
              </w:rPr>
              <w:t>e</w:t>
            </w:r>
            <w:r w:rsidRPr="0010075E">
              <w:rPr>
                <w:rFonts w:ascii="Arial" w:hAnsi="Arial" w:cs="Arial"/>
                <w:sz w:val="20"/>
                <w:szCs w:val="20"/>
              </w:rPr>
              <w:t>vent</w:t>
            </w:r>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t xml:space="preserve">             event.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Sysmex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6.) </w:t>
            </w:r>
            <w:r w:rsidR="006838A8" w:rsidRPr="0010075E">
              <w:rPr>
                <w:rFonts w:ascii="Arial" w:hAnsi="Arial" w:cs="Arial"/>
                <w:sz w:val="20"/>
                <w:szCs w:val="20"/>
              </w:rPr>
              <w:t>Sysmex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Sysmex will then remotely log into the IPU with a user name and password that prevents</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r w:rsidRPr="0010075E">
              <w:rPr>
                <w:rFonts w:ascii="Arial" w:hAnsi="Arial" w:cs="Arial"/>
                <w:sz w:val="20"/>
                <w:szCs w:val="20"/>
              </w:rPr>
              <w:t>viewing or access to patient data.</w:t>
            </w:r>
          </w:p>
          <w:p w:rsidR="00A04DE7" w:rsidRPr="0010075E" w:rsidRDefault="00A04DE7" w:rsidP="00A04DE7">
            <w:pPr>
              <w:rPr>
                <w:rFonts w:ascii="Arial" w:hAnsi="Arial" w:cs="Arial"/>
                <w:b/>
                <w:sz w:val="20"/>
                <w:szCs w:val="20"/>
              </w:rPr>
            </w:pPr>
          </w:p>
          <w:p w:rsidR="006471BA" w:rsidRPr="0010075E" w:rsidRDefault="006471BA" w:rsidP="00A04DE7">
            <w:pPr>
              <w:rPr>
                <w:rFonts w:ascii="Arial" w:hAnsi="Arial" w:cs="Arial"/>
                <w:b/>
                <w:sz w:val="20"/>
                <w:szCs w:val="20"/>
              </w:rPr>
            </w:pP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Sysmex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representative. During this analysis, if indicated by abnormal QC recovery, Sysmex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troubleshooting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Sysmex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Sysmex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Sysmex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automatically and analyzed by Sysmex.</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r w:rsidR="008A3123" w:rsidRPr="0010075E">
              <w:rPr>
                <w:rFonts w:ascii="Arial" w:hAnsi="Arial" w:cs="Arial"/>
                <w:sz w:val="20"/>
                <w:szCs w:val="20"/>
              </w:rPr>
              <w:t>Sysmex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ranges</w:t>
            </w:r>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Sysmex</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will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Sysmex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verification.</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Sysmex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adjustment using</w:t>
            </w:r>
            <w:r w:rsidR="00090FEF" w:rsidRPr="0010075E">
              <w:rPr>
                <w:rFonts w:ascii="Arial" w:hAnsi="Arial" w:cs="Arial"/>
                <w:sz w:val="20"/>
                <w:szCs w:val="20"/>
              </w:rPr>
              <w:t xml:space="preserve"> SNCS. Sysmex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After calibration verification passes, Sysmex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Sysmex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Sysmex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verification. Sysmex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to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Sysmex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Sysmex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onto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Sysmex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dates.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Autorinse </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to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Sysmex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application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lastRenderedPageBreak/>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variation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t xml:space="preserve">                          been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deviation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will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Sysmex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for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because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r w:rsidR="000E3617" w:rsidRPr="0010075E">
              <w:rPr>
                <w:rFonts w:ascii="Arial" w:hAnsi="Arial" w:cs="Arial"/>
                <w:sz w:val="20"/>
                <w:szCs w:val="20"/>
              </w:rPr>
              <w:t xml:space="preserve">of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for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10075E" w:rsidRDefault="00035A97" w:rsidP="00035A97">
            <w:pPr>
              <w:numPr>
                <w:ilvl w:val="0"/>
                <w:numId w:val="34"/>
              </w:numPr>
              <w:ind w:left="720"/>
              <w:jc w:val="left"/>
              <w:rPr>
                <w:rFonts w:ascii="Arial" w:hAnsi="Arial" w:cs="Arial"/>
                <w:sz w:val="20"/>
                <w:szCs w:val="20"/>
              </w:rPr>
            </w:pPr>
            <w:r w:rsidRPr="0010075E">
              <w:rPr>
                <w:rFonts w:ascii="Arial" w:hAnsi="Arial" w:cs="Arial"/>
                <w:sz w:val="20"/>
                <w:szCs w:val="20"/>
              </w:rPr>
              <w:t>XN CHECK  Commercial Controls Instructions for Use</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(18-25</w:t>
            </w:r>
            <w:r w:rsidRPr="0010075E">
              <w:rPr>
                <w:rFonts w:ascii="Arial" w:hAnsi="Arial" w:cs="Arial"/>
                <w:sz w:val="20"/>
                <w:szCs w:val="20"/>
                <w:vertAlign w:val="superscript"/>
              </w:rPr>
              <w:t>o</w:t>
            </w:r>
            <w:r w:rsidRPr="0010075E">
              <w:rPr>
                <w:rFonts w:ascii="Arial" w:hAnsi="Arial" w:cs="Arial"/>
                <w:sz w:val="20"/>
                <w:szCs w:val="20"/>
              </w:rPr>
              <w:t xml:space="preserve">C), </w:t>
            </w:r>
          </w:p>
          <w:p w:rsidR="00035A97" w:rsidRPr="0010075E" w:rsidRDefault="00035A97" w:rsidP="00035A97">
            <w:pPr>
              <w:spacing w:after="40"/>
              <w:ind w:left="1080"/>
              <w:jc w:val="left"/>
              <w:rPr>
                <w:rFonts w:ascii="Arial" w:hAnsi="Arial" w:cs="Arial"/>
                <w:sz w:val="20"/>
                <w:szCs w:val="20"/>
              </w:rPr>
            </w:pPr>
            <w:r w:rsidRPr="0010075E">
              <w:rPr>
                <w:rFonts w:ascii="Arial" w:hAnsi="Arial" w:cs="Arial"/>
                <w:sz w:val="20"/>
                <w:szCs w:val="20"/>
              </w:rPr>
              <w:t>for approximately 15 minutes.</w:t>
            </w:r>
          </w:p>
          <w:p w:rsidR="00035A97" w:rsidRPr="0010075E" w:rsidRDefault="00035A97" w:rsidP="00035A97">
            <w:pPr>
              <w:numPr>
                <w:ilvl w:val="0"/>
                <w:numId w:val="33"/>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035A97" w:rsidRPr="0010075E" w:rsidRDefault="00035A97" w:rsidP="00035A97">
            <w:pPr>
              <w:pStyle w:val="ListParagraph"/>
              <w:numPr>
                <w:ilvl w:val="0"/>
                <w:numId w:val="34"/>
              </w:numPr>
              <w:spacing w:after="40"/>
              <w:ind w:hanging="720"/>
              <w:jc w:val="left"/>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BF Commercial Body Fluid Controls Instructions for Use</w:t>
            </w:r>
          </w:p>
          <w:p w:rsidR="00035A97" w:rsidRPr="0010075E" w:rsidRDefault="00035A97" w:rsidP="00035A97">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Remove vials from refrigerator and allow them to come to room temperature (18 – 25</w:t>
            </w:r>
            <w:r w:rsidRPr="0010075E">
              <w:rPr>
                <w:rFonts w:ascii="Arial" w:hAnsi="Arial" w:cs="Arial"/>
                <w:sz w:val="20"/>
                <w:szCs w:val="20"/>
                <w:vertAlign w:val="superscript"/>
              </w:rPr>
              <w:t>o</w:t>
            </w:r>
            <w:r w:rsidRPr="0010075E">
              <w:rPr>
                <w:rFonts w:ascii="Arial" w:hAnsi="Arial" w:cs="Arial"/>
                <w:sz w:val="20"/>
                <w:szCs w:val="20"/>
              </w:rPr>
              <w:t>C) for approximately 15 minutes.</w:t>
            </w:r>
          </w:p>
          <w:p w:rsidR="00AD3098" w:rsidRPr="0010075E" w:rsidRDefault="00035A97" w:rsidP="00AD3098">
            <w:pPr>
              <w:pStyle w:val="ListParagraph"/>
              <w:numPr>
                <w:ilvl w:val="3"/>
                <w:numId w:val="31"/>
              </w:numPr>
              <w:spacing w:after="40"/>
              <w:ind w:left="1080"/>
              <w:jc w:val="left"/>
              <w:rPr>
                <w:rFonts w:ascii="Arial" w:hAnsi="Arial" w:cs="Arial"/>
                <w:sz w:val="20"/>
                <w:szCs w:val="20"/>
              </w:rPr>
            </w:pPr>
            <w:r w:rsidRPr="0010075E">
              <w:rPr>
                <w:rFonts w:ascii="Arial" w:hAnsi="Arial" w:cs="Arial"/>
                <w:sz w:val="20"/>
                <w:szCs w:val="20"/>
              </w:rPr>
              <w:t>Mix vials by gentle end-to-end inversion until the cell button in the bottom of the vial is completely suspended.</w:t>
            </w: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 LO,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lastRenderedPageBreak/>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D404B1" w:rsidP="00D404B1">
            <w:pPr>
              <w:jc w:val="left"/>
              <w:rPr>
                <w:rFonts w:ascii="Arial" w:hAnsi="Arial" w:cs="Arial"/>
                <w:sz w:val="20"/>
                <w:szCs w:val="20"/>
              </w:rPr>
            </w:pPr>
            <w:r>
              <w:rPr>
                <w:rFonts w:ascii="Arial" w:hAnsi="Arial" w:cs="Arial"/>
                <w:sz w:val="20"/>
                <w:szCs w:val="20"/>
              </w:rPr>
              <w:t xml:space="preserve">                                   4. </w:t>
            </w:r>
            <w:r w:rsidR="00EC68A9" w:rsidRPr="0010075E">
              <w:rPr>
                <w:rFonts w:ascii="Arial" w:hAnsi="Arial" w:cs="Arial"/>
                <w:sz w:val="20"/>
                <w:szCs w:val="20"/>
              </w:rPr>
              <w:t>Sysmex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Repeat for each level of XN CHECK, XN CHECK BF to be registered and for each 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[Body Fluid] mode.  Analyzer will automatically perform Autorinse.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lastRenderedPageBreak/>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User must scroll up and down through the chart to view all parameters for each 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6F09D6" w:rsidP="00F27792">
            <w:pPr>
              <w:ind w:left="2160"/>
              <w:jc w:val="left"/>
              <w:rPr>
                <w:rFonts w:ascii="Arial" w:hAnsi="Arial" w:cs="Arial"/>
                <w:sz w:val="20"/>
                <w:szCs w:val="20"/>
              </w:rPr>
            </w:pPr>
            <w:hyperlink r:id="rId14"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r w:rsidR="00F27792" w:rsidRPr="0010075E">
              <w:rPr>
                <w:rFonts w:ascii="Arial" w:hAnsi="Arial" w:cs="Arial"/>
                <w:sz w:val="20"/>
                <w:szCs w:val="20"/>
              </w:rPr>
              <w:t>with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The staining is consistent and imparts the characteristic cytoplasmic color differences and distinct nuclear chromatic patterns of the whole spectrum of blood 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RBC’s should be pink to orange. There should be good differentiation between normochromic, hypochromic,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Neutrophils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Monocytes will show lighter purple nuclei. The cytoplasm of the monocytes will be gray-blue with reddish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Eosinophils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Basophils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Sysmex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r w:rsidRPr="0010075E">
              <w:rPr>
                <w:b/>
                <w:i/>
                <w:szCs w:val="22"/>
              </w:rPr>
              <w:t>Insight</w:t>
            </w:r>
            <w:r w:rsidRPr="0010075E">
              <w:rPr>
                <w:rFonts w:ascii="Arial Bold" w:hAnsi="Arial Bold" w:cs="Arial"/>
                <w:b/>
                <w:szCs w:val="22"/>
                <w:vertAlign w:val="superscript"/>
              </w:rPr>
              <w:t>TM</w:t>
            </w:r>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 Minneapolis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identification numbers are; Mpls.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t>XN Serial Numbers for Mpls;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XN Serial Numbers for St.Paul;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Sysmex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5"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3F6D20" w:rsidRPr="0010075E" w:rsidRDefault="003F6D20" w:rsidP="00DC7199">
            <w:pPr>
              <w:ind w:left="720"/>
              <w:rPr>
                <w:rFonts w:ascii="Arial" w:hAnsi="Arial" w:cs="Arial"/>
                <w:sz w:val="20"/>
                <w:szCs w:val="20"/>
              </w:rPr>
            </w:pPr>
          </w:p>
          <w:p w:rsidR="00DC7199" w:rsidRPr="0010075E" w:rsidRDefault="00DC7199" w:rsidP="00DC7199">
            <w:pPr>
              <w:spacing w:before="60"/>
              <w:jc w:val="left"/>
              <w:rPr>
                <w:rFonts w:ascii="Arial" w:hAnsi="Arial" w:cs="Arial"/>
                <w:sz w:val="20"/>
                <w:szCs w:val="20"/>
              </w:rPr>
            </w:pPr>
          </w:p>
          <w:p w:rsidR="00C53DB4" w:rsidRPr="0010075E" w:rsidRDefault="00C53DB4" w:rsidP="00C53DB4">
            <w:pPr>
              <w:ind w:left="1800"/>
              <w:jc w:val="left"/>
              <w:rPr>
                <w:rFonts w:ascii="Arial" w:hAnsi="Arial" w:cs="Arial"/>
                <w:sz w:val="20"/>
                <w:szCs w:val="20"/>
              </w:rPr>
            </w:pPr>
          </w:p>
          <w:p w:rsidR="004401AF" w:rsidRPr="002304AD" w:rsidRDefault="004401AF" w:rsidP="002304AD">
            <w:pPr>
              <w:jc w:val="left"/>
              <w:rPr>
                <w:rFonts w:ascii="Arial" w:hAnsi="Arial" w:cs="Arial"/>
                <w:sz w:val="20"/>
                <w:szCs w:val="20"/>
              </w:rPr>
            </w:pPr>
          </w:p>
          <w:p w:rsidR="009756F8" w:rsidRPr="002304AD" w:rsidRDefault="002304AD" w:rsidP="002304AD">
            <w:pPr>
              <w:pStyle w:val="ListParagraph"/>
              <w:ind w:left="0"/>
              <w:jc w:val="left"/>
              <w:rPr>
                <w:rFonts w:ascii="Arial" w:hAnsi="Arial" w:cs="Arial"/>
                <w:sz w:val="20"/>
                <w:szCs w:val="20"/>
              </w:rPr>
            </w:pPr>
            <w:r>
              <w:rPr>
                <w:rFonts w:ascii="Arial" w:hAnsi="Arial" w:cs="Arial"/>
                <w:sz w:val="20"/>
                <w:szCs w:val="20"/>
              </w:rPr>
              <w:t xml:space="preserve">          </w:t>
            </w:r>
          </w:p>
          <w:p w:rsidR="00B1157F" w:rsidRPr="0010075E" w:rsidRDefault="00B1157F" w:rsidP="00B1157F">
            <w:pPr>
              <w:rPr>
                <w:rFonts w:cs="Arial"/>
              </w:rPr>
            </w:pP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Sysmex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Mpls - lab1 and labstaff4, followed by xn enter.</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xn enter xn enter.</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g/dL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μL</w:t>
                  </w:r>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lastRenderedPageBreak/>
              <w:t xml:space="preserve">        </w:t>
            </w:r>
            <w:r w:rsidRPr="0010075E">
              <w:rPr>
                <w:rFonts w:cs="Arial"/>
                <w:b/>
              </w:rPr>
              <w:t>Verify that if sampling from Raised bottom tubes (Microtainers) that racks have a</w:t>
            </w:r>
          </w:p>
          <w:p w:rsidR="00E86BFF" w:rsidRPr="0010075E" w:rsidRDefault="00E86BFF" w:rsidP="00E86BFF">
            <w:pPr>
              <w:pStyle w:val="ListParagraph"/>
              <w:ind w:left="990"/>
              <w:jc w:val="left"/>
              <w:rPr>
                <w:rFonts w:cs="Arial"/>
                <w:b/>
              </w:rPr>
            </w:pPr>
            <w:r w:rsidRPr="0010075E">
              <w:rPr>
                <w:rFonts w:cs="Arial"/>
                <w:b/>
              </w:rPr>
              <w:t xml:space="preserve">        yellow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t xml:space="preserve">Samples will run,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lastRenderedPageBreak/>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[Smr + Sta], Smpl.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  [Conv.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Choose [Op. Mode], [Smr.+Stain] and set [Smpl.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microtainer in the micro collection sample tube 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bar coded samples in a Sysmex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Racks are transported to the XN analyzer and then to the SP-10 where a smear will 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To use Smear Only in Off Line Mode: The sampler for the analyzer, or the sampler for the SP-10 is separated from the transport line of the overall system and operated as a 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lastRenderedPageBreak/>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Op Mode is set to [Smear], Smpl.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[Smr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analyzers, sampler unit and SP-10 are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one tube of CELLCLEAN AUTO in rack one, position 8.  This rack will shut down the SP-10.</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2 tubes of CELLCLEAN AUTO in rack two, positions 9 and 10. This rack will shut down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426832" w:rsidP="00426832">
            <w:pPr>
              <w:pStyle w:val="ListParagraph"/>
              <w:ind w:left="990"/>
              <w:jc w:val="left"/>
              <w:rPr>
                <w:rFonts w:ascii="Arial" w:hAnsi="Arial" w:cs="Arial"/>
                <w:sz w:val="20"/>
                <w:szCs w:val="20"/>
              </w:rPr>
            </w:pP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[Maint.]</w:t>
            </w:r>
            <w:r w:rsidRPr="0010075E">
              <w:rPr>
                <w:rFonts w:ascii="Arial" w:hAnsi="Arial" w:cs="Arial"/>
                <w:sz w:val="20"/>
                <w:szCs w:val="20"/>
              </w:rPr>
              <w:t xml:space="preserve"> on the main screen. (Maintenance button is not available 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Replace the tower so that the frosted end of the slides are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lastRenderedPageBreak/>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a tube of CELLCLEAN AUTO in position 10 of a Sysmex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10075E" w:rsidRDefault="008B73B9" w:rsidP="008B73B9">
            <w:pPr>
              <w:pStyle w:val="ListParagraph"/>
              <w:numPr>
                <w:ilvl w:val="1"/>
                <w:numId w:val="44"/>
              </w:numPr>
              <w:jc w:val="left"/>
              <w:rPr>
                <w:rFonts w:cs="Arial"/>
                <w:szCs w:val="22"/>
              </w:rPr>
            </w:pPr>
            <w:r w:rsidRPr="0010075E">
              <w:rPr>
                <w:rFonts w:cs="Arial"/>
                <w:szCs w:val="22"/>
              </w:rPr>
              <w:t>Clean DI water/Buffer containers</w:t>
            </w:r>
          </w:p>
          <w:p w:rsidR="008B73B9" w:rsidRPr="00644AE2" w:rsidRDefault="008B73B9" w:rsidP="00644AE2">
            <w:pPr>
              <w:pStyle w:val="ListParagraph"/>
              <w:numPr>
                <w:ilvl w:val="2"/>
                <w:numId w:val="44"/>
              </w:numPr>
              <w:ind w:left="2340" w:hanging="360"/>
              <w:jc w:val="left"/>
              <w:rPr>
                <w:rFonts w:cs="Arial"/>
                <w:szCs w:val="22"/>
              </w:rPr>
            </w:pPr>
            <w:r w:rsidRPr="0010075E">
              <w:rPr>
                <w:rFonts w:cs="Arial"/>
                <w:szCs w:val="22"/>
              </w:rPr>
              <w:t>If re-usable containers for deionized water and/or buffer are used, empty weekly.</w:t>
            </w:r>
          </w:p>
          <w:p w:rsidR="008B73B9" w:rsidRDefault="008B73B9" w:rsidP="008B73B9">
            <w:pPr>
              <w:pStyle w:val="ListParagraph"/>
              <w:numPr>
                <w:ilvl w:val="2"/>
                <w:numId w:val="44"/>
              </w:numPr>
              <w:ind w:left="2340" w:hanging="360"/>
              <w:jc w:val="left"/>
              <w:rPr>
                <w:rFonts w:cs="Arial"/>
                <w:szCs w:val="22"/>
              </w:rPr>
            </w:pPr>
            <w:r w:rsidRPr="0010075E">
              <w:rPr>
                <w:rFonts w:cs="Arial"/>
                <w:szCs w:val="22"/>
              </w:rPr>
              <w:t>Fill</w:t>
            </w:r>
            <w:r w:rsidR="00644AE2">
              <w:rPr>
                <w:rFonts w:cs="Arial"/>
                <w:szCs w:val="22"/>
              </w:rPr>
              <w:t xml:space="preserve"> new container</w:t>
            </w:r>
            <w:r w:rsidRPr="0010075E">
              <w:rPr>
                <w:rFonts w:cs="Arial"/>
                <w:szCs w:val="22"/>
              </w:rPr>
              <w:t xml:space="preserve"> with </w:t>
            </w:r>
            <w:r w:rsidR="00644AE2">
              <w:rPr>
                <w:rFonts w:cs="Arial"/>
                <w:szCs w:val="22"/>
              </w:rPr>
              <w:t>fresh deionized water or buffer. Remove</w:t>
            </w:r>
            <w:r w:rsidR="009B2A53">
              <w:rPr>
                <w:rFonts w:cs="Arial"/>
                <w:szCs w:val="22"/>
              </w:rPr>
              <w:t xml:space="preserve"> the spout kit from the old container and put directly into the fresh reagent.</w:t>
            </w:r>
          </w:p>
          <w:p w:rsidR="00644AE2" w:rsidRDefault="00644AE2" w:rsidP="009B2A53">
            <w:pPr>
              <w:pStyle w:val="ListParagraph"/>
              <w:numPr>
                <w:ilvl w:val="2"/>
                <w:numId w:val="44"/>
              </w:numPr>
              <w:ind w:left="2340" w:hanging="360"/>
              <w:jc w:val="left"/>
              <w:rPr>
                <w:rFonts w:cs="Arial"/>
                <w:szCs w:val="22"/>
              </w:rPr>
            </w:pPr>
            <w:r w:rsidRPr="0010075E">
              <w:rPr>
                <w:rFonts w:cs="Arial"/>
                <w:szCs w:val="22"/>
              </w:rPr>
              <w:t>Rinse</w:t>
            </w:r>
            <w:r w:rsidR="009B2A53">
              <w:rPr>
                <w:rFonts w:cs="Arial"/>
                <w:szCs w:val="22"/>
              </w:rPr>
              <w:t xml:space="preserve"> old container</w:t>
            </w:r>
            <w:r>
              <w:rPr>
                <w:rFonts w:cs="Arial"/>
                <w:szCs w:val="22"/>
              </w:rPr>
              <w:t xml:space="preserve"> with methanol and allow to dry, cover any openings with caps or parafilm and store for future use.</w:t>
            </w:r>
          </w:p>
          <w:p w:rsidR="00C434E3" w:rsidRDefault="00C434E3" w:rsidP="00C434E3">
            <w:pPr>
              <w:jc w:val="left"/>
              <w:rPr>
                <w:rFonts w:cs="Arial"/>
                <w:szCs w:val="22"/>
              </w:rPr>
            </w:pPr>
            <w:r>
              <w:rPr>
                <w:rFonts w:cs="Arial"/>
                <w:szCs w:val="22"/>
              </w:rPr>
              <w:t xml:space="preserve">                  c. Monthly </w:t>
            </w:r>
          </w:p>
          <w:p w:rsidR="00B05F62" w:rsidRDefault="00C434E3" w:rsidP="00C434E3">
            <w:pPr>
              <w:jc w:val="left"/>
              <w:rPr>
                <w:rFonts w:cs="Arial"/>
                <w:szCs w:val="22"/>
              </w:rPr>
            </w:pPr>
            <w:r>
              <w:rPr>
                <w:rFonts w:cs="Arial"/>
                <w:szCs w:val="22"/>
              </w:rPr>
              <w:t xml:space="preserve">                                     a. Perform Super Clean Procedure </w:t>
            </w:r>
          </w:p>
          <w:p w:rsidR="00B05F62" w:rsidRPr="00C434E3" w:rsidRDefault="00B05F62" w:rsidP="00B05F62">
            <w:pPr>
              <w:jc w:val="left"/>
              <w:rPr>
                <w:rFonts w:cs="Arial"/>
                <w:szCs w:val="22"/>
              </w:rPr>
            </w:pPr>
            <w:r>
              <w:rPr>
                <w:rFonts w:cs="Arial"/>
                <w:szCs w:val="22"/>
              </w:rPr>
              <w:t xml:space="preserve">                                         </w:t>
            </w:r>
            <w:hyperlink r:id="rId16" w:history="1">
              <w:r w:rsidRPr="00B05F62">
                <w:rPr>
                  <w:rStyle w:val="Hyperlink"/>
                  <w:rFonts w:cs="Arial"/>
                  <w:szCs w:val="22"/>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Sunquest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(Mpls)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lastRenderedPageBreak/>
              <w:t xml:space="preserve">                        A negative result is displayed with a green background if the sample has no errors, these samples should auto file into Sunquest.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[Func.]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Monocytes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Eosinophils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Basophils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Imm.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WBC Abn Scattergram</w:t>
            </w:r>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scatterplot;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to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the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Sunquest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r w:rsidRPr="005934EA">
              <w:rPr>
                <w:rFonts w:ascii="Arial" w:hAnsi="Arial" w:cs="Arial"/>
                <w:sz w:val="20"/>
                <w:szCs w:val="20"/>
              </w:rPr>
              <w:t>differential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(i.e.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Sunquest</w:t>
            </w:r>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with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from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results as HIDE in Sunquest.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lastRenderedPageBreak/>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Left Shift?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Atypical Lympho?</w:t>
            </w:r>
            <w:r w:rsidR="00F07AEC">
              <w:rPr>
                <w:rFonts w:ascii="Arial" w:hAnsi="Arial" w:cs="Arial"/>
                <w:sz w:val="20"/>
                <w:szCs w:val="20"/>
              </w:rPr>
              <w:t>**</w:t>
            </w:r>
          </w:p>
          <w:p w:rsidR="0091322B"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Blasts/Abn Lympho?</w:t>
            </w:r>
            <w:r w:rsidR="00F07AEC">
              <w:rPr>
                <w:rFonts w:ascii="Arial" w:hAnsi="Arial" w:cs="Arial"/>
                <w:sz w:val="20"/>
                <w:szCs w:val="20"/>
              </w:rPr>
              <w:t>**</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 If reflex testing was necessary and these flags are present on either the initial or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r w:rsidR="003D137D">
              <w:rPr>
                <w:rFonts w:ascii="Arial" w:hAnsi="Arial" w:cs="Arial"/>
                <w:sz w:val="20"/>
                <w:szCs w:val="20"/>
              </w:rPr>
              <w:t xml:space="preserve">reflex </w:t>
            </w:r>
            <w:r>
              <w:rPr>
                <w:rFonts w:ascii="Arial" w:hAnsi="Arial" w:cs="Arial"/>
                <w:sz w:val="20"/>
                <w:szCs w:val="20"/>
              </w:rPr>
              <w:t>run, a manual differential should be performed.</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microcytes/macrocytes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spherocytes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anisocytosis</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EE0519" w:rsidRDefault="00EE0519" w:rsidP="001A07A5">
            <w:pPr>
              <w:pStyle w:val="ListParagraph"/>
              <w:ind w:left="0"/>
              <w:jc w:val="left"/>
              <w:rPr>
                <w:rFonts w:ascii="Arial" w:hAnsi="Arial" w:cs="Arial"/>
                <w:sz w:val="20"/>
                <w:szCs w:val="20"/>
              </w:rPr>
            </w:pPr>
          </w:p>
          <w:p w:rsidR="00485FDB" w:rsidRDefault="00485FDB" w:rsidP="001A07A5">
            <w:pPr>
              <w:pStyle w:val="ListParagraph"/>
              <w:ind w:left="0"/>
              <w:jc w:val="left"/>
              <w:rPr>
                <w:rFonts w:ascii="Arial" w:hAnsi="Arial" w:cs="Arial"/>
                <w:sz w:val="20"/>
                <w:szCs w:val="20"/>
              </w:rPr>
            </w:pPr>
            <w:r>
              <w:rPr>
                <w:rFonts w:ascii="Arial" w:hAnsi="Arial" w:cs="Arial"/>
                <w:sz w:val="20"/>
                <w:szCs w:val="20"/>
              </w:rPr>
              <w:t xml:space="preserve">     </w:t>
            </w:r>
          </w:p>
          <w:p w:rsidR="00485FDB" w:rsidRPr="0010075E" w:rsidRDefault="00485FDB"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procedure. </w:t>
                  </w:r>
                  <w:hyperlink r:id="rId17"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 ?</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 Review the S</w:t>
                  </w:r>
                  <w:r w:rsidR="002000CF" w:rsidRPr="006D5B13">
                    <w:rPr>
                      <w:rFonts w:ascii="Arial" w:hAnsi="Arial" w:cs="Arial"/>
                      <w:sz w:val="20"/>
                      <w:szCs w:val="20"/>
                    </w:rPr>
                    <w:t xml:space="preserve">ysmex </w:t>
                  </w:r>
                  <w:r w:rsidRPr="006D5B13">
                    <w:rPr>
                      <w:rFonts w:ascii="Arial" w:hAnsi="Arial" w:cs="Arial"/>
                      <w:sz w:val="20"/>
                      <w:szCs w:val="20"/>
                    </w:rPr>
                    <w:t>printout for flags and abnormal scatterplots.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(A)ccept, (M)odify,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appropriate]</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2C72B9" w:rsidRDefault="002C72B9"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b/>
                <w:sz w:val="20"/>
                <w:szCs w:val="20"/>
              </w:rPr>
            </w:pPr>
            <w:r>
              <w:rPr>
                <w:rFonts w:ascii="Arial" w:hAnsi="Arial" w:cs="Arial"/>
                <w:b/>
                <w:sz w:val="20"/>
                <w:szCs w:val="20"/>
              </w:rPr>
              <w:t>B. Resulting in Sunquest Manual Entry Mode ( Body Fluids Only )</w:t>
            </w:r>
          </w:p>
          <w:p w:rsidR="00134595" w:rsidRDefault="00134595"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Function: MEM &lt;CR&gt;</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Device: XNM (Mpls.) or XNS (SP) &lt;CR&gt;</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Calculations by Sunquest are not required so it is not necessary to select a worksheet.</w:t>
            </w:r>
          </w:p>
          <w:p w:rsidR="005F6A77" w:rsidRPr="00485FDB"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Worksheets: CSF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BF(Mpls.) BFS (SP)</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Tests: CSF; CSAP ( Appearance), CWBC, CRBC, SCSF (Diff)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Cytology; CYAP (Appearance), CYVO (Volume), CYWBC, CYRBC, CYTY (Specimen Type)</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Body Fluid; FAP (Appearance), FWBC, FRBC, FDIF (Diff), FTY (Specimen Type)</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Appearance and volume if necessary can be entered under the worksheet. When prompted for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calculations press “ENTER” to bypass them.</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Enter results from the Sysmex under the appropriate test for WBC and RBC.</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Examples for conversion from analyzer;</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For WBC; 1.000 = 1,000          For RBC; 3.000 = 3,000,000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0.100 = 100                             0.300 = 300,000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0.010 = 10                               0.030 = 30,000</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0.001 = 1                                 0.003 = 3,000</w:t>
            </w:r>
          </w:p>
          <w:p w:rsidR="00CF67C1" w:rsidRDefault="00CF67C1" w:rsidP="00067F98">
            <w:pPr>
              <w:pStyle w:val="ListParagraph"/>
              <w:ind w:left="0"/>
              <w:jc w:val="left"/>
              <w:rPr>
                <w:rFonts w:ascii="Arial" w:hAnsi="Arial" w:cs="Arial"/>
                <w:sz w:val="20"/>
                <w:szCs w:val="20"/>
              </w:rPr>
            </w:pPr>
          </w:p>
          <w:p w:rsidR="00CF67C1" w:rsidRDefault="006F09D6" w:rsidP="00067F98">
            <w:pPr>
              <w:pStyle w:val="ListParagraph"/>
              <w:ind w:left="0"/>
              <w:jc w:val="left"/>
              <w:rPr>
                <w:rFonts w:ascii="Arial" w:hAnsi="Arial" w:cs="Arial"/>
                <w:sz w:val="20"/>
                <w:szCs w:val="20"/>
              </w:rPr>
            </w:pPr>
            <w:hyperlink r:id="rId18" w:history="1">
              <w:r w:rsidR="00234E81" w:rsidRPr="00234E81">
                <w:rPr>
                  <w:rStyle w:val="Hyperlink"/>
                  <w:rFonts w:ascii="Arial" w:hAnsi="Arial" w:cs="Arial"/>
                  <w:sz w:val="20"/>
                  <w:szCs w:val="20"/>
                </w:rPr>
                <w:t>Sysmex Body Fluid Resulting Scenarios</w:t>
              </w:r>
            </w:hyperlink>
          </w:p>
          <w:p w:rsidR="00870DCD" w:rsidRDefault="00870DCD" w:rsidP="00067F98">
            <w:pPr>
              <w:pStyle w:val="ListParagraph"/>
              <w:ind w:left="0"/>
              <w:jc w:val="left"/>
              <w:rPr>
                <w:rFonts w:ascii="Arial" w:hAnsi="Arial" w:cs="Arial"/>
                <w:sz w:val="20"/>
                <w:szCs w:val="20"/>
              </w:rPr>
            </w:pPr>
          </w:p>
          <w:p w:rsidR="00AF1E73" w:rsidRDefault="00870DCD" w:rsidP="001A07A5">
            <w:pPr>
              <w:pStyle w:val="ListParagraph"/>
              <w:ind w:left="0"/>
              <w:jc w:val="left"/>
              <w:rPr>
                <w:rFonts w:ascii="Arial" w:hAnsi="Arial" w:cs="Arial"/>
                <w:sz w:val="20"/>
                <w:szCs w:val="20"/>
              </w:rPr>
            </w:pPr>
            <w:r>
              <w:rPr>
                <w:rFonts w:ascii="Arial" w:hAnsi="Arial" w:cs="Arial"/>
                <w:sz w:val="20"/>
                <w:szCs w:val="20"/>
              </w:rPr>
              <w:t xml:space="preserve">Save printout </w:t>
            </w:r>
            <w:r w:rsidR="006C409B">
              <w:rPr>
                <w:rFonts w:ascii="Arial" w:hAnsi="Arial" w:cs="Arial"/>
                <w:sz w:val="20"/>
                <w:szCs w:val="20"/>
              </w:rPr>
              <w:t>from analyzer as documentation.</w:t>
            </w:r>
          </w:p>
          <w:p w:rsidR="00AF1E73" w:rsidRDefault="00AF1E73"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/ul</w:t>
                  </w:r>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lastRenderedPageBreak/>
              <w:t>Red cell fragments, microcytic RBC's, or white cell cytoplasmic fragments may interfere 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Cold agglutinins produce spurious macrocytosis,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hemolyzed samples (</w:t>
            </w:r>
            <w:r w:rsidRPr="008E1C6B">
              <w:rPr>
                <w:rFonts w:ascii="Arial" w:hAnsi="Arial" w:cs="Arial"/>
                <w:i/>
                <w:sz w:val="20"/>
                <w:szCs w:val="20"/>
              </w:rPr>
              <w:t>in vitro</w:t>
            </w:r>
            <w:r w:rsidRPr="008E1C6B">
              <w:rPr>
                <w:rFonts w:ascii="Arial" w:hAnsi="Arial" w:cs="Arial"/>
                <w:sz w:val="20"/>
                <w:szCs w:val="20"/>
              </w:rPr>
              <w:t>) falsely decrease RBC and hematocrit.  Recollect hemolyzed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lipemic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icteric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r w:rsidRPr="008E1C6B">
              <w:rPr>
                <w:rFonts w:ascii="Arial" w:hAnsi="Arial" w:cs="Arial"/>
                <w:sz w:val="20"/>
                <w:szCs w:val="20"/>
              </w:rPr>
              <w:t>Megakaryocytes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r>
              <w:rPr>
                <w:rFonts w:cs="Arial"/>
                <w:szCs w:val="22"/>
              </w:rPr>
              <w:t>Reticulocyte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r w:rsidRPr="00691D32">
              <w:rPr>
                <w:rFonts w:ascii="Arial" w:hAnsi="Arial" w:cs="Arial"/>
                <w:sz w:val="20"/>
                <w:szCs w:val="20"/>
              </w:rPr>
              <w:t>addition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reported.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will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For WBC counts &lt; 0.6 automated diffs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take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only by Sunquest.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lastRenderedPageBreak/>
              <w:t xml:space="preserve">             2. RBCs may be spuriously decreased due to cold agglutinins (MCHC &gt;37.5);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Hgb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Hgb = Hct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1. Result should agree with the RBC and Hct.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 Hgb is to high (MCHC &gt;37.5), run sample on the Hemocue, this will correct for lipemia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elevated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For Hgb’s</w:t>
            </w:r>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the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oncology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MCHC &gt;37.5 except in cases of spherocytosis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lipemia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of lipemia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Hemocue;</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aliquoted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D0517F">
              <w:rPr>
                <w:rFonts w:ascii="Arial" w:hAnsi="Arial" w:cs="Arial"/>
                <w:sz w:val="20"/>
                <w:szCs w:val="20"/>
              </w:rPr>
              <w:t>( repeat steps b and c if still grossly lipemic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plasma replaced results.</w:t>
            </w:r>
            <w:r w:rsidR="00860E8C">
              <w:rPr>
                <w:rFonts w:ascii="Arial" w:hAnsi="Arial" w:cs="Arial"/>
                <w:sz w:val="20"/>
                <w:szCs w:val="20"/>
              </w:rPr>
              <w:t xml:space="preserve"> Enter corrected results in OEM at the (A)ccept,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(M)odify,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microcytic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t xml:space="preserve">                 report.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3. MCHC continuously &lt;32.0 or &gt;37.5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malfunction, check controls, perform troubleshooting.</w:t>
            </w:r>
          </w:p>
          <w:p w:rsidR="00074DC2" w:rsidRDefault="00074DC2" w:rsidP="001A07A5">
            <w:pPr>
              <w:pStyle w:val="ListParagraph"/>
              <w:ind w:left="0"/>
              <w:jc w:val="left"/>
              <w:rPr>
                <w:rFonts w:ascii="Arial" w:hAnsi="Arial" w:cs="Arial"/>
                <w:sz w:val="20"/>
                <w:szCs w:val="20"/>
              </w:rPr>
            </w:pPr>
          </w:p>
          <w:p w:rsidR="00E25D4D" w:rsidRDefault="00E25D4D" w:rsidP="001A07A5">
            <w:pPr>
              <w:pStyle w:val="ListParagraph"/>
              <w:ind w:left="0"/>
              <w:jc w:val="left"/>
              <w:rPr>
                <w:rFonts w:ascii="Arial" w:hAnsi="Arial" w:cs="Arial"/>
                <w:sz w:val="20"/>
                <w:szCs w:val="20"/>
              </w:rPr>
            </w:pPr>
            <w:r>
              <w:rPr>
                <w:rFonts w:ascii="Arial" w:hAnsi="Arial" w:cs="Arial"/>
                <w:sz w:val="20"/>
                <w:szCs w:val="20"/>
              </w:rPr>
              <w:t>F. Platelet count</w:t>
            </w:r>
          </w:p>
          <w:p w:rsidR="00F6364B" w:rsidRDefault="00E25D4D" w:rsidP="001A07A5">
            <w:pPr>
              <w:pStyle w:val="ListParagraph"/>
              <w:ind w:left="0"/>
              <w:jc w:val="left"/>
              <w:rPr>
                <w:rFonts w:ascii="Arial" w:hAnsi="Arial" w:cs="Arial"/>
                <w:sz w:val="20"/>
                <w:szCs w:val="20"/>
              </w:rPr>
            </w:pPr>
            <w:r>
              <w:rPr>
                <w:rFonts w:ascii="Arial" w:hAnsi="Arial" w:cs="Arial"/>
                <w:sz w:val="20"/>
                <w:szCs w:val="20"/>
              </w:rPr>
              <w:t xml:space="preserve">             1. </w:t>
            </w:r>
            <w:r w:rsidR="00F6364B">
              <w:rPr>
                <w:rFonts w:ascii="Arial" w:hAnsi="Arial" w:cs="Arial"/>
                <w:sz w:val="20"/>
                <w:szCs w:val="20"/>
              </w:rPr>
              <w:t xml:space="preserve"> </w:t>
            </w:r>
            <w:r w:rsidR="00F630B0">
              <w:rPr>
                <w:rFonts w:ascii="Arial" w:hAnsi="Arial" w:cs="Arial"/>
                <w:sz w:val="20"/>
                <w:szCs w:val="20"/>
              </w:rPr>
              <w:t>Perform slide review on platelet counts that are &lt;50 x 10³.</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 Pack DCL.</w:t>
            </w:r>
          </w:p>
          <w:p w:rsidR="00562016" w:rsidRDefault="00E71C64" w:rsidP="00F630B0">
            <w:pPr>
              <w:pStyle w:val="ListParagraph"/>
              <w:ind w:left="0"/>
              <w:jc w:val="left"/>
              <w:rPr>
                <w:rFonts w:ascii="Arial" w:hAnsi="Arial" w:cs="Arial"/>
                <w:sz w:val="20"/>
                <w:szCs w:val="20"/>
              </w:rPr>
            </w:pPr>
            <w:r>
              <w:rPr>
                <w:rFonts w:ascii="Arial" w:hAnsi="Arial" w:cs="Arial"/>
                <w:sz w:val="20"/>
                <w:szCs w:val="20"/>
              </w:rPr>
              <w:t xml:space="preserve">             3</w:t>
            </w:r>
            <w:r w:rsidR="00562016">
              <w:rPr>
                <w:rFonts w:ascii="Arial" w:hAnsi="Arial" w:cs="Arial"/>
                <w:sz w:val="20"/>
                <w:szCs w:val="20"/>
              </w:rPr>
              <w:t>.  Routine platelet counts are performed by impedance</w:t>
            </w:r>
            <w:r w:rsidR="00FF63BF">
              <w:rPr>
                <w:rFonts w:ascii="Arial" w:hAnsi="Arial" w:cs="Arial"/>
                <w:sz w:val="20"/>
                <w:szCs w:val="20"/>
              </w:rPr>
              <w:t xml:space="preserve"> methodology. When necessary</w:t>
            </w:r>
          </w:p>
          <w:p w:rsidR="00AF2C53" w:rsidRDefault="00FF63BF"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p</w:t>
            </w:r>
            <w:r>
              <w:rPr>
                <w:rFonts w:ascii="Arial" w:hAnsi="Arial" w:cs="Arial"/>
                <w:sz w:val="20"/>
                <w:szCs w:val="20"/>
              </w:rPr>
              <w:t>latelet counts will</w:t>
            </w:r>
            <w:r w:rsidR="00AF2C53">
              <w:rPr>
                <w:rFonts w:ascii="Arial" w:hAnsi="Arial" w:cs="Arial"/>
                <w:sz w:val="20"/>
                <w:szCs w:val="20"/>
              </w:rPr>
              <w:t xml:space="preserve"> be performed by</w:t>
            </w:r>
            <w:r w:rsidR="00385EE1">
              <w:rPr>
                <w:rFonts w:ascii="Arial" w:hAnsi="Arial" w:cs="Arial"/>
                <w:sz w:val="20"/>
                <w:szCs w:val="20"/>
              </w:rPr>
              <w:t xml:space="preserve"> fluorescence</w:t>
            </w:r>
            <w:r w:rsidR="00AF2C53">
              <w:rPr>
                <w:rFonts w:ascii="Arial" w:hAnsi="Arial" w:cs="Arial"/>
                <w:sz w:val="20"/>
                <w:szCs w:val="20"/>
              </w:rPr>
              <w:t xml:space="preserve"> using a nucleic acid stain specific for </w:t>
            </w:r>
            <w:r w:rsidR="00385EE1">
              <w:rPr>
                <w:rFonts w:ascii="Arial" w:hAnsi="Arial" w:cs="Arial"/>
                <w:sz w:val="20"/>
                <w:szCs w:val="20"/>
              </w:rPr>
              <w:t xml:space="preserve"> </w:t>
            </w:r>
          </w:p>
          <w:p w:rsidR="00107CBB" w:rsidRDefault="00AF2C53" w:rsidP="00F630B0">
            <w:pPr>
              <w:pStyle w:val="ListParagraph"/>
              <w:ind w:left="0"/>
              <w:jc w:val="left"/>
              <w:rPr>
                <w:rFonts w:ascii="Arial" w:hAnsi="Arial" w:cs="Arial"/>
                <w:sz w:val="20"/>
                <w:szCs w:val="20"/>
              </w:rPr>
            </w:pPr>
            <w:r>
              <w:rPr>
                <w:rFonts w:ascii="Arial" w:hAnsi="Arial" w:cs="Arial"/>
                <w:sz w:val="20"/>
                <w:szCs w:val="20"/>
              </w:rPr>
              <w:lastRenderedPageBreak/>
              <w:t xml:space="preserve">                  </w:t>
            </w:r>
            <w:r w:rsidR="00385EE1">
              <w:rPr>
                <w:rFonts w:ascii="Arial" w:hAnsi="Arial" w:cs="Arial"/>
                <w:sz w:val="20"/>
                <w:szCs w:val="20"/>
              </w:rPr>
              <w:t xml:space="preserve">platelet </w:t>
            </w:r>
            <w:r>
              <w:rPr>
                <w:rFonts w:ascii="Arial" w:hAnsi="Arial" w:cs="Arial"/>
                <w:sz w:val="20"/>
                <w:szCs w:val="20"/>
              </w:rPr>
              <w:t xml:space="preserve">organelles and flow cytometry. </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With this methodology a</w:t>
            </w:r>
            <w:r w:rsidR="00385EE1">
              <w:rPr>
                <w:rFonts w:ascii="Arial" w:hAnsi="Arial" w:cs="Arial"/>
                <w:sz w:val="20"/>
                <w:szCs w:val="20"/>
              </w:rPr>
              <w:t>n Immature Platelet Fraction</w:t>
            </w:r>
            <w:r>
              <w:rPr>
                <w:rFonts w:ascii="Arial" w:hAnsi="Arial" w:cs="Arial"/>
                <w:sz w:val="20"/>
                <w:szCs w:val="20"/>
              </w:rPr>
              <w:t xml:space="preserve"> (IPF) </w:t>
            </w:r>
            <w:r w:rsidR="00385EE1">
              <w:rPr>
                <w:rFonts w:ascii="Arial" w:hAnsi="Arial" w:cs="Arial"/>
                <w:sz w:val="20"/>
                <w:szCs w:val="20"/>
              </w:rPr>
              <w:t xml:space="preserve">is </w:t>
            </w:r>
            <w:r w:rsidR="00AF2C53">
              <w:rPr>
                <w:rFonts w:ascii="Arial" w:hAnsi="Arial" w:cs="Arial"/>
                <w:sz w:val="20"/>
                <w:szCs w:val="20"/>
              </w:rPr>
              <w:t>also available.</w:t>
            </w:r>
            <w:r>
              <w:rPr>
                <w:rFonts w:ascii="Arial" w:hAnsi="Arial" w:cs="Arial"/>
                <w:sz w:val="20"/>
                <w:szCs w:val="20"/>
              </w:rPr>
              <w:t xml:space="preserve"> The IPF</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indicates the ratio of immature platelets to the total number of platelets in the patients</w:t>
            </w:r>
          </w:p>
          <w:p w:rsidR="00385EE1"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402576">
              <w:rPr>
                <w:rFonts w:ascii="Arial" w:hAnsi="Arial" w:cs="Arial"/>
                <w:sz w:val="20"/>
                <w:szCs w:val="20"/>
              </w:rPr>
              <w:t xml:space="preserve">peripheral </w:t>
            </w:r>
            <w:r>
              <w:rPr>
                <w:rFonts w:ascii="Arial" w:hAnsi="Arial" w:cs="Arial"/>
                <w:sz w:val="20"/>
                <w:szCs w:val="20"/>
              </w:rPr>
              <w:t xml:space="preserve">blood. </w:t>
            </w:r>
            <w:r w:rsidR="00402576">
              <w:rPr>
                <w:rFonts w:ascii="Arial" w:hAnsi="Arial" w:cs="Arial"/>
                <w:sz w:val="20"/>
                <w:szCs w:val="20"/>
              </w:rPr>
              <w:t>These immature platelets, newly released from the bone marrow,</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may contain increased amounts of cytoplasmic RNA which allows them to be differentiated</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w:t>
            </w:r>
            <w:r w:rsidR="00F33BED">
              <w:rPr>
                <w:rFonts w:ascii="Arial" w:hAnsi="Arial" w:cs="Arial"/>
                <w:sz w:val="20"/>
                <w:szCs w:val="20"/>
              </w:rPr>
              <w:t xml:space="preserve">      from mature platelets. This</w:t>
            </w:r>
            <w:r>
              <w:rPr>
                <w:rFonts w:ascii="Arial" w:hAnsi="Arial" w:cs="Arial"/>
                <w:sz w:val="20"/>
                <w:szCs w:val="20"/>
              </w:rPr>
              <w:t xml:space="preserve"> </w:t>
            </w:r>
            <w:r w:rsidR="00F33BED">
              <w:rPr>
                <w:rFonts w:ascii="Arial" w:hAnsi="Arial" w:cs="Arial"/>
                <w:sz w:val="20"/>
                <w:szCs w:val="20"/>
              </w:rPr>
              <w:t>“</w:t>
            </w:r>
            <w:r>
              <w:rPr>
                <w:rFonts w:ascii="Arial" w:hAnsi="Arial" w:cs="Arial"/>
                <w:sz w:val="20"/>
                <w:szCs w:val="20"/>
              </w:rPr>
              <w:t>reticulated</w:t>
            </w:r>
            <w:r w:rsidR="00F33BED">
              <w:rPr>
                <w:rFonts w:ascii="Arial" w:hAnsi="Arial" w:cs="Arial"/>
                <w:sz w:val="20"/>
                <w:szCs w:val="20"/>
              </w:rPr>
              <w:t>”</w:t>
            </w:r>
            <w:r>
              <w:rPr>
                <w:rFonts w:ascii="Arial" w:hAnsi="Arial" w:cs="Arial"/>
                <w:sz w:val="20"/>
                <w:szCs w:val="20"/>
              </w:rPr>
              <w:t xml:space="preserve"> platelet count has been used by clinicians as a</w:t>
            </w:r>
          </w:p>
          <w:p w:rsidR="00402576" w:rsidRPr="00107CBB" w:rsidRDefault="00402576" w:rsidP="00F630B0">
            <w:pPr>
              <w:pStyle w:val="ListParagraph"/>
              <w:ind w:left="0"/>
              <w:jc w:val="left"/>
              <w:rPr>
                <w:rFonts w:ascii="Arial" w:hAnsi="Arial" w:cs="Arial"/>
                <w:sz w:val="20"/>
                <w:szCs w:val="20"/>
              </w:rPr>
            </w:pPr>
            <w:r>
              <w:rPr>
                <w:rFonts w:ascii="Arial" w:hAnsi="Arial" w:cs="Arial"/>
                <w:sz w:val="20"/>
                <w:szCs w:val="20"/>
              </w:rPr>
              <w:t xml:space="preserve">                  measure of thrombopoietic activity of the bone marrow.</w:t>
            </w:r>
          </w:p>
          <w:p w:rsidR="00385EE1" w:rsidRDefault="00385EE1" w:rsidP="00F630B0">
            <w:pPr>
              <w:pStyle w:val="ListParagraph"/>
              <w:ind w:left="0"/>
              <w:jc w:val="lef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The following are situations when a fluorescent platelet (PLT-F) count is performed;</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a. Abnormal, PLT Abn Distribution</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b. Suspect, PLT Clumps?</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c. Any routine count &lt;100 x 10³</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d. Abnormal, PLT Abn Scattergram*</w:t>
            </w:r>
          </w:p>
          <w:p w:rsidR="00D62949" w:rsidRDefault="00D62949" w:rsidP="00F630B0">
            <w:pPr>
              <w:pStyle w:val="ListParagraph"/>
              <w:ind w:left="0"/>
              <w:jc w:val="left"/>
              <w:rPr>
                <w:rFonts w:ascii="Arial" w:hAnsi="Arial" w:cs="Arial"/>
                <w:sz w:val="20"/>
                <w:szCs w:val="20"/>
              </w:rPr>
            </w:pPr>
            <w:r>
              <w:rPr>
                <w:rFonts w:ascii="Arial" w:hAnsi="Arial" w:cs="Arial"/>
                <w:sz w:val="20"/>
                <w:szCs w:val="20"/>
              </w:rPr>
              <w:t xml:space="preserve">                        e. Difference between PLT and PLT-F. Check the results*</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 this message only occurs on platelet counts run as PLT-F.</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The persistence of asterisks, hyphens or invalid messages requires that a slide review is </w:t>
            </w:r>
          </w:p>
          <w:p w:rsidR="00160F60" w:rsidRDefault="00385EE1" w:rsidP="00F630B0">
            <w:pPr>
              <w:pStyle w:val="ListParagraph"/>
              <w:ind w:left="0"/>
              <w:jc w:val="left"/>
              <w:rPr>
                <w:rFonts w:ascii="Arial" w:hAnsi="Arial" w:cs="Arial"/>
                <w:sz w:val="20"/>
                <w:szCs w:val="20"/>
              </w:rPr>
            </w:pPr>
            <w:r>
              <w:rPr>
                <w:rFonts w:ascii="Arial" w:hAnsi="Arial" w:cs="Arial"/>
                <w:sz w:val="20"/>
                <w:szCs w:val="20"/>
              </w:rPr>
              <w:t xml:space="preserve">                  </w:t>
            </w:r>
            <w:r w:rsidR="00E20B70">
              <w:rPr>
                <w:rFonts w:ascii="Arial" w:hAnsi="Arial" w:cs="Arial"/>
                <w:sz w:val="20"/>
                <w:szCs w:val="20"/>
              </w:rPr>
              <w:t>p</w:t>
            </w:r>
            <w:r>
              <w:rPr>
                <w:rFonts w:ascii="Arial" w:hAnsi="Arial" w:cs="Arial"/>
                <w:sz w:val="20"/>
                <w:szCs w:val="20"/>
              </w:rPr>
              <w:t>erformed</w:t>
            </w:r>
            <w:r w:rsidR="00E20B70">
              <w:rPr>
                <w:rFonts w:ascii="Arial" w:hAnsi="Arial" w:cs="Arial"/>
                <w:sz w:val="20"/>
                <w:szCs w:val="20"/>
              </w:rPr>
              <w:t>.</w:t>
            </w:r>
            <w:r w:rsidR="00160F60">
              <w:rPr>
                <w:rFonts w:ascii="Arial" w:hAnsi="Arial" w:cs="Arial"/>
                <w:sz w:val="20"/>
                <w:szCs w:val="20"/>
              </w:rPr>
              <w:t xml:space="preserve"> Scan the peripheral smear to estimate the platelet count and review for the </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presence of abnormal morphology such as: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large or giant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small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platelet clumps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fragmented RBCs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microcytic RBCs</w:t>
            </w:r>
          </w:p>
          <w:p w:rsidR="00385EE1" w:rsidRDefault="00160F60" w:rsidP="00F630B0">
            <w:pPr>
              <w:pStyle w:val="ListParagraph"/>
              <w:ind w:left="0"/>
              <w:jc w:val="left"/>
              <w:rPr>
                <w:rFonts w:ascii="Arial" w:hAnsi="Arial" w:cs="Arial"/>
                <w:sz w:val="20"/>
                <w:szCs w:val="20"/>
              </w:rPr>
            </w:pPr>
            <w:r>
              <w:rPr>
                <w:rFonts w:ascii="Arial" w:hAnsi="Arial" w:cs="Arial"/>
                <w:sz w:val="20"/>
                <w:szCs w:val="20"/>
              </w:rPr>
              <w:t xml:space="preserve">                         • parasites</w:t>
            </w:r>
            <w:r w:rsidR="00385EE1">
              <w:rPr>
                <w:rFonts w:ascii="Arial" w:hAnsi="Arial" w:cs="Arial"/>
                <w:sz w:val="20"/>
                <w:szCs w:val="20"/>
              </w:rPr>
              <w:t xml:space="preserve"> </w:t>
            </w:r>
          </w:p>
          <w:p w:rsidR="00E761E2" w:rsidRDefault="00E761E2" w:rsidP="00F630B0">
            <w:pPr>
              <w:pStyle w:val="ListParagraph"/>
              <w:ind w:left="0"/>
              <w:jc w:val="left"/>
              <w:rPr>
                <w:rFonts w:ascii="Arial" w:hAnsi="Arial" w:cs="Arial"/>
                <w:sz w:val="20"/>
                <w:szCs w:val="20"/>
              </w:rPr>
            </w:pPr>
            <w:r>
              <w:rPr>
                <w:rFonts w:ascii="Arial" w:hAnsi="Arial" w:cs="Arial"/>
                <w:sz w:val="20"/>
                <w:szCs w:val="20"/>
              </w:rPr>
              <w:t xml:space="preserve">                  If the platelet estimate confirms</w:t>
            </w:r>
            <w:r w:rsidR="008E5EDF">
              <w:rPr>
                <w:rFonts w:ascii="Arial" w:hAnsi="Arial" w:cs="Arial"/>
                <w:sz w:val="20"/>
                <w:szCs w:val="20"/>
              </w:rPr>
              <w:t xml:space="preserve"> the accuracy of the analyzer </w:t>
            </w:r>
            <w:r w:rsidR="00BF4191">
              <w:rPr>
                <w:rFonts w:ascii="Arial" w:hAnsi="Arial" w:cs="Arial"/>
                <w:sz w:val="20"/>
                <w:szCs w:val="20"/>
              </w:rPr>
              <w:t>count it may be reported.</w:t>
            </w:r>
            <w:r w:rsidR="0091061C">
              <w:rPr>
                <w:rFonts w:ascii="Arial" w:hAnsi="Arial" w:cs="Arial"/>
                <w:sz w:val="20"/>
                <w:szCs w:val="20"/>
              </w:rPr>
              <w:t xml:space="preserve"> If </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estimate does not agree with the count in the presence of abnormal morphology report</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platelet count with the coded comment APVO (</w:t>
            </w:r>
            <w:r w:rsidR="002E6747">
              <w:rPr>
                <w:rFonts w:ascii="Arial" w:hAnsi="Arial" w:cs="Arial"/>
                <w:sz w:val="20"/>
                <w:szCs w:val="20"/>
              </w:rPr>
              <w:t>Accuracy of Platelet count and/or MPVO</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may be affected by WBC fragments, RBC fragments, Microcytic RBCs, Platelet clumps or</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large platelets.</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For slides that show significant platelet clumping the platelet count should not be reported </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and resulted as</w:t>
            </w:r>
            <w:r w:rsidR="00A55890">
              <w:rPr>
                <w:rFonts w:ascii="Arial" w:hAnsi="Arial" w:cs="Arial"/>
                <w:sz w:val="20"/>
                <w:szCs w:val="20"/>
              </w:rPr>
              <w:t xml:space="preserve"> PLCL ( Unable to result due to platelet clumping on slide ).</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
          <w:p w:rsidR="00364532" w:rsidRDefault="00364532" w:rsidP="00F630B0">
            <w:pPr>
              <w:pStyle w:val="ListParagraph"/>
              <w:ind w:left="0"/>
              <w:jc w:val="left"/>
              <w:rPr>
                <w:rFonts w:ascii="Arial" w:hAnsi="Arial" w:cs="Arial"/>
                <w:sz w:val="20"/>
                <w:szCs w:val="20"/>
              </w:rPr>
            </w:pPr>
            <w:r>
              <w:rPr>
                <w:rFonts w:ascii="Arial" w:hAnsi="Arial" w:cs="Arial"/>
                <w:sz w:val="20"/>
                <w:szCs w:val="20"/>
              </w:rPr>
              <w:t>G. Reticulocyte Count</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1. For Reticulocyte counts above the linear range, dilute 1:2 with Cell Pack DCL, multiply result    </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DF32C9" w:rsidRDefault="00DF32C9" w:rsidP="00364532">
            <w:pPr>
              <w:pStyle w:val="ListParagraph"/>
              <w:ind w:left="0"/>
              <w:jc w:val="left"/>
              <w:rPr>
                <w:rFonts w:ascii="Arial" w:hAnsi="Arial" w:cs="Arial"/>
                <w:sz w:val="20"/>
                <w:szCs w:val="20"/>
              </w:rPr>
            </w:pPr>
          </w:p>
          <w:p w:rsidR="00050977" w:rsidRDefault="00050977" w:rsidP="00364532">
            <w:pPr>
              <w:pStyle w:val="ListParagraph"/>
              <w:ind w:left="0"/>
              <w:jc w:val="left"/>
              <w:rPr>
                <w:rFonts w:ascii="Arial" w:hAnsi="Arial" w:cs="Arial"/>
                <w:sz w:val="20"/>
                <w:szCs w:val="20"/>
              </w:rPr>
            </w:pPr>
            <w:r>
              <w:rPr>
                <w:rFonts w:ascii="Arial" w:hAnsi="Arial" w:cs="Arial"/>
                <w:sz w:val="20"/>
                <w:szCs w:val="20"/>
              </w:rPr>
              <w:t xml:space="preserve">             2. </w:t>
            </w:r>
            <w:r w:rsidR="00990244">
              <w:rPr>
                <w:rFonts w:ascii="Arial" w:hAnsi="Arial" w:cs="Arial"/>
                <w:sz w:val="20"/>
                <w:szCs w:val="20"/>
              </w:rPr>
              <w:t>Abnormal, RET Abn Scattergram. This flag is generated</w:t>
            </w:r>
            <w:r w:rsidR="008B0791">
              <w:rPr>
                <w:rFonts w:ascii="Arial" w:hAnsi="Arial" w:cs="Arial"/>
                <w:sz w:val="20"/>
                <w:szCs w:val="20"/>
              </w:rPr>
              <w:t xml:space="preserve"> when the analyzer has detected</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Increased activity in t he RET-UPP ( Upper Particle Plateau ) area on the RET-EXT</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scattergram.  This could be due to the presence of NRBCs, Howell-Jolly Bodies or stress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        reticulocytes. These should </w:t>
            </w:r>
            <w:r>
              <w:rPr>
                <w:rFonts w:ascii="Arial" w:hAnsi="Arial" w:cs="Arial"/>
                <w:sz w:val="20"/>
                <w:szCs w:val="20"/>
              </w:rPr>
              <w:t>not</w:t>
            </w:r>
            <w:r w:rsidR="00E448DE">
              <w:rPr>
                <w:rFonts w:ascii="Arial" w:hAnsi="Arial" w:cs="Arial"/>
                <w:sz w:val="20"/>
                <w:szCs w:val="20"/>
              </w:rPr>
              <w:t xml:space="preserve"> be</w:t>
            </w:r>
            <w:r>
              <w:rPr>
                <w:rFonts w:ascii="Arial" w:hAnsi="Arial" w:cs="Arial"/>
                <w:sz w:val="20"/>
                <w:szCs w:val="20"/>
              </w:rPr>
              <w:t xml:space="preserve"> included in the reticulocyte cou</w:t>
            </w:r>
            <w:r w:rsidR="00E448DE">
              <w:rPr>
                <w:rFonts w:ascii="Arial" w:hAnsi="Arial" w:cs="Arial"/>
                <w:sz w:val="20"/>
                <w:szCs w:val="20"/>
              </w:rPr>
              <w:t xml:space="preserve">nt. Asterisks appear next </w:t>
            </w:r>
            <w:r>
              <w:rPr>
                <w:rFonts w:ascii="Arial" w:hAnsi="Arial" w:cs="Arial"/>
                <w:sz w:val="20"/>
                <w:szCs w:val="20"/>
              </w:rPr>
              <w:t xml:space="preserve">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to the </w:t>
            </w:r>
            <w:r>
              <w:rPr>
                <w:rFonts w:ascii="Arial" w:hAnsi="Arial" w:cs="Arial"/>
                <w:sz w:val="20"/>
                <w:szCs w:val="20"/>
              </w:rPr>
              <w:t>reticulocyte parameters.</w:t>
            </w:r>
          </w:p>
          <w:p w:rsidR="00AC5B1D" w:rsidRDefault="00AC5B1D" w:rsidP="00364532">
            <w:pPr>
              <w:pStyle w:val="ListParagraph"/>
              <w:ind w:left="0"/>
              <w:jc w:val="left"/>
              <w:rPr>
                <w:rFonts w:ascii="Arial" w:hAnsi="Arial" w:cs="Arial"/>
                <w:sz w:val="20"/>
                <w:szCs w:val="20"/>
              </w:rPr>
            </w:pPr>
          </w:p>
          <w:p w:rsidR="008B0791" w:rsidRDefault="007A6154" w:rsidP="00364532">
            <w:pPr>
              <w:pStyle w:val="ListParagraph"/>
              <w:ind w:left="0"/>
              <w:jc w:val="left"/>
              <w:rPr>
                <w:rFonts w:ascii="Arial" w:hAnsi="Arial" w:cs="Arial"/>
                <w:sz w:val="20"/>
                <w:szCs w:val="20"/>
              </w:rPr>
            </w:pPr>
            <w:r>
              <w:rPr>
                <w:rFonts w:ascii="Arial" w:hAnsi="Arial" w:cs="Arial"/>
                <w:sz w:val="20"/>
                <w:szCs w:val="20"/>
              </w:rPr>
              <w:t xml:space="preserve">                 Prepare a 1:2</w:t>
            </w:r>
            <w:r w:rsidR="008B0791">
              <w:rPr>
                <w:rFonts w:ascii="Arial" w:hAnsi="Arial" w:cs="Arial"/>
                <w:sz w:val="20"/>
                <w:szCs w:val="20"/>
              </w:rPr>
              <w:t xml:space="preserve"> dilution with Cell Pack DCL and run in the manual mode. If the flag is </w:t>
            </w:r>
          </w:p>
          <w:p w:rsidR="007A6154" w:rsidRDefault="008B0791" w:rsidP="00364532">
            <w:pPr>
              <w:pStyle w:val="ListParagraph"/>
              <w:ind w:left="0"/>
              <w:jc w:val="left"/>
              <w:rPr>
                <w:rFonts w:ascii="Arial" w:hAnsi="Arial" w:cs="Arial"/>
                <w:sz w:val="20"/>
                <w:szCs w:val="20"/>
              </w:rPr>
            </w:pPr>
            <w:r>
              <w:rPr>
                <w:rFonts w:ascii="Arial" w:hAnsi="Arial" w:cs="Arial"/>
                <w:sz w:val="20"/>
                <w:szCs w:val="20"/>
              </w:rPr>
              <w:t xml:space="preserve">                 eliminated multiply the </w:t>
            </w:r>
            <w:r w:rsidR="007A6154">
              <w:rPr>
                <w:rFonts w:ascii="Arial" w:hAnsi="Arial" w:cs="Arial"/>
                <w:sz w:val="20"/>
                <w:szCs w:val="20"/>
              </w:rPr>
              <w:t>absolute reticulocyte count by 2. If flagging persists dilute this sample</w:t>
            </w:r>
          </w:p>
          <w:p w:rsidR="007A6154" w:rsidRDefault="007A6154" w:rsidP="00364532">
            <w:pPr>
              <w:pStyle w:val="ListParagraph"/>
              <w:ind w:left="0"/>
              <w:jc w:val="left"/>
              <w:rPr>
                <w:rFonts w:ascii="Arial" w:hAnsi="Arial" w:cs="Arial"/>
                <w:sz w:val="20"/>
                <w:szCs w:val="20"/>
              </w:rPr>
            </w:pPr>
            <w:r>
              <w:rPr>
                <w:rFonts w:ascii="Arial" w:hAnsi="Arial" w:cs="Arial"/>
                <w:sz w:val="20"/>
                <w:szCs w:val="20"/>
              </w:rPr>
              <w:t xml:space="preserve">                 by 2 (1:4), multiply the absolute reticulocyte count by 4 and report the other parameters </w:t>
            </w:r>
          </w:p>
          <w:p w:rsidR="007209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9E7132">
              <w:rPr>
                <w:rFonts w:ascii="Arial" w:hAnsi="Arial" w:cs="Arial"/>
                <w:sz w:val="20"/>
                <w:szCs w:val="20"/>
              </w:rPr>
              <w:t>( Ret%, IRF, RET- H</w:t>
            </w:r>
            <w:r w:rsidR="009E7132" w:rsidRPr="009E7132">
              <w:rPr>
                <w:rFonts w:ascii="Arial" w:hAnsi="Arial" w:cs="Arial"/>
                <w:i/>
                <w:sz w:val="20"/>
                <w:szCs w:val="20"/>
              </w:rPr>
              <w:t>e</w:t>
            </w:r>
            <w:r w:rsidR="009E7132">
              <w:rPr>
                <w:rFonts w:ascii="Arial" w:hAnsi="Arial" w:cs="Arial"/>
                <w:sz w:val="20"/>
                <w:szCs w:val="20"/>
              </w:rPr>
              <w:t xml:space="preserve"> ) as they are ( no dilution factor necessary ).</w:t>
            </w:r>
          </w:p>
          <w:p w:rsidR="007209B3" w:rsidRDefault="008A2639" w:rsidP="00364532">
            <w:pPr>
              <w:pStyle w:val="ListParagraph"/>
              <w:ind w:left="0"/>
              <w:jc w:val="left"/>
              <w:rPr>
                <w:rFonts w:ascii="Arial" w:hAnsi="Arial" w:cs="Arial"/>
                <w:sz w:val="20"/>
                <w:szCs w:val="20"/>
              </w:rPr>
            </w:pPr>
            <w:r>
              <w:rPr>
                <w:rFonts w:ascii="Arial" w:hAnsi="Arial" w:cs="Arial"/>
                <w:sz w:val="20"/>
                <w:szCs w:val="20"/>
              </w:rPr>
              <w:t xml:space="preserve">                 If a</w:t>
            </w:r>
            <w:r w:rsidR="007209B3">
              <w:rPr>
                <w:rFonts w:ascii="Arial" w:hAnsi="Arial" w:cs="Arial"/>
                <w:sz w:val="20"/>
                <w:szCs w:val="20"/>
              </w:rPr>
              <w:t xml:space="preserve"> dilution results in a RBC count of less than 0.5, </w:t>
            </w:r>
            <w:r w:rsidR="00813ABC">
              <w:rPr>
                <w:rFonts w:ascii="Arial" w:hAnsi="Arial" w:cs="Arial"/>
                <w:sz w:val="20"/>
                <w:szCs w:val="20"/>
              </w:rPr>
              <w:t>all</w:t>
            </w:r>
            <w:r w:rsidR="007209B3">
              <w:rPr>
                <w:rFonts w:ascii="Arial" w:hAnsi="Arial" w:cs="Arial"/>
                <w:sz w:val="20"/>
                <w:szCs w:val="20"/>
              </w:rPr>
              <w:t xml:space="preserve"> results will include an asterisk</w:t>
            </w:r>
          </w:p>
          <w:p w:rsidR="00AC5B1D" w:rsidRDefault="00813ABC" w:rsidP="00364532">
            <w:pPr>
              <w:pStyle w:val="ListParagraph"/>
              <w:ind w:left="0"/>
              <w:jc w:val="left"/>
              <w:rPr>
                <w:rFonts w:ascii="Arial" w:hAnsi="Arial" w:cs="Arial"/>
                <w:sz w:val="20"/>
                <w:szCs w:val="20"/>
              </w:rPr>
            </w:pPr>
            <w:r>
              <w:rPr>
                <w:rFonts w:ascii="Arial" w:hAnsi="Arial" w:cs="Arial"/>
                <w:sz w:val="20"/>
                <w:szCs w:val="20"/>
              </w:rPr>
              <w:t xml:space="preserve">                 because there are not enough events for accurate gating. </w:t>
            </w:r>
            <w:r w:rsidR="008A2639">
              <w:rPr>
                <w:rFonts w:ascii="Arial" w:hAnsi="Arial" w:cs="Arial"/>
                <w:sz w:val="20"/>
                <w:szCs w:val="20"/>
              </w:rPr>
              <w:t>This will most likely happen with</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the 1:4 dilution. If both the dilutions have asterisks, but are in agreement report the value</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from the 1:2 dilution.</w:t>
            </w:r>
          </w:p>
          <w:p w:rsidR="00E448DE" w:rsidRDefault="00937EB3"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As a check on </w:t>
            </w:r>
            <w:r w:rsidR="00DF32C9">
              <w:rPr>
                <w:rFonts w:ascii="Arial" w:hAnsi="Arial" w:cs="Arial"/>
                <w:sz w:val="20"/>
                <w:szCs w:val="20"/>
              </w:rPr>
              <w:t>dilutions, RBC counts should agree within 5%.</w:t>
            </w:r>
          </w:p>
          <w:p w:rsidR="00937E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AC5958">
              <w:rPr>
                <w:rFonts w:ascii="Arial" w:hAnsi="Arial" w:cs="Arial"/>
                <w:sz w:val="20"/>
                <w:szCs w:val="20"/>
              </w:rPr>
              <w:t>In these situations the l</w:t>
            </w:r>
            <w:r>
              <w:rPr>
                <w:rFonts w:ascii="Arial" w:hAnsi="Arial" w:cs="Arial"/>
                <w:sz w:val="20"/>
                <w:szCs w:val="20"/>
              </w:rPr>
              <w:t xml:space="preserve">inearity symbol (@) can be ignored as dilutions will </w:t>
            </w:r>
          </w:p>
          <w:p w:rsidR="00AC5958" w:rsidRDefault="00AC5958" w:rsidP="00AC5958">
            <w:pPr>
              <w:pStyle w:val="ListParagraph"/>
              <w:ind w:left="0"/>
              <w:jc w:val="left"/>
              <w:rPr>
                <w:rFonts w:ascii="Arial" w:hAnsi="Arial" w:cs="Arial"/>
                <w:sz w:val="20"/>
                <w:szCs w:val="20"/>
              </w:rPr>
            </w:pPr>
            <w:r>
              <w:rPr>
                <w:rFonts w:ascii="Arial" w:hAnsi="Arial" w:cs="Arial"/>
                <w:sz w:val="20"/>
                <w:szCs w:val="20"/>
              </w:rPr>
              <w:t xml:space="preserve">                 confirm the value for Ret%.</w:t>
            </w:r>
          </w:p>
          <w:p w:rsidR="00AC5958" w:rsidRDefault="00AC5958" w:rsidP="00364532">
            <w:pPr>
              <w:pStyle w:val="ListParagraph"/>
              <w:ind w:left="0"/>
              <w:jc w:val="left"/>
              <w:rPr>
                <w:rFonts w:ascii="Arial" w:hAnsi="Arial" w:cs="Arial"/>
                <w:sz w:val="20"/>
                <w:szCs w:val="20"/>
              </w:rPr>
            </w:pPr>
          </w:p>
          <w:p w:rsidR="008D0F06" w:rsidRDefault="008D0F06" w:rsidP="00364532">
            <w:pPr>
              <w:pStyle w:val="ListParagraph"/>
              <w:ind w:left="0"/>
              <w:jc w:val="left"/>
              <w:rPr>
                <w:rFonts w:ascii="Arial" w:hAnsi="Arial" w:cs="Arial"/>
                <w:sz w:val="20"/>
                <w:szCs w:val="20"/>
              </w:rPr>
            </w:pPr>
            <w:r>
              <w:rPr>
                <w:rFonts w:ascii="Arial" w:hAnsi="Arial" w:cs="Arial"/>
                <w:sz w:val="20"/>
                <w:szCs w:val="20"/>
              </w:rPr>
              <w:t xml:space="preserve">                 If the asterisks are</w:t>
            </w:r>
            <w:r w:rsidR="009E7132">
              <w:rPr>
                <w:rFonts w:ascii="Arial" w:hAnsi="Arial" w:cs="Arial"/>
                <w:sz w:val="20"/>
                <w:szCs w:val="20"/>
              </w:rPr>
              <w:t xml:space="preserve"> not eliminated It may be necessary</w:t>
            </w:r>
            <w:r w:rsidR="001026EA">
              <w:rPr>
                <w:rFonts w:ascii="Arial" w:hAnsi="Arial" w:cs="Arial"/>
                <w:sz w:val="20"/>
                <w:szCs w:val="20"/>
              </w:rPr>
              <w:t xml:space="preserve"> to scan the</w:t>
            </w:r>
            <w:r>
              <w:rPr>
                <w:rFonts w:ascii="Arial" w:hAnsi="Arial" w:cs="Arial"/>
                <w:sz w:val="20"/>
                <w:szCs w:val="20"/>
              </w:rPr>
              <w:t xml:space="preserve"> slide for the presence of </w:t>
            </w:r>
          </w:p>
          <w:p w:rsidR="009E7132" w:rsidRDefault="008D0F06" w:rsidP="00364532">
            <w:pPr>
              <w:pStyle w:val="ListParagraph"/>
              <w:ind w:left="0"/>
              <w:jc w:val="left"/>
              <w:rPr>
                <w:rFonts w:ascii="Arial" w:hAnsi="Arial" w:cs="Arial"/>
                <w:sz w:val="20"/>
                <w:szCs w:val="20"/>
              </w:rPr>
            </w:pPr>
            <w:r>
              <w:rPr>
                <w:rFonts w:ascii="Arial" w:hAnsi="Arial" w:cs="Arial"/>
                <w:sz w:val="20"/>
                <w:szCs w:val="20"/>
              </w:rPr>
              <w:t xml:space="preserve">                 large numbers of  NRBCs, Howell-Jolly Bodies or blood parasites. In these cases report the      </w:t>
            </w:r>
          </w:p>
          <w:p w:rsidR="0083413F" w:rsidRDefault="008D0F06" w:rsidP="00364532">
            <w:pPr>
              <w:pStyle w:val="ListParagraph"/>
              <w:ind w:left="0"/>
              <w:jc w:val="left"/>
              <w:rPr>
                <w:rFonts w:ascii="Arial" w:hAnsi="Arial" w:cs="Arial"/>
                <w:sz w:val="20"/>
                <w:szCs w:val="20"/>
              </w:rPr>
            </w:pPr>
            <w:r>
              <w:rPr>
                <w:rFonts w:ascii="Arial" w:hAnsi="Arial" w:cs="Arial"/>
                <w:sz w:val="20"/>
                <w:szCs w:val="20"/>
              </w:rPr>
              <w:t xml:space="preserve">                 the result with the comment RETBI (Results may be affected by the presence of interfering</w:t>
            </w:r>
          </w:p>
          <w:p w:rsidR="001026EA" w:rsidRDefault="0083413F" w:rsidP="00364532">
            <w:pPr>
              <w:pStyle w:val="ListParagraph"/>
              <w:ind w:left="0"/>
              <w:jc w:val="left"/>
              <w:rPr>
                <w:rFonts w:ascii="Arial" w:hAnsi="Arial" w:cs="Arial"/>
                <w:sz w:val="20"/>
                <w:szCs w:val="20"/>
              </w:rPr>
            </w:pPr>
            <w:r>
              <w:rPr>
                <w:rFonts w:ascii="Arial" w:hAnsi="Arial" w:cs="Arial"/>
                <w:sz w:val="20"/>
                <w:szCs w:val="20"/>
              </w:rPr>
              <w:t xml:space="preserve">                 substances).</w:t>
            </w:r>
            <w:r w:rsidR="001026EA">
              <w:rPr>
                <w:rFonts w:ascii="Arial" w:hAnsi="Arial" w:cs="Arial"/>
                <w:sz w:val="20"/>
                <w:szCs w:val="20"/>
              </w:rPr>
              <w:t xml:space="preserve"> </w:t>
            </w:r>
          </w:p>
          <w:p w:rsidR="00E448DE" w:rsidRDefault="00E448DE" w:rsidP="00364532">
            <w:pPr>
              <w:pStyle w:val="ListParagraph"/>
              <w:ind w:left="0"/>
              <w:jc w:val="left"/>
              <w:rPr>
                <w:rFonts w:ascii="Arial" w:hAnsi="Arial" w:cs="Arial"/>
                <w:sz w:val="20"/>
                <w:szCs w:val="20"/>
              </w:rPr>
            </w:pPr>
          </w:p>
          <w:p w:rsidR="008B0791" w:rsidRDefault="009E7132" w:rsidP="00364532">
            <w:pPr>
              <w:pStyle w:val="ListParagraph"/>
              <w:ind w:left="0"/>
              <w:jc w:val="left"/>
              <w:rPr>
                <w:rFonts w:ascii="Arial" w:hAnsi="Arial" w:cs="Arial"/>
                <w:sz w:val="20"/>
                <w:szCs w:val="20"/>
              </w:rPr>
            </w:pPr>
            <w:r>
              <w:rPr>
                <w:rFonts w:ascii="Arial" w:hAnsi="Arial" w:cs="Arial"/>
                <w:sz w:val="20"/>
                <w:szCs w:val="20"/>
              </w:rPr>
              <w:lastRenderedPageBreak/>
              <w:t xml:space="preserve">             3. The RET- H</w:t>
            </w:r>
            <w:r w:rsidRPr="009E7132">
              <w:rPr>
                <w:rFonts w:ascii="Arial" w:hAnsi="Arial" w:cs="Arial"/>
                <w:i/>
                <w:sz w:val="20"/>
                <w:szCs w:val="20"/>
              </w:rPr>
              <w:t>e</w:t>
            </w:r>
            <w:r w:rsidR="008B0791">
              <w:rPr>
                <w:rFonts w:ascii="Arial" w:hAnsi="Arial" w:cs="Arial"/>
                <w:sz w:val="20"/>
                <w:szCs w:val="20"/>
              </w:rPr>
              <w:t xml:space="preserve"> </w:t>
            </w:r>
            <w:r>
              <w:rPr>
                <w:rFonts w:ascii="Arial" w:hAnsi="Arial" w:cs="Arial"/>
                <w:sz w:val="20"/>
                <w:szCs w:val="20"/>
              </w:rPr>
              <w:t xml:space="preserve">which is a measure of the hemoglobin content of the reticulocyte is </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also performed with a reticulocyte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r>
              <w:rPr>
                <w:rFonts w:cs="Arial"/>
                <w:szCs w:val="22"/>
              </w:rPr>
              <w:t xml:space="preserve">Sysmex XN-3000 </w:t>
            </w:r>
            <w:r w:rsidRPr="005C1472">
              <w:rPr>
                <w:rFonts w:cs="Arial"/>
                <w:i/>
                <w:szCs w:val="22"/>
              </w:rPr>
              <w:t>Instructions for Use</w:t>
            </w:r>
            <w:r>
              <w:rPr>
                <w:rFonts w:cs="Arial"/>
                <w:szCs w:val="22"/>
              </w:rPr>
              <w:t xml:space="preserve"> (North American Edition)</w:t>
            </w:r>
            <w:r w:rsidRPr="00620AAF">
              <w:rPr>
                <w:rFonts w:cs="Arial"/>
                <w:szCs w:val="22"/>
              </w:rPr>
              <w:t>, Sysmex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r>
              <w:rPr>
                <w:rFonts w:cs="Arial"/>
                <w:szCs w:val="22"/>
              </w:rPr>
              <w:t xml:space="preserve">Sysmex XN series </w:t>
            </w:r>
            <w:r w:rsidRPr="00DC705D">
              <w:rPr>
                <w:rFonts w:cs="Arial"/>
                <w:i/>
                <w:szCs w:val="22"/>
              </w:rPr>
              <w:t>Administrator’s Guide</w:t>
            </w:r>
            <w:r>
              <w:rPr>
                <w:rFonts w:cs="Arial"/>
                <w:i/>
                <w:szCs w:val="22"/>
              </w:rPr>
              <w:t xml:space="preserve"> </w:t>
            </w:r>
            <w:r>
              <w:rPr>
                <w:rFonts w:cs="Arial"/>
                <w:szCs w:val="22"/>
              </w:rPr>
              <w:t>(North American Edition), Sysmex Corporation, Kobe, Japan</w:t>
            </w:r>
          </w:p>
          <w:p w:rsidR="00871BB8" w:rsidRPr="00DC705D" w:rsidRDefault="00871BB8" w:rsidP="00871BB8">
            <w:pPr>
              <w:numPr>
                <w:ilvl w:val="0"/>
                <w:numId w:val="47"/>
              </w:numPr>
              <w:tabs>
                <w:tab w:val="num" w:pos="1080"/>
              </w:tabs>
              <w:spacing w:after="40"/>
              <w:ind w:left="1080"/>
              <w:jc w:val="left"/>
              <w:rPr>
                <w:rFonts w:cs="Arial"/>
                <w:szCs w:val="22"/>
              </w:rPr>
            </w:pPr>
            <w:r>
              <w:rPr>
                <w:rFonts w:cs="Arial"/>
                <w:szCs w:val="22"/>
              </w:rPr>
              <w:t xml:space="preserve">Sysmex SP-10 </w:t>
            </w:r>
            <w:r w:rsidRPr="00DC705D">
              <w:rPr>
                <w:rFonts w:cs="Arial"/>
                <w:i/>
                <w:szCs w:val="22"/>
              </w:rPr>
              <w:t xml:space="preserve">Instructions for Use </w:t>
            </w:r>
            <w:r>
              <w:rPr>
                <w:rFonts w:cs="Arial"/>
                <w:szCs w:val="22"/>
              </w:rPr>
              <w:t>(North American Edition), Sysmex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Hematology Calibrators:  Calibrators for Sysmex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r w:rsidRPr="00E41E73">
              <w:rPr>
                <w:rFonts w:cs="Arial"/>
                <w:szCs w:val="22"/>
              </w:rPr>
              <w:t xml:space="preserve">Sysmex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Hematology Control for Sysmex X</w:t>
            </w:r>
            <w:r>
              <w:rPr>
                <w:rFonts w:cs="Arial"/>
                <w:szCs w:val="22"/>
              </w:rPr>
              <w:t>N</w:t>
            </w:r>
            <w:r w:rsidRPr="00E41E73">
              <w:rPr>
                <w:rFonts w:cs="Arial"/>
                <w:szCs w:val="22"/>
              </w:rPr>
              <w:t xml:space="preserve">-Series Analyzers </w:t>
            </w:r>
            <w:r>
              <w:rPr>
                <w:rFonts w:cs="Arial"/>
                <w:szCs w:val="22"/>
              </w:rPr>
              <w:t>package insert</w:t>
            </w:r>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r w:rsidRPr="008D6E8D">
              <w:rPr>
                <w:rFonts w:cs="Arial"/>
                <w:szCs w:val="22"/>
              </w:rPr>
              <w:t xml:space="preserve">Sysmex </w:t>
            </w:r>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Koepke, John.  </w:t>
            </w:r>
            <w:r w:rsidRPr="009A1A56">
              <w:rPr>
                <w:rFonts w:cs="Arial"/>
                <w:i/>
                <w:szCs w:val="22"/>
              </w:rPr>
              <w:t>Practical Labo</w:t>
            </w:r>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Cornbleet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1983;8:509-514.</w:t>
            </w:r>
          </w:p>
          <w:p w:rsidR="00871BB8" w:rsidRPr="00620AAF" w:rsidRDefault="00871BB8" w:rsidP="00871BB8">
            <w:pPr>
              <w:numPr>
                <w:ilvl w:val="0"/>
                <w:numId w:val="47"/>
              </w:numPr>
              <w:tabs>
                <w:tab w:val="num" w:pos="1080"/>
              </w:tabs>
              <w:spacing w:after="40"/>
              <w:ind w:left="1080"/>
              <w:jc w:val="left"/>
              <w:rPr>
                <w:rFonts w:cs="Arial"/>
                <w:szCs w:val="22"/>
              </w:rPr>
            </w:pPr>
            <w:r w:rsidRPr="00620AAF">
              <w:rPr>
                <w:rFonts w:cs="Arial"/>
                <w:szCs w:val="22"/>
              </w:rPr>
              <w:t>Sysmex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Koepke, John.  </w:t>
            </w:r>
            <w:r w:rsidRPr="00B16322">
              <w:rPr>
                <w:rFonts w:cs="Arial"/>
                <w:i/>
                <w:iCs/>
                <w:szCs w:val="22"/>
              </w:rPr>
              <w:t>Basic Quality Assurance Practices for Clinical Laboratories</w:t>
            </w:r>
            <w:r w:rsidRPr="00B16322">
              <w:rPr>
                <w:rFonts w:cs="Arial"/>
                <w:szCs w:val="22"/>
              </w:rPr>
              <w:t>, Van Nostrand Reinhold, 1989, p 189.    </w:t>
            </w:r>
          </w:p>
          <w:p w:rsidR="00871BB8" w:rsidRPr="00B16322" w:rsidRDefault="00871BB8" w:rsidP="00871BB8">
            <w:pPr>
              <w:numPr>
                <w:ilvl w:val="0"/>
                <w:numId w:val="47"/>
              </w:numPr>
              <w:ind w:left="1080"/>
              <w:jc w:val="left"/>
              <w:rPr>
                <w:rFonts w:cs="Arial"/>
                <w:szCs w:val="22"/>
              </w:rPr>
            </w:pPr>
            <w:r w:rsidRPr="00B16322">
              <w:rPr>
                <w:rFonts w:cs="Arial"/>
                <w:szCs w:val="22"/>
              </w:rPr>
              <w:t xml:space="preserve">Gulati GL, Asselta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Xiaoli W. </w:t>
            </w:r>
            <w:r w:rsidRPr="00B16322">
              <w:rPr>
                <w:rFonts w:cs="Arial"/>
                <w:i/>
                <w:iCs/>
                <w:szCs w:val="22"/>
              </w:rPr>
              <w:t>Amikacin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t xml:space="preserve">Document number 1166-LSS, Rev. 2 August 2016 </w:t>
            </w:r>
            <w:hyperlink r:id="rId19" w:history="1">
              <w:r w:rsidR="00BD3A01" w:rsidRPr="00BD3A01">
                <w:rPr>
                  <w:rStyle w:val="Hyperlink"/>
                  <w:rFonts w:cs="Arial"/>
                  <w:szCs w:val="22"/>
                </w:rPr>
                <w:t>Sysmex Flagging Interpretation Guide</w:t>
              </w:r>
            </w:hyperlink>
          </w:p>
          <w:p w:rsidR="00871BB8" w:rsidRDefault="00871BB8" w:rsidP="00871BB8">
            <w:pPr>
              <w:autoSpaceDE w:val="0"/>
              <w:autoSpaceDN w:val="0"/>
              <w:jc w:val="left"/>
              <w:rPr>
                <w:rFonts w:cs="Arial"/>
                <w:szCs w:val="22"/>
              </w:rPr>
            </w:pPr>
            <w:r>
              <w:rPr>
                <w:rFonts w:cs="Arial"/>
                <w:szCs w:val="22"/>
              </w:rPr>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20"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Reticulocyte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21" w:history="1">
              <w:r w:rsidR="00CC74B1" w:rsidRPr="00CC74B1">
                <w:rPr>
                  <w:rStyle w:val="Hyperlink"/>
                  <w:rFonts w:cs="Arial"/>
                  <w:szCs w:val="22"/>
                </w:rPr>
                <w:t>Reticulocyte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2"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Sysmex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3"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Mpls.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Sysmex Quick Guide</w:t>
            </w:r>
            <w:r w:rsidR="00661FA5">
              <w:rPr>
                <w:rFonts w:cs="Arial"/>
                <w:szCs w:val="22"/>
              </w:rPr>
              <w:t xml:space="preserve"> </w:t>
            </w:r>
            <w:hyperlink r:id="rId24" w:history="1">
              <w:r w:rsidR="00661FA5" w:rsidRPr="00661FA5">
                <w:rPr>
                  <w:rStyle w:val="Hyperlink"/>
                  <w:rFonts w:cs="Arial"/>
                  <w:szCs w:val="22"/>
                </w:rPr>
                <w:t>Sysmex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Sysmex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5"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Added weekly disinfecting and replacement of water container on SP-10. Added monthly Super Clean procedure for SP-10.</w:t>
            </w:r>
          </w:p>
        </w:tc>
      </w:tr>
      <w:tr w:rsidR="0063634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36345" w:rsidRDefault="0063634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3</w:t>
            </w:r>
          </w:p>
        </w:tc>
        <w:tc>
          <w:tcPr>
            <w:tcW w:w="2566"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12/1/17</w:t>
            </w:r>
          </w:p>
        </w:tc>
        <w:tc>
          <w:tcPr>
            <w:tcW w:w="3293"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Modified reporti</w:t>
            </w:r>
            <w:r w:rsidR="004333FF">
              <w:rPr>
                <w:rFonts w:ascii="Arial" w:hAnsi="Arial" w:cs="Arial"/>
                <w:sz w:val="20"/>
              </w:rPr>
              <w:t>ng instructions for Platelet counts,</w:t>
            </w:r>
            <w:r>
              <w:rPr>
                <w:rFonts w:ascii="Arial" w:hAnsi="Arial" w:cs="Arial"/>
                <w:sz w:val="20"/>
              </w:rPr>
              <w:t xml:space="preserve"> Reticulocyte counts</w:t>
            </w:r>
            <w:r w:rsidR="004333FF">
              <w:rPr>
                <w:rFonts w:ascii="Arial" w:hAnsi="Arial" w:cs="Arial"/>
                <w:sz w:val="20"/>
              </w:rPr>
              <w:t xml:space="preserve"> and Manual Differential (reflex flagging). </w:t>
            </w:r>
          </w:p>
        </w:tc>
      </w:tr>
      <w:tr w:rsidR="006C409B"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C409B" w:rsidRDefault="006C409B">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4</w:t>
            </w:r>
          </w:p>
        </w:tc>
        <w:tc>
          <w:tcPr>
            <w:tcW w:w="2566"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02/26/18</w:t>
            </w:r>
          </w:p>
        </w:tc>
        <w:tc>
          <w:tcPr>
            <w:tcW w:w="3293"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Added instructions for manual resulting on body fluids</w:t>
            </w:r>
          </w:p>
        </w:tc>
      </w:tr>
      <w:tr w:rsidR="005A7630"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A7630" w:rsidRDefault="005A7630">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5</w:t>
            </w:r>
          </w:p>
        </w:tc>
        <w:tc>
          <w:tcPr>
            <w:tcW w:w="2566"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04/27/18</w:t>
            </w:r>
          </w:p>
        </w:tc>
        <w:tc>
          <w:tcPr>
            <w:tcW w:w="3293"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Added hyperlink for RU-20 to DCL conversion.</w:t>
            </w:r>
          </w:p>
        </w:tc>
      </w:tr>
    </w:tbl>
    <w:p w:rsidR="005062F1" w:rsidRDefault="005062F1">
      <w:pPr>
        <w:rPr>
          <w:rFonts w:ascii="Arial" w:hAnsi="Arial" w:cs="Arial"/>
        </w:rPr>
      </w:pPr>
    </w:p>
    <w:sectPr w:rsidR="005062F1" w:rsidSect="000025C6">
      <w:headerReference w:type="even" r:id="rId26"/>
      <w:headerReference w:type="default" r:id="rId27"/>
      <w:footerReference w:type="default" r:id="rId28"/>
      <w:headerReference w:type="first" r:id="rId2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74" w:rsidRDefault="008F7B74">
      <w:r>
        <w:separator/>
      </w:r>
    </w:p>
  </w:endnote>
  <w:endnote w:type="continuationSeparator" w:id="0">
    <w:p w:rsidR="008F7B74" w:rsidRDefault="008F7B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5818"/>
      <w:docPartObj>
        <w:docPartGallery w:val="Page Numbers (Bottom of Page)"/>
        <w:docPartUnique/>
      </w:docPartObj>
    </w:sdtPr>
    <w:sdtContent>
      <w:sdt>
        <w:sdtPr>
          <w:id w:val="565050523"/>
          <w:docPartObj>
            <w:docPartGallery w:val="Page Numbers (Top of Page)"/>
            <w:docPartUnique/>
          </w:docPartObj>
        </w:sdtPr>
        <w:sdtContent>
          <w:p w:rsidR="0017648C" w:rsidRDefault="0017648C">
            <w:pPr>
              <w:pStyle w:val="Footer"/>
              <w:jc w:val="right"/>
            </w:pPr>
            <w:r>
              <w:t xml:space="preserve">Page </w:t>
            </w:r>
            <w:r>
              <w:rPr>
                <w:b/>
                <w:sz w:val="24"/>
              </w:rPr>
              <w:fldChar w:fldCharType="begin"/>
            </w:r>
            <w:r>
              <w:rPr>
                <w:b/>
              </w:rPr>
              <w:instrText xml:space="preserve"> PAGE </w:instrText>
            </w:r>
            <w:r>
              <w:rPr>
                <w:b/>
                <w:sz w:val="24"/>
              </w:rPr>
              <w:fldChar w:fldCharType="separate"/>
            </w:r>
            <w:r w:rsidR="00B614D5">
              <w:rPr>
                <w:b/>
                <w:noProof/>
              </w:rPr>
              <w:t>24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614D5">
              <w:rPr>
                <w:b/>
                <w:noProof/>
              </w:rPr>
              <w:t>25</w:t>
            </w:r>
            <w:r>
              <w:rPr>
                <w:b/>
                <w:sz w:val="24"/>
              </w:rPr>
              <w:fldChar w:fldCharType="end"/>
            </w:r>
          </w:p>
        </w:sdtContent>
      </w:sdt>
    </w:sdtContent>
  </w:sdt>
  <w:p w:rsidR="0017648C" w:rsidRDefault="0017648C">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74" w:rsidRDefault="008F7B74">
      <w:r>
        <w:separator/>
      </w:r>
    </w:p>
  </w:footnote>
  <w:footnote w:type="continuationSeparator" w:id="0">
    <w:p w:rsidR="008F7B74" w:rsidRDefault="008F7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8C" w:rsidRDefault="001764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8C" w:rsidRDefault="0017648C">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HEM 17.1 Complete Cell Count of Whole Blood – Sysmex XN 3000</w:t>
    </w:r>
    <w:r>
      <w:rPr>
        <w:rFonts w:ascii="Arial" w:hAnsi="Arial" w:cs="Arial"/>
        <w:sz w:val="18"/>
      </w:rPr>
      <w:tab/>
    </w:r>
  </w:p>
  <w:p w:rsidR="0017648C" w:rsidRDefault="0017648C" w:rsidP="00C971CB">
    <w:pPr>
      <w:ind w:left="-1260" w:right="-1260"/>
      <w:rPr>
        <w:rFonts w:ascii="Arial" w:hAnsi="Arial" w:cs="Arial"/>
        <w:sz w:val="18"/>
      </w:rPr>
    </w:pPr>
    <w:r>
      <w:rPr>
        <w:rFonts w:ascii="Arial" w:hAnsi="Arial" w:cs="Arial"/>
        <w:sz w:val="18"/>
      </w:rPr>
      <w:t>Document #H45 Version #5</w:t>
    </w:r>
  </w:p>
  <w:p w:rsidR="0017648C" w:rsidRDefault="0017648C">
    <w:pPr>
      <w:ind w:left="-1260" w:right="-1260"/>
      <w:rPr>
        <w:rFonts w:ascii="Arial" w:hAnsi="Arial" w:cs="Arial"/>
        <w:sz w:val="18"/>
      </w:rPr>
    </w:pPr>
    <w:r>
      <w:rPr>
        <w:rFonts w:ascii="Arial" w:hAnsi="Arial" w:cs="Arial"/>
        <w:sz w:val="18"/>
      </w:rPr>
      <w:t>Effective Date: 4/27/18</w:t>
    </w:r>
  </w:p>
  <w:p w:rsidR="0017648C" w:rsidRDefault="0017648C">
    <w:pPr>
      <w:ind w:left="-1260" w:right="-1260"/>
      <w:rPr>
        <w:b/>
        <w:sz w:val="18"/>
        <w:szCs w:val="26"/>
      </w:rPr>
    </w:pPr>
  </w:p>
  <w:p w:rsidR="0017648C" w:rsidRDefault="0017648C">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8C" w:rsidRDefault="001764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1267"/>
    <w:rsid w:val="00014C21"/>
    <w:rsid w:val="00021E98"/>
    <w:rsid w:val="0002334F"/>
    <w:rsid w:val="00023781"/>
    <w:rsid w:val="00025FF5"/>
    <w:rsid w:val="00033664"/>
    <w:rsid w:val="00035A97"/>
    <w:rsid w:val="00035CB2"/>
    <w:rsid w:val="00047E3E"/>
    <w:rsid w:val="00050977"/>
    <w:rsid w:val="000526D3"/>
    <w:rsid w:val="000542EA"/>
    <w:rsid w:val="00061160"/>
    <w:rsid w:val="0006189E"/>
    <w:rsid w:val="0006251E"/>
    <w:rsid w:val="00063F71"/>
    <w:rsid w:val="00067F98"/>
    <w:rsid w:val="00073DB5"/>
    <w:rsid w:val="00074DC2"/>
    <w:rsid w:val="000777ED"/>
    <w:rsid w:val="0008555B"/>
    <w:rsid w:val="00090FEF"/>
    <w:rsid w:val="0009248D"/>
    <w:rsid w:val="00095145"/>
    <w:rsid w:val="000A4601"/>
    <w:rsid w:val="000B4125"/>
    <w:rsid w:val="000C48C3"/>
    <w:rsid w:val="000C63C2"/>
    <w:rsid w:val="000D13B0"/>
    <w:rsid w:val="000D28BD"/>
    <w:rsid w:val="000D3CED"/>
    <w:rsid w:val="000E3617"/>
    <w:rsid w:val="000E5DBF"/>
    <w:rsid w:val="000F3F81"/>
    <w:rsid w:val="000F6903"/>
    <w:rsid w:val="0010075E"/>
    <w:rsid w:val="001026EA"/>
    <w:rsid w:val="00102FE8"/>
    <w:rsid w:val="001069FF"/>
    <w:rsid w:val="00107CBB"/>
    <w:rsid w:val="00107F63"/>
    <w:rsid w:val="001150C4"/>
    <w:rsid w:val="001161B9"/>
    <w:rsid w:val="001229F3"/>
    <w:rsid w:val="00123D0D"/>
    <w:rsid w:val="00123ED7"/>
    <w:rsid w:val="00125DF1"/>
    <w:rsid w:val="00134595"/>
    <w:rsid w:val="00146DF3"/>
    <w:rsid w:val="001511FF"/>
    <w:rsid w:val="00160F60"/>
    <w:rsid w:val="001640C0"/>
    <w:rsid w:val="001642FF"/>
    <w:rsid w:val="0016523B"/>
    <w:rsid w:val="00167644"/>
    <w:rsid w:val="0017648C"/>
    <w:rsid w:val="00176F33"/>
    <w:rsid w:val="0018031C"/>
    <w:rsid w:val="00183504"/>
    <w:rsid w:val="00197B2B"/>
    <w:rsid w:val="001A07A5"/>
    <w:rsid w:val="001B6C9B"/>
    <w:rsid w:val="001E0BE9"/>
    <w:rsid w:val="001F3B92"/>
    <w:rsid w:val="001F608E"/>
    <w:rsid w:val="001F7D27"/>
    <w:rsid w:val="002000CF"/>
    <w:rsid w:val="002004D8"/>
    <w:rsid w:val="00202551"/>
    <w:rsid w:val="00211D71"/>
    <w:rsid w:val="00213738"/>
    <w:rsid w:val="002206FE"/>
    <w:rsid w:val="00224AA3"/>
    <w:rsid w:val="002304AD"/>
    <w:rsid w:val="002345EF"/>
    <w:rsid w:val="00234E81"/>
    <w:rsid w:val="00234F73"/>
    <w:rsid w:val="00241608"/>
    <w:rsid w:val="00241FB1"/>
    <w:rsid w:val="00244BA9"/>
    <w:rsid w:val="00245DCF"/>
    <w:rsid w:val="00251A5A"/>
    <w:rsid w:val="00252328"/>
    <w:rsid w:val="002539EC"/>
    <w:rsid w:val="002622D3"/>
    <w:rsid w:val="00264851"/>
    <w:rsid w:val="00265649"/>
    <w:rsid w:val="002824CF"/>
    <w:rsid w:val="002854D2"/>
    <w:rsid w:val="00286A08"/>
    <w:rsid w:val="0029571F"/>
    <w:rsid w:val="0029586A"/>
    <w:rsid w:val="00296022"/>
    <w:rsid w:val="002A55AC"/>
    <w:rsid w:val="002B3F75"/>
    <w:rsid w:val="002B4A8C"/>
    <w:rsid w:val="002C0796"/>
    <w:rsid w:val="002C41F2"/>
    <w:rsid w:val="002C72B9"/>
    <w:rsid w:val="002C7343"/>
    <w:rsid w:val="002D3F88"/>
    <w:rsid w:val="002D4C8C"/>
    <w:rsid w:val="002E58E0"/>
    <w:rsid w:val="002E6747"/>
    <w:rsid w:val="002F68C4"/>
    <w:rsid w:val="00317C46"/>
    <w:rsid w:val="003221C7"/>
    <w:rsid w:val="00323DE1"/>
    <w:rsid w:val="00335F68"/>
    <w:rsid w:val="00340B69"/>
    <w:rsid w:val="0035331F"/>
    <w:rsid w:val="00354588"/>
    <w:rsid w:val="00364532"/>
    <w:rsid w:val="00373ECC"/>
    <w:rsid w:val="00374C75"/>
    <w:rsid w:val="00380A96"/>
    <w:rsid w:val="00383D09"/>
    <w:rsid w:val="00383D8E"/>
    <w:rsid w:val="00385EE1"/>
    <w:rsid w:val="00394CD8"/>
    <w:rsid w:val="003958FD"/>
    <w:rsid w:val="00395F44"/>
    <w:rsid w:val="003A6BDD"/>
    <w:rsid w:val="003A6BFD"/>
    <w:rsid w:val="003B038A"/>
    <w:rsid w:val="003B62ED"/>
    <w:rsid w:val="003C56CD"/>
    <w:rsid w:val="003D07B1"/>
    <w:rsid w:val="003D137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333FF"/>
    <w:rsid w:val="004401AF"/>
    <w:rsid w:val="004509A6"/>
    <w:rsid w:val="00453E73"/>
    <w:rsid w:val="00456F17"/>
    <w:rsid w:val="00463F14"/>
    <w:rsid w:val="0046411E"/>
    <w:rsid w:val="00473204"/>
    <w:rsid w:val="00473528"/>
    <w:rsid w:val="00474250"/>
    <w:rsid w:val="004769ED"/>
    <w:rsid w:val="0047780D"/>
    <w:rsid w:val="0048502C"/>
    <w:rsid w:val="00485FDB"/>
    <w:rsid w:val="004962AB"/>
    <w:rsid w:val="004B0B9B"/>
    <w:rsid w:val="004B207C"/>
    <w:rsid w:val="004B7BE7"/>
    <w:rsid w:val="004C0C22"/>
    <w:rsid w:val="004C3D69"/>
    <w:rsid w:val="004D37C3"/>
    <w:rsid w:val="004D5A84"/>
    <w:rsid w:val="004D7C40"/>
    <w:rsid w:val="004E1244"/>
    <w:rsid w:val="004E5230"/>
    <w:rsid w:val="004E7857"/>
    <w:rsid w:val="004F2C9A"/>
    <w:rsid w:val="004F70DB"/>
    <w:rsid w:val="004F7386"/>
    <w:rsid w:val="005035BE"/>
    <w:rsid w:val="005062F1"/>
    <w:rsid w:val="005106F1"/>
    <w:rsid w:val="00514A0E"/>
    <w:rsid w:val="005244EB"/>
    <w:rsid w:val="00531026"/>
    <w:rsid w:val="0053136E"/>
    <w:rsid w:val="005342DB"/>
    <w:rsid w:val="005361B0"/>
    <w:rsid w:val="00541BAA"/>
    <w:rsid w:val="005523C5"/>
    <w:rsid w:val="005538A2"/>
    <w:rsid w:val="00562016"/>
    <w:rsid w:val="00571557"/>
    <w:rsid w:val="005734B5"/>
    <w:rsid w:val="00580D37"/>
    <w:rsid w:val="00585911"/>
    <w:rsid w:val="005934EA"/>
    <w:rsid w:val="00595D2C"/>
    <w:rsid w:val="00596D69"/>
    <w:rsid w:val="005978A2"/>
    <w:rsid w:val="005A4F14"/>
    <w:rsid w:val="005A7044"/>
    <w:rsid w:val="005A7630"/>
    <w:rsid w:val="005B308E"/>
    <w:rsid w:val="005B32E8"/>
    <w:rsid w:val="005B3DB9"/>
    <w:rsid w:val="005B4359"/>
    <w:rsid w:val="005C16C4"/>
    <w:rsid w:val="005C22C2"/>
    <w:rsid w:val="005C475F"/>
    <w:rsid w:val="005C4A20"/>
    <w:rsid w:val="005C51FE"/>
    <w:rsid w:val="005D34D5"/>
    <w:rsid w:val="005E536B"/>
    <w:rsid w:val="005E5891"/>
    <w:rsid w:val="005F3272"/>
    <w:rsid w:val="005F42C6"/>
    <w:rsid w:val="005F6A77"/>
    <w:rsid w:val="00601EB4"/>
    <w:rsid w:val="00606941"/>
    <w:rsid w:val="006122BD"/>
    <w:rsid w:val="00616FBE"/>
    <w:rsid w:val="00617F62"/>
    <w:rsid w:val="00630A7C"/>
    <w:rsid w:val="0063119D"/>
    <w:rsid w:val="00636345"/>
    <w:rsid w:val="0064197B"/>
    <w:rsid w:val="00644AE2"/>
    <w:rsid w:val="0064637C"/>
    <w:rsid w:val="006471BA"/>
    <w:rsid w:val="00661FA5"/>
    <w:rsid w:val="006623B2"/>
    <w:rsid w:val="00677FFD"/>
    <w:rsid w:val="006827CF"/>
    <w:rsid w:val="006838A8"/>
    <w:rsid w:val="00686C0C"/>
    <w:rsid w:val="00691D32"/>
    <w:rsid w:val="00692E4F"/>
    <w:rsid w:val="00694351"/>
    <w:rsid w:val="006971FD"/>
    <w:rsid w:val="006B1DC3"/>
    <w:rsid w:val="006B6896"/>
    <w:rsid w:val="006C409B"/>
    <w:rsid w:val="006C5E0C"/>
    <w:rsid w:val="006D5B13"/>
    <w:rsid w:val="006D7BEC"/>
    <w:rsid w:val="006E18D7"/>
    <w:rsid w:val="006E36C2"/>
    <w:rsid w:val="006E6C50"/>
    <w:rsid w:val="006E7B8B"/>
    <w:rsid w:val="006E7FD1"/>
    <w:rsid w:val="006F09D6"/>
    <w:rsid w:val="006F40CF"/>
    <w:rsid w:val="0071459E"/>
    <w:rsid w:val="007209B3"/>
    <w:rsid w:val="00725643"/>
    <w:rsid w:val="0073129F"/>
    <w:rsid w:val="00734104"/>
    <w:rsid w:val="007628B8"/>
    <w:rsid w:val="0076410E"/>
    <w:rsid w:val="00773524"/>
    <w:rsid w:val="007764E3"/>
    <w:rsid w:val="0078196D"/>
    <w:rsid w:val="007908E5"/>
    <w:rsid w:val="007A6154"/>
    <w:rsid w:val="007A692C"/>
    <w:rsid w:val="007B05CE"/>
    <w:rsid w:val="007B1542"/>
    <w:rsid w:val="007B452D"/>
    <w:rsid w:val="007B46CE"/>
    <w:rsid w:val="007C2C9E"/>
    <w:rsid w:val="007D623B"/>
    <w:rsid w:val="007D63D9"/>
    <w:rsid w:val="007E30F3"/>
    <w:rsid w:val="007F6C6C"/>
    <w:rsid w:val="007F74C1"/>
    <w:rsid w:val="0080413A"/>
    <w:rsid w:val="00804FFA"/>
    <w:rsid w:val="008134B9"/>
    <w:rsid w:val="00813ABC"/>
    <w:rsid w:val="00814B20"/>
    <w:rsid w:val="0083413F"/>
    <w:rsid w:val="00836F10"/>
    <w:rsid w:val="00846145"/>
    <w:rsid w:val="008526F7"/>
    <w:rsid w:val="008602D3"/>
    <w:rsid w:val="00860652"/>
    <w:rsid w:val="00860E8C"/>
    <w:rsid w:val="0086259D"/>
    <w:rsid w:val="008638B2"/>
    <w:rsid w:val="00863BB3"/>
    <w:rsid w:val="008668ED"/>
    <w:rsid w:val="008677BB"/>
    <w:rsid w:val="00870DCD"/>
    <w:rsid w:val="00871BB8"/>
    <w:rsid w:val="00872651"/>
    <w:rsid w:val="00873A2C"/>
    <w:rsid w:val="0087440F"/>
    <w:rsid w:val="00887798"/>
    <w:rsid w:val="00892B02"/>
    <w:rsid w:val="00895F32"/>
    <w:rsid w:val="00897351"/>
    <w:rsid w:val="00897757"/>
    <w:rsid w:val="008A2639"/>
    <w:rsid w:val="008A3123"/>
    <w:rsid w:val="008B0791"/>
    <w:rsid w:val="008B1A29"/>
    <w:rsid w:val="008B53C3"/>
    <w:rsid w:val="008B73B9"/>
    <w:rsid w:val="008B7AC7"/>
    <w:rsid w:val="008C35A4"/>
    <w:rsid w:val="008C552F"/>
    <w:rsid w:val="008C5608"/>
    <w:rsid w:val="008C5ACA"/>
    <w:rsid w:val="008D0479"/>
    <w:rsid w:val="008D0F06"/>
    <w:rsid w:val="008D3210"/>
    <w:rsid w:val="008D3E04"/>
    <w:rsid w:val="008E1C6B"/>
    <w:rsid w:val="008E3A50"/>
    <w:rsid w:val="008E4C58"/>
    <w:rsid w:val="008E5EDF"/>
    <w:rsid w:val="008F2515"/>
    <w:rsid w:val="008F5B48"/>
    <w:rsid w:val="008F7B74"/>
    <w:rsid w:val="00905F26"/>
    <w:rsid w:val="0091061C"/>
    <w:rsid w:val="00911047"/>
    <w:rsid w:val="0091322B"/>
    <w:rsid w:val="00915051"/>
    <w:rsid w:val="009215D2"/>
    <w:rsid w:val="00936771"/>
    <w:rsid w:val="00937EB3"/>
    <w:rsid w:val="00942448"/>
    <w:rsid w:val="00947530"/>
    <w:rsid w:val="009552AD"/>
    <w:rsid w:val="00956937"/>
    <w:rsid w:val="00960BB5"/>
    <w:rsid w:val="0096789E"/>
    <w:rsid w:val="009715AB"/>
    <w:rsid w:val="009756F8"/>
    <w:rsid w:val="00987112"/>
    <w:rsid w:val="0098739F"/>
    <w:rsid w:val="00990244"/>
    <w:rsid w:val="00990BFE"/>
    <w:rsid w:val="0099142C"/>
    <w:rsid w:val="00994B87"/>
    <w:rsid w:val="009A10BE"/>
    <w:rsid w:val="009A33B3"/>
    <w:rsid w:val="009B1E61"/>
    <w:rsid w:val="009B2A53"/>
    <w:rsid w:val="009B6751"/>
    <w:rsid w:val="009B6CAE"/>
    <w:rsid w:val="009B7D82"/>
    <w:rsid w:val="009C42F1"/>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55890"/>
    <w:rsid w:val="00A60EBB"/>
    <w:rsid w:val="00A62110"/>
    <w:rsid w:val="00A6488F"/>
    <w:rsid w:val="00A950A3"/>
    <w:rsid w:val="00AA3694"/>
    <w:rsid w:val="00AA486C"/>
    <w:rsid w:val="00AA56E5"/>
    <w:rsid w:val="00AA70D7"/>
    <w:rsid w:val="00AC365A"/>
    <w:rsid w:val="00AC52C4"/>
    <w:rsid w:val="00AC5958"/>
    <w:rsid w:val="00AC5B1D"/>
    <w:rsid w:val="00AC7A05"/>
    <w:rsid w:val="00AD21D6"/>
    <w:rsid w:val="00AD3098"/>
    <w:rsid w:val="00AE1988"/>
    <w:rsid w:val="00AF1E73"/>
    <w:rsid w:val="00AF23C1"/>
    <w:rsid w:val="00AF2C53"/>
    <w:rsid w:val="00AF4E01"/>
    <w:rsid w:val="00AF6492"/>
    <w:rsid w:val="00AF745B"/>
    <w:rsid w:val="00AF7555"/>
    <w:rsid w:val="00AF7B0B"/>
    <w:rsid w:val="00B05F62"/>
    <w:rsid w:val="00B1157F"/>
    <w:rsid w:val="00B23364"/>
    <w:rsid w:val="00B27C58"/>
    <w:rsid w:val="00B30A27"/>
    <w:rsid w:val="00B42EEE"/>
    <w:rsid w:val="00B479A9"/>
    <w:rsid w:val="00B5225A"/>
    <w:rsid w:val="00B614D5"/>
    <w:rsid w:val="00B62ABD"/>
    <w:rsid w:val="00B63E48"/>
    <w:rsid w:val="00B7688A"/>
    <w:rsid w:val="00B80042"/>
    <w:rsid w:val="00B8012B"/>
    <w:rsid w:val="00B84E06"/>
    <w:rsid w:val="00B876F6"/>
    <w:rsid w:val="00BA40C1"/>
    <w:rsid w:val="00BA5EAB"/>
    <w:rsid w:val="00BA78D3"/>
    <w:rsid w:val="00BB5EE3"/>
    <w:rsid w:val="00BB784E"/>
    <w:rsid w:val="00BC1D8E"/>
    <w:rsid w:val="00BC5F0E"/>
    <w:rsid w:val="00BC6E94"/>
    <w:rsid w:val="00BD163B"/>
    <w:rsid w:val="00BD3A01"/>
    <w:rsid w:val="00BD68FB"/>
    <w:rsid w:val="00BE03D8"/>
    <w:rsid w:val="00BE685D"/>
    <w:rsid w:val="00BF0385"/>
    <w:rsid w:val="00BF4191"/>
    <w:rsid w:val="00C00484"/>
    <w:rsid w:val="00C06E82"/>
    <w:rsid w:val="00C126DC"/>
    <w:rsid w:val="00C234CD"/>
    <w:rsid w:val="00C434E3"/>
    <w:rsid w:val="00C479FC"/>
    <w:rsid w:val="00C5302E"/>
    <w:rsid w:val="00C53DB4"/>
    <w:rsid w:val="00C541FE"/>
    <w:rsid w:val="00C54D88"/>
    <w:rsid w:val="00C65A0E"/>
    <w:rsid w:val="00C7078A"/>
    <w:rsid w:val="00C7102D"/>
    <w:rsid w:val="00C71D4D"/>
    <w:rsid w:val="00C770A5"/>
    <w:rsid w:val="00C853F1"/>
    <w:rsid w:val="00C971CB"/>
    <w:rsid w:val="00CB03E0"/>
    <w:rsid w:val="00CB0A40"/>
    <w:rsid w:val="00CC74B1"/>
    <w:rsid w:val="00CD4831"/>
    <w:rsid w:val="00CD5F8B"/>
    <w:rsid w:val="00CE5304"/>
    <w:rsid w:val="00CF67C1"/>
    <w:rsid w:val="00D02F05"/>
    <w:rsid w:val="00D0517F"/>
    <w:rsid w:val="00D0559F"/>
    <w:rsid w:val="00D14596"/>
    <w:rsid w:val="00D16B8E"/>
    <w:rsid w:val="00D26D9B"/>
    <w:rsid w:val="00D33866"/>
    <w:rsid w:val="00D35292"/>
    <w:rsid w:val="00D404B1"/>
    <w:rsid w:val="00D62949"/>
    <w:rsid w:val="00D63F02"/>
    <w:rsid w:val="00D873BA"/>
    <w:rsid w:val="00D92F4E"/>
    <w:rsid w:val="00D9417C"/>
    <w:rsid w:val="00DA0B8C"/>
    <w:rsid w:val="00DB0164"/>
    <w:rsid w:val="00DB21B6"/>
    <w:rsid w:val="00DB24FB"/>
    <w:rsid w:val="00DB6277"/>
    <w:rsid w:val="00DC1330"/>
    <w:rsid w:val="00DC617F"/>
    <w:rsid w:val="00DC7199"/>
    <w:rsid w:val="00DD01F6"/>
    <w:rsid w:val="00DD2A0E"/>
    <w:rsid w:val="00DD508A"/>
    <w:rsid w:val="00DD5B85"/>
    <w:rsid w:val="00DE16F3"/>
    <w:rsid w:val="00DF32C9"/>
    <w:rsid w:val="00DF3E63"/>
    <w:rsid w:val="00DF70D1"/>
    <w:rsid w:val="00E02D9F"/>
    <w:rsid w:val="00E06593"/>
    <w:rsid w:val="00E1406A"/>
    <w:rsid w:val="00E1648D"/>
    <w:rsid w:val="00E17B3C"/>
    <w:rsid w:val="00E20B70"/>
    <w:rsid w:val="00E24B78"/>
    <w:rsid w:val="00E25D4D"/>
    <w:rsid w:val="00E3205D"/>
    <w:rsid w:val="00E40876"/>
    <w:rsid w:val="00E43CB6"/>
    <w:rsid w:val="00E448DE"/>
    <w:rsid w:val="00E52A72"/>
    <w:rsid w:val="00E543EF"/>
    <w:rsid w:val="00E71C64"/>
    <w:rsid w:val="00E72461"/>
    <w:rsid w:val="00E75B27"/>
    <w:rsid w:val="00E75E84"/>
    <w:rsid w:val="00E761E2"/>
    <w:rsid w:val="00E85B04"/>
    <w:rsid w:val="00E86BFF"/>
    <w:rsid w:val="00EB47BD"/>
    <w:rsid w:val="00EC1446"/>
    <w:rsid w:val="00EC68A9"/>
    <w:rsid w:val="00ED152F"/>
    <w:rsid w:val="00ED1C43"/>
    <w:rsid w:val="00ED620F"/>
    <w:rsid w:val="00ED79BA"/>
    <w:rsid w:val="00EE0519"/>
    <w:rsid w:val="00EE1759"/>
    <w:rsid w:val="00EE3435"/>
    <w:rsid w:val="00EE7CFF"/>
    <w:rsid w:val="00EF3F27"/>
    <w:rsid w:val="00F06D7A"/>
    <w:rsid w:val="00F072E0"/>
    <w:rsid w:val="00F07AEC"/>
    <w:rsid w:val="00F115A3"/>
    <w:rsid w:val="00F27792"/>
    <w:rsid w:val="00F306D1"/>
    <w:rsid w:val="00F31CA8"/>
    <w:rsid w:val="00F3230F"/>
    <w:rsid w:val="00F32A13"/>
    <w:rsid w:val="00F33BED"/>
    <w:rsid w:val="00F36309"/>
    <w:rsid w:val="00F46E53"/>
    <w:rsid w:val="00F517E9"/>
    <w:rsid w:val="00F630B0"/>
    <w:rsid w:val="00F6364B"/>
    <w:rsid w:val="00F8747D"/>
    <w:rsid w:val="00FA0892"/>
    <w:rsid w:val="00FA450E"/>
    <w:rsid w:val="00FA45FD"/>
    <w:rsid w:val="00FB1522"/>
    <w:rsid w:val="00FB522E"/>
    <w:rsid w:val="00FB61AD"/>
    <w:rsid w:val="00FB77DE"/>
    <w:rsid w:val="00FC5709"/>
    <w:rsid w:val="00FD0C6A"/>
    <w:rsid w:val="00FD60CB"/>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link w:val="FooterChar"/>
    <w:uiPriority w:val="99"/>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B46CE"/>
    <w:rPr>
      <w:sz w:val="22"/>
      <w:szCs w:val="24"/>
    </w:rPr>
  </w:style>
</w:styles>
</file>

<file path=word/webSettings.xml><?xml version="1.0" encoding="utf-8"?>
<w:webSettings xmlns:r="http://schemas.openxmlformats.org/officeDocument/2006/relationships" xmlns:w="http://schemas.openxmlformats.org/wordprocessingml/2006/main">
  <w:divs>
    <w:div w:id="9936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heme/res/ru-20-quick-guide.pdf" TargetMode="External"/><Relationship Id="rId18" Type="http://schemas.openxmlformats.org/officeDocument/2006/relationships/hyperlink" Target="http://starnet.childrenshc.org/References/labsop/heme/res/sysmex-body-fluid-resulting-scenario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han.childrensmn.org/Manuals/Lab/SOP/Heme/Res/212367.pdf"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www.childrensmn.org/departments/lab/pdf/critical-values-and-lab-result-read-back-policy.pdf" TargetMode="External"/><Relationship Id="rId25" Type="http://schemas.openxmlformats.org/officeDocument/2006/relationships/hyperlink" Target="http://khan.childrensmn.org/Manuals/Lab/SOP/Heme/Res/212368.pdf" TargetMode="External"/><Relationship Id="rId2" Type="http://schemas.openxmlformats.org/officeDocument/2006/relationships/customXml" Target="../customXml/item2.xml"/><Relationship Id="rId16" Type="http://schemas.openxmlformats.org/officeDocument/2006/relationships/hyperlink" Target="http://intranet.childrensmn.org/References/labsop/heme/heme/hem-17.2-sysmex-sp-10-slide-maker-stainer-super-clean-procedure.pdf" TargetMode="External"/><Relationship Id="rId20" Type="http://schemas.openxmlformats.org/officeDocument/2006/relationships/hyperlink" Target="http://khan.childrensmn.org/Manuals/Lab/SOP/Heme/Res/212365.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Lab/SOP/Heme/Res/212369.pdf" TargetMode="External"/><Relationship Id="rId5" Type="http://schemas.openxmlformats.org/officeDocument/2006/relationships/customXml" Target="../customXml/item5.xml"/><Relationship Id="rId15" Type="http://schemas.openxmlformats.org/officeDocument/2006/relationships/hyperlink" Target="http://www.sysmex.com/us" TargetMode="External"/><Relationship Id="rId23" Type="http://schemas.openxmlformats.org/officeDocument/2006/relationships/hyperlink" Target="https://www.sysmex.com/us/en/Pages/Registration.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khan.childrensmn.org/Manuals/Lab/SOP/Heme/Res/21236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Heme/Heme/198970.pdf" TargetMode="External"/><Relationship Id="rId22" Type="http://schemas.openxmlformats.org/officeDocument/2006/relationships/hyperlink" Target="http://khan.childrensmn.org/Manuals/Lab/SOP/Heme/Res/212366.pdf"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2020-03-30T05:00:00+00:00</Renewal_x0020_Date>
    <Related_x0020_Documents xmlns="199f0838-75a6-4f0c-9be1-f2c07140bccc" xsi:nil="true"/>
    <Legacy_x0020_Name xmlns="199f0838-75a6-4f0c-9be1-f2c07140bccc">HEM 17.1 Complete Cell Count of Whole Blood - Sysmex XN 3000.docx</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4</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2018-04-27T05:00:00+00:00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3.xml><?xml version="1.0" encoding="utf-8"?>
<ds:datastoreItem xmlns:ds="http://schemas.openxmlformats.org/officeDocument/2006/customXml" ds:itemID="{04851131-9744-4402-9DB6-A7972FB4B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5.xml><?xml version="1.0" encoding="utf-8"?>
<ds:datastoreItem xmlns:ds="http://schemas.openxmlformats.org/officeDocument/2006/customXml" ds:itemID="{5C29F89A-E616-474A-8C1D-3FD6512D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25</Pages>
  <Words>10660</Words>
  <Characters>60765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71283</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Added hyperlink for RU-20 to DCL conversion.</dc:description>
  <cp:lastModifiedBy>Allen Quigley</cp:lastModifiedBy>
  <cp:revision>25</cp:revision>
  <cp:lastPrinted>2018-02-26T16:22:00Z</cp:lastPrinted>
  <dcterms:created xsi:type="dcterms:W3CDTF">2017-11-17T18:40:00Z</dcterms:created>
  <dcterms:modified xsi:type="dcterms:W3CDTF">2018-04-09T18:07:00Z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