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Layout w:type="fixed"/>
        <w:tblLook w:val="0000"/>
      </w:tblPr>
      <w:tblGrid>
        <w:gridCol w:w="2160"/>
        <w:gridCol w:w="720"/>
        <w:gridCol w:w="270"/>
        <w:gridCol w:w="90"/>
        <w:gridCol w:w="2880"/>
        <w:gridCol w:w="1620"/>
        <w:gridCol w:w="1800"/>
        <w:gridCol w:w="1620"/>
      </w:tblGrid>
      <w:tr w:rsidR="00264C81">
        <w:trPr>
          <w:cantSplit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1" w:rsidRDefault="00264C81">
            <w:pPr>
              <w:rPr>
                <w:rFonts w:ascii="Arial" w:hAnsi="Arial" w:cs="Arial"/>
                <w:b/>
                <w:bCs/>
                <w:color w:val="0000FF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>MDH CRE/CRA</w:t>
            </w:r>
            <w:r w:rsidR="0049302F">
              <w:rPr>
                <w:rFonts w:ascii="Arial" w:hAnsi="Arial" w:cs="Arial"/>
                <w:b/>
                <w:bCs/>
                <w:color w:val="0000FF"/>
                <w:sz w:val="28"/>
              </w:rPr>
              <w:t>/CRPA</w:t>
            </w: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 xml:space="preserve"> Project 1380</w:t>
            </w:r>
          </w:p>
          <w:p w:rsidR="00264C81" w:rsidRPr="00C71EB0" w:rsidRDefault="006E70F5" w:rsidP="004D79E2">
            <w:pPr>
              <w:rPr>
                <w:rFonts w:ascii="Arial" w:hAnsi="Arial" w:cs="Arial"/>
                <w:b/>
                <w:bCs/>
                <w:color w:val="0000FF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>CRE/CRA</w:t>
            </w:r>
            <w:r w:rsidR="004D79E2">
              <w:rPr>
                <w:rFonts w:ascii="Arial" w:hAnsi="Arial" w:cs="Arial"/>
                <w:b/>
                <w:bCs/>
                <w:color w:val="0000FF"/>
                <w:sz w:val="28"/>
              </w:rPr>
              <w:t xml:space="preserve">/CRPA Definition and </w:t>
            </w:r>
            <w:r w:rsidR="00264C81">
              <w:rPr>
                <w:rFonts w:ascii="Arial" w:hAnsi="Arial" w:cs="Arial"/>
                <w:b/>
                <w:bCs/>
                <w:color w:val="0000FF"/>
                <w:sz w:val="28"/>
              </w:rPr>
              <w:t>MDH Submission Protocol</w:t>
            </w:r>
          </w:p>
        </w:tc>
      </w:tr>
      <w:tr w:rsidR="00264C81" w:rsidTr="00ED7D2D">
        <w:trPr>
          <w:cantSplit/>
          <w:trHeight w:val="9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1" w:rsidRDefault="00264C8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264C81" w:rsidRDefault="00264C8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13" w:rsidRDefault="00AA0713">
            <w:pPr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64C81" w:rsidRPr="00AA0713" w:rsidRDefault="00264C8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0713">
              <w:rPr>
                <w:rFonts w:ascii="Arial" w:hAnsi="Arial" w:cs="Arial"/>
                <w:iCs/>
                <w:sz w:val="18"/>
                <w:szCs w:val="18"/>
              </w:rPr>
              <w:t>This procedure defines the MDH CRE/CRA</w:t>
            </w:r>
            <w:r w:rsidR="0049302F" w:rsidRPr="00AA0713">
              <w:rPr>
                <w:rFonts w:ascii="Arial" w:hAnsi="Arial" w:cs="Arial"/>
                <w:iCs/>
                <w:sz w:val="18"/>
                <w:szCs w:val="18"/>
              </w:rPr>
              <w:t>/CRPA</w:t>
            </w:r>
            <w:r w:rsidRPr="00AA0713">
              <w:rPr>
                <w:rFonts w:ascii="Arial" w:hAnsi="Arial" w:cs="Arial"/>
                <w:iCs/>
                <w:sz w:val="18"/>
                <w:szCs w:val="18"/>
              </w:rPr>
              <w:t xml:space="preserve"> Project 1380 and provides definition and instruction for laboratory specific protocol for CRE/CRA</w:t>
            </w:r>
            <w:r w:rsidR="0049302F" w:rsidRPr="00AA0713">
              <w:rPr>
                <w:rFonts w:ascii="Arial" w:hAnsi="Arial" w:cs="Arial"/>
                <w:iCs/>
                <w:sz w:val="18"/>
                <w:szCs w:val="18"/>
              </w:rPr>
              <w:t>/CRPA</w:t>
            </w:r>
            <w:r w:rsidRPr="00AA0713">
              <w:rPr>
                <w:rFonts w:ascii="Arial" w:hAnsi="Arial" w:cs="Arial"/>
                <w:iCs/>
                <w:sz w:val="18"/>
                <w:szCs w:val="18"/>
              </w:rPr>
              <w:t xml:space="preserve"> submission to MDH.</w:t>
            </w:r>
          </w:p>
          <w:p w:rsidR="00264C81" w:rsidRDefault="00264C81" w:rsidP="00ED7D2D">
            <w:pPr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AA0713">
              <w:rPr>
                <w:rFonts w:ascii="Arial" w:hAnsi="Arial" w:cs="Arial"/>
                <w:iCs/>
                <w:sz w:val="18"/>
                <w:szCs w:val="18"/>
              </w:rPr>
              <w:t xml:space="preserve">This procedure also provides instructions for </w:t>
            </w:r>
          </w:p>
          <w:p w:rsidR="00AA0713" w:rsidRPr="00ED7D2D" w:rsidRDefault="00AA0713" w:rsidP="00ED7D2D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64C81">
        <w:trPr>
          <w:cantSplit/>
          <w:trHeight w:val="5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1" w:rsidRDefault="00264C8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264C81" w:rsidRDefault="00264C8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Policies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0" w:rsidRDefault="00C71EB0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1B56C9" w:rsidRPr="00AA0713" w:rsidRDefault="00264C81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AA0713">
              <w:rPr>
                <w:rFonts w:ascii="Arial" w:hAnsi="Arial"/>
                <w:sz w:val="18"/>
                <w:szCs w:val="18"/>
              </w:rPr>
              <w:t xml:space="preserve">This procedure applies to microbiology laboratory staff preparing documentation and submitting isolates to send to MDH for Project 1380 </w:t>
            </w:r>
          </w:p>
          <w:p w:rsidR="00ED7D2D" w:rsidRPr="00AA0713" w:rsidRDefault="00264C81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A0713">
              <w:rPr>
                <w:rFonts w:ascii="Arial" w:hAnsi="Arial"/>
                <w:sz w:val="18"/>
                <w:szCs w:val="18"/>
              </w:rPr>
              <w:t>--Carbapenem Resistant Enterobacteriaceae</w:t>
            </w:r>
            <w:r w:rsidR="00ED7D2D" w:rsidRPr="00AA0713">
              <w:rPr>
                <w:rFonts w:ascii="Arial" w:hAnsi="Arial"/>
                <w:sz w:val="18"/>
                <w:szCs w:val="18"/>
              </w:rPr>
              <w:t xml:space="preserve"> </w:t>
            </w:r>
            <w:r w:rsidR="00ED7D2D" w:rsidRPr="00AA0713">
              <w:rPr>
                <w:rFonts w:ascii="Arial" w:hAnsi="Arial"/>
                <w:b/>
                <w:sz w:val="18"/>
                <w:szCs w:val="18"/>
              </w:rPr>
              <w:t xml:space="preserve">(CRE) </w:t>
            </w:r>
          </w:p>
          <w:p w:rsidR="00ED7D2D" w:rsidRPr="00AA0713" w:rsidRDefault="00ED7D2D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AA0713">
              <w:rPr>
                <w:rFonts w:ascii="Arial" w:hAnsi="Arial"/>
                <w:sz w:val="18"/>
                <w:szCs w:val="18"/>
              </w:rPr>
              <w:t>--</w:t>
            </w:r>
            <w:r w:rsidR="00264C81" w:rsidRPr="00AA0713">
              <w:rPr>
                <w:rFonts w:ascii="Arial" w:hAnsi="Arial"/>
                <w:sz w:val="18"/>
                <w:szCs w:val="18"/>
              </w:rPr>
              <w:t xml:space="preserve">Carbapenem Resistant </w:t>
            </w:r>
            <w:r w:rsidR="00264C81" w:rsidRPr="00FB39E9">
              <w:rPr>
                <w:rFonts w:ascii="Arial" w:hAnsi="Arial"/>
                <w:i/>
                <w:sz w:val="18"/>
                <w:szCs w:val="18"/>
              </w:rPr>
              <w:t>Acinetobacter</w:t>
            </w:r>
            <w:r w:rsidRPr="00AA0713">
              <w:rPr>
                <w:rFonts w:ascii="Arial" w:hAnsi="Arial"/>
                <w:sz w:val="18"/>
                <w:szCs w:val="18"/>
              </w:rPr>
              <w:t xml:space="preserve"> </w:t>
            </w:r>
            <w:r w:rsidRPr="00AA0713">
              <w:rPr>
                <w:rFonts w:ascii="Arial" w:hAnsi="Arial"/>
                <w:b/>
                <w:sz w:val="18"/>
                <w:szCs w:val="18"/>
              </w:rPr>
              <w:t>(CRA)</w:t>
            </w:r>
            <w:r w:rsidR="001B56C9" w:rsidRPr="00AA071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264C81" w:rsidRDefault="00ED7D2D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AA0713">
              <w:rPr>
                <w:rFonts w:ascii="Arial" w:hAnsi="Arial"/>
                <w:sz w:val="18"/>
                <w:szCs w:val="18"/>
              </w:rPr>
              <w:t>--</w:t>
            </w:r>
            <w:r w:rsidR="001B56C9" w:rsidRPr="00AA0713">
              <w:rPr>
                <w:rFonts w:ascii="Arial" w:hAnsi="Arial"/>
                <w:sz w:val="18"/>
                <w:szCs w:val="18"/>
              </w:rPr>
              <w:t xml:space="preserve">Carbapenem Resistant </w:t>
            </w:r>
            <w:r w:rsidR="00FB39E9" w:rsidRPr="00FB39E9">
              <w:rPr>
                <w:rFonts w:ascii="Arial" w:hAnsi="Arial"/>
                <w:i/>
                <w:sz w:val="18"/>
                <w:szCs w:val="18"/>
              </w:rPr>
              <w:t>Pseudomonas</w:t>
            </w:r>
            <w:r w:rsidR="001B56C9" w:rsidRPr="00FB39E9">
              <w:rPr>
                <w:rFonts w:ascii="Arial" w:hAnsi="Arial"/>
                <w:i/>
                <w:sz w:val="18"/>
                <w:szCs w:val="18"/>
              </w:rPr>
              <w:t xml:space="preserve"> aeruginosa</w:t>
            </w:r>
            <w:r w:rsidR="001B56C9" w:rsidRPr="00AA0713">
              <w:rPr>
                <w:rFonts w:ascii="Arial" w:hAnsi="Arial"/>
                <w:sz w:val="18"/>
                <w:szCs w:val="18"/>
              </w:rPr>
              <w:t xml:space="preserve"> </w:t>
            </w:r>
            <w:r w:rsidRPr="00AA0713">
              <w:rPr>
                <w:rFonts w:ascii="Arial" w:hAnsi="Arial"/>
                <w:b/>
                <w:sz w:val="18"/>
                <w:szCs w:val="18"/>
              </w:rPr>
              <w:t>(CRPA)</w:t>
            </w:r>
          </w:p>
        </w:tc>
      </w:tr>
      <w:tr w:rsidR="00AC0AE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7" w:rsidRDefault="00AC0AE7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Protocol for</w:t>
            </w:r>
          </w:p>
          <w:p w:rsidR="00AC0AE7" w:rsidRDefault="00AC0AE7" w:rsidP="000A515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CRE/CRA/CRPA </w:t>
            </w:r>
          </w:p>
          <w:p w:rsidR="00AC0AE7" w:rsidRDefault="00AC0AE7" w:rsidP="000A515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Isolate Submission to MDH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7" w:rsidRDefault="00AC0AE7" w:rsidP="00AC0AE7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AC0AE7" w:rsidRDefault="00AC0AE7" w:rsidP="00AC0AE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highlight w:val="yellow"/>
              </w:rPr>
              <w:t>Submit iso</w:t>
            </w:r>
            <w:r w:rsidR="004D79E2">
              <w:rPr>
                <w:rFonts w:ascii="Arial" w:hAnsi="Arial" w:cs="Arial"/>
                <w:b/>
                <w:bCs/>
                <w:sz w:val="20"/>
                <w:highlight w:val="yellow"/>
              </w:rPr>
              <w:t>lates based on the definitions</w:t>
            </w:r>
          </w:p>
          <w:p w:rsidR="00AC0AE7" w:rsidRPr="00F352EF" w:rsidRDefault="00AC0AE7" w:rsidP="00AC0AE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Submit isolates from </w:t>
            </w:r>
            <w:r w:rsidRPr="00AA0713">
              <w:rPr>
                <w:rFonts w:ascii="Arial" w:hAnsi="Arial" w:cs="Arial"/>
                <w:b/>
                <w:bCs/>
                <w:sz w:val="20"/>
              </w:rPr>
              <w:t>A</w:t>
            </w:r>
            <w:r w:rsidR="00AA0713">
              <w:rPr>
                <w:rFonts w:ascii="Arial" w:hAnsi="Arial" w:cs="Arial"/>
                <w:b/>
                <w:bCs/>
                <w:sz w:val="20"/>
              </w:rPr>
              <w:t xml:space="preserve">LL </w:t>
            </w:r>
            <w:r>
              <w:rPr>
                <w:rFonts w:ascii="Arial" w:hAnsi="Arial" w:cs="Arial"/>
                <w:bCs/>
                <w:sz w:val="20"/>
              </w:rPr>
              <w:t>body sites (sterile/non-sterile)</w:t>
            </w:r>
          </w:p>
          <w:p w:rsidR="00AC0AE7" w:rsidRDefault="00AC0AE7" w:rsidP="00AC0AE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D4EE4" w:rsidTr="00AD4EE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EE4" w:rsidRDefault="00AD4EE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EE4" w:rsidRPr="00AD4EE4" w:rsidRDefault="00AD4EE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4" w:rsidRDefault="00AD4EE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4" w:rsidRDefault="00AD4EE4" w:rsidP="00AD4EE4">
            <w:pPr>
              <w:pStyle w:val="TableText"/>
              <w:adjustRightInd w:val="0"/>
              <w:rPr>
                <w:rFonts w:ascii="Arial" w:hAnsi="Arial" w:cs="Arial"/>
                <w:b/>
                <w:bCs/>
                <w:iCs/>
                <w:color w:val="0000FF"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  <w:sz w:val="22"/>
              </w:rPr>
              <w:t>MDH 2016 CRE case definition:  (using CLSI breakpoints):</w:t>
            </w:r>
          </w:p>
          <w:p w:rsidR="00AD4EE4" w:rsidRDefault="00AD4EE4" w:rsidP="00AD4EE4">
            <w:pPr>
              <w:pStyle w:val="TableText"/>
              <w:adjustRightInd w:val="0"/>
              <w:rPr>
                <w:rFonts w:ascii="Arial" w:hAnsi="Arial" w:cs="Arial"/>
                <w:iCs/>
              </w:rPr>
            </w:pPr>
          </w:p>
          <w:p w:rsidR="00A01AA2" w:rsidRDefault="00AA0713" w:rsidP="00AD4EE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Klebsiella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 xml:space="preserve"> spp.,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Enterobacter 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 xml:space="preserve">spp.,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Escherichia coli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 xml:space="preserve">, and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Citrobacter </w:t>
            </w:r>
            <w:r>
              <w:rPr>
                <w:rFonts w:ascii="Arial" w:hAnsi="Arial" w:cs="Arial"/>
                <w:b/>
                <w:bCs/>
                <w:iCs/>
                <w:sz w:val="20"/>
              </w:rPr>
              <w:t>spp.</w:t>
            </w:r>
            <w:r w:rsidR="00A01AA2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AD4EE4">
              <w:rPr>
                <w:rFonts w:ascii="Arial" w:hAnsi="Arial" w:cs="Arial"/>
                <w:sz w:val="20"/>
              </w:rPr>
              <w:t>isolate</w:t>
            </w:r>
            <w:r w:rsidR="00A01AA2">
              <w:rPr>
                <w:rFonts w:ascii="Arial" w:hAnsi="Arial" w:cs="Arial"/>
                <w:sz w:val="20"/>
              </w:rPr>
              <w:t>s that are non s</w:t>
            </w:r>
            <w:r>
              <w:rPr>
                <w:rFonts w:ascii="Arial" w:hAnsi="Arial" w:cs="Arial"/>
                <w:sz w:val="20"/>
              </w:rPr>
              <w:t>usceptible to any 1 carbapenem, and any</w:t>
            </w:r>
            <w:r w:rsidR="00A01A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other </w:t>
            </w:r>
            <w:r w:rsidR="00FB39E9">
              <w:rPr>
                <w:rFonts w:ascii="Arial" w:hAnsi="Arial" w:cs="Arial"/>
                <w:sz w:val="20"/>
              </w:rPr>
              <w:t>Enterobacteriaceae</w:t>
            </w:r>
            <w:r>
              <w:rPr>
                <w:rFonts w:ascii="Arial" w:hAnsi="Arial" w:cs="Arial"/>
                <w:sz w:val="20"/>
              </w:rPr>
              <w:t xml:space="preserve"> spp. that test resistant to any carbapenem antibiotic.</w:t>
            </w:r>
          </w:p>
          <w:p w:rsidR="00AD4EE4" w:rsidRPr="00A01AA2" w:rsidRDefault="00A01AA2" w:rsidP="00AD4EE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***Note:  Imipenem MICS for </w:t>
            </w:r>
            <w:r>
              <w:rPr>
                <w:rFonts w:ascii="Arial" w:hAnsi="Arial" w:cs="Arial"/>
                <w:i/>
                <w:sz w:val="20"/>
              </w:rPr>
              <w:t xml:space="preserve">Proteus </w:t>
            </w:r>
            <w:r>
              <w:rPr>
                <w:rFonts w:ascii="Arial" w:hAnsi="Arial" w:cs="Arial"/>
                <w:sz w:val="20"/>
              </w:rPr>
              <w:t xml:space="preserve">sp., </w:t>
            </w:r>
            <w:r>
              <w:rPr>
                <w:rFonts w:ascii="Arial" w:hAnsi="Arial" w:cs="Arial"/>
                <w:i/>
                <w:sz w:val="20"/>
              </w:rPr>
              <w:t xml:space="preserve">Providencia </w:t>
            </w:r>
            <w:r>
              <w:rPr>
                <w:rFonts w:ascii="Arial" w:hAnsi="Arial" w:cs="Arial"/>
                <w:sz w:val="20"/>
              </w:rPr>
              <w:t xml:space="preserve">sp, and </w:t>
            </w:r>
            <w:r>
              <w:rPr>
                <w:rFonts w:ascii="Arial" w:hAnsi="Arial" w:cs="Arial"/>
                <w:i/>
                <w:sz w:val="20"/>
              </w:rPr>
              <w:t xml:space="preserve">Morganella morganii, </w:t>
            </w:r>
            <w:r>
              <w:rPr>
                <w:rFonts w:ascii="Arial" w:hAnsi="Arial" w:cs="Arial"/>
                <w:sz w:val="20"/>
              </w:rPr>
              <w:t>tend to be higher and therefore, a carbapenem other than Imipenem must be resistant for these organisms to meet the CRE definition.</w:t>
            </w:r>
          </w:p>
          <w:p w:rsidR="00AD4EE4" w:rsidRDefault="00AD4EE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EE4" w:rsidRDefault="00AD4EE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D4EE4" w:rsidTr="00AD4EE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EE4" w:rsidRDefault="00AD4EE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EE4" w:rsidRDefault="00AD4EE4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4" w:rsidRDefault="00AD4EE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4" w:rsidRPr="00AA0713" w:rsidRDefault="00AD4EE4" w:rsidP="00AD4EE4">
            <w:pPr>
              <w:jc w:val="left"/>
              <w:rPr>
                <w:rFonts w:ascii="Arial" w:hAnsi="Arial" w:cs="Arial"/>
                <w:b/>
                <w:iCs/>
                <w:color w:val="0000FF"/>
                <w:sz w:val="20"/>
              </w:rPr>
            </w:pPr>
            <w:r w:rsidRPr="00AA0713">
              <w:rPr>
                <w:rFonts w:ascii="Arial" w:hAnsi="Arial" w:cs="Arial"/>
                <w:b/>
                <w:iCs/>
                <w:color w:val="0000FF"/>
                <w:sz w:val="20"/>
              </w:rPr>
              <w:t xml:space="preserve">MDH  (CLSI) </w:t>
            </w:r>
            <w:r w:rsidR="00ED7D2D" w:rsidRPr="00AA0713">
              <w:rPr>
                <w:rFonts w:ascii="Arial" w:hAnsi="Arial" w:cs="Arial"/>
                <w:b/>
                <w:iCs/>
                <w:color w:val="0000FF"/>
                <w:sz w:val="20"/>
              </w:rPr>
              <w:t xml:space="preserve">CRE </w:t>
            </w:r>
            <w:r w:rsidRPr="00AA0713">
              <w:rPr>
                <w:rFonts w:ascii="Arial" w:hAnsi="Arial" w:cs="Arial"/>
                <w:b/>
                <w:iCs/>
                <w:color w:val="0000FF"/>
                <w:sz w:val="20"/>
              </w:rPr>
              <w:t>breakpoints are listed in the table below:</w:t>
            </w:r>
          </w:p>
          <w:tbl>
            <w:tblPr>
              <w:tblW w:w="6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85"/>
              <w:gridCol w:w="1286"/>
              <w:gridCol w:w="1286"/>
              <w:gridCol w:w="1286"/>
              <w:gridCol w:w="1286"/>
            </w:tblGrid>
            <w:tr w:rsidR="003A4BA3" w:rsidTr="001C7B63">
              <w:trPr>
                <w:cantSplit/>
              </w:trPr>
              <w:tc>
                <w:tcPr>
                  <w:tcW w:w="1285" w:type="dxa"/>
                </w:tcPr>
                <w:p w:rsidR="003A4BA3" w:rsidRDefault="003A4BA3" w:rsidP="00AD4EE4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Agent</w:t>
                  </w:r>
                </w:p>
              </w:tc>
              <w:tc>
                <w:tcPr>
                  <w:tcW w:w="5144" w:type="dxa"/>
                  <w:gridSpan w:val="4"/>
                  <w:tcBorders>
                    <w:bottom w:val="single" w:sz="4" w:space="0" w:color="auto"/>
                  </w:tcBorders>
                </w:tcPr>
                <w:p w:rsidR="003A4BA3" w:rsidRDefault="003A4BA3" w:rsidP="00AD4EE4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MIC Interpretive Standard (</w:t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sym w:font="Symbol" w:char="F06D"/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t>g/mL)</w:t>
                  </w:r>
                </w:p>
              </w:tc>
            </w:tr>
            <w:tr w:rsidR="003A4BA3" w:rsidTr="003A4BA3">
              <w:trPr>
                <w:gridAfter w:val="1"/>
                <w:wAfter w:w="1286" w:type="dxa"/>
              </w:trPr>
              <w:tc>
                <w:tcPr>
                  <w:tcW w:w="1285" w:type="dxa"/>
                </w:tcPr>
                <w:p w:rsidR="003A4BA3" w:rsidRDefault="003A4BA3" w:rsidP="00AD4EE4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Ertapenem</w:t>
                  </w:r>
                </w:p>
              </w:tc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≥2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  <w:tr w:rsidR="003A4BA3" w:rsidTr="003A4BA3">
              <w:trPr>
                <w:gridAfter w:val="1"/>
                <w:wAfter w:w="1286" w:type="dxa"/>
              </w:trPr>
              <w:tc>
                <w:tcPr>
                  <w:tcW w:w="1285" w:type="dxa"/>
                </w:tcPr>
                <w:p w:rsidR="003A4BA3" w:rsidRPr="00A01AA2" w:rsidRDefault="003A4BA3" w:rsidP="00AD4EE4">
                  <w:pPr>
                    <w:jc w:val="left"/>
                    <w:rPr>
                      <w:rFonts w:ascii="Arial" w:hAnsi="Arial" w:cs="Arial"/>
                      <w:iCs/>
                      <w:sz w:val="36"/>
                      <w:szCs w:val="36"/>
                      <w:vertAlign w:val="superscript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Imipenem</w:t>
                  </w:r>
                  <w:r>
                    <w:rPr>
                      <w:rFonts w:ascii="Arial" w:hAnsi="Arial" w:cs="Arial"/>
                      <w:iCs/>
                      <w:sz w:val="20"/>
                      <w:vertAlign w:val="superscript"/>
                    </w:rPr>
                    <w:t>***</w:t>
                  </w:r>
                </w:p>
              </w:tc>
              <w:tc>
                <w:tcPr>
                  <w:tcW w:w="1286" w:type="dxa"/>
                  <w:tcBorders>
                    <w:bottom w:val="single" w:sz="4" w:space="0" w:color="auto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≥4</w:t>
                  </w:r>
                </w:p>
              </w:tc>
              <w:tc>
                <w:tcPr>
                  <w:tcW w:w="257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A4BA3" w:rsidRPr="003A4BA3" w:rsidRDefault="003A4BA3" w:rsidP="003A4BA3">
                  <w:pPr>
                    <w:jc w:val="left"/>
                    <w:rPr>
                      <w:rFonts w:ascii="Arial" w:hAnsi="Arial" w:cs="Arial"/>
                      <w:i/>
                      <w:iCs/>
                      <w:sz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vertAlign w:val="superscript"/>
                    </w:rPr>
                    <w:t>***</w:t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t>see note above</w:t>
                  </w:r>
                  <w:r>
                    <w:rPr>
                      <w:rFonts w:ascii="Arial" w:hAnsi="Arial" w:cs="Arial"/>
                      <w:iCs/>
                      <w:sz w:val="20"/>
                      <w:vertAlign w:val="superscript"/>
                    </w:rPr>
                    <w:t>***</w:t>
                  </w:r>
                </w:p>
              </w:tc>
            </w:tr>
            <w:tr w:rsidR="003A4BA3" w:rsidTr="003A4BA3">
              <w:trPr>
                <w:gridAfter w:val="1"/>
                <w:wAfter w:w="1286" w:type="dxa"/>
              </w:trPr>
              <w:tc>
                <w:tcPr>
                  <w:tcW w:w="1285" w:type="dxa"/>
                  <w:tcBorders>
                    <w:bottom w:val="single" w:sz="4" w:space="0" w:color="auto"/>
                  </w:tcBorders>
                </w:tcPr>
                <w:p w:rsidR="003A4BA3" w:rsidRDefault="003A4BA3" w:rsidP="00AD4EE4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Meropenem</w:t>
                  </w:r>
                </w:p>
              </w:tc>
              <w:tc>
                <w:tcPr>
                  <w:tcW w:w="12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≥4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  <w:tr w:rsidR="003A4BA3" w:rsidTr="003A4BA3">
              <w:trPr>
                <w:gridAfter w:val="1"/>
                <w:wAfter w:w="1286" w:type="dxa"/>
              </w:trPr>
              <w:tc>
                <w:tcPr>
                  <w:tcW w:w="1285" w:type="dxa"/>
                  <w:tcBorders>
                    <w:bottom w:val="single" w:sz="4" w:space="0" w:color="auto"/>
                  </w:tcBorders>
                </w:tcPr>
                <w:p w:rsidR="003A4BA3" w:rsidRDefault="003A4BA3" w:rsidP="00AD4EE4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Doripenem</w:t>
                  </w:r>
                </w:p>
              </w:tc>
              <w:tc>
                <w:tcPr>
                  <w:tcW w:w="12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  <w:tr w:rsidR="003A4BA3" w:rsidTr="003A4BA3">
              <w:trPr>
                <w:gridAfter w:val="1"/>
                <w:wAfter w:w="1286" w:type="dxa"/>
              </w:trPr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4BA3" w:rsidRDefault="003A4BA3" w:rsidP="00AD4EE4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A3" w:rsidRDefault="003A4BA3" w:rsidP="00AD4EE4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</w:tr>
          </w:tbl>
          <w:p w:rsidR="00AD4EE4" w:rsidRDefault="00AD4EE4" w:rsidP="00AD4EE4">
            <w:pPr>
              <w:pStyle w:val="TableText"/>
              <w:adjustRightInd w:val="0"/>
              <w:rPr>
                <w:rFonts w:ascii="Arial" w:hAnsi="Arial" w:cs="Arial"/>
                <w:b/>
                <w:bCs/>
                <w:iCs/>
                <w:color w:val="0000FF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EE4" w:rsidRDefault="00AD4EE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28E9" w:rsidTr="00DE28E9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E9" w:rsidRDefault="00DE28E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 w:rsidP="00467EE3">
            <w:pPr>
              <w:jc w:val="left"/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</w:rPr>
              <w:t>MDH CRA definition:  (using MDH/CLSI breakpoints)</w:t>
            </w:r>
          </w:p>
          <w:p w:rsidR="00DE28E9" w:rsidRDefault="00DE28E9" w:rsidP="00467EE3">
            <w:pPr>
              <w:jc w:val="left"/>
              <w:rPr>
                <w:rFonts w:ascii="Arial" w:hAnsi="Arial" w:cs="Arial"/>
                <w:b/>
                <w:bCs/>
                <w:iCs/>
                <w:color w:val="0000FF"/>
              </w:rPr>
            </w:pPr>
          </w:p>
          <w:p w:rsidR="00DE28E9" w:rsidRDefault="00DE28E9" w:rsidP="00467EE3">
            <w:pPr>
              <w:autoSpaceDE w:val="0"/>
              <w:autoSpaceDN w:val="0"/>
              <w:adjustRightInd w:val="0"/>
              <w:jc w:val="left"/>
              <w:rPr>
                <w:rFonts w:ascii="Times-Bold" w:hAnsi="Times-Bold"/>
                <w:sz w:val="20"/>
              </w:rPr>
            </w:pPr>
            <w:r>
              <w:rPr>
                <w:rFonts w:ascii="Times-Bold" w:hAnsi="Times-Bold"/>
                <w:b/>
                <w:bCs/>
                <w:sz w:val="20"/>
              </w:rPr>
              <w:t xml:space="preserve">Acinetobacter </w:t>
            </w:r>
            <w:r>
              <w:rPr>
                <w:rFonts w:ascii="Times-Roman" w:hAnsi="Times-Roman"/>
                <w:sz w:val="20"/>
              </w:rPr>
              <w:t>(</w:t>
            </w:r>
            <w:r>
              <w:rPr>
                <w:rFonts w:ascii="Times-Italic" w:hAnsi="Times-Italic"/>
                <w:i/>
                <w:iCs/>
                <w:sz w:val="20"/>
              </w:rPr>
              <w:t xml:space="preserve">A. baumanii, A. calcoaceticus baumanii, A. baumanii </w:t>
            </w:r>
            <w:r>
              <w:rPr>
                <w:rFonts w:ascii="Times-Roman" w:hAnsi="Times-Roman"/>
                <w:sz w:val="20"/>
              </w:rPr>
              <w:t xml:space="preserve">complex, </w:t>
            </w:r>
            <w:r>
              <w:rPr>
                <w:rFonts w:ascii="Times-Italic" w:hAnsi="Times-Italic"/>
                <w:i/>
                <w:iCs/>
                <w:sz w:val="20"/>
              </w:rPr>
              <w:t xml:space="preserve">A.calcoaceticus baumannii </w:t>
            </w:r>
            <w:r>
              <w:rPr>
                <w:rFonts w:ascii="Times-Roman" w:hAnsi="Times-Roman"/>
                <w:sz w:val="20"/>
              </w:rPr>
              <w:t xml:space="preserve">complex, and </w:t>
            </w:r>
            <w:r>
              <w:rPr>
                <w:rFonts w:ascii="Times-Italic" w:hAnsi="Times-Italic"/>
                <w:i/>
                <w:iCs/>
                <w:sz w:val="20"/>
              </w:rPr>
              <w:t>A. calcoaceticus</w:t>
            </w:r>
            <w:r>
              <w:rPr>
                <w:rFonts w:ascii="Times-Roman" w:hAnsi="Times-Roman"/>
                <w:sz w:val="20"/>
              </w:rPr>
              <w:t xml:space="preserve">) </w:t>
            </w:r>
            <w:r>
              <w:rPr>
                <w:rFonts w:ascii="Times-Bold" w:hAnsi="Times-Bold"/>
                <w:sz w:val="20"/>
              </w:rPr>
              <w:t>isolates that are non-susceptible:</w:t>
            </w:r>
          </w:p>
          <w:p w:rsidR="00DE28E9" w:rsidRDefault="00DE28E9" w:rsidP="00467EE3">
            <w:pPr>
              <w:jc w:val="left"/>
              <w:rPr>
                <w:rFonts w:ascii="Times-Bold" w:hAnsi="Times-Bold"/>
                <w:b/>
                <w:bCs/>
                <w:sz w:val="20"/>
              </w:rPr>
            </w:pPr>
            <w:r>
              <w:rPr>
                <w:rFonts w:ascii="Times-Bold" w:hAnsi="Times-Bold"/>
                <w:b/>
                <w:bCs/>
                <w:sz w:val="20"/>
              </w:rPr>
              <w:t>I or R to Imipenem, Meropenem, or Doripenem</w:t>
            </w:r>
          </w:p>
          <w:p w:rsidR="00DE28E9" w:rsidRDefault="00DE28E9" w:rsidP="00467EE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28E9" w:rsidTr="00DE28E9">
        <w:trPr>
          <w:cantSplit/>
          <w:trHeight w:val="19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E9" w:rsidRDefault="00DE28E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Pr="00AA0713" w:rsidRDefault="00DE28E9" w:rsidP="00DE28E9">
            <w:pPr>
              <w:jc w:val="left"/>
              <w:rPr>
                <w:rFonts w:ascii="Arial" w:hAnsi="Arial" w:cs="Arial"/>
                <w:b/>
                <w:iCs/>
                <w:color w:val="0000FF"/>
                <w:sz w:val="20"/>
              </w:rPr>
            </w:pPr>
            <w:r w:rsidRPr="00AA0713">
              <w:rPr>
                <w:rFonts w:ascii="Arial" w:hAnsi="Arial" w:cs="Arial"/>
                <w:b/>
                <w:iCs/>
                <w:color w:val="0000FF"/>
                <w:sz w:val="20"/>
              </w:rPr>
              <w:t xml:space="preserve">MDH (CLSI) </w:t>
            </w:r>
            <w:r w:rsidR="00ED7D2D" w:rsidRPr="00AA0713">
              <w:rPr>
                <w:rFonts w:ascii="Arial" w:hAnsi="Arial" w:cs="Arial"/>
                <w:b/>
                <w:iCs/>
                <w:color w:val="0000FF"/>
                <w:sz w:val="20"/>
              </w:rPr>
              <w:t xml:space="preserve">CRA </w:t>
            </w:r>
            <w:r w:rsidRPr="00AA0713">
              <w:rPr>
                <w:rFonts w:ascii="Arial" w:hAnsi="Arial" w:cs="Arial"/>
                <w:b/>
                <w:iCs/>
                <w:color w:val="0000FF"/>
                <w:sz w:val="20"/>
              </w:rPr>
              <w:t>breakpoints are listed in the table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85"/>
              <w:gridCol w:w="2562"/>
              <w:gridCol w:w="10"/>
              <w:gridCol w:w="2572"/>
            </w:tblGrid>
            <w:tr w:rsidR="00DE28E9" w:rsidTr="00467EE3">
              <w:trPr>
                <w:cantSplit/>
              </w:trPr>
              <w:tc>
                <w:tcPr>
                  <w:tcW w:w="6429" w:type="dxa"/>
                  <w:gridSpan w:val="4"/>
                </w:tcPr>
                <w:p w:rsidR="00DE28E9" w:rsidRDefault="00DE28E9" w:rsidP="00467EE3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Carbapenem non-susceptible breakpoints</w:t>
                  </w:r>
                </w:p>
              </w:tc>
            </w:tr>
            <w:tr w:rsidR="00DE28E9" w:rsidTr="00467EE3">
              <w:trPr>
                <w:gridAfter w:val="1"/>
                <w:wAfter w:w="2572" w:type="dxa"/>
                <w:cantSplit/>
              </w:trPr>
              <w:tc>
                <w:tcPr>
                  <w:tcW w:w="1285" w:type="dxa"/>
                </w:tcPr>
                <w:p w:rsidR="00DE28E9" w:rsidRDefault="00DE28E9" w:rsidP="00467EE3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Agent</w:t>
                  </w:r>
                </w:p>
              </w:tc>
              <w:tc>
                <w:tcPr>
                  <w:tcW w:w="2572" w:type="dxa"/>
                  <w:gridSpan w:val="2"/>
                </w:tcPr>
                <w:p w:rsidR="00DE28E9" w:rsidRDefault="00DE28E9" w:rsidP="00467EE3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MIC Interpretive Standard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t>(</w:t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sym w:font="Symbol" w:char="F06D"/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t>g/mL)</w:t>
                  </w:r>
                </w:p>
              </w:tc>
            </w:tr>
            <w:tr w:rsidR="00DE28E9" w:rsidTr="00467EE3">
              <w:trPr>
                <w:gridAfter w:val="1"/>
                <w:wAfter w:w="2572" w:type="dxa"/>
              </w:trPr>
              <w:tc>
                <w:tcPr>
                  <w:tcW w:w="1285" w:type="dxa"/>
                </w:tcPr>
                <w:p w:rsidR="00DE28E9" w:rsidRDefault="00DE28E9" w:rsidP="00467EE3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Imipenem</w:t>
                  </w:r>
                </w:p>
              </w:tc>
              <w:tc>
                <w:tcPr>
                  <w:tcW w:w="2572" w:type="dxa"/>
                  <w:gridSpan w:val="2"/>
                </w:tcPr>
                <w:p w:rsidR="00DE28E9" w:rsidRDefault="00DE28E9" w:rsidP="00467EE3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≥8</w:t>
                  </w:r>
                </w:p>
              </w:tc>
            </w:tr>
            <w:tr w:rsidR="00DE28E9" w:rsidTr="00467EE3">
              <w:trPr>
                <w:gridAfter w:val="1"/>
                <w:wAfter w:w="2572" w:type="dxa"/>
              </w:trPr>
              <w:tc>
                <w:tcPr>
                  <w:tcW w:w="1285" w:type="dxa"/>
                  <w:tcBorders>
                    <w:bottom w:val="single" w:sz="4" w:space="0" w:color="auto"/>
                  </w:tcBorders>
                </w:tcPr>
                <w:p w:rsidR="00DE28E9" w:rsidRDefault="00DE28E9" w:rsidP="00467EE3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Meropenem</w:t>
                  </w:r>
                </w:p>
              </w:tc>
              <w:tc>
                <w:tcPr>
                  <w:tcW w:w="2572" w:type="dxa"/>
                  <w:gridSpan w:val="2"/>
                </w:tcPr>
                <w:p w:rsidR="00DE28E9" w:rsidRDefault="00DE28E9" w:rsidP="00467EE3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≥8</w:t>
                  </w:r>
                </w:p>
              </w:tc>
            </w:tr>
            <w:tr w:rsidR="00DE28E9" w:rsidTr="00467EE3">
              <w:trPr>
                <w:gridAfter w:val="2"/>
                <w:wAfter w:w="2582" w:type="dxa"/>
                <w:cantSplit/>
              </w:trPr>
              <w:tc>
                <w:tcPr>
                  <w:tcW w:w="1285" w:type="dxa"/>
                  <w:tcBorders>
                    <w:bottom w:val="single" w:sz="4" w:space="0" w:color="auto"/>
                  </w:tcBorders>
                </w:tcPr>
                <w:p w:rsidR="00DE28E9" w:rsidRDefault="00DE28E9" w:rsidP="00467EE3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Doripenem</w:t>
                  </w: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:rsidR="00DE28E9" w:rsidRPr="009F055B" w:rsidRDefault="00EB1AB4" w:rsidP="00467EE3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≥8</w:t>
                  </w:r>
                </w:p>
              </w:tc>
            </w:tr>
            <w:tr w:rsidR="00DE28E9" w:rsidTr="00467EE3">
              <w:trPr>
                <w:gridAfter w:val="2"/>
                <w:wAfter w:w="2582" w:type="dxa"/>
                <w:cantSplit/>
              </w:trPr>
              <w:tc>
                <w:tcPr>
                  <w:tcW w:w="38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8E9" w:rsidRPr="009F055B" w:rsidRDefault="00DE28E9" w:rsidP="00467EE3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</w:rPr>
                  </w:pPr>
                </w:p>
              </w:tc>
            </w:tr>
            <w:tr w:rsidR="00ED7D2D" w:rsidTr="00C71EB0">
              <w:trPr>
                <w:gridAfter w:val="2"/>
                <w:wAfter w:w="2582" w:type="dxa"/>
                <w:cantSplit/>
                <w:trHeight w:val="80"/>
              </w:trPr>
              <w:tc>
                <w:tcPr>
                  <w:tcW w:w="38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7D2D" w:rsidRPr="009F055B" w:rsidRDefault="00ED7D2D" w:rsidP="00467EE3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</w:rPr>
                  </w:pPr>
                </w:p>
              </w:tc>
            </w:tr>
          </w:tbl>
          <w:p w:rsidR="00DE28E9" w:rsidRDefault="00DE28E9" w:rsidP="00467EE3">
            <w:pPr>
              <w:jc w:val="left"/>
              <w:rPr>
                <w:rFonts w:ascii="Arial" w:hAnsi="Arial" w:cs="Arial"/>
                <w:b/>
                <w:bCs/>
                <w:iCs/>
                <w:color w:val="00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28E9" w:rsidTr="00AD4EE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E9" w:rsidRDefault="00ED7D2D" w:rsidP="00DE28E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2D" w:rsidRDefault="00ED7D2D" w:rsidP="00ED7D2D">
            <w:pPr>
              <w:jc w:val="left"/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</w:rPr>
              <w:t>MDH CRPA definition:  (using MDH/CLSI breakpoints)</w:t>
            </w:r>
          </w:p>
          <w:p w:rsidR="00ED7D2D" w:rsidRDefault="00837D0E" w:rsidP="00ED7D2D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Pseudomonas aeruginosa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isolate that is carbapenem resistant and/or demonstrates the production of a carbapenemase: </w:t>
            </w:r>
          </w:p>
          <w:p w:rsidR="00837D0E" w:rsidRDefault="00837D0E" w:rsidP="00837D0E">
            <w:pPr>
              <w:jc w:val="left"/>
              <w:rPr>
                <w:rFonts w:ascii="Times-Bold" w:hAnsi="Times-Bold"/>
                <w:b/>
                <w:bCs/>
                <w:sz w:val="20"/>
              </w:rPr>
            </w:pPr>
            <w:r>
              <w:rPr>
                <w:rFonts w:ascii="Times-Bold" w:hAnsi="Times-Bold"/>
                <w:b/>
                <w:bCs/>
                <w:sz w:val="20"/>
              </w:rPr>
              <w:t>I or R to Imipenem, Meropenem, or Doripenem</w:t>
            </w:r>
          </w:p>
          <w:p w:rsidR="00DE28E9" w:rsidRDefault="00DE28E9" w:rsidP="00DE2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7D0E" w:rsidTr="00AD4EE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0E" w:rsidRDefault="00837D0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D0E" w:rsidRDefault="00837D0E" w:rsidP="00DE28E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0E" w:rsidRDefault="00837D0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0E" w:rsidRPr="00AA0713" w:rsidRDefault="00837D0E" w:rsidP="00837D0E">
            <w:pPr>
              <w:jc w:val="left"/>
              <w:rPr>
                <w:rFonts w:ascii="Arial" w:hAnsi="Arial" w:cs="Arial"/>
                <w:b/>
                <w:iCs/>
                <w:color w:val="0000FF"/>
                <w:sz w:val="20"/>
              </w:rPr>
            </w:pPr>
            <w:r w:rsidRPr="00AA0713">
              <w:rPr>
                <w:rFonts w:ascii="Arial" w:hAnsi="Arial" w:cs="Arial"/>
                <w:b/>
                <w:iCs/>
                <w:color w:val="0000FF"/>
                <w:sz w:val="20"/>
              </w:rPr>
              <w:t>MDH (CLSI) CRPA breakpoints are listed in the table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85"/>
              <w:gridCol w:w="2562"/>
              <w:gridCol w:w="10"/>
              <w:gridCol w:w="2572"/>
            </w:tblGrid>
            <w:tr w:rsidR="00837D0E" w:rsidTr="00837D0E">
              <w:trPr>
                <w:cantSplit/>
              </w:trPr>
              <w:tc>
                <w:tcPr>
                  <w:tcW w:w="6429" w:type="dxa"/>
                  <w:gridSpan w:val="4"/>
                </w:tcPr>
                <w:p w:rsidR="00837D0E" w:rsidRDefault="00837D0E" w:rsidP="00837D0E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Carbapenem non-susceptible breakpoints</w:t>
                  </w:r>
                </w:p>
              </w:tc>
            </w:tr>
            <w:tr w:rsidR="00837D0E" w:rsidTr="00837D0E">
              <w:trPr>
                <w:gridAfter w:val="1"/>
                <w:wAfter w:w="2572" w:type="dxa"/>
                <w:cantSplit/>
              </w:trPr>
              <w:tc>
                <w:tcPr>
                  <w:tcW w:w="1285" w:type="dxa"/>
                </w:tcPr>
                <w:p w:rsidR="00837D0E" w:rsidRDefault="00837D0E" w:rsidP="00837D0E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Agent</w:t>
                  </w:r>
                </w:p>
              </w:tc>
              <w:tc>
                <w:tcPr>
                  <w:tcW w:w="2572" w:type="dxa"/>
                  <w:gridSpan w:val="2"/>
                </w:tcPr>
                <w:p w:rsidR="00837D0E" w:rsidRDefault="00837D0E" w:rsidP="00837D0E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MIC Interpretive Standard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t>(</w:t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sym w:font="Symbol" w:char="F06D"/>
                  </w:r>
                  <w:r>
                    <w:rPr>
                      <w:rFonts w:ascii="Arial" w:hAnsi="Arial" w:cs="Arial"/>
                      <w:iCs/>
                      <w:sz w:val="20"/>
                    </w:rPr>
                    <w:t>g/mL)</w:t>
                  </w:r>
                </w:p>
              </w:tc>
            </w:tr>
            <w:tr w:rsidR="00837D0E" w:rsidTr="00837D0E">
              <w:trPr>
                <w:gridAfter w:val="1"/>
                <w:wAfter w:w="2572" w:type="dxa"/>
              </w:trPr>
              <w:tc>
                <w:tcPr>
                  <w:tcW w:w="1285" w:type="dxa"/>
                </w:tcPr>
                <w:p w:rsidR="00837D0E" w:rsidRDefault="00837D0E" w:rsidP="00837D0E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Imipenem</w:t>
                  </w:r>
                </w:p>
              </w:tc>
              <w:tc>
                <w:tcPr>
                  <w:tcW w:w="2572" w:type="dxa"/>
                  <w:gridSpan w:val="2"/>
                </w:tcPr>
                <w:p w:rsidR="00837D0E" w:rsidRDefault="00837D0E" w:rsidP="00837D0E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≥8</w:t>
                  </w:r>
                </w:p>
              </w:tc>
            </w:tr>
            <w:tr w:rsidR="00837D0E" w:rsidTr="00837D0E">
              <w:trPr>
                <w:gridAfter w:val="1"/>
                <w:wAfter w:w="2572" w:type="dxa"/>
              </w:trPr>
              <w:tc>
                <w:tcPr>
                  <w:tcW w:w="1285" w:type="dxa"/>
                  <w:tcBorders>
                    <w:bottom w:val="single" w:sz="4" w:space="0" w:color="auto"/>
                  </w:tcBorders>
                </w:tcPr>
                <w:p w:rsidR="00837D0E" w:rsidRDefault="00837D0E" w:rsidP="00837D0E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Meropenem</w:t>
                  </w:r>
                </w:p>
              </w:tc>
              <w:tc>
                <w:tcPr>
                  <w:tcW w:w="2572" w:type="dxa"/>
                  <w:gridSpan w:val="2"/>
                </w:tcPr>
                <w:p w:rsidR="00837D0E" w:rsidRDefault="00837D0E" w:rsidP="00837D0E">
                  <w:pPr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≥8</w:t>
                  </w:r>
                </w:p>
              </w:tc>
            </w:tr>
            <w:tr w:rsidR="00837D0E" w:rsidTr="00837D0E">
              <w:trPr>
                <w:gridAfter w:val="2"/>
                <w:wAfter w:w="2582" w:type="dxa"/>
                <w:cantSplit/>
              </w:trPr>
              <w:tc>
                <w:tcPr>
                  <w:tcW w:w="1285" w:type="dxa"/>
                  <w:tcBorders>
                    <w:bottom w:val="single" w:sz="4" w:space="0" w:color="auto"/>
                  </w:tcBorders>
                </w:tcPr>
                <w:p w:rsidR="00837D0E" w:rsidRDefault="00837D0E" w:rsidP="00837D0E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Doripenem</w:t>
                  </w:r>
                </w:p>
              </w:tc>
              <w:tc>
                <w:tcPr>
                  <w:tcW w:w="2562" w:type="dxa"/>
                  <w:tcBorders>
                    <w:bottom w:val="single" w:sz="4" w:space="0" w:color="auto"/>
                  </w:tcBorders>
                </w:tcPr>
                <w:p w:rsidR="00837D0E" w:rsidRPr="009F055B" w:rsidRDefault="00837D0E" w:rsidP="00837D0E">
                  <w:pPr>
                    <w:jc w:val="center"/>
                    <w:rPr>
                      <w:rFonts w:ascii="Arial" w:hAnsi="Arial" w:cs="Arial"/>
                      <w:bCs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</w:rPr>
                    <w:t>&gt;8</w:t>
                  </w:r>
                </w:p>
              </w:tc>
            </w:tr>
          </w:tbl>
          <w:p w:rsidR="00837D0E" w:rsidRDefault="00837D0E" w:rsidP="00ED7D2D">
            <w:pPr>
              <w:jc w:val="left"/>
              <w:rPr>
                <w:rFonts w:ascii="Arial" w:hAnsi="Arial" w:cs="Arial"/>
                <w:b/>
                <w:bCs/>
                <w:iCs/>
                <w:color w:val="00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0E" w:rsidRDefault="00837D0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A0713" w:rsidTr="00AD4EE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13" w:rsidRDefault="00AA071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713" w:rsidRDefault="00AA0713" w:rsidP="00DE28E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13" w:rsidRDefault="00AA07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13" w:rsidRPr="006D7E3E" w:rsidRDefault="006D7E3E" w:rsidP="006D7E3E">
            <w:pPr>
              <w:jc w:val="left"/>
              <w:rPr>
                <w:rFonts w:ascii="Arial" w:hAnsi="Arial" w:cs="Arial"/>
                <w:b/>
                <w:iCs/>
                <w:color w:val="0000FF"/>
                <w:sz w:val="20"/>
                <w:szCs w:val="20"/>
              </w:rPr>
            </w:pPr>
            <w:r w:rsidRPr="006D7E3E">
              <w:rPr>
                <w:rFonts w:ascii="Arial" w:hAnsi="Arial" w:cs="Arial"/>
                <w:sz w:val="20"/>
                <w:szCs w:val="20"/>
              </w:rPr>
              <w:t xml:space="preserve">Isolates fitting the </w:t>
            </w:r>
            <w:r w:rsidRPr="006D7E3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CRE,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CRA</w:t>
            </w:r>
            <w:r w:rsidRPr="006D7E3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CR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</w:t>
            </w:r>
            <w:r w:rsidRPr="006D7E3E">
              <w:rPr>
                <w:rFonts w:ascii="Arial" w:hAnsi="Arial" w:cs="Arial"/>
                <w:b/>
                <w:color w:val="0000FF"/>
                <w:sz w:val="20"/>
                <w:szCs w:val="20"/>
              </w:rPr>
              <w:t>A</w:t>
            </w:r>
            <w:r w:rsidRPr="006D7E3E">
              <w:rPr>
                <w:rFonts w:ascii="Arial" w:hAnsi="Arial" w:cs="Arial"/>
                <w:sz w:val="20"/>
                <w:szCs w:val="20"/>
              </w:rPr>
              <w:t xml:space="preserve"> definitions should be submitted to MDH as they are identified.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713" w:rsidRDefault="00AA07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D7E3E" w:rsidTr="00AD4EE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3E" w:rsidRDefault="006D7E3E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3E" w:rsidRDefault="00B33932" w:rsidP="00DE28E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3E" w:rsidRDefault="006D7E3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3E" w:rsidRPr="00B33932" w:rsidRDefault="006D7E3E" w:rsidP="006D7E3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33932">
              <w:rPr>
                <w:rFonts w:ascii="Arial" w:hAnsi="Arial" w:cs="Arial"/>
                <w:b/>
                <w:sz w:val="20"/>
              </w:rPr>
              <w:t>When submitting isolates please include:</w:t>
            </w:r>
          </w:p>
          <w:p w:rsidR="006D7E3E" w:rsidRDefault="006D7E3E" w:rsidP="006D7E3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usual MDH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“Clinical Testing and Submission Form” </w:t>
            </w:r>
            <w:r>
              <w:rPr>
                <w:rFonts w:ascii="Arial" w:hAnsi="Arial" w:cs="Arial"/>
                <w:sz w:val="20"/>
              </w:rPr>
              <w:t>(please fill out patient info as completely as possible)</w:t>
            </w:r>
          </w:p>
          <w:p w:rsidR="006D7E3E" w:rsidRDefault="006D7E3E" w:rsidP="006D7E3E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i/>
                <w:iCs/>
                <w:sz w:val="20"/>
              </w:rPr>
              <w:t>“CRE</w:t>
            </w:r>
            <w:r w:rsidR="00B33932">
              <w:rPr>
                <w:rFonts w:ascii="Arial" w:hAnsi="Arial" w:cs="Arial"/>
                <w:i/>
                <w:iCs/>
                <w:sz w:val="20"/>
              </w:rPr>
              <w:t>/CRPA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Isolate Submission Form”</w:t>
            </w:r>
          </w:p>
          <w:p w:rsidR="006D7E3E" w:rsidRDefault="006D7E3E" w:rsidP="006D7E3E">
            <w:pPr>
              <w:pStyle w:val="TableText"/>
              <w:numPr>
                <w:ilvl w:val="1"/>
                <w:numId w:val="8"/>
              </w:num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the AST report from the Vitek, and MicroScan NC68 if performed</w:t>
            </w:r>
          </w:p>
          <w:p w:rsidR="006D7E3E" w:rsidRPr="006D7E3E" w:rsidRDefault="006D7E3E" w:rsidP="006D7E3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7E3E">
              <w:rPr>
                <w:rFonts w:ascii="Arial" w:hAnsi="Arial" w:cs="Arial"/>
                <w:b/>
                <w:bCs/>
                <w:sz w:val="20"/>
                <w:szCs w:val="20"/>
              </w:rPr>
              <w:t>Please staple all the forms together</w:t>
            </w:r>
            <w:r w:rsidRPr="006D7E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E3E" w:rsidRDefault="0089288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hyperlink r:id="rId8" w:history="1">
              <w:r w:rsidR="00B33932" w:rsidRPr="00B33932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MDH form</w:t>
              </w:r>
            </w:hyperlink>
          </w:p>
          <w:p w:rsidR="00B33932" w:rsidRDefault="00B3393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B33932" w:rsidRDefault="00892889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hyperlink r:id="rId9" w:history="1">
              <w:r w:rsidR="00B33932" w:rsidRPr="00B33932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CRE/</w:t>
              </w:r>
              <w:r w:rsidR="00A21F21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 xml:space="preserve">CRA/ </w:t>
              </w:r>
              <w:r w:rsidR="00B33932" w:rsidRPr="00B33932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C</w:t>
              </w:r>
              <w:r w:rsidR="00B33932" w:rsidRPr="00B33932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R</w:t>
              </w:r>
              <w:r w:rsidR="00B33932" w:rsidRPr="00B33932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PA form</w:t>
              </w:r>
            </w:hyperlink>
          </w:p>
          <w:p w:rsidR="00B33932" w:rsidRDefault="00B3393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33932" w:rsidTr="00AD4EE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32" w:rsidRDefault="00B3393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32" w:rsidRDefault="00B33932" w:rsidP="00DE28E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2" w:rsidRDefault="00B3393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2" w:rsidRPr="00B33932" w:rsidRDefault="00B33932" w:rsidP="006D7E3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Subculture the isolate to a nutrient agar for next day shipment to MDH.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932" w:rsidRDefault="00B3393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28E9" w:rsidTr="002333E6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E28E9" w:rsidRDefault="00DE28E9">
            <w:pPr>
              <w:pStyle w:val="Table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rPr>
                <w:rFonts w:ascii="Arial" w:hAnsi="Arial" w:cs="Arial"/>
              </w:rPr>
            </w:pPr>
          </w:p>
          <w:p w:rsidR="00DE28E9" w:rsidRDefault="00DE28E9">
            <w:pPr>
              <w:pStyle w:val="Table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“MDH MDR-GNB Laboratory-specific Protocol.” St. Paul: Minnesota Department of Health, 2011.</w:t>
            </w:r>
          </w:p>
          <w:p w:rsidR="00DE28E9" w:rsidRDefault="00DE28E9" w:rsidP="009F055B">
            <w:pPr>
              <w:pStyle w:val="Table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“Changes to CRE Surveillance” St. Paul: Minnesota Department of Health, </w:t>
            </w:r>
            <w:r w:rsidR="00465E66">
              <w:rPr>
                <w:rFonts w:ascii="Arial" w:hAnsi="Arial" w:cs="Arial"/>
              </w:rPr>
              <w:t>1/6/</w:t>
            </w:r>
            <w:r>
              <w:rPr>
                <w:rFonts w:ascii="Arial" w:hAnsi="Arial" w:cs="Arial"/>
              </w:rPr>
              <w:t>2016.</w:t>
            </w:r>
          </w:p>
          <w:p w:rsidR="00465E66" w:rsidRDefault="00465E66" w:rsidP="00465E66">
            <w:pPr>
              <w:pStyle w:val="Table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“CRPA Surveillance” St. Paul: Minnesota Department of Health, 7/6/2016.</w:t>
            </w:r>
          </w:p>
          <w:p w:rsidR="00DE28E9" w:rsidRDefault="00DE28E9" w:rsidP="009F055B">
            <w:pPr>
              <w:pStyle w:val="Table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010"/>
              </w:tabs>
              <w:autoSpaceDE/>
              <w:autoSpaceDN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  <w:szCs w:val="20"/>
              </w:rPr>
              <w:tab/>
            </w:r>
          </w:p>
        </w:tc>
      </w:tr>
      <w:tr w:rsidR="00DE28E9" w:rsidTr="002333E6">
        <w:trPr>
          <w:trHeight w:val="10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 Plan/</w:t>
            </w:r>
          </w:p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Competency </w:t>
            </w:r>
          </w:p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Assessment</w:t>
            </w:r>
          </w:p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7"/>
            <w:tcBorders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87"/>
              <w:gridCol w:w="7082"/>
            </w:tblGrid>
            <w:tr w:rsidR="00DE28E9">
              <w:trPr>
                <w:cantSplit/>
              </w:trPr>
              <w:tc>
                <w:tcPr>
                  <w:tcW w:w="1687" w:type="dxa"/>
                  <w:vMerge w:val="restart"/>
                </w:tcPr>
                <w:p w:rsidR="00DE28E9" w:rsidRDefault="00DE28E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</w:p>
                <w:p w:rsidR="00DE28E9" w:rsidRDefault="00DE28E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Training Plan </w:t>
                  </w:r>
                </w:p>
              </w:tc>
              <w:tc>
                <w:tcPr>
                  <w:tcW w:w="7082" w:type="dxa"/>
                </w:tcPr>
                <w:p w:rsidR="00DE28E9" w:rsidRDefault="00DE28E9">
                  <w:pPr>
                    <w:jc w:val="left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must read the procedure</w:t>
                  </w:r>
                </w:p>
              </w:tc>
            </w:tr>
            <w:tr w:rsidR="00DE28E9">
              <w:trPr>
                <w:cantSplit/>
              </w:trPr>
              <w:tc>
                <w:tcPr>
                  <w:tcW w:w="1687" w:type="dxa"/>
                  <w:vMerge/>
                </w:tcPr>
                <w:p w:rsidR="00DE28E9" w:rsidRDefault="00DE28E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7082" w:type="dxa"/>
                </w:tcPr>
                <w:p w:rsidR="00DE28E9" w:rsidRDefault="00DE28E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Employee will observe trainer performing the procedure.</w:t>
                  </w:r>
                </w:p>
              </w:tc>
            </w:tr>
            <w:tr w:rsidR="00DE28E9">
              <w:trPr>
                <w:cantSplit/>
              </w:trPr>
              <w:tc>
                <w:tcPr>
                  <w:tcW w:w="1687" w:type="dxa"/>
                  <w:vMerge/>
                </w:tcPr>
                <w:p w:rsidR="00DE28E9" w:rsidRDefault="00DE28E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7082" w:type="dxa"/>
                </w:tcPr>
                <w:p w:rsidR="00DE28E9" w:rsidRDefault="00DE28E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Employee will demonstrate the ability to perform procedure, record results and document corrective action after instruction by the trainer.</w:t>
                  </w:r>
                </w:p>
              </w:tc>
            </w:tr>
            <w:tr w:rsidR="00DE28E9">
              <w:trPr>
                <w:cantSplit/>
              </w:trPr>
              <w:tc>
                <w:tcPr>
                  <w:tcW w:w="1687" w:type="dxa"/>
                  <w:vMerge w:val="restart"/>
                </w:tcPr>
                <w:p w:rsidR="00DE28E9" w:rsidRDefault="00DE28E9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</w:rPr>
                    <w:t>Competency</w:t>
                  </w:r>
                </w:p>
              </w:tc>
              <w:tc>
                <w:tcPr>
                  <w:tcW w:w="7082" w:type="dxa"/>
                </w:tcPr>
                <w:p w:rsidR="00DE28E9" w:rsidRDefault="00DE28E9">
                  <w:pPr>
                    <w:jc w:val="left"/>
                    <w:rPr>
                      <w:rFonts w:ascii="Arial" w:hAnsi="Arial" w:cs="Arial"/>
                      <w:bCs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Direct observation</w:t>
                  </w:r>
                </w:p>
              </w:tc>
            </w:tr>
            <w:tr w:rsidR="00DE28E9">
              <w:trPr>
                <w:cantSplit/>
              </w:trPr>
              <w:tc>
                <w:tcPr>
                  <w:tcW w:w="1687" w:type="dxa"/>
                  <w:vMerge/>
                </w:tcPr>
                <w:p w:rsidR="00DE28E9" w:rsidRDefault="00DE28E9">
                  <w:pPr>
                    <w:jc w:val="left"/>
                    <w:rPr>
                      <w:rFonts w:ascii="Arial" w:hAnsi="Arial" w:cs="Arial"/>
                      <w:iCs/>
                      <w:sz w:val="20"/>
                    </w:rPr>
                  </w:pPr>
                </w:p>
              </w:tc>
              <w:tc>
                <w:tcPr>
                  <w:tcW w:w="7082" w:type="dxa"/>
                </w:tcPr>
                <w:p w:rsidR="00DE28E9" w:rsidRDefault="00DE28E9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Proficiency Testing</w:t>
                  </w:r>
                </w:p>
              </w:tc>
            </w:tr>
          </w:tbl>
          <w:p w:rsidR="00DE28E9" w:rsidRDefault="00DE28E9">
            <w:pPr>
              <w:rPr>
                <w:rFonts w:ascii="Arial" w:hAnsi="Arial" w:cs="Arial"/>
                <w:sz w:val="20"/>
              </w:rPr>
            </w:pPr>
          </w:p>
        </w:tc>
      </w:tr>
      <w:tr w:rsidR="00DE28E9">
        <w:trPr>
          <w:trHeight w:val="27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E28E9">
        <w:trPr>
          <w:cantSplit/>
          <w:trHeight w:val="22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Effective Date: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Summary of Revisions</w:t>
            </w:r>
          </w:p>
        </w:tc>
      </w:tr>
      <w:tr w:rsidR="00DE28E9">
        <w:trPr>
          <w:cantSplit/>
          <w:trHeight w:val="13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Jessica Sova, MLS(ASCP)</w:t>
            </w:r>
            <w:r>
              <w:rPr>
                <w:rFonts w:ascii="Arial" w:hAnsi="Arial" w:cs="Arial"/>
                <w:sz w:val="20"/>
                <w:vertAlign w:val="superscript"/>
              </w:rPr>
              <w:t>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12/27/2011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DE28E9">
        <w:trPr>
          <w:cantSplit/>
          <w:trHeight w:val="14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Becky Carlson, MLS(ASCP)</w:t>
            </w:r>
            <w:r>
              <w:rPr>
                <w:rFonts w:ascii="Arial" w:hAnsi="Arial" w:cs="Arial"/>
                <w:sz w:val="20"/>
                <w:vertAlign w:val="superscript"/>
              </w:rPr>
              <w:t>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3/4/2012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Included MDH Submission Criteria and forms</w:t>
            </w:r>
          </w:p>
        </w:tc>
      </w:tr>
      <w:tr w:rsidR="00DE28E9">
        <w:trPr>
          <w:cantSplit/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Becky Carlson, MLS(ASCP)</w:t>
            </w:r>
            <w:r>
              <w:rPr>
                <w:rFonts w:ascii="Arial" w:hAnsi="Arial" w:cs="Arial"/>
                <w:sz w:val="20"/>
                <w:vertAlign w:val="superscript"/>
              </w:rPr>
              <w:t>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3/11/2013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the frequency of the searches to monthly.  Added instructions for denominator search.</w:t>
            </w:r>
          </w:p>
        </w:tc>
      </w:tr>
      <w:tr w:rsidR="00DE28E9">
        <w:trPr>
          <w:cantSplit/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Becky Carlson, MLS(ASCP)</w:t>
            </w:r>
            <w:r>
              <w:rPr>
                <w:rFonts w:ascii="Arial" w:hAnsi="Arial" w:cs="Arial"/>
                <w:sz w:val="20"/>
                <w:vertAlign w:val="superscript"/>
              </w:rPr>
              <w:t>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7/30/2015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to CMS application on Children’s Starnet.</w:t>
            </w:r>
          </w:p>
        </w:tc>
      </w:tr>
      <w:tr w:rsidR="00DE28E9">
        <w:trPr>
          <w:cantSplit/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Becky Carlson, MLS(ASCP)</w:t>
            </w:r>
            <w:r>
              <w:rPr>
                <w:rFonts w:ascii="Arial" w:hAnsi="Arial" w:cs="Arial"/>
                <w:sz w:val="20"/>
                <w:vertAlign w:val="superscript"/>
              </w:rPr>
              <w:t>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1/13/2016</w:t>
            </w:r>
          </w:p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</w:p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</w:p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</w:p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</w:p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1/312016</w:t>
            </w:r>
          </w:p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the MDH CRE Case definition to no longer include resistance to third-generation cephalosporins.  Added Ertapenem to the list of carbapenem antibiotics.</w:t>
            </w:r>
          </w:p>
          <w:p w:rsidR="00DE28E9" w:rsidRDefault="00DE28E9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and renamed Observa™CRE/CRA searches.</w:t>
            </w:r>
          </w:p>
        </w:tc>
      </w:tr>
      <w:tr w:rsidR="00465E66">
        <w:trPr>
          <w:cantSplit/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66" w:rsidRDefault="00465E6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66" w:rsidRDefault="00465E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66" w:rsidRDefault="00465E66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Becky Carlson, MLS(ASCP)</w:t>
            </w:r>
            <w:r>
              <w:rPr>
                <w:rFonts w:ascii="Arial" w:hAnsi="Arial" w:cs="Arial"/>
                <w:sz w:val="20"/>
                <w:vertAlign w:val="superscript"/>
              </w:rPr>
              <w:t>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66" w:rsidRDefault="004D79E2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4/5</w:t>
            </w:r>
            <w:r w:rsidR="00465E66">
              <w:rPr>
                <w:rFonts w:ascii="Arial" w:hAnsi="Arial" w:cs="Arial"/>
                <w:sz w:val="20"/>
              </w:rPr>
              <w:t>/2017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66" w:rsidRDefault="00465E66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CRPA isolate submission </w:t>
            </w:r>
          </w:p>
        </w:tc>
      </w:tr>
      <w:tr w:rsidR="004D79E2">
        <w:trPr>
          <w:cantSplit/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E2" w:rsidRDefault="004D79E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E2" w:rsidRDefault="004D79E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E2" w:rsidRDefault="004D79E2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Susan </w:t>
            </w:r>
            <w:proofErr w:type="spellStart"/>
            <w:r>
              <w:rPr>
                <w:rFonts w:ascii="Arial" w:hAnsi="Arial" w:cs="Arial"/>
                <w:sz w:val="20"/>
              </w:rPr>
              <w:t>DeMeyere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E2" w:rsidRDefault="004D79E2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4/20/2018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E2" w:rsidRDefault="004D79E2" w:rsidP="00F352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</w:t>
            </w:r>
            <w:r w:rsidRPr="00AA0713">
              <w:rPr>
                <w:rFonts w:ascii="Arial" w:hAnsi="Arial" w:cs="Arial"/>
                <w:iCs/>
                <w:sz w:val="18"/>
                <w:szCs w:val="18"/>
              </w:rPr>
              <w:t xml:space="preserve">performing monthly </w:t>
            </w:r>
            <w:proofErr w:type="spellStart"/>
            <w:r w:rsidRPr="00AA0713">
              <w:rPr>
                <w:rFonts w:ascii="Arial" w:hAnsi="Arial" w:cs="Arial"/>
                <w:iCs/>
                <w:sz w:val="18"/>
                <w:szCs w:val="18"/>
              </w:rPr>
              <w:t>carbapenem</w:t>
            </w:r>
            <w:proofErr w:type="spellEnd"/>
            <w:r w:rsidRPr="00AA0713">
              <w:rPr>
                <w:rFonts w:ascii="Arial" w:hAnsi="Arial" w:cs="Arial"/>
                <w:iCs/>
                <w:sz w:val="18"/>
                <w:szCs w:val="18"/>
              </w:rPr>
              <w:t xml:space="preserve"> resistance numerator and denominator searches for MDH.</w:t>
            </w:r>
          </w:p>
        </w:tc>
      </w:tr>
    </w:tbl>
    <w:p w:rsidR="00264C81" w:rsidRDefault="00264C81"/>
    <w:sectPr w:rsidR="00264C81" w:rsidSect="00892889">
      <w:headerReference w:type="default" r:id="rId10"/>
      <w:footerReference w:type="default" r:id="rId11"/>
      <w:pgSz w:w="12240" w:h="15840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F5" w:rsidRDefault="006E70F5">
      <w:r>
        <w:separator/>
      </w:r>
    </w:p>
  </w:endnote>
  <w:endnote w:type="continuationSeparator" w:id="0">
    <w:p w:rsidR="006E70F5" w:rsidRDefault="006E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F5" w:rsidRDefault="006E70F5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</w:p>
  <w:p w:rsidR="006E70F5" w:rsidRPr="00071E67" w:rsidRDefault="006E70F5" w:rsidP="00071E67">
    <w:pPr>
      <w:pStyle w:val="Footer"/>
      <w:rPr>
        <w:rFonts w:ascii="Arial" w:hAnsi="Arial" w:cs="Arial"/>
      </w:rPr>
    </w:pPr>
    <w:r w:rsidRPr="00071E67">
      <w:rPr>
        <w:rFonts w:ascii="Arial" w:hAnsi="Arial" w:cs="Arial"/>
        <w:sz w:val="16"/>
        <w:szCs w:val="16"/>
      </w:rPr>
      <w:t xml:space="preserve">Page </w:t>
    </w:r>
    <w:r w:rsidR="00892889" w:rsidRPr="00071E67">
      <w:rPr>
        <w:rFonts w:ascii="Arial" w:hAnsi="Arial" w:cs="Arial"/>
        <w:b/>
        <w:sz w:val="16"/>
        <w:szCs w:val="16"/>
      </w:rPr>
      <w:fldChar w:fldCharType="begin"/>
    </w:r>
    <w:r w:rsidRPr="00071E67">
      <w:rPr>
        <w:rFonts w:ascii="Arial" w:hAnsi="Arial" w:cs="Arial"/>
        <w:b/>
        <w:sz w:val="16"/>
        <w:szCs w:val="16"/>
      </w:rPr>
      <w:instrText xml:space="preserve"> PAGE </w:instrText>
    </w:r>
    <w:r w:rsidR="00892889" w:rsidRPr="00071E67">
      <w:rPr>
        <w:rFonts w:ascii="Arial" w:hAnsi="Arial" w:cs="Arial"/>
        <w:b/>
        <w:sz w:val="16"/>
        <w:szCs w:val="16"/>
      </w:rPr>
      <w:fldChar w:fldCharType="separate"/>
    </w:r>
    <w:r w:rsidR="00A21F21">
      <w:rPr>
        <w:rFonts w:ascii="Arial" w:hAnsi="Arial" w:cs="Arial"/>
        <w:b/>
        <w:noProof/>
        <w:sz w:val="16"/>
        <w:szCs w:val="16"/>
      </w:rPr>
      <w:t>1</w:t>
    </w:r>
    <w:r w:rsidR="00892889" w:rsidRPr="00071E67">
      <w:rPr>
        <w:rFonts w:ascii="Arial" w:hAnsi="Arial" w:cs="Arial"/>
        <w:b/>
        <w:sz w:val="16"/>
        <w:szCs w:val="16"/>
      </w:rPr>
      <w:fldChar w:fldCharType="end"/>
    </w:r>
    <w:r w:rsidRPr="00071E67">
      <w:rPr>
        <w:rFonts w:ascii="Arial" w:hAnsi="Arial" w:cs="Arial"/>
        <w:sz w:val="16"/>
        <w:szCs w:val="16"/>
      </w:rPr>
      <w:t xml:space="preserve"> of </w:t>
    </w:r>
    <w:r w:rsidR="00892889" w:rsidRPr="00071E67">
      <w:rPr>
        <w:rFonts w:ascii="Arial" w:hAnsi="Arial" w:cs="Arial"/>
        <w:b/>
        <w:sz w:val="16"/>
        <w:szCs w:val="16"/>
      </w:rPr>
      <w:fldChar w:fldCharType="begin"/>
    </w:r>
    <w:r w:rsidRPr="00071E67">
      <w:rPr>
        <w:rFonts w:ascii="Arial" w:hAnsi="Arial" w:cs="Arial"/>
        <w:b/>
        <w:sz w:val="16"/>
        <w:szCs w:val="16"/>
      </w:rPr>
      <w:instrText xml:space="preserve"> NUMPAGES  </w:instrText>
    </w:r>
    <w:r w:rsidR="00892889" w:rsidRPr="00071E67">
      <w:rPr>
        <w:rFonts w:ascii="Arial" w:hAnsi="Arial" w:cs="Arial"/>
        <w:b/>
        <w:sz w:val="16"/>
        <w:szCs w:val="16"/>
      </w:rPr>
      <w:fldChar w:fldCharType="separate"/>
    </w:r>
    <w:r w:rsidR="00A21F21">
      <w:rPr>
        <w:rFonts w:ascii="Arial" w:hAnsi="Arial" w:cs="Arial"/>
        <w:b/>
        <w:noProof/>
        <w:sz w:val="16"/>
        <w:szCs w:val="16"/>
      </w:rPr>
      <w:t>3</w:t>
    </w:r>
    <w:r w:rsidR="00892889" w:rsidRPr="00071E67">
      <w:rPr>
        <w:rFonts w:ascii="Arial" w:hAnsi="Arial" w:cs="Arial"/>
        <w:b/>
        <w:sz w:val="16"/>
        <w:szCs w:val="16"/>
      </w:rPr>
      <w:fldChar w:fldCharType="end"/>
    </w:r>
  </w:p>
  <w:p w:rsidR="006E70F5" w:rsidRPr="00071E67" w:rsidRDefault="006E70F5" w:rsidP="00071E67">
    <w:pPr>
      <w:pStyle w:val="Footer"/>
      <w:rPr>
        <w:rFonts w:ascii="Arial" w:hAnsi="Arial" w:cs="Arial"/>
        <w:sz w:val="16"/>
        <w:szCs w:val="16"/>
      </w:rPr>
    </w:pPr>
    <w:r w:rsidRPr="00071E67">
      <w:rPr>
        <w:rFonts w:ascii="Arial" w:hAnsi="Arial" w:cs="Arial"/>
        <w:sz w:val="16"/>
        <w:szCs w:val="16"/>
      </w:rPr>
      <w:t>Children’s Hospitals and Clinics of Minnesota Laboratory, Mpls/St Paul MN</w:t>
    </w:r>
  </w:p>
  <w:p w:rsidR="006E70F5" w:rsidRPr="00071E67" w:rsidRDefault="006E70F5" w:rsidP="00071E67">
    <w:pPr>
      <w:pStyle w:val="Footer"/>
      <w:rPr>
        <w:rFonts w:ascii="Arial" w:hAnsi="Arial" w:cs="Arial"/>
        <w:sz w:val="16"/>
        <w:szCs w:val="16"/>
      </w:rPr>
    </w:pPr>
    <w:r w:rsidRPr="00071E67">
      <w:rPr>
        <w:rFonts w:ascii="Arial" w:hAnsi="Arial" w:cs="Arial"/>
        <w:sz w:val="16"/>
        <w:szCs w:val="16"/>
      </w:rPr>
      <w:t>Printed copy expires 2359 on day of print</w:t>
    </w:r>
  </w:p>
  <w:p w:rsidR="006E70F5" w:rsidRPr="00071E67" w:rsidRDefault="006E70F5" w:rsidP="00071E67">
    <w:pPr>
      <w:pStyle w:val="Footer"/>
      <w:rPr>
        <w:rFonts w:ascii="Arial" w:hAnsi="Arial" w:cs="Arial"/>
        <w:szCs w:val="16"/>
      </w:rPr>
    </w:pPr>
  </w:p>
  <w:p w:rsidR="006E70F5" w:rsidRDefault="006E70F5" w:rsidP="00071E67">
    <w:pPr>
      <w:pStyle w:val="Footer"/>
      <w:tabs>
        <w:tab w:val="clear" w:pos="8640"/>
        <w:tab w:val="right" w:pos="9900"/>
      </w:tabs>
      <w:ind w:left="-1260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F5" w:rsidRDefault="006E70F5">
      <w:r>
        <w:separator/>
      </w:r>
    </w:p>
  </w:footnote>
  <w:footnote w:type="continuationSeparator" w:id="0">
    <w:p w:rsidR="006E70F5" w:rsidRDefault="006E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F5" w:rsidRDefault="00892889">
    <w:pPr>
      <w:ind w:left="-1260" w:right="-1260"/>
      <w:rPr>
        <w:rFonts w:ascii="Arial" w:hAnsi="Arial" w:cs="Arial"/>
        <w:sz w:val="18"/>
      </w:rPr>
    </w:pPr>
    <w:r w:rsidRPr="00892889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378.75pt;margin-top:-11.1pt;width:113.9pt;height:40.5pt;z-index:251657728">
          <v:imagedata r:id="rId1" o:title="Childrens_MN_2015_logo_RGB_of_PMS280-PMS2925_800x257" chromakey="white"/>
        </v:shape>
      </w:pict>
    </w:r>
    <w:r w:rsidR="006E70F5">
      <w:rPr>
        <w:rFonts w:ascii="Arial" w:hAnsi="Arial" w:cs="Arial"/>
        <w:iCs/>
        <w:sz w:val="18"/>
      </w:rPr>
      <w:t>MC 6.32 MDH CRE/CRA Project 1380 Procedure and Policy</w:t>
    </w:r>
    <w:r w:rsidR="006E70F5">
      <w:rPr>
        <w:rFonts w:ascii="Arial" w:hAnsi="Arial" w:cs="Arial"/>
        <w:sz w:val="18"/>
      </w:rPr>
      <w:tab/>
    </w:r>
    <w:r w:rsidR="006E70F5">
      <w:rPr>
        <w:rFonts w:ascii="Arial" w:hAnsi="Arial" w:cs="Arial"/>
        <w:sz w:val="18"/>
      </w:rPr>
      <w:tab/>
      <w:t xml:space="preserve">                              </w:t>
    </w:r>
    <w:r w:rsidR="006E70F5">
      <w:rPr>
        <w:rFonts w:ascii="Arial" w:hAnsi="Arial" w:cs="Arial"/>
        <w:sz w:val="18"/>
      </w:rPr>
      <w:tab/>
      <w:t xml:space="preserve">       </w:t>
    </w:r>
    <w:r w:rsidR="006E70F5">
      <w:rPr>
        <w:rFonts w:ascii="Arial" w:hAnsi="Arial" w:cs="Arial"/>
        <w:sz w:val="18"/>
      </w:rPr>
      <w:tab/>
    </w:r>
    <w:r w:rsidR="006E70F5">
      <w:rPr>
        <w:rFonts w:ascii="Arial" w:hAnsi="Arial" w:cs="Arial"/>
        <w:sz w:val="18"/>
      </w:rPr>
      <w:tab/>
    </w:r>
  </w:p>
  <w:p w:rsidR="006E70F5" w:rsidRDefault="006E70F5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5</w:t>
    </w:r>
  </w:p>
  <w:p w:rsidR="006E70F5" w:rsidRDefault="006E70F5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4/20/2018</w:t>
    </w:r>
  </w:p>
  <w:p w:rsidR="006E70F5" w:rsidRDefault="006E70F5">
    <w:pPr>
      <w:pStyle w:val="Header"/>
      <w:jc w:val="center"/>
      <w:rPr>
        <w:b/>
        <w:sz w:val="2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64FA3"/>
    <w:multiLevelType w:val="hybridMultilevel"/>
    <w:tmpl w:val="D5687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765979"/>
    <w:multiLevelType w:val="hybridMultilevel"/>
    <w:tmpl w:val="D5687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22C2A"/>
    <w:multiLevelType w:val="hybridMultilevel"/>
    <w:tmpl w:val="0AB65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D0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A22DA0"/>
    <w:multiLevelType w:val="hybridMultilevel"/>
    <w:tmpl w:val="3D94D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A10F4"/>
    <w:multiLevelType w:val="hybridMultilevel"/>
    <w:tmpl w:val="FEC0C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0D6A89"/>
    <w:multiLevelType w:val="hybridMultilevel"/>
    <w:tmpl w:val="A13C2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010B11"/>
    <w:multiLevelType w:val="hybridMultilevel"/>
    <w:tmpl w:val="67FCA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122F9A"/>
    <w:multiLevelType w:val="hybridMultilevel"/>
    <w:tmpl w:val="ACAE1A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15"/>
  </w:num>
  <w:num w:numId="12">
    <w:abstractNumId w:val="6"/>
  </w:num>
  <w:num w:numId="13">
    <w:abstractNumId w:val="1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CAB"/>
    <w:rsid w:val="00012DAB"/>
    <w:rsid w:val="00071E67"/>
    <w:rsid w:val="000A5155"/>
    <w:rsid w:val="001728C3"/>
    <w:rsid w:val="001B56C9"/>
    <w:rsid w:val="001C7B63"/>
    <w:rsid w:val="00217424"/>
    <w:rsid w:val="002333E6"/>
    <w:rsid w:val="0024693B"/>
    <w:rsid w:val="00254204"/>
    <w:rsid w:val="00264C81"/>
    <w:rsid w:val="00282857"/>
    <w:rsid w:val="00344ACB"/>
    <w:rsid w:val="00366144"/>
    <w:rsid w:val="00376D27"/>
    <w:rsid w:val="003A4BA3"/>
    <w:rsid w:val="00465E66"/>
    <w:rsid w:val="00467C6D"/>
    <w:rsid w:val="00467EE3"/>
    <w:rsid w:val="0049302F"/>
    <w:rsid w:val="004C0DC2"/>
    <w:rsid w:val="004D79E2"/>
    <w:rsid w:val="00595056"/>
    <w:rsid w:val="005F009C"/>
    <w:rsid w:val="006D7E3E"/>
    <w:rsid w:val="006E70F5"/>
    <w:rsid w:val="007C430B"/>
    <w:rsid w:val="007D5467"/>
    <w:rsid w:val="00837D0E"/>
    <w:rsid w:val="0088191D"/>
    <w:rsid w:val="00892889"/>
    <w:rsid w:val="00980837"/>
    <w:rsid w:val="009C543D"/>
    <w:rsid w:val="009F055B"/>
    <w:rsid w:val="00A01AA2"/>
    <w:rsid w:val="00A21F21"/>
    <w:rsid w:val="00A30CAB"/>
    <w:rsid w:val="00AA0713"/>
    <w:rsid w:val="00AC0AE7"/>
    <w:rsid w:val="00AD4EE4"/>
    <w:rsid w:val="00B33932"/>
    <w:rsid w:val="00B43433"/>
    <w:rsid w:val="00B618E6"/>
    <w:rsid w:val="00BA3332"/>
    <w:rsid w:val="00BE67E8"/>
    <w:rsid w:val="00BF0823"/>
    <w:rsid w:val="00C71EB0"/>
    <w:rsid w:val="00CF0EB4"/>
    <w:rsid w:val="00CF3A8F"/>
    <w:rsid w:val="00DC1C37"/>
    <w:rsid w:val="00DE28E9"/>
    <w:rsid w:val="00E36AAE"/>
    <w:rsid w:val="00EB1AB4"/>
    <w:rsid w:val="00ED7D2D"/>
    <w:rsid w:val="00F352EF"/>
    <w:rsid w:val="00FB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8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892889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892889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92889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892889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892889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892889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892889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92889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92889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92889"/>
    <w:rPr>
      <w:bCs/>
      <w:iCs/>
      <w:color w:val="000000"/>
    </w:rPr>
  </w:style>
  <w:style w:type="paragraph" w:styleId="Header">
    <w:name w:val="header"/>
    <w:basedOn w:val="Normal"/>
    <w:semiHidden/>
    <w:rsid w:val="00892889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892889"/>
    <w:pPr>
      <w:ind w:left="360" w:hanging="360"/>
    </w:pPr>
  </w:style>
  <w:style w:type="paragraph" w:styleId="Title">
    <w:name w:val="Title"/>
    <w:basedOn w:val="Normal"/>
    <w:qFormat/>
    <w:rsid w:val="0089288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892889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89288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9288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892889"/>
    <w:pPr>
      <w:numPr>
        <w:numId w:val="0"/>
      </w:numPr>
    </w:pPr>
  </w:style>
  <w:style w:type="paragraph" w:customStyle="1" w:styleId="TableText">
    <w:name w:val="Table Text"/>
    <w:basedOn w:val="Normal"/>
    <w:rsid w:val="0089288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89288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892889"/>
    <w:rPr>
      <w:b/>
      <w:color w:val="0000FF"/>
    </w:rPr>
  </w:style>
  <w:style w:type="character" w:styleId="Hyperlink">
    <w:name w:val="Hyperlink"/>
    <w:basedOn w:val="DefaultParagraphFont"/>
    <w:semiHidden/>
    <w:rsid w:val="0089288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9288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71E67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state.mn.us/divs/phl/clin/fillable_mdh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/divs/phl/clin/MDHCREisolatefor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FCA3-C030-427D-8FFA-7B5FE65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585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4517</CharactersWithSpaces>
  <SharedDoc>false</SharedDoc>
  <HLinks>
    <vt:vector size="12" baseType="variant"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http://www.health.state.mn.us/divs/phl/clin/MDHCREisolateform.pdf</vt:lpwstr>
      </vt:variant>
      <vt:variant>
        <vt:lpwstr/>
      </vt:variant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http://www.health.state.mn.us/divs/phl/clin/fillable_mdh.pdf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4</cp:revision>
  <cp:lastPrinted>2017-04-11T15:58:00Z</cp:lastPrinted>
  <dcterms:created xsi:type="dcterms:W3CDTF">2018-04-11T21:13:00Z</dcterms:created>
  <dcterms:modified xsi:type="dcterms:W3CDTF">2018-04-11T21:39:00Z</dcterms:modified>
</cp:coreProperties>
</file>