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1152" w:type="dxa"/>
        <w:tblLayout w:type="fixed"/>
        <w:tblLook w:val="0000"/>
      </w:tblPr>
      <w:tblGrid>
        <w:gridCol w:w="2160"/>
        <w:gridCol w:w="8910"/>
      </w:tblGrid>
      <w:tr w:rsidR="008C6EDC" w:rsidTr="00D120DB">
        <w:trPr>
          <w:cantSplit/>
          <w:tblHeader/>
        </w:trPr>
        <w:tc>
          <w:tcPr>
            <w:tcW w:w="11070" w:type="dxa"/>
            <w:gridSpan w:val="2"/>
            <w:tcBorders>
              <w:bottom w:val="single" w:sz="18" w:space="0" w:color="A6A6A6" w:themeColor="background1" w:themeShade="A6"/>
            </w:tcBorders>
          </w:tcPr>
          <w:p w:rsidR="008C6EDC" w:rsidRDefault="00240238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b/>
                <w:bCs/>
                <w:color w:val="0000FF"/>
                <w:sz w:val="36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>25-OH Vitamin D</w:t>
            </w:r>
          </w:p>
          <w:p w:rsidR="008C6EDC" w:rsidRDefault="008C6EDC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color w:val="0000FF"/>
              </w:rPr>
            </w:pPr>
          </w:p>
        </w:tc>
      </w:tr>
      <w:tr w:rsidR="008C6EDC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Purpose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Pr="008634BF" w:rsidRDefault="008C6EDC" w:rsidP="008C6EDC">
            <w:pPr>
              <w:jc w:val="both"/>
              <w:rPr>
                <w:rFonts w:cs="Arial"/>
                <w:szCs w:val="20"/>
              </w:rPr>
            </w:pPr>
          </w:p>
          <w:p w:rsidR="008C6EDC" w:rsidRPr="008634BF" w:rsidRDefault="00253C63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This procedure provides instructions for performing </w:t>
            </w:r>
            <w:r w:rsidR="00240238">
              <w:rPr>
                <w:rFonts w:cs="Arial"/>
              </w:rPr>
              <w:t>25-OH VITAMIN D</w:t>
            </w:r>
            <w:r>
              <w:rPr>
                <w:rFonts w:cs="Arial"/>
              </w:rPr>
              <w:t xml:space="preserve"> on the Abbott Architect</w:t>
            </w:r>
            <w:r w:rsidR="00987740">
              <w:rPr>
                <w:rFonts w:cs="Arial"/>
              </w:rPr>
              <w:t xml:space="preserve"> i1000SR</w:t>
            </w:r>
            <w:r>
              <w:rPr>
                <w:rFonts w:cs="Arial"/>
              </w:rPr>
              <w:t>.</w:t>
            </w:r>
          </w:p>
          <w:p w:rsidR="008C6EDC" w:rsidRPr="008634BF" w:rsidRDefault="008C6EDC" w:rsidP="008C6EDC">
            <w:pPr>
              <w:jc w:val="both"/>
              <w:rPr>
                <w:rFonts w:cs="Arial"/>
                <w:szCs w:val="20"/>
              </w:rPr>
            </w:pPr>
          </w:p>
        </w:tc>
      </w:tr>
      <w:tr w:rsidR="008C6EDC" w:rsidTr="00D120DB">
        <w:trPr>
          <w:trHeight w:val="93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Policy Statements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Pr="001246C0" w:rsidRDefault="008C6EDC" w:rsidP="00253C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15"/>
              </w:rPr>
              <w:t xml:space="preserve">This procedure applies to all personnel responsible for performing testing on the </w:t>
            </w:r>
            <w:r w:rsidR="00253C63">
              <w:rPr>
                <w:rFonts w:cs="Arial"/>
                <w:szCs w:val="20"/>
              </w:rPr>
              <w:t>Abbott Architect</w:t>
            </w:r>
            <w:r w:rsidR="00987740">
              <w:rPr>
                <w:rFonts w:cs="Arial"/>
                <w:szCs w:val="20"/>
              </w:rPr>
              <w:t xml:space="preserve"> i1000SR</w:t>
            </w:r>
            <w:r w:rsidR="00253C63">
              <w:rPr>
                <w:rFonts w:cs="Arial"/>
                <w:szCs w:val="20"/>
              </w:rPr>
              <w:t>.</w:t>
            </w:r>
          </w:p>
        </w:tc>
      </w:tr>
      <w:tr w:rsidR="008C6EDC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Principle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pStyle w:val="BodyText"/>
              <w:spacing w:after="0"/>
              <w:jc w:val="both"/>
              <w:rPr>
                <w:rFonts w:cs="Arial"/>
              </w:rPr>
            </w:pPr>
          </w:p>
          <w:p w:rsidR="00240238" w:rsidRPr="000E4044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 xml:space="preserve">The 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25-OH Vitamin D </w:t>
            </w:r>
            <w:r>
              <w:rPr>
                <w:rFonts w:eastAsia="HelenPro-Regular"/>
              </w:rPr>
              <w:t xml:space="preserve">assay is a quantitative delayed </w:t>
            </w:r>
            <w:r w:rsidRPr="000E4044">
              <w:rPr>
                <w:rFonts w:eastAsia="HelenPro-Regular"/>
              </w:rPr>
              <w:t>one-step competitive immunoassay to determine the presence of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vitamin D in human serum and plasma using </w:t>
            </w:r>
            <w:r w:rsidR="000F0777">
              <w:rPr>
                <w:rFonts w:eastAsia="HelenPro-Regular"/>
              </w:rPr>
              <w:t>Chemiluminescent</w:t>
            </w:r>
            <w:r>
              <w:rPr>
                <w:rFonts w:eastAsia="HelenPro-Regular"/>
              </w:rPr>
              <w:t xml:space="preserve"> </w:t>
            </w:r>
            <w:r w:rsidR="000F0777" w:rsidRPr="000E4044">
              <w:rPr>
                <w:rFonts w:eastAsia="HelenPro-Regular"/>
              </w:rPr>
              <w:t>Microparticle</w:t>
            </w:r>
            <w:r w:rsidRPr="000E4044">
              <w:rPr>
                <w:rFonts w:eastAsia="HelenPro-Regular"/>
              </w:rPr>
              <w:t xml:space="preserve"> immunoassay </w:t>
            </w:r>
            <w:r>
              <w:rPr>
                <w:rFonts w:eastAsia="HelenPro-Regular"/>
              </w:rPr>
              <w:t>(</w:t>
            </w:r>
            <w:r w:rsidRPr="000E4044">
              <w:rPr>
                <w:rFonts w:eastAsia="HelenPro-Regular"/>
              </w:rPr>
              <w:t>CMIA</w:t>
            </w:r>
            <w:r>
              <w:rPr>
                <w:rFonts w:eastAsia="HelenPro-Regular"/>
              </w:rPr>
              <w:t>)</w:t>
            </w:r>
            <w:r w:rsidRPr="000E4044">
              <w:rPr>
                <w:rFonts w:eastAsia="HelenPro-Regular"/>
              </w:rPr>
              <w:t xml:space="preserve"> technology with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flexible assay protocols, referred to as Chemiflex.</w:t>
            </w:r>
            <w:r>
              <w:rPr>
                <w:rFonts w:eastAsia="HelenPro-Regular"/>
              </w:rPr>
              <w:t xml:space="preserve"> The s</w:t>
            </w:r>
            <w:r w:rsidRPr="000E4044">
              <w:rPr>
                <w:rFonts w:eastAsia="HelenPro-Regular"/>
              </w:rPr>
              <w:t>ample, assay diluent and par</w:t>
            </w:r>
            <w:r>
              <w:rPr>
                <w:rFonts w:eastAsia="HelenPro-Regular"/>
              </w:rPr>
              <w:t xml:space="preserve">amagnetic anti-vitamin D coated </w:t>
            </w:r>
            <w:r w:rsidRPr="000E4044">
              <w:rPr>
                <w:rFonts w:eastAsia="HelenPro-Regular"/>
              </w:rPr>
              <w:t>microparticles are combined. 25-OH vitamin D present in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sample is displaced from the vitamin D binding protein and binds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to anti-vitamin D coated microparticles, forming an </w:t>
            </w:r>
            <w:r w:rsidR="000F0777" w:rsidRPr="000E4044">
              <w:rPr>
                <w:rFonts w:eastAsia="HelenPro-Regular"/>
              </w:rPr>
              <w:t>antigen antibody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complex.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 After incubation, a conjugat</w:t>
            </w:r>
            <w:r>
              <w:rPr>
                <w:rFonts w:eastAsia="HelenPro-Regular"/>
              </w:rPr>
              <w:t xml:space="preserve">e containing acridinium-labeled </w:t>
            </w:r>
            <w:r w:rsidRPr="000E4044">
              <w:rPr>
                <w:rFonts w:eastAsia="HelenPro-Regular"/>
              </w:rPr>
              <w:t>vitamin D is added to the reaction mixture and binds to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unoccupied binding sites of the anti-vitamin D coated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microparticles.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After further incubation and w</w:t>
            </w:r>
            <w:r>
              <w:rPr>
                <w:rFonts w:eastAsia="HelenPro-Regular"/>
              </w:rPr>
              <w:t xml:space="preserve">ashing, Pre-Trigger and Trigger </w:t>
            </w:r>
            <w:r w:rsidRPr="000E4044">
              <w:rPr>
                <w:rFonts w:eastAsia="HelenPro-Regular"/>
              </w:rPr>
              <w:t>Solutions are added to the reaction mixture.</w:t>
            </w:r>
            <w:r>
              <w:rPr>
                <w:rFonts w:eastAsia="HelenPro-Regular"/>
              </w:rPr>
              <w:t xml:space="preserve">  </w:t>
            </w:r>
            <w:r w:rsidRPr="000E4044">
              <w:rPr>
                <w:rFonts w:eastAsia="HelenPro-Regular"/>
              </w:rPr>
              <w:t xml:space="preserve">The resulting </w:t>
            </w:r>
            <w:r w:rsidR="000F0777" w:rsidRPr="000E4044">
              <w:rPr>
                <w:rFonts w:eastAsia="HelenPro-Regular"/>
              </w:rPr>
              <w:t>Chemiluminescent</w:t>
            </w:r>
            <w:r w:rsidRPr="000E4044">
              <w:rPr>
                <w:rFonts w:eastAsia="HelenPro-Regular"/>
              </w:rPr>
              <w:t xml:space="preserve"> r</w:t>
            </w:r>
            <w:r>
              <w:rPr>
                <w:rFonts w:eastAsia="HelenPro-Regular"/>
              </w:rPr>
              <w:t xml:space="preserve">eaction is measured as relative </w:t>
            </w:r>
            <w:r w:rsidRPr="000E4044">
              <w:rPr>
                <w:rFonts w:eastAsia="HelenPro-Regular"/>
              </w:rPr>
              <w:t>light units (RLUs). There is a relationship between the amount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of 25-OH vitamin D in the sample and the RLUs detected by the</w:t>
            </w:r>
            <w:r>
              <w:rPr>
                <w:rFonts w:eastAsia="HelenPro-Regular"/>
              </w:rPr>
              <w:t xml:space="preserve"> </w:t>
            </w:r>
            <w:r w:rsidR="0007457F">
              <w:rPr>
                <w:rFonts w:eastAsia="HelenPro-Regular"/>
              </w:rPr>
              <w:t xml:space="preserve">Architect </w:t>
            </w:r>
            <w:r w:rsidR="0007457F" w:rsidRPr="000E4044">
              <w:rPr>
                <w:rFonts w:eastAsia="HelenPro-Regular"/>
              </w:rPr>
              <w:t>iSystem</w:t>
            </w:r>
            <w:r w:rsidRPr="000E4044">
              <w:rPr>
                <w:rFonts w:eastAsia="HelenPro-Regular"/>
              </w:rPr>
              <w:t xml:space="preserve"> optics.</w:t>
            </w:r>
            <w:r>
              <w:rPr>
                <w:rFonts w:eastAsia="HelenPro-Regular"/>
              </w:rPr>
              <w:t xml:space="preserve">  </w:t>
            </w:r>
            <w:r w:rsidRPr="000E4044">
              <w:rPr>
                <w:rFonts w:eastAsia="HelenPro-Regular"/>
              </w:rPr>
              <w:t>Results are calculated automa</w:t>
            </w:r>
            <w:r>
              <w:rPr>
                <w:rFonts w:eastAsia="HelenPro-Regular"/>
              </w:rPr>
              <w:t xml:space="preserve">tically based on the previously </w:t>
            </w:r>
            <w:r w:rsidRPr="000E4044">
              <w:rPr>
                <w:rFonts w:eastAsia="HelenPro-Regular"/>
              </w:rPr>
              <w:t>established calibration curve.</w:t>
            </w:r>
          </w:p>
          <w:p w:rsidR="00A82A92" w:rsidRPr="00253C63" w:rsidRDefault="00A82A92" w:rsidP="00240238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Clinical Significance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987740" w:rsidRDefault="00987740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240238" w:rsidRPr="000E4044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Vitamin D is a fat-soluble ste</w:t>
            </w:r>
            <w:r>
              <w:rPr>
                <w:rFonts w:eastAsia="HelenPro-Regular"/>
              </w:rPr>
              <w:t xml:space="preserve">roid prohormone mainly produced </w:t>
            </w:r>
            <w:r w:rsidRPr="000E4044">
              <w:rPr>
                <w:rFonts w:eastAsia="HelenPro-Regular"/>
              </w:rPr>
              <w:t>photochemically in the skin from 7-dehydrocholesterol.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Two forms of vitamin D are biologically relevant - vitamin D3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(Cholecalciferol) and vitamin D2 (Ergocalciferol). Both vitamins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D3 and D2 can be absorbed from food, with vitamin D2 being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 artificial source, but only an estimated 10-20% of vitamin D is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suppl</w:t>
            </w:r>
            <w:r>
              <w:rPr>
                <w:rFonts w:eastAsia="HelenPro-Regular"/>
              </w:rPr>
              <w:t>ied through nutritional intake.</w:t>
            </w:r>
            <w:r w:rsidRPr="000E4044">
              <w:rPr>
                <w:rFonts w:eastAsia="HelenPro-Regular"/>
              </w:rPr>
              <w:t xml:space="preserve"> Vitamins D3 and D2 can be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found in vitamin supplements. Vitamin D is converted to the active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hormone 1,25-(OH)2-vitamin D (Calcitriol) through two hydroxylation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reactions. The first hydroxylation converts vitamin D into 25-OH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vitamin D and occurs in the liver. The second hydroxylation converts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25-OH vitamin D into the biologically active 1,25-(OH)2-vitamin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and occurs in the kidneys as well as in many other cells of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body. Most cells express the vitamin D receptor and about 3% of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human genome is directly or indirectly regulated by the 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endocrine system.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 major storage form of v</w:t>
            </w:r>
            <w:r>
              <w:rPr>
                <w:rFonts w:eastAsia="HelenPro-Regular"/>
              </w:rPr>
              <w:t xml:space="preserve">itamin D is 25-OH vitamin D and </w:t>
            </w:r>
            <w:r w:rsidRPr="000E4044">
              <w:rPr>
                <w:rFonts w:eastAsia="HelenPro-Regular"/>
              </w:rPr>
              <w:t>is present in the blood at up to 1,000 fold higher concentration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compared to the active 1,25-(OH)2-vitamin D. 25-OH 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has a half-life of 2-3 weeks vs. 4 hours for 1,25-(OH)2-vitamin D.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Therefore, 25-OH vitamin D is the analyte of choice for determination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of the vitamin D status.</w:t>
            </w:r>
          </w:p>
          <w:p w:rsidR="00240238" w:rsidRPr="000E4044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Epidemiological studies have shown a high global prevalence</w:t>
            </w:r>
            <w:r>
              <w:rPr>
                <w:rFonts w:eastAsia="HelenPro-Regular"/>
              </w:rPr>
              <w:t xml:space="preserve"> of vitamin D insufficiency and </w:t>
            </w:r>
            <w:r w:rsidRPr="000E4044">
              <w:rPr>
                <w:rFonts w:eastAsia="HelenPro-Regular"/>
              </w:rPr>
              <w:t>deficiency. Risk factors for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vitamin D deficiency include low sun exposure, malnutrition,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some malabsorption syndromes, and liver or kidney diseases.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 measurement of vitamin D status provides opportunities for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preventive and therapeutic interventions.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Vitamin D deficiency is a cause of secondary hyperparathyroidism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and diseases resulting in impaired bone metabolism (like rickets,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osteoporosis, </w:t>
            </w:r>
            <w:r w:rsidR="000F0777" w:rsidRPr="000E4044">
              <w:rPr>
                <w:rFonts w:eastAsia="HelenPro-Regular"/>
              </w:rPr>
              <w:t>and osteomalacia</w:t>
            </w:r>
            <w:r w:rsidRPr="000E4044">
              <w:rPr>
                <w:rFonts w:eastAsia="HelenPro-Regular"/>
              </w:rPr>
              <w:t>).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 A</w:t>
            </w:r>
            <w:r>
              <w:rPr>
                <w:rFonts w:eastAsia="HelenPro-Regular"/>
              </w:rPr>
              <w:t>rchitect</w:t>
            </w:r>
            <w:r w:rsidRPr="000E4044">
              <w:rPr>
                <w:rFonts w:eastAsia="HelenPro-Regular"/>
              </w:rPr>
              <w:t xml:space="preserve"> 25-OH Vitamin D assay is standardized against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NIST SRM 2972 (National Institute of Standards &amp; Technology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Standard Reference Material 2972).</w:t>
            </w:r>
          </w:p>
          <w:p w:rsidR="008C6EDC" w:rsidRDefault="008C6EDC" w:rsidP="00240238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</w:tc>
      </w:tr>
      <w:tr w:rsidR="008C6EDC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Instrument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</w:rPr>
            </w:pPr>
          </w:p>
          <w:p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 w:rsidRPr="00D05869">
              <w:rPr>
                <w:b/>
                <w:bCs/>
                <w:color w:val="5F497A"/>
              </w:rPr>
              <w:t>PRIMARY METHOD:</w:t>
            </w:r>
            <w:r w:rsidRPr="00B1018B">
              <w:rPr>
                <w:b/>
                <w:bCs/>
              </w:rPr>
              <w:t xml:space="preserve"> </w:t>
            </w:r>
            <w:r w:rsidR="00253C63">
              <w:t xml:space="preserve">Abbott Architect </w:t>
            </w:r>
          </w:p>
          <w:p w:rsidR="008C6EDC" w:rsidRPr="00492A62" w:rsidRDefault="004237F5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 w:rsidRPr="004237F5">
              <w:rPr>
                <w:bCs/>
              </w:rPr>
              <w:t>Backup Method</w:t>
            </w:r>
            <w:r w:rsidR="008C6EDC" w:rsidRPr="00B1018B">
              <w:rPr>
                <w:b/>
                <w:bCs/>
              </w:rPr>
              <w:t xml:space="preserve">: </w:t>
            </w:r>
            <w:r w:rsidR="00492A62">
              <w:rPr>
                <w:bCs/>
              </w:rPr>
              <w:t>Mayo Medical Laboratories.  Order 25HDN</w:t>
            </w:r>
          </w:p>
          <w:p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5"/>
              </w:rPr>
            </w:pPr>
          </w:p>
        </w:tc>
      </w:tr>
      <w:tr w:rsidR="00B816B4" w:rsidTr="00D120DB">
        <w:trPr>
          <w:trHeight w:val="69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Sunquest Test Code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B816B4" w:rsidRDefault="00240238" w:rsidP="003571BD">
            <w:pPr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VDT</w:t>
            </w:r>
          </w:p>
        </w:tc>
      </w:tr>
      <w:tr w:rsidR="008C6EDC" w:rsidTr="00D120DB">
        <w:trPr>
          <w:cantSplit/>
          <w:trHeight w:val="209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</w:t>
            </w:r>
          </w:p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:rsidR="008C6EDC" w:rsidRDefault="00BE3754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Serum </w:t>
            </w:r>
            <w:r w:rsidR="000F0777">
              <w:rPr>
                <w:rFonts w:cs="Arial"/>
              </w:rPr>
              <w:t>Separator Tube (SST)</w:t>
            </w:r>
            <w:r>
              <w:rPr>
                <w:rFonts w:cs="Arial"/>
              </w:rPr>
              <w:t xml:space="preserve"> </w:t>
            </w:r>
            <w:r w:rsidR="0007457F">
              <w:rPr>
                <w:rFonts w:cs="Arial"/>
              </w:rPr>
              <w:t>preferred</w:t>
            </w:r>
            <w:r>
              <w:rPr>
                <w:rFonts w:cs="Arial"/>
              </w:rPr>
              <w:t>.</w:t>
            </w:r>
            <w:r w:rsidR="000F0777">
              <w:rPr>
                <w:rFonts w:cs="Arial"/>
              </w:rPr>
              <w:t xml:space="preserve">  Also acceptable: Lithium Heparin with or without gel,</w:t>
            </w:r>
            <w:r>
              <w:rPr>
                <w:rFonts w:cs="Arial"/>
              </w:rPr>
              <w:t xml:space="preserve"> Sodium Heparin, K2</w:t>
            </w:r>
            <w:r w:rsidR="00975B3A">
              <w:rPr>
                <w:rFonts w:cs="Arial"/>
              </w:rPr>
              <w:t>EDTA</w:t>
            </w:r>
            <w:r>
              <w:rPr>
                <w:rFonts w:cs="Arial"/>
              </w:rPr>
              <w:t xml:space="preserve"> or K3 EDTA plasma.</w:t>
            </w:r>
          </w:p>
          <w:p w:rsidR="00975B3A" w:rsidRDefault="00975B3A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:rsidR="00975B3A" w:rsidRDefault="00975B3A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975B3A">
              <w:rPr>
                <w:rFonts w:cs="Arial"/>
                <w:b/>
              </w:rPr>
              <w:t>Recommended Draw volume</w:t>
            </w:r>
            <w:r>
              <w:rPr>
                <w:rFonts w:cs="Arial"/>
              </w:rPr>
              <w:t xml:space="preserve"> : 1.2 mL (minimum 0.5 mL)</w:t>
            </w:r>
          </w:p>
          <w:p w:rsidR="008C6EDC" w:rsidRDefault="008C6EDC" w:rsidP="00FC6715">
            <w:pPr>
              <w:rPr>
                <w:rFonts w:cs="Arial"/>
              </w:rPr>
            </w:pPr>
          </w:p>
          <w:p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Minimum </w:t>
            </w:r>
            <w:r w:rsidR="00975B3A">
              <w:rPr>
                <w:rFonts w:cs="Arial"/>
                <w:b/>
                <w:bCs/>
              </w:rPr>
              <w:t xml:space="preserve">processed </w:t>
            </w:r>
            <w:r>
              <w:rPr>
                <w:rFonts w:cs="Arial"/>
                <w:b/>
                <w:bCs/>
              </w:rPr>
              <w:t>volume:</w:t>
            </w:r>
            <w:r>
              <w:rPr>
                <w:rFonts w:cs="Arial"/>
              </w:rPr>
              <w:t xml:space="preserve"> </w:t>
            </w:r>
            <w:r w:rsidR="00807A13">
              <w:rPr>
                <w:rFonts w:cs="Arial"/>
                <w:szCs w:val="20"/>
              </w:rPr>
              <w:t>150</w:t>
            </w:r>
            <w:r w:rsidRPr="009F5F31">
              <w:rPr>
                <w:rFonts w:cs="Arial"/>
                <w:szCs w:val="20"/>
              </w:rPr>
              <w:t xml:space="preserve"> µL </w:t>
            </w:r>
            <w:r w:rsidR="00FC6715">
              <w:rPr>
                <w:rFonts w:cs="Arial"/>
                <w:szCs w:val="20"/>
              </w:rPr>
              <w:t xml:space="preserve">of </w:t>
            </w:r>
            <w:r w:rsidR="00CB4A23">
              <w:rPr>
                <w:rFonts w:cs="Arial"/>
                <w:szCs w:val="20"/>
              </w:rPr>
              <w:t>serum</w:t>
            </w:r>
            <w:r w:rsidR="001425F1">
              <w:rPr>
                <w:rFonts w:cs="Arial"/>
                <w:szCs w:val="20"/>
              </w:rPr>
              <w:t xml:space="preserve"> or plasma</w:t>
            </w:r>
          </w:p>
          <w:p w:rsidR="008C6EDC" w:rsidRDefault="008C6EDC" w:rsidP="00FC6715">
            <w:pPr>
              <w:rPr>
                <w:rFonts w:cs="Arial"/>
              </w:rPr>
            </w:pPr>
          </w:p>
          <w:p w:rsidR="008C6EDC" w:rsidRPr="00CB4A23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</w:rPr>
              <w:t>Stabili</w:t>
            </w:r>
            <w:r w:rsidRPr="00CB4A23">
              <w:rPr>
                <w:rFonts w:cs="Arial"/>
                <w:b/>
                <w:bCs/>
                <w:szCs w:val="20"/>
              </w:rPr>
              <w:t>ty:</w:t>
            </w:r>
            <w:r w:rsidRPr="00CB4A23">
              <w:rPr>
                <w:rFonts w:cs="Arial"/>
                <w:szCs w:val="20"/>
              </w:rPr>
              <w:t xml:space="preserve"> </w:t>
            </w:r>
            <w:r w:rsidR="00CB4A23" w:rsidRPr="00CB4A23">
              <w:rPr>
                <w:rFonts w:cs="Arial"/>
                <w:szCs w:val="20"/>
              </w:rPr>
              <w:t xml:space="preserve">Room Temperature </w:t>
            </w:r>
            <w:r w:rsidR="00CB4A23" w:rsidRPr="00CB4A23">
              <w:rPr>
                <w:rFonts w:eastAsia="HelenPro-Regular" w:cs="Arial"/>
                <w:szCs w:val="20"/>
              </w:rPr>
              <w:t xml:space="preserve">≤ 72 hours, </w:t>
            </w:r>
            <w:r w:rsidR="00CB4A23" w:rsidRPr="00CB4A23">
              <w:rPr>
                <w:rFonts w:cs="Arial"/>
                <w:bCs/>
                <w:szCs w:val="20"/>
              </w:rPr>
              <w:t xml:space="preserve">2 – 8 °C </w:t>
            </w:r>
            <w:r w:rsidR="00CB4A23" w:rsidRPr="00CB4A23">
              <w:rPr>
                <w:rFonts w:eastAsia="HelenPro-Regular" w:cs="Arial"/>
                <w:szCs w:val="20"/>
              </w:rPr>
              <w:t>≤ 12 Days, ≤-20°C for up to one year.</w:t>
            </w:r>
          </w:p>
          <w:p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14"/>
              </w:rPr>
            </w:pPr>
          </w:p>
          <w:p w:rsidR="00CB4A23" w:rsidRDefault="008C6EDC" w:rsidP="00FC671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Rejection criteria:</w:t>
            </w:r>
            <w:r>
              <w:rPr>
                <w:rFonts w:cs="Arial"/>
              </w:rPr>
              <w:t xml:space="preserve"> Unlabeled tube</w:t>
            </w:r>
            <w:r w:rsidR="00641CB0">
              <w:rPr>
                <w:rFonts w:cs="Arial"/>
              </w:rPr>
              <w:t>, Unacceptable sample type</w:t>
            </w:r>
            <w:r w:rsidR="00987740">
              <w:rPr>
                <w:rFonts w:cs="Arial"/>
              </w:rPr>
              <w:t>, grossly hemolyzed samples (&gt;500 mg/dL), lipemic samples (&gt;500mg/dL) that cannot be cleared via ultracentrifugation</w:t>
            </w:r>
          </w:p>
          <w:p w:rsidR="008C6EDC" w:rsidRPr="009F5F31" w:rsidRDefault="008C6EDC" w:rsidP="00FC6715">
            <w:pPr>
              <w:rPr>
                <w:rFonts w:cs="Arial"/>
                <w:szCs w:val="20"/>
              </w:rPr>
            </w:pPr>
            <w:r w:rsidRPr="009F5F31">
              <w:rPr>
                <w:rFonts w:cs="Arial"/>
                <w:b/>
                <w:bCs/>
                <w:szCs w:val="20"/>
              </w:rPr>
              <w:t>Preparation:</w:t>
            </w:r>
            <w:r w:rsidRPr="009F5F31">
              <w:rPr>
                <w:rFonts w:cs="Arial"/>
                <w:szCs w:val="20"/>
              </w:rPr>
              <w:t xml:space="preserve"> </w:t>
            </w:r>
          </w:p>
          <w:p w:rsidR="00641CB0" w:rsidRPr="00987740" w:rsidRDefault="00CB4A23" w:rsidP="00641CB0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Serum samples should be</w:t>
            </w:r>
            <w:r w:rsidR="008C6EDC" w:rsidRPr="009F5F31">
              <w:rPr>
                <w:rFonts w:cs="Arial"/>
                <w:szCs w:val="20"/>
              </w:rPr>
              <w:t xml:space="preserve"> centrifuged following complete clot formation, according to Specimen Processing procedures prior to analysis.</w:t>
            </w:r>
          </w:p>
          <w:p w:rsidR="00E80A70" w:rsidRPr="00641CB0" w:rsidRDefault="0007457F" w:rsidP="00641C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HelenPro-Regular"/>
              </w:rPr>
            </w:pPr>
            <w:r>
              <w:rPr>
                <w:rFonts w:cs="Arial"/>
                <w:szCs w:val="20"/>
              </w:rPr>
              <w:t xml:space="preserve">Remove </w:t>
            </w:r>
            <w:r w:rsidRPr="000E4044">
              <w:rPr>
                <w:rFonts w:eastAsia="HelenPro-Regular"/>
              </w:rPr>
              <w:t>serum or plasma from the clot</w:t>
            </w:r>
            <w:r>
              <w:rPr>
                <w:rFonts w:eastAsia="HelenPro-Regular"/>
              </w:rPr>
              <w:t xml:space="preserve">, red blood cells, or separator </w:t>
            </w:r>
            <w:r w:rsidR="00987740">
              <w:rPr>
                <w:rFonts w:eastAsia="HelenPro-Regular"/>
              </w:rPr>
              <w:t>gel</w:t>
            </w:r>
            <w:r w:rsidRPr="000E4044">
              <w:rPr>
                <w:rFonts w:eastAsia="HelenPro-Regular"/>
              </w:rPr>
              <w:t>.</w:t>
            </w:r>
          </w:p>
          <w:p w:rsidR="00C0536C" w:rsidRPr="0006367E" w:rsidRDefault="00C0536C" w:rsidP="00FC671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Lipemic samples should be ultrafuged.</w:t>
            </w:r>
          </w:p>
          <w:p w:rsidR="008C6EDC" w:rsidRPr="009F5F31" w:rsidRDefault="008C6EDC" w:rsidP="00FC671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F5F31">
              <w:rPr>
                <w:rFonts w:cs="Arial"/>
                <w:szCs w:val="20"/>
              </w:rPr>
              <w:t xml:space="preserve">Specimens should be free of particulate matter. </w:t>
            </w:r>
          </w:p>
          <w:p w:rsidR="008C6EDC" w:rsidRPr="009F5F31" w:rsidRDefault="008C6EDC" w:rsidP="00FC671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F5F31">
              <w:rPr>
                <w:rFonts w:cs="Arial"/>
                <w:szCs w:val="20"/>
              </w:rPr>
              <w:t xml:space="preserve">Transfer serum or plasma to a properly labeled </w:t>
            </w:r>
            <w:r w:rsidR="002265E2">
              <w:rPr>
                <w:rFonts w:cs="Arial"/>
                <w:szCs w:val="20"/>
              </w:rPr>
              <w:t xml:space="preserve">sendout </w:t>
            </w:r>
            <w:r w:rsidRPr="009F5F31">
              <w:rPr>
                <w:rFonts w:cs="Arial"/>
                <w:szCs w:val="20"/>
              </w:rPr>
              <w:t>tube. Minimum labeling includes sample accession ID, and/ or patient name, medical record number, collection date and time.</w:t>
            </w:r>
          </w:p>
          <w:p w:rsidR="008C6EDC" w:rsidRDefault="008C6EDC" w:rsidP="00FC671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16B4" w:rsidTr="00BE3754">
        <w:trPr>
          <w:trHeight w:val="692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Reagents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Pr="00EF1741" w:rsidRDefault="00B816B4" w:rsidP="008C6EDC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73"/>
              <w:gridCol w:w="1600"/>
              <w:gridCol w:w="3875"/>
              <w:gridCol w:w="367"/>
            </w:tblGrid>
            <w:tr w:rsidR="00B816B4" w:rsidTr="00BE3754">
              <w:trPr>
                <w:trHeight w:val="256"/>
              </w:trPr>
              <w:tc>
                <w:tcPr>
                  <w:tcW w:w="2673" w:type="dxa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600" w:type="dxa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Product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Code</w:t>
                  </w:r>
                </w:p>
              </w:tc>
              <w:tc>
                <w:tcPr>
                  <w:tcW w:w="4242" w:type="dxa"/>
                  <w:gridSpan w:val="2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B816B4" w:rsidRPr="00C709DD" w:rsidTr="00BE3754">
              <w:trPr>
                <w:gridAfter w:val="1"/>
                <w:wAfter w:w="367" w:type="dxa"/>
                <w:trHeight w:val="1082"/>
              </w:trPr>
              <w:tc>
                <w:tcPr>
                  <w:tcW w:w="2673" w:type="dxa"/>
                </w:tcPr>
                <w:p w:rsidR="00B816B4" w:rsidRPr="006A36C8" w:rsidRDefault="00BE3754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 OH-Vitamin D Reagent</w:t>
                  </w:r>
                </w:p>
                <w:p w:rsidR="00B816B4" w:rsidRPr="006A36C8" w:rsidRDefault="00B816B4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:rsidR="00B816B4" w:rsidRPr="006A36C8" w:rsidRDefault="00BE3754" w:rsidP="008C6EDC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5P02</w:t>
                  </w:r>
                </w:p>
              </w:tc>
              <w:tc>
                <w:tcPr>
                  <w:tcW w:w="3875" w:type="dxa"/>
                  <w:vAlign w:val="center"/>
                </w:tcPr>
                <w:p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21400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65E2">
                    <w:rPr>
                      <w:rFonts w:ascii="Arial" w:hAnsi="Arial" w:cs="Arial"/>
                      <w:bCs/>
                    </w:rPr>
                    <w:t>Manufacture</w:t>
                  </w:r>
                  <w:r w:rsidR="004E548A">
                    <w:rPr>
                      <w:rFonts w:ascii="Arial" w:hAnsi="Arial" w:cs="Arial"/>
                      <w:bCs/>
                    </w:rPr>
                    <w:t>r</w:t>
                  </w:r>
                  <w:r w:rsidR="002265E2">
                    <w:rPr>
                      <w:rFonts w:ascii="Arial" w:hAnsi="Arial" w:cs="Arial"/>
                      <w:bCs/>
                    </w:rPr>
                    <w:t xml:space="preserve">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B816B4" w:rsidRPr="00214007" w:rsidRDefault="00B816B4" w:rsidP="002265E2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szCs w:val="20"/>
                    </w:rPr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BE3754">
                    <w:rPr>
                      <w:rFonts w:cs="Arial"/>
                      <w:szCs w:val="20"/>
                    </w:rPr>
                    <w:t>21</w:t>
                  </w:r>
                  <w:r w:rsidR="002265E2">
                    <w:rPr>
                      <w:rFonts w:cs="Arial"/>
                      <w:szCs w:val="20"/>
                    </w:rPr>
                    <w:t xml:space="preserve"> Days</w:t>
                  </w:r>
                </w:p>
              </w:tc>
            </w:tr>
            <w:tr w:rsidR="00B816B4" w:rsidRPr="007B2A3E" w:rsidTr="00BE3754">
              <w:trPr>
                <w:gridAfter w:val="1"/>
                <w:wAfter w:w="367" w:type="dxa"/>
                <w:trHeight w:val="1597"/>
              </w:trPr>
              <w:tc>
                <w:tcPr>
                  <w:tcW w:w="2673" w:type="dxa"/>
                </w:tcPr>
                <w:p w:rsidR="00B816B4" w:rsidRPr="006A36C8" w:rsidRDefault="00BE3754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 OH-Vitamin D Calibrator</w:t>
                  </w:r>
                </w:p>
              </w:tc>
              <w:tc>
                <w:tcPr>
                  <w:tcW w:w="1600" w:type="dxa"/>
                </w:tcPr>
                <w:p w:rsidR="00B816B4" w:rsidRPr="006A36C8" w:rsidRDefault="00BE3754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5P02-02</w:t>
                  </w:r>
                </w:p>
              </w:tc>
              <w:tc>
                <w:tcPr>
                  <w:tcW w:w="3875" w:type="dxa"/>
                  <w:vAlign w:val="center"/>
                </w:tcPr>
                <w:p w:rsidR="00B816B4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 w:rsidR="00BE3754">
                    <w:rPr>
                      <w:rFonts w:cs="Arial"/>
                      <w:szCs w:val="20"/>
                    </w:rPr>
                    <w:t xml:space="preserve"> 2 – 8 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To Use</w:t>
                  </w:r>
                  <w:r>
                    <w:rPr>
                      <w:rFonts w:cs="Arial"/>
                      <w:bCs/>
                    </w:rPr>
                    <w:t xml:space="preserve">: </w:t>
                  </w:r>
                  <w:r w:rsidR="00BE3754">
                    <w:rPr>
                      <w:rFonts w:cs="Arial"/>
                      <w:bCs/>
                    </w:rPr>
                    <w:t>Gently mix after removal from fridge</w:t>
                  </w:r>
                </w:p>
                <w:p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>
                    <w:rPr>
                      <w:rFonts w:cs="Arial"/>
                      <w:bCs/>
                    </w:rPr>
                    <w:t>: Manufacture</w:t>
                  </w:r>
                  <w:r w:rsidR="004E548A">
                    <w:rPr>
                      <w:rFonts w:cs="Arial"/>
                      <w:bCs/>
                    </w:rPr>
                    <w:t>r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07457F">
                    <w:rPr>
                      <w:rFonts w:cs="Arial"/>
                      <w:bCs/>
                    </w:rPr>
                    <w:t>expiration</w:t>
                  </w:r>
                  <w:r>
                    <w:rPr>
                      <w:rFonts w:cs="Arial"/>
                      <w:bCs/>
                    </w:rPr>
                    <w:t xml:space="preserve"> date.</w:t>
                  </w:r>
                </w:p>
                <w:p w:rsidR="00260A50" w:rsidRP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 w:rsidR="00BE3754">
                    <w:rPr>
                      <w:rFonts w:cs="Arial"/>
                      <w:bCs/>
                    </w:rPr>
                    <w:t xml:space="preserve"> and store for 9</w:t>
                  </w:r>
                  <w:r>
                    <w:rPr>
                      <w:rFonts w:cs="Arial"/>
                      <w:bCs/>
                    </w:rPr>
                    <w:t>0 days.</w:t>
                  </w:r>
                </w:p>
              </w:tc>
            </w:tr>
            <w:tr w:rsidR="002265E2" w:rsidRPr="007B2A3E" w:rsidTr="00BE3754">
              <w:trPr>
                <w:gridAfter w:val="1"/>
                <w:wAfter w:w="367" w:type="dxa"/>
                <w:trHeight w:val="322"/>
              </w:trPr>
              <w:tc>
                <w:tcPr>
                  <w:tcW w:w="2673" w:type="dxa"/>
                </w:tcPr>
                <w:p w:rsidR="002265E2" w:rsidRDefault="000F0777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Multiassay</w:t>
                  </w:r>
                  <w:r w:rsidR="002265E2">
                    <w:rPr>
                      <w:rFonts w:cs="Arial"/>
                      <w:szCs w:val="20"/>
                    </w:rPr>
                    <w:t xml:space="preserve"> Diluent</w:t>
                  </w:r>
                </w:p>
              </w:tc>
              <w:tc>
                <w:tcPr>
                  <w:tcW w:w="1600" w:type="dxa"/>
                </w:tcPr>
                <w:p w:rsidR="002265E2" w:rsidRDefault="002265E2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DB0E90">
                    <w:rPr>
                      <w:rFonts w:eastAsia="HelenPro-Regular"/>
                    </w:rPr>
                    <w:t>7D82-50</w:t>
                  </w:r>
                </w:p>
              </w:tc>
              <w:tc>
                <w:tcPr>
                  <w:tcW w:w="3875" w:type="dxa"/>
                  <w:vAlign w:val="center"/>
                </w:tcPr>
                <w:p w:rsidR="002265E2" w:rsidRPr="007B2A3E" w:rsidRDefault="00E2166F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Refer to Supply Status on Analyzer</w:t>
                  </w:r>
                </w:p>
              </w:tc>
            </w:tr>
            <w:tr w:rsidR="002265E2" w:rsidRPr="007B2A3E" w:rsidTr="00BE3754">
              <w:trPr>
                <w:gridAfter w:val="1"/>
                <w:wAfter w:w="367" w:type="dxa"/>
                <w:trHeight w:val="332"/>
              </w:trPr>
              <w:tc>
                <w:tcPr>
                  <w:tcW w:w="2673" w:type="dxa"/>
                </w:tcPr>
                <w:p w:rsidR="002265E2" w:rsidRDefault="002265E2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Pre-Trigger Solution</w:t>
                  </w:r>
                </w:p>
              </w:tc>
              <w:tc>
                <w:tcPr>
                  <w:tcW w:w="1600" w:type="dxa"/>
                </w:tcPr>
                <w:p w:rsidR="002265E2" w:rsidRPr="00DE32D9" w:rsidRDefault="00DE32D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DE32D9">
                    <w:rPr>
                      <w:rFonts w:eastAsia="HelenPro-Regular" w:cs="Arial"/>
                      <w:szCs w:val="20"/>
                    </w:rPr>
                    <w:t>06E23-65</w:t>
                  </w:r>
                </w:p>
              </w:tc>
              <w:tc>
                <w:tcPr>
                  <w:tcW w:w="3875" w:type="dxa"/>
                  <w:vAlign w:val="center"/>
                </w:tcPr>
                <w:p w:rsidR="002265E2" w:rsidRPr="007B2A3E" w:rsidRDefault="00E2166F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Refer to Supply Status on Analyzer</w:t>
                  </w:r>
                </w:p>
              </w:tc>
            </w:tr>
            <w:tr w:rsidR="002265E2" w:rsidRPr="007B2A3E" w:rsidTr="00BE3754">
              <w:trPr>
                <w:gridAfter w:val="1"/>
                <w:wAfter w:w="367" w:type="dxa"/>
                <w:trHeight w:val="322"/>
              </w:trPr>
              <w:tc>
                <w:tcPr>
                  <w:tcW w:w="2673" w:type="dxa"/>
                </w:tcPr>
                <w:p w:rsidR="002265E2" w:rsidRDefault="002265E2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Trigger Solution</w:t>
                  </w:r>
                </w:p>
              </w:tc>
              <w:tc>
                <w:tcPr>
                  <w:tcW w:w="1600" w:type="dxa"/>
                </w:tcPr>
                <w:p w:rsidR="002265E2" w:rsidRPr="00DE32D9" w:rsidRDefault="00DE32D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DE32D9">
                    <w:rPr>
                      <w:rFonts w:eastAsia="HelenPro-Regular" w:cs="Arial"/>
                      <w:szCs w:val="20"/>
                    </w:rPr>
                    <w:t>06C55-60</w:t>
                  </w:r>
                </w:p>
              </w:tc>
              <w:tc>
                <w:tcPr>
                  <w:tcW w:w="3875" w:type="dxa"/>
                  <w:vAlign w:val="center"/>
                </w:tcPr>
                <w:p w:rsidR="002265E2" w:rsidRPr="007B2A3E" w:rsidRDefault="00E2166F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Refer to Supply Status on Analyzer</w:t>
                  </w:r>
                </w:p>
              </w:tc>
            </w:tr>
            <w:tr w:rsidR="002265E2" w:rsidRPr="007B2A3E" w:rsidTr="00BE3754">
              <w:trPr>
                <w:gridAfter w:val="1"/>
                <w:wAfter w:w="367" w:type="dxa"/>
                <w:trHeight w:val="332"/>
              </w:trPr>
              <w:tc>
                <w:tcPr>
                  <w:tcW w:w="2673" w:type="dxa"/>
                </w:tcPr>
                <w:p w:rsidR="002265E2" w:rsidRDefault="002265E2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Wash Buffer</w:t>
                  </w:r>
                </w:p>
              </w:tc>
              <w:tc>
                <w:tcPr>
                  <w:tcW w:w="1600" w:type="dxa"/>
                </w:tcPr>
                <w:p w:rsidR="002265E2" w:rsidRPr="00DE32D9" w:rsidRDefault="00DE32D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DE32D9">
                    <w:rPr>
                      <w:rFonts w:eastAsia="HelenPro-Regular" w:cs="Arial"/>
                      <w:szCs w:val="20"/>
                    </w:rPr>
                    <w:t>06C54-58</w:t>
                  </w:r>
                </w:p>
              </w:tc>
              <w:tc>
                <w:tcPr>
                  <w:tcW w:w="3875" w:type="dxa"/>
                  <w:vAlign w:val="center"/>
                </w:tcPr>
                <w:p w:rsidR="002265E2" w:rsidRPr="007B2A3E" w:rsidRDefault="00E2166F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Refer to Supply Status on Analyzer</w:t>
                  </w:r>
                </w:p>
              </w:tc>
            </w:tr>
            <w:tr w:rsidR="002265E2" w:rsidRPr="007B2A3E" w:rsidTr="00BE3754">
              <w:trPr>
                <w:gridAfter w:val="1"/>
                <w:wAfter w:w="367" w:type="dxa"/>
                <w:trHeight w:val="535"/>
              </w:trPr>
              <w:tc>
                <w:tcPr>
                  <w:tcW w:w="2673" w:type="dxa"/>
                </w:tcPr>
                <w:p w:rsidR="002265E2" w:rsidRDefault="00F814F1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Reaction Vessels</w:t>
                  </w:r>
                  <w:r w:rsidR="002265E2">
                    <w:rPr>
                      <w:rFonts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1600" w:type="dxa"/>
                </w:tcPr>
                <w:p w:rsidR="002265E2" w:rsidRPr="00DE32D9" w:rsidRDefault="00DE32D9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DE32D9">
                    <w:rPr>
                      <w:rFonts w:eastAsia="HelenPro-Regular" w:cs="Arial"/>
                      <w:szCs w:val="20"/>
                    </w:rPr>
                    <w:t>07C15 (-02 or -03)</w:t>
                  </w:r>
                </w:p>
              </w:tc>
              <w:tc>
                <w:tcPr>
                  <w:tcW w:w="3875" w:type="dxa"/>
                  <w:vAlign w:val="center"/>
                </w:tcPr>
                <w:p w:rsidR="002265E2" w:rsidRPr="007B2A3E" w:rsidRDefault="002265E2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N/A</w:t>
                  </w:r>
                </w:p>
              </w:tc>
            </w:tr>
            <w:tr w:rsidR="00BE3754" w:rsidRPr="007B2A3E" w:rsidTr="00BE3754">
              <w:trPr>
                <w:gridAfter w:val="1"/>
                <w:wAfter w:w="367" w:type="dxa"/>
                <w:trHeight w:val="996"/>
              </w:trPr>
              <w:tc>
                <w:tcPr>
                  <w:tcW w:w="2673" w:type="dxa"/>
                </w:tcPr>
                <w:p w:rsidR="00BE3754" w:rsidRDefault="0007457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Liquichek</w:t>
                  </w:r>
                  <w:r w:rsidR="00BE3754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Specialty</w:t>
                  </w:r>
                  <w:r w:rsidR="00BE3754">
                    <w:rPr>
                      <w:rFonts w:cs="Arial"/>
                      <w:szCs w:val="20"/>
                    </w:rPr>
                    <w:t xml:space="preserve"> Immunoassay Controls</w:t>
                  </w:r>
                </w:p>
              </w:tc>
              <w:tc>
                <w:tcPr>
                  <w:tcW w:w="1600" w:type="dxa"/>
                </w:tcPr>
                <w:p w:rsidR="00BE3754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1 - 364</w:t>
                  </w:r>
                </w:p>
                <w:p w:rsidR="00BE3754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2 - 365</w:t>
                  </w:r>
                </w:p>
                <w:p w:rsidR="00BE3754" w:rsidRPr="00DE32D9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3 - 366</w:t>
                  </w:r>
                </w:p>
              </w:tc>
              <w:tc>
                <w:tcPr>
                  <w:tcW w:w="3875" w:type="dxa"/>
                  <w:vAlign w:val="center"/>
                </w:tcPr>
                <w:p w:rsidR="00BE3754" w:rsidRDefault="00BE3754" w:rsidP="00BE3754">
                  <w:pPr>
                    <w:rPr>
                      <w:rFonts w:cs="Arial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Unopened storage: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CB4A23">
                    <w:rPr>
                      <w:rFonts w:eastAsia="HelenPro-Regular" w:cs="Arial"/>
                      <w:szCs w:val="20"/>
                    </w:rPr>
                    <w:t>≤-20°C</w:t>
                  </w:r>
                </w:p>
                <w:p w:rsidR="00BE3754" w:rsidRPr="0042759E" w:rsidRDefault="00BE3754" w:rsidP="00BE3754">
                  <w:pPr>
                    <w:rPr>
                      <w:rFonts w:cs="Arial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To Use:</w:t>
                  </w:r>
                  <w:r>
                    <w:rPr>
                      <w:rFonts w:cs="Arial"/>
                      <w:szCs w:val="20"/>
                    </w:rPr>
                    <w:t xml:space="preserve"> Thaw at Room Temperature</w:t>
                  </w:r>
                </w:p>
                <w:p w:rsidR="00BE3754" w:rsidRPr="0042759E" w:rsidRDefault="00BE3754" w:rsidP="00BE3754">
                  <w:pPr>
                    <w:rPr>
                      <w:rStyle w:val="tgc"/>
                      <w:rFonts w:cs="Arial"/>
                      <w:color w:val="222222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Once Opened, Store:</w:t>
                  </w:r>
                  <w:r w:rsidRPr="0042759E">
                    <w:rPr>
                      <w:rFonts w:cs="Arial"/>
                      <w:szCs w:val="20"/>
                    </w:rPr>
                    <w:t xml:space="preserve"> 2-8</w:t>
                  </w:r>
                  <w:r w:rsidRPr="0042759E">
                    <w:rPr>
                      <w:rStyle w:val="tgc"/>
                      <w:rFonts w:cs="Arial"/>
                      <w:color w:val="222222"/>
                      <w:szCs w:val="20"/>
                    </w:rPr>
                    <w:t>°C</w:t>
                  </w:r>
                </w:p>
                <w:p w:rsidR="00BE3754" w:rsidRDefault="00BE3754" w:rsidP="00BE3754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BE3754">
                    <w:rPr>
                      <w:rStyle w:val="tgc"/>
                      <w:rFonts w:cs="Arial"/>
                      <w:b/>
                      <w:color w:val="222222"/>
                      <w:szCs w:val="20"/>
                    </w:rPr>
                    <w:t>Stability:</w:t>
                  </w:r>
                  <w:r w:rsidRPr="0042759E">
                    <w:rPr>
                      <w:rStyle w:val="tgc"/>
                      <w:rFonts w:cs="Arial"/>
                      <w:color w:val="222222"/>
                      <w:szCs w:val="20"/>
                    </w:rPr>
                    <w:t xml:space="preserve"> 30 Days</w:t>
                  </w:r>
                </w:p>
              </w:tc>
            </w:tr>
          </w:tbl>
          <w:p w:rsidR="00B816B4" w:rsidRDefault="00B816B4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8C6EDC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Risk and Safety: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Pr="005516E7" w:rsidRDefault="008C6EDC">
            <w:pPr>
              <w:pStyle w:val="Pa13"/>
              <w:rPr>
                <w:rFonts w:ascii="Arial" w:hAnsi="Arial" w:cs="Arial"/>
                <w:color w:val="000000"/>
                <w:sz w:val="20"/>
                <w:szCs w:val="15"/>
              </w:rPr>
            </w:pPr>
          </w:p>
          <w:p w:rsidR="008C6EDC" w:rsidRPr="00A072CE" w:rsidRDefault="00A072CE" w:rsidP="00BE375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A072CE">
              <w:rPr>
                <w:rFonts w:eastAsia="HelenPro-Regular" w:cs="Arial"/>
                <w:szCs w:val="20"/>
              </w:rPr>
              <w:t xml:space="preserve">Contains sodium </w:t>
            </w:r>
            <w:r w:rsidR="0007457F" w:rsidRPr="00A072CE">
              <w:rPr>
                <w:rFonts w:eastAsia="HelenPro-Regular" w:cs="Arial"/>
                <w:szCs w:val="20"/>
              </w:rPr>
              <w:t>azide</w:t>
            </w:r>
            <w:r w:rsidR="0007457F">
              <w:rPr>
                <w:rFonts w:ascii="HelenPro-Regular" w:eastAsia="HelenPro-Regular" w:hAnsi="Times New Roman" w:cs="HelenPro-Regular"/>
                <w:sz w:val="17"/>
                <w:szCs w:val="17"/>
              </w:rPr>
              <w:t xml:space="preserve">. </w:t>
            </w:r>
            <w:r w:rsidR="0007457F" w:rsidRPr="005516E7">
              <w:rPr>
                <w:rFonts w:cs="Arial"/>
                <w:szCs w:val="20"/>
              </w:rPr>
              <w:t>Avoid</w:t>
            </w:r>
            <w:r w:rsidR="008C6EDC" w:rsidRPr="005516E7">
              <w:rPr>
                <w:rFonts w:cs="Arial"/>
                <w:szCs w:val="20"/>
              </w:rPr>
              <w:t xml:space="preserve"> contact with skin</w:t>
            </w:r>
            <w:r>
              <w:rPr>
                <w:rFonts w:cs="Arial"/>
                <w:szCs w:val="20"/>
              </w:rPr>
              <w:t xml:space="preserve"> and eye.  Causes serious eye irritation. </w:t>
            </w:r>
            <w:r w:rsidR="008C6EDC" w:rsidRPr="005516E7">
              <w:rPr>
                <w:rFonts w:cs="Arial"/>
                <w:szCs w:val="20"/>
              </w:rPr>
              <w:t>Wear gloves.</w:t>
            </w:r>
            <w:r>
              <w:rPr>
                <w:rFonts w:cs="Arial"/>
                <w:szCs w:val="20"/>
              </w:rPr>
              <w:t xml:space="preserve"> </w:t>
            </w:r>
            <w:r w:rsidRPr="00A072CE">
              <w:rPr>
                <w:rFonts w:eastAsia="HelenPro-Regular" w:cs="Arial"/>
                <w:szCs w:val="20"/>
              </w:rPr>
              <w:t>Contact with acids liberates very toxic gas.</w:t>
            </w:r>
            <w:r w:rsidR="007442BC">
              <w:rPr>
                <w:rFonts w:eastAsia="HelenPro-Regular" w:cs="Arial"/>
                <w:szCs w:val="20"/>
              </w:rPr>
              <w:t xml:space="preserve">  Recap reagents and d</w:t>
            </w:r>
            <w:r>
              <w:rPr>
                <w:rFonts w:eastAsia="HelenPro-Regular" w:cs="Arial"/>
                <w:szCs w:val="20"/>
              </w:rPr>
              <w:t>ispose of in appropriate Hazardous Waste Container.</w:t>
            </w:r>
          </w:p>
        </w:tc>
      </w:tr>
      <w:tr w:rsidR="00B816B4" w:rsidTr="00D120DB">
        <w:trPr>
          <w:trHeight w:val="5520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 w:rsidP="008C6EDC">
            <w:pPr>
              <w:pStyle w:val="BodyTextIndent"/>
            </w:pPr>
          </w:p>
          <w:p w:rsidR="00B816B4" w:rsidRDefault="00B816B4" w:rsidP="008C6EDC">
            <w:pPr>
              <w:pStyle w:val="BodyTextIndent"/>
            </w:pPr>
            <w:r>
              <w:t>Calibration/ Verification/AMR</w:t>
            </w:r>
          </w:p>
          <w:p w:rsidR="00B816B4" w:rsidRDefault="00B816B4" w:rsidP="008C6EDC">
            <w:pPr>
              <w:pStyle w:val="BodyTextIndent"/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Pr="00B13C1A" w:rsidRDefault="00B816B4" w:rsidP="008C6EDC">
            <w:pPr>
              <w:rPr>
                <w:rFonts w:cs="Arial"/>
                <w:szCs w:val="20"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947"/>
              <w:gridCol w:w="5760"/>
              <w:gridCol w:w="509"/>
            </w:tblGrid>
            <w:tr w:rsidR="00B816B4" w:rsidTr="00814EAD">
              <w:trPr>
                <w:gridAfter w:val="1"/>
                <w:wAfter w:w="509" w:type="dxa"/>
                <w:trHeight w:val="377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Analytical Measuring Range: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6B4" w:rsidRPr="00FC6715" w:rsidRDefault="008E5CF2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HelenPro-Regular" w:hAnsi="Arial" w:cs="Arial"/>
                    </w:rPr>
                    <w:t>3.4 – 155.9 ng</w:t>
                  </w:r>
                  <w:r w:rsidR="00FC6715" w:rsidRPr="00FC6715">
                    <w:rPr>
                      <w:rFonts w:ascii="Arial" w:eastAsia="HelenPro-Regular" w:hAnsi="Arial" w:cs="Arial"/>
                    </w:rPr>
                    <w:t>/mL</w:t>
                  </w:r>
                </w:p>
              </w:tc>
            </w:tr>
            <w:tr w:rsidR="00B816B4" w:rsidTr="00814EAD">
              <w:trPr>
                <w:gridAfter w:val="1"/>
                <w:wAfter w:w="509" w:type="dxa"/>
                <w:trHeight w:val="494"/>
              </w:trPr>
              <w:tc>
                <w:tcPr>
                  <w:tcW w:w="2947" w:type="dxa"/>
                  <w:tcBorders>
                    <w:top w:val="single" w:sz="4" w:space="0" w:color="auto"/>
                  </w:tcBorders>
                </w:tcPr>
                <w:p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</w:tcBorders>
                  <w:vAlign w:val="center"/>
                </w:tcPr>
                <w:p w:rsidR="00B816B4" w:rsidRPr="00E14C48" w:rsidRDefault="008E5CF2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25-OH Vitamin D Calibrator</w:t>
                  </w:r>
                </w:p>
              </w:tc>
            </w:tr>
            <w:tr w:rsidR="00B816B4" w:rsidTr="00814EAD">
              <w:trPr>
                <w:gridAfter w:val="1"/>
                <w:wAfter w:w="509" w:type="dxa"/>
                <w:trHeight w:val="521"/>
              </w:trPr>
              <w:tc>
                <w:tcPr>
                  <w:tcW w:w="2947" w:type="dxa"/>
                </w:tcPr>
                <w:p w:rsidR="00B816B4" w:rsidRPr="00E14C48" w:rsidRDefault="00B816B4" w:rsidP="00814EAD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Suggested Calibration Levels</w:t>
                  </w:r>
                </w:p>
              </w:tc>
              <w:tc>
                <w:tcPr>
                  <w:tcW w:w="5760" w:type="dxa"/>
                  <w:vAlign w:val="center"/>
                </w:tcPr>
                <w:p w:rsidR="00B816B4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="008E5CF2">
                    <w:rPr>
                      <w:rFonts w:ascii="Arial" w:hAnsi="Arial" w:cs="Arial"/>
                    </w:rPr>
                    <w:t xml:space="preserve"> – 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:rsidR="00260A50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8E5CF2">
                    <w:rPr>
                      <w:rFonts w:ascii="Arial" w:hAnsi="Arial" w:cs="Arial"/>
                    </w:rPr>
                    <w:t xml:space="preserve"> – 4.0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8E5CF2">
                    <w:rPr>
                      <w:rFonts w:ascii="Arial" w:hAnsi="Arial" w:cs="Arial"/>
                    </w:rPr>
                    <w:t xml:space="preserve"> – 10.0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="008E5CF2">
                    <w:rPr>
                      <w:rFonts w:ascii="Arial" w:hAnsi="Arial" w:cs="Arial"/>
                    </w:rPr>
                    <w:t xml:space="preserve"> – 30.0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8E5CF2">
                    <w:rPr>
                      <w:rFonts w:ascii="Arial" w:hAnsi="Arial" w:cs="Arial"/>
                    </w:rPr>
                    <w:t xml:space="preserve"> – 75.0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:rsidR="00260A50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8E5CF2">
                    <w:rPr>
                      <w:rFonts w:ascii="Arial" w:hAnsi="Arial" w:cs="Arial"/>
                    </w:rPr>
                    <w:t xml:space="preserve"> – 160.0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</w:tc>
            </w:tr>
            <w:tr w:rsidR="00B816B4" w:rsidTr="00814EAD">
              <w:trPr>
                <w:gridAfter w:val="1"/>
                <w:wAfter w:w="509" w:type="dxa"/>
                <w:trHeight w:val="440"/>
              </w:trPr>
              <w:tc>
                <w:tcPr>
                  <w:tcW w:w="2947" w:type="dxa"/>
                </w:tcPr>
                <w:p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Scheme:</w:t>
                  </w:r>
                </w:p>
              </w:tc>
              <w:tc>
                <w:tcPr>
                  <w:tcW w:w="5760" w:type="dxa"/>
                  <w:vAlign w:val="center"/>
                </w:tcPr>
                <w:p w:rsidR="00B816B4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n=6</w:t>
                  </w:r>
                </w:p>
              </w:tc>
            </w:tr>
            <w:tr w:rsidR="00B816B4" w:rsidTr="003571BD">
              <w:trPr>
                <w:gridAfter w:val="1"/>
                <w:wAfter w:w="509" w:type="dxa"/>
                <w:trHeight w:val="1169"/>
              </w:trPr>
              <w:tc>
                <w:tcPr>
                  <w:tcW w:w="2947" w:type="dxa"/>
                </w:tcPr>
                <w:p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Frequency:</w:t>
                  </w:r>
                </w:p>
              </w:tc>
              <w:tc>
                <w:tcPr>
                  <w:tcW w:w="5760" w:type="dxa"/>
                  <w:vAlign w:val="center"/>
                </w:tcPr>
                <w:p w:rsidR="008E5CF2" w:rsidRDefault="008E5CF2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Every 30 Days</w:t>
                  </w:r>
                </w:p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For each new lot of reagent </w:t>
                  </w:r>
                </w:p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After major maintenance or service, if indicated by quality control results</w:t>
                  </w:r>
                </w:p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indicated in laboratory quality control procedures</w:t>
                  </w:r>
                </w:p>
              </w:tc>
            </w:tr>
            <w:tr w:rsidR="00B816B4" w:rsidTr="003571BD">
              <w:trPr>
                <w:gridAfter w:val="1"/>
                <w:wAfter w:w="509" w:type="dxa"/>
                <w:trHeight w:val="989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AMR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vAlign w:val="center"/>
                </w:tcPr>
                <w:p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of AMR is accomplished with each calibration.</w:t>
                  </w:r>
                </w:p>
                <w:p w:rsidR="00B816B4" w:rsidRPr="003571BD" w:rsidRDefault="00B816B4" w:rsidP="003571BD">
                  <w:pPr>
                    <w:numPr>
                      <w:ilvl w:val="0"/>
                      <w:numId w:val="15"/>
                    </w:num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Cal Verification and AMR verification are performed at least once every six (6) months.</w:t>
                  </w:r>
                </w:p>
              </w:tc>
            </w:tr>
            <w:tr w:rsidR="00B816B4" w:rsidTr="00B816B4">
              <w:tc>
                <w:tcPr>
                  <w:tcW w:w="921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B816B4" w:rsidRPr="00B13C1A" w:rsidRDefault="00B816B4" w:rsidP="008C6EDC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B816B4" w:rsidRPr="00FB1EFD" w:rsidRDefault="00B816B4" w:rsidP="008C6EDC">
            <w:pPr>
              <w:pStyle w:val="Default"/>
            </w:pPr>
          </w:p>
        </w:tc>
      </w:tr>
      <w:tr w:rsidR="00B816B4" w:rsidTr="00D120DB">
        <w:trPr>
          <w:cantSplit/>
          <w:trHeight w:val="590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</w:p>
          <w:p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Quality Control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B816B4" w:rsidRDefault="000F0777" w:rsidP="008C6EDC">
            <w:pPr>
              <w:jc w:val="both"/>
              <w:rPr>
                <w:rFonts w:cs="Arial"/>
                <w:b/>
                <w:bCs/>
                <w:color w:val="5F497A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Bio-Rad</w:t>
            </w:r>
            <w:r w:rsidR="003571BD">
              <w:rPr>
                <w:rFonts w:cs="Arial"/>
                <w:color w:val="000000"/>
                <w:szCs w:val="20"/>
              </w:rPr>
              <w:t xml:space="preserve"> L</w:t>
            </w:r>
            <w:r w:rsidR="008E5CF2">
              <w:rPr>
                <w:rFonts w:cs="Arial"/>
                <w:color w:val="000000"/>
                <w:szCs w:val="20"/>
              </w:rPr>
              <w:t>iquichek</w:t>
            </w:r>
            <w:r w:rsidR="003571BD">
              <w:rPr>
                <w:rFonts w:cs="Arial"/>
                <w:color w:val="000000"/>
                <w:szCs w:val="20"/>
              </w:rPr>
              <w:t xml:space="preserve"> Specialty Immunoassay Levels 1,2 and 3</w:t>
            </w:r>
          </w:p>
          <w:p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Frequency: </w:t>
            </w:r>
            <w:r w:rsidR="003571BD">
              <w:rPr>
                <w:rFonts w:cs="Arial"/>
                <w:szCs w:val="20"/>
              </w:rPr>
              <w:t>Three levels each day of use.</w:t>
            </w:r>
          </w:p>
          <w:p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B816B4" w:rsidRPr="00A82A92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Stability</w:t>
            </w:r>
            <w:r w:rsidR="00A82A92">
              <w:rPr>
                <w:rFonts w:cs="Arial"/>
                <w:b/>
                <w:bCs/>
                <w:szCs w:val="20"/>
              </w:rPr>
              <w:t xml:space="preserve">: </w:t>
            </w:r>
            <w:r w:rsidR="00A82A92">
              <w:rPr>
                <w:rFonts w:cs="Arial"/>
                <w:bCs/>
                <w:szCs w:val="20"/>
              </w:rPr>
              <w:t>30 Day</w:t>
            </w:r>
            <w:r w:rsidR="008E5CF2">
              <w:rPr>
                <w:rFonts w:cs="Arial"/>
                <w:bCs/>
                <w:szCs w:val="20"/>
              </w:rPr>
              <w:t>s</w:t>
            </w:r>
            <w:r w:rsidR="00A82A92">
              <w:rPr>
                <w:rFonts w:cs="Arial"/>
                <w:bCs/>
                <w:szCs w:val="20"/>
              </w:rPr>
              <w:t xml:space="preserve"> at </w:t>
            </w:r>
            <w:r w:rsidR="008E5CF2">
              <w:rPr>
                <w:rFonts w:cs="Arial"/>
                <w:szCs w:val="20"/>
              </w:rPr>
              <w:t>2-8</w:t>
            </w:r>
            <w:r w:rsidR="00A82A92" w:rsidRPr="00A11958">
              <w:rPr>
                <w:rStyle w:val="tgc"/>
                <w:rFonts w:cs="Arial"/>
                <w:color w:val="222222"/>
                <w:szCs w:val="20"/>
              </w:rPr>
              <w:t>°C</w:t>
            </w:r>
            <w:r w:rsidR="00A82A92">
              <w:rPr>
                <w:rStyle w:val="tgc"/>
                <w:rFonts w:cs="Arial"/>
                <w:color w:val="222222"/>
                <w:szCs w:val="20"/>
              </w:rPr>
              <w:t>.</w:t>
            </w:r>
          </w:p>
          <w:p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0F0777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Preparation</w:t>
            </w:r>
            <w:r>
              <w:rPr>
                <w:rFonts w:cs="Arial"/>
                <w:szCs w:val="20"/>
              </w:rPr>
              <w:t xml:space="preserve">: </w:t>
            </w:r>
            <w:r w:rsidR="008E5CF2">
              <w:rPr>
                <w:rFonts w:cs="Arial"/>
                <w:szCs w:val="20"/>
              </w:rPr>
              <w:t>Allow vials to thaw at room temperature</w:t>
            </w:r>
            <w:r w:rsidR="000F0777">
              <w:rPr>
                <w:rFonts w:cs="Arial"/>
                <w:szCs w:val="20"/>
              </w:rPr>
              <w:t xml:space="preserve">, not more than 1 hour.  </w:t>
            </w:r>
          </w:p>
          <w:p w:rsidR="00B816B4" w:rsidRDefault="000F0777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not let QC sit for more than 20 minutes at room temperature when aliquoting daily QC.</w:t>
            </w:r>
          </w:p>
          <w:p w:rsidR="008E5CF2" w:rsidRDefault="008E5CF2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Sunquest Control names:</w:t>
            </w:r>
            <w:r w:rsidR="008E5CF2">
              <w:rPr>
                <w:rFonts w:cs="Arial"/>
                <w:szCs w:val="20"/>
              </w:rPr>
              <w:t xml:space="preserve"> Level 1 = C-LQ</w:t>
            </w:r>
            <w:r w:rsidR="00A82A92">
              <w:rPr>
                <w:rFonts w:cs="Arial"/>
                <w:szCs w:val="20"/>
              </w:rPr>
              <w:t>SI1</w:t>
            </w:r>
            <w:r>
              <w:rPr>
                <w:rFonts w:cs="Arial"/>
                <w:szCs w:val="20"/>
              </w:rPr>
              <w:t>, Level 2 = C-</w:t>
            </w:r>
            <w:r w:rsidR="008E5CF2">
              <w:rPr>
                <w:rFonts w:cs="Arial"/>
                <w:szCs w:val="20"/>
              </w:rPr>
              <w:t>LQ</w:t>
            </w:r>
            <w:r w:rsidR="00A82A92">
              <w:rPr>
                <w:rFonts w:cs="Arial"/>
                <w:szCs w:val="20"/>
              </w:rPr>
              <w:t>SI2, Level 3= C-L</w:t>
            </w:r>
            <w:r w:rsidR="008E5CF2">
              <w:rPr>
                <w:rFonts w:cs="Arial"/>
                <w:szCs w:val="20"/>
              </w:rPr>
              <w:t>Q</w:t>
            </w:r>
            <w:r w:rsidR="00A82A92">
              <w:rPr>
                <w:rFonts w:cs="Arial"/>
                <w:szCs w:val="20"/>
              </w:rPr>
              <w:t>SI3</w:t>
            </w:r>
          </w:p>
          <w:p w:rsidR="00B816B4" w:rsidRDefault="00B816B4" w:rsidP="008C6EDC">
            <w:pPr>
              <w:jc w:val="both"/>
              <w:rPr>
                <w:rFonts w:cs="Arial"/>
                <w:b/>
                <w:bCs/>
              </w:rPr>
            </w:pPr>
          </w:p>
          <w:p w:rsidR="00B816B4" w:rsidRDefault="00B816B4" w:rsidP="008C6ED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Acceptable ranges:</w:t>
            </w:r>
            <w:r>
              <w:rPr>
                <w:rFonts w:cs="Arial"/>
              </w:rPr>
              <w:t xml:space="preserve"> </w:t>
            </w:r>
          </w:p>
          <w:p w:rsidR="00B816B4" w:rsidRPr="00DB6DF1" w:rsidRDefault="00B816B4" w:rsidP="008C6E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Ranges are current in Sunquest and the instrument. Refer to the Quality Control in Chemistry p</w:t>
            </w:r>
            <w:r w:rsidRPr="00DB6DF1">
              <w:rPr>
                <w:rFonts w:cs="Arial"/>
                <w:szCs w:val="20"/>
              </w:rPr>
              <w:t>rocedure for QC exception codes.</w:t>
            </w:r>
          </w:p>
          <w:p w:rsidR="00B816B4" w:rsidRPr="00AD5C45" w:rsidRDefault="00B816B4" w:rsidP="008C6E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If a control value is outside the confidence interval, the determination must be repeated. If the repeat determination confirms the deviation, a new reference curve should be established.</w:t>
            </w:r>
          </w:p>
          <w:p w:rsidR="00B816B4" w:rsidRPr="00AD5C45" w:rsidRDefault="00B816B4" w:rsidP="008C6E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Do not release patient results until the cause of deviation has been identified and corrected</w:t>
            </w:r>
            <w:r w:rsidR="00D512DA">
              <w:rPr>
                <w:rFonts w:cs="Arial"/>
                <w:szCs w:val="20"/>
              </w:rPr>
              <w:t>.  Document ALL troubleshooting actions in Sunquest or in the Architect i1000SR Instrument Maintenance Log notes under the current day's maintenance log.</w:t>
            </w:r>
          </w:p>
          <w:p w:rsidR="00B816B4" w:rsidRPr="00DB6DF1" w:rsidRDefault="00B816B4" w:rsidP="008C6E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When a new lot of assayed control is received, validate the manufacturer’s insert range by running the new lot in parallel with the current lot</w:t>
            </w:r>
            <w:r w:rsidR="00D512DA">
              <w:rPr>
                <w:rFonts w:cs="Arial"/>
                <w:szCs w:val="20"/>
              </w:rPr>
              <w:t xml:space="preserve"> for a recommended 20 days</w:t>
            </w:r>
            <w:r>
              <w:rPr>
                <w:rFonts w:cs="Arial"/>
                <w:szCs w:val="20"/>
              </w:rPr>
              <w:t>, and confirming that the results obtained are within the stated range</w:t>
            </w:r>
            <w:r w:rsidR="00D512DA">
              <w:rPr>
                <w:rFonts w:cs="Arial"/>
                <w:szCs w:val="20"/>
              </w:rPr>
              <w:t>.</w:t>
            </w:r>
          </w:p>
          <w:p w:rsidR="00B816B4" w:rsidRPr="00CE16FB" w:rsidRDefault="00B816B4" w:rsidP="00D512DA">
            <w:pPr>
              <w:ind w:left="360"/>
              <w:jc w:val="both"/>
              <w:rPr>
                <w:rFonts w:cs="Arial"/>
              </w:rPr>
            </w:pPr>
          </w:p>
        </w:tc>
      </w:tr>
      <w:tr w:rsidR="008C6EDC" w:rsidTr="00D120DB">
        <w:trPr>
          <w:cantSplit/>
          <w:trHeight w:val="194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Interferences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987740" w:rsidRDefault="00987740" w:rsidP="00987740">
            <w:pPr>
              <w:autoSpaceDE w:val="0"/>
              <w:autoSpaceDN w:val="0"/>
              <w:adjustRightInd w:val="0"/>
              <w:ind w:left="720"/>
              <w:rPr>
                <w:rFonts w:eastAsia="HelenPro-Regular" w:cs="Arial"/>
                <w:szCs w:val="20"/>
              </w:rPr>
            </w:pPr>
          </w:p>
          <w:p w:rsidR="00987740" w:rsidRDefault="00987740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>Triglycerides &gt;500mg/dL and Hemolysis &gt; 500 mg/dL cause falsely low values.  Lipemic samples should be cleared using ultracentrifugation, and grossly hemolyzed samples should be rejected.</w:t>
            </w:r>
          </w:p>
          <w:p w:rsidR="00987740" w:rsidRDefault="00987740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Published data has shown that patients undergoing hemodialysis may show a negative bias when measured with various automated 25-OH vitamin D assays when compared to LC/MS. </w:t>
            </w:r>
          </w:p>
          <w:p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Patients receiving vitamin D2 supplementation, results that are subtherapeutic should be confirmed with another method, such as LC-MS/MS, before being used for patient management.</w:t>
            </w:r>
          </w:p>
          <w:p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Specimens from patients who have received preparations of rabbit monoclonal antibodies for diagnosis or therapy may contain human anti-rabbit antibodies (HARA). Such specimens may show either falsely elevated or depressed values when tested with assay kits such as ARCHITECT 25-OH Vitamin D that employ rabbit monoclonal antibodies</w:t>
            </w:r>
          </w:p>
          <w:p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 xml:space="preserve">Rheumatoid factor (RF) in human serum can react with reagent immunoglobulins, interfering with </w:t>
            </w:r>
            <w:r w:rsidRPr="006B0E34">
              <w:rPr>
                <w:rFonts w:eastAsia="HelenPro-Regular" w:cs="Arial"/>
                <w:i/>
                <w:iCs/>
                <w:szCs w:val="20"/>
              </w:rPr>
              <w:t xml:space="preserve">in vitro </w:t>
            </w:r>
            <w:r w:rsidRPr="006B0E34">
              <w:rPr>
                <w:rFonts w:eastAsia="HelenPro-Regular" w:cs="Arial"/>
                <w:szCs w:val="20"/>
              </w:rPr>
              <w:t>immunoassays</w:t>
            </w:r>
          </w:p>
          <w:p w:rsidR="006B0E34" w:rsidRPr="000F0777" w:rsidRDefault="006B0E34" w:rsidP="000F0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 xml:space="preserve">Heterophilic antibodies in human serum can react with reagent immunoglobulins, interfering with </w:t>
            </w:r>
            <w:r w:rsidRPr="006B0E34">
              <w:rPr>
                <w:rFonts w:eastAsia="HelenPro-Regular" w:cs="Arial"/>
                <w:i/>
                <w:iCs/>
                <w:szCs w:val="20"/>
              </w:rPr>
              <w:t xml:space="preserve">in vitro </w:t>
            </w:r>
            <w:r w:rsidRPr="006B0E34">
              <w:rPr>
                <w:rFonts w:eastAsia="HelenPro-Regular" w:cs="Arial"/>
                <w:szCs w:val="20"/>
              </w:rPr>
              <w:t>immunoassays. Patients routinely exposed to animals or to animal serum products can be prone to this interference, and anomalous values may be</w:t>
            </w:r>
            <w:r w:rsidR="000F0777">
              <w:rPr>
                <w:rFonts w:eastAsia="HelenPro-Regular" w:cs="Arial"/>
                <w:szCs w:val="20"/>
              </w:rPr>
              <w:t xml:space="preserve"> </w:t>
            </w:r>
            <w:r w:rsidRPr="000F0777">
              <w:rPr>
                <w:rFonts w:eastAsia="HelenPro-Regular" w:cs="Arial"/>
                <w:szCs w:val="20"/>
              </w:rPr>
              <w:t>observed.</w:t>
            </w:r>
          </w:p>
          <w:p w:rsidR="006B0E34" w:rsidRPr="006B0E34" w:rsidRDefault="006B0E34" w:rsidP="006B0E34">
            <w:pPr>
              <w:autoSpaceDE w:val="0"/>
              <w:autoSpaceDN w:val="0"/>
              <w:adjustRightInd w:val="0"/>
              <w:ind w:left="720"/>
              <w:rPr>
                <w:rFonts w:ascii="HelenPro-Regular" w:eastAsia="HelenPro-Regular" w:hAnsi="Times New Roman" w:cs="HelenPro-Regular"/>
                <w:sz w:val="17"/>
                <w:szCs w:val="17"/>
              </w:rPr>
            </w:pPr>
          </w:p>
        </w:tc>
      </w:tr>
      <w:tr w:rsidR="008C6EDC" w:rsidTr="00D120DB">
        <w:trPr>
          <w:trHeight w:val="212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Pr="004D6965" w:rsidRDefault="008C6EDC" w:rsidP="008C6EDC">
            <w:pPr>
              <w:jc w:val="both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 Range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893"/>
              <w:gridCol w:w="2893"/>
            </w:tblGrid>
            <w:tr w:rsidR="00817708" w:rsidTr="001F2FF6">
              <w:tc>
                <w:tcPr>
                  <w:tcW w:w="2893" w:type="dxa"/>
                </w:tcPr>
                <w:p w:rsidR="00817708" w:rsidRPr="001F2FF6" w:rsidRDefault="00817708" w:rsidP="001F2FF6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Vitamin D Status</w:t>
                  </w:r>
                </w:p>
              </w:tc>
              <w:tc>
                <w:tcPr>
                  <w:tcW w:w="2893" w:type="dxa"/>
                </w:tcPr>
                <w:p w:rsidR="00817708" w:rsidRPr="001F2FF6" w:rsidRDefault="00817708" w:rsidP="001F2FF6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25-OH Vitamin D</w:t>
                  </w:r>
                </w:p>
              </w:tc>
            </w:tr>
            <w:tr w:rsidR="00817708" w:rsidTr="001F2FF6">
              <w:tc>
                <w:tcPr>
                  <w:tcW w:w="2893" w:type="dxa"/>
                </w:tcPr>
                <w:p w:rsidR="00817708" w:rsidRDefault="00817708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Deficient</w:t>
                  </w:r>
                </w:p>
              </w:tc>
              <w:tc>
                <w:tcPr>
                  <w:tcW w:w="2893" w:type="dxa"/>
                </w:tcPr>
                <w:p w:rsidR="00817708" w:rsidRDefault="00817708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&lt;10 ng/mL</w:t>
                  </w:r>
                </w:p>
              </w:tc>
            </w:tr>
            <w:tr w:rsidR="00817708" w:rsidTr="001F2FF6"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Insufficiency</w:t>
                  </w:r>
                </w:p>
              </w:tc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10-30 ng/mL</w:t>
                  </w:r>
                </w:p>
              </w:tc>
            </w:tr>
            <w:tr w:rsidR="00817708" w:rsidTr="001F2FF6"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Sufficiency</w:t>
                  </w:r>
                </w:p>
              </w:tc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30-100 ng/mL</w:t>
                  </w:r>
                </w:p>
              </w:tc>
            </w:tr>
            <w:tr w:rsidR="00817708" w:rsidTr="001F2FF6"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Toxicity</w:t>
                  </w:r>
                </w:p>
              </w:tc>
              <w:tc>
                <w:tcPr>
                  <w:tcW w:w="2893" w:type="dxa"/>
                </w:tcPr>
                <w:p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&gt;100 ng/mL</w:t>
                  </w:r>
                </w:p>
              </w:tc>
            </w:tr>
          </w:tbl>
          <w:p w:rsidR="001F2FF6" w:rsidRDefault="001F2FF6" w:rsidP="008C6EDC">
            <w:pPr>
              <w:jc w:val="both"/>
              <w:rPr>
                <w:rFonts w:cs="Arial"/>
              </w:rPr>
            </w:pPr>
          </w:p>
        </w:tc>
      </w:tr>
      <w:tr w:rsidR="008C6EDC" w:rsidTr="00D120DB">
        <w:trPr>
          <w:trHeight w:val="70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Critical Values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</w:rPr>
            </w:pPr>
            <w:r>
              <w:rPr>
                <w:rFonts w:cs="Arial"/>
              </w:rPr>
              <w:t>None specified</w:t>
            </w:r>
          </w:p>
        </w:tc>
      </w:tr>
      <w:tr w:rsidR="008C6EDC" w:rsidTr="00D120DB">
        <w:trPr>
          <w:trHeight w:val="593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Limitations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</w:rPr>
            </w:pPr>
          </w:p>
          <w:p w:rsidR="008C6EDC" w:rsidRDefault="008C6EDC">
            <w:pPr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The instrument reporting system contains error messages to warn the op</w:t>
            </w:r>
            <w:r w:rsidR="001F2FF6">
              <w:rPr>
                <w:rFonts w:cs="Arial"/>
                <w:color w:val="000000"/>
                <w:szCs w:val="15"/>
              </w:rPr>
              <w:t>erator of specific malfunctions</w:t>
            </w:r>
            <w:r>
              <w:rPr>
                <w:rFonts w:cs="Arial"/>
                <w:color w:val="000000"/>
                <w:szCs w:val="15"/>
              </w:rPr>
              <w:t xml:space="preserve">. Refer to </w:t>
            </w:r>
            <w:r w:rsidR="001F2FF6">
              <w:rPr>
                <w:rFonts w:cs="Arial"/>
                <w:color w:val="000000"/>
                <w:szCs w:val="15"/>
              </w:rPr>
              <w:t>Operator’s Manual</w:t>
            </w:r>
            <w:r>
              <w:rPr>
                <w:rFonts w:cs="Arial"/>
                <w:color w:val="000000"/>
                <w:szCs w:val="15"/>
              </w:rPr>
              <w:t xml:space="preserve"> for troubleshooting</w:t>
            </w:r>
            <w:r w:rsidR="008E43B5">
              <w:rPr>
                <w:rFonts w:cs="Arial"/>
                <w:color w:val="000000"/>
                <w:szCs w:val="15"/>
              </w:rPr>
              <w:t xml:space="preserve"> specific error messages</w:t>
            </w:r>
            <w:r>
              <w:rPr>
                <w:rFonts w:cs="Arial"/>
                <w:color w:val="000000"/>
                <w:szCs w:val="15"/>
              </w:rPr>
              <w:t>.</w:t>
            </w:r>
            <w:r w:rsidR="00987740">
              <w:rPr>
                <w:rFonts w:cs="Arial"/>
                <w:color w:val="000000"/>
                <w:szCs w:val="15"/>
              </w:rPr>
              <w:t xml:space="preserve">  Also refer to Interferences.</w:t>
            </w:r>
          </w:p>
          <w:p w:rsidR="008C6EDC" w:rsidRDefault="008C6EDC">
            <w:pPr>
              <w:rPr>
                <w:rFonts w:cs="Arial"/>
              </w:rPr>
            </w:pPr>
          </w:p>
        </w:tc>
      </w:tr>
      <w:tr w:rsidR="00B816B4" w:rsidTr="006B0E34">
        <w:trPr>
          <w:trHeight w:val="164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Dilutions</w:t>
            </w:r>
          </w:p>
          <w:p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B816B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Samples with a 25-OH Vitamin D value exceeding 155.9 ng/mL will be diluted using a manual dilution.</w:t>
            </w:r>
          </w:p>
          <w:p w:rsidR="006B0E3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:rsidR="006B0E3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Maximum Manual Dilution factor:  1:2</w:t>
            </w:r>
          </w:p>
          <w:p w:rsidR="006B0E34" w:rsidRP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Add 100 μL of the sample to 100 μL of Architect 25-OH Vitamin D Calibrator A.</w:t>
            </w:r>
          </w:p>
          <w:p w:rsid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The operator must manually program the sample with the manual dilution factor.  (See </w:t>
            </w:r>
            <w:hyperlink r:id="rId11" w:history="1">
              <w:r w:rsidRPr="00987740">
                <w:rPr>
                  <w:rStyle w:val="Hyperlink"/>
                  <w:rFonts w:eastAsia="HelenPro-Regular" w:cs="Arial"/>
                  <w:szCs w:val="20"/>
                </w:rPr>
                <w:t>Abbott Architect Operating Procedure</w:t>
              </w:r>
            </w:hyperlink>
            <w:r>
              <w:rPr>
                <w:rFonts w:eastAsia="HelenPro-Regular" w:cs="Arial"/>
                <w:szCs w:val="20"/>
              </w:rPr>
              <w:t xml:space="preserve"> for details about </w:t>
            </w:r>
            <w:r w:rsidR="0007457F">
              <w:rPr>
                <w:rFonts w:eastAsia="HelenPro-Regular" w:cs="Arial"/>
                <w:szCs w:val="20"/>
              </w:rPr>
              <w:t>manually</w:t>
            </w:r>
            <w:r>
              <w:rPr>
                <w:rFonts w:eastAsia="HelenPro-Regular" w:cs="Arial"/>
                <w:szCs w:val="20"/>
              </w:rPr>
              <w:t xml:space="preserve"> programming a patient sample) </w:t>
            </w:r>
          </w:p>
          <w:p w:rsid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The </w:t>
            </w:r>
            <w:r w:rsidR="0007457F">
              <w:rPr>
                <w:rFonts w:eastAsia="HelenPro-Regular" w:cs="Arial"/>
                <w:szCs w:val="20"/>
              </w:rPr>
              <w:t>analyzer</w:t>
            </w:r>
            <w:r>
              <w:rPr>
                <w:rFonts w:eastAsia="HelenPro-Regular" w:cs="Arial"/>
                <w:szCs w:val="20"/>
              </w:rPr>
              <w:t xml:space="preserve"> will use this dilution factor to calculate the concentration</w:t>
            </w:r>
            <w:r w:rsidR="00492A62">
              <w:rPr>
                <w:rFonts w:eastAsia="HelenPro-Regular" w:cs="Arial"/>
                <w:szCs w:val="20"/>
              </w:rPr>
              <w:t xml:space="preserve"> of the patient sample before </w:t>
            </w:r>
            <w:r w:rsidR="0007457F">
              <w:rPr>
                <w:rFonts w:eastAsia="HelenPro-Regular" w:cs="Arial"/>
                <w:szCs w:val="20"/>
              </w:rPr>
              <w:t>dilution</w:t>
            </w:r>
            <w:r w:rsidR="00492A62">
              <w:rPr>
                <w:rFonts w:eastAsia="HelenPro-Regular" w:cs="Arial"/>
                <w:szCs w:val="20"/>
              </w:rPr>
              <w:t>, and report the result.</w:t>
            </w:r>
          </w:p>
          <w:p w:rsidR="00492A62" w:rsidRPr="006B0E34" w:rsidRDefault="00492A62" w:rsidP="00492A6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:rsidTr="00D120DB">
        <w:trPr>
          <w:trHeight w:val="1566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Result Reporting</w:t>
            </w: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Pr="006B0E34" w:rsidRDefault="00B00AD4" w:rsidP="008E43B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  <w:r w:rsidRPr="006B0E34">
              <w:rPr>
                <w:rFonts w:cs="Arial"/>
                <w:szCs w:val="20"/>
              </w:rPr>
              <w:t xml:space="preserve">Results between </w:t>
            </w:r>
            <w:r w:rsidR="00492A62">
              <w:rPr>
                <w:rFonts w:eastAsia="HelenPro-Regular" w:cs="Arial"/>
              </w:rPr>
              <w:t>3.4 – 155.9 ng</w:t>
            </w:r>
            <w:r w:rsidR="00492A62" w:rsidRPr="00FC6715">
              <w:rPr>
                <w:rFonts w:eastAsia="HelenPro-Regular" w:cs="Arial"/>
              </w:rPr>
              <w:t>/mL</w:t>
            </w:r>
            <w:r w:rsidR="00492A62" w:rsidRPr="006B0E34">
              <w:rPr>
                <w:rFonts w:cs="Arial"/>
                <w:szCs w:val="20"/>
              </w:rPr>
              <w:t xml:space="preserve"> </w:t>
            </w:r>
            <w:r w:rsidR="008C6EDC" w:rsidRPr="006B0E34">
              <w:rPr>
                <w:rFonts w:cs="Arial"/>
                <w:szCs w:val="20"/>
              </w:rPr>
              <w:t>without</w:t>
            </w:r>
            <w:r w:rsidR="00492A62">
              <w:rPr>
                <w:rFonts w:cs="Arial"/>
                <w:szCs w:val="20"/>
              </w:rPr>
              <w:t xml:space="preserve"> an</w:t>
            </w:r>
            <w:r w:rsidR="008C6EDC" w:rsidRPr="006B0E34">
              <w:rPr>
                <w:rFonts w:cs="Arial"/>
                <w:szCs w:val="20"/>
              </w:rPr>
              <w:t xml:space="preserve"> error messages are released</w:t>
            </w:r>
          </w:p>
          <w:p w:rsidR="008C6EDC" w:rsidRPr="006B0E34" w:rsidRDefault="00492A62" w:rsidP="008E43B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less than 3.4</w:t>
            </w:r>
            <w:r w:rsidR="008C6EDC" w:rsidRPr="006B0E34">
              <w:rPr>
                <w:rFonts w:cs="Arial"/>
                <w:szCs w:val="20"/>
              </w:rPr>
              <w:t xml:space="preserve"> are reported as </w:t>
            </w:r>
            <w:r>
              <w:rPr>
                <w:rFonts w:cs="Arial"/>
                <w:szCs w:val="20"/>
              </w:rPr>
              <w:t>&lt; 3.4</w:t>
            </w:r>
            <w:r w:rsidR="008C6EDC" w:rsidRPr="006B0E34">
              <w:rPr>
                <w:rFonts w:cs="Arial"/>
                <w:szCs w:val="20"/>
              </w:rPr>
              <w:t xml:space="preserve"> rather than the numerical value</w:t>
            </w:r>
          </w:p>
          <w:p w:rsidR="008C6EDC" w:rsidRDefault="00B00AD4" w:rsidP="00492A62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B0E34">
              <w:rPr>
                <w:rFonts w:cs="Arial"/>
                <w:szCs w:val="20"/>
              </w:rPr>
              <w:t xml:space="preserve">Results greater than </w:t>
            </w:r>
            <w:r w:rsidR="00492A62">
              <w:rPr>
                <w:rFonts w:cs="Arial"/>
                <w:szCs w:val="20"/>
              </w:rPr>
              <w:t xml:space="preserve">155.9 ng/mL are manually diluted 1:2 with Calibrator A.  Results of 1:2 </w:t>
            </w:r>
            <w:r w:rsidR="0007457F">
              <w:rPr>
                <w:rFonts w:cs="Arial"/>
                <w:szCs w:val="20"/>
              </w:rPr>
              <w:t>dilution</w:t>
            </w:r>
            <w:r w:rsidR="00492A62">
              <w:rPr>
                <w:rFonts w:cs="Arial"/>
                <w:szCs w:val="20"/>
              </w:rPr>
              <w:t xml:space="preserve"> are reported.</w:t>
            </w:r>
          </w:p>
          <w:p w:rsidR="00492A62" w:rsidRPr="006B0E34" w:rsidRDefault="00492A62" w:rsidP="00492A62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greater than 311.8 ng/mL are reported as &gt;311.8 ng/mL rather than the numerical value</w:t>
            </w:r>
          </w:p>
        </w:tc>
      </w:tr>
      <w:tr w:rsidR="008C6EDC" w:rsidTr="00D120DB">
        <w:trPr>
          <w:trHeight w:val="1160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492A62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 xml:space="preserve"> </w:t>
            </w: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 Storage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492A62" w:rsidP="008E4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Spec</w:t>
            </w:r>
            <w:r w:rsidR="00807A13">
              <w:rPr>
                <w:rFonts w:cs="Arial"/>
              </w:rPr>
              <w:t>imens are stored in the Minneapolis</w:t>
            </w:r>
            <w:r>
              <w:rPr>
                <w:rFonts w:cs="Arial"/>
              </w:rPr>
              <w:t xml:space="preserve"> Chemistry freezer.  Specimens are stored for 14 days before being discarded.</w:t>
            </w:r>
          </w:p>
        </w:tc>
      </w:tr>
      <w:tr w:rsidR="008C6EDC" w:rsidTr="009D0CD6">
        <w:trPr>
          <w:trHeight w:val="2376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09335B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Architect reagent cartridg</w:t>
            </w:r>
            <w:r w:rsidR="00A52AF8">
              <w:rPr>
                <w:rFonts w:cs="Arial"/>
              </w:rPr>
              <w:t>e insert sheet Abbott Laboratories, Abbott Park, IL, 60064.</w:t>
            </w:r>
            <w:r w:rsidR="00492A62">
              <w:rPr>
                <w:rFonts w:cs="Arial"/>
              </w:rPr>
              <w:t xml:space="preserve"> Revised Date August</w:t>
            </w:r>
            <w:r>
              <w:rPr>
                <w:rFonts w:cs="Arial"/>
              </w:rPr>
              <w:t xml:space="preserve"> 2016</w:t>
            </w:r>
          </w:p>
          <w:p w:rsidR="00A403A4" w:rsidRDefault="00A403A4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calibrator insert sheet Abbott </w:t>
            </w:r>
            <w:r w:rsidR="0007457F">
              <w:rPr>
                <w:rFonts w:cs="Arial"/>
              </w:rPr>
              <w:t>Laboratories</w:t>
            </w:r>
            <w:r>
              <w:rPr>
                <w:rFonts w:cs="Arial"/>
              </w:rPr>
              <w:t>, Abbott Park, IL 60064</w:t>
            </w:r>
            <w:r w:rsidR="007442BC">
              <w:rPr>
                <w:rFonts w:cs="Arial"/>
              </w:rPr>
              <w:t>. Revised September 2016.</w:t>
            </w:r>
          </w:p>
          <w:p w:rsidR="00A403A4" w:rsidRPr="009E6926" w:rsidRDefault="00A403A4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Safety Data Sheet, Abbott </w:t>
            </w:r>
            <w:r w:rsidR="0007457F">
              <w:rPr>
                <w:rFonts w:cs="Arial"/>
              </w:rPr>
              <w:t>Diagnostics</w:t>
            </w:r>
            <w:r w:rsidR="00A52AF8">
              <w:rPr>
                <w:rFonts w:cs="Arial"/>
              </w:rPr>
              <w:t>, Abbott Park, IL</w:t>
            </w:r>
            <w:r w:rsidR="0007457F">
              <w:rPr>
                <w:rFonts w:cs="Arial"/>
              </w:rPr>
              <w:t xml:space="preserve"> 60064. Revised 2015-07-30</w:t>
            </w:r>
            <w:r w:rsidR="00A52AF8">
              <w:rPr>
                <w:rFonts w:cs="Arial"/>
              </w:rPr>
              <w:t>.</w:t>
            </w:r>
          </w:p>
          <w:p w:rsidR="00513F9B" w:rsidRPr="0007457F" w:rsidRDefault="000F0777" w:rsidP="0007457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9E6926">
              <w:rPr>
                <w:rFonts w:cs="Arial"/>
                <w:bCs/>
                <w:szCs w:val="12"/>
              </w:rPr>
              <w:t>Bio-Rad</w:t>
            </w:r>
            <w:r w:rsidR="00A403A4">
              <w:rPr>
                <w:rFonts w:cs="Arial"/>
                <w:bCs/>
                <w:szCs w:val="12"/>
              </w:rPr>
              <w:t xml:space="preserve"> L</w:t>
            </w:r>
            <w:r w:rsidR="0007457F">
              <w:rPr>
                <w:rFonts w:cs="Arial"/>
                <w:bCs/>
                <w:szCs w:val="12"/>
              </w:rPr>
              <w:t>iquichek</w:t>
            </w:r>
            <w:r w:rsidR="00A403A4">
              <w:rPr>
                <w:rFonts w:cs="Arial"/>
                <w:bCs/>
                <w:szCs w:val="12"/>
              </w:rPr>
              <w:t xml:space="preserve"> Specialty Immunoassay Control Product Insert, Bio-Rad Laboratories, Irvine, CA 92618 </w:t>
            </w:r>
            <w:r w:rsidR="0007457F">
              <w:rPr>
                <w:rFonts w:cs="Arial"/>
                <w:bCs/>
                <w:szCs w:val="12"/>
              </w:rPr>
              <w:t>September 2017</w:t>
            </w:r>
            <w:r w:rsidR="00A403A4" w:rsidRPr="0007457F">
              <w:rPr>
                <w:rFonts w:cs="Arial"/>
              </w:rPr>
              <w:t>.</w:t>
            </w:r>
          </w:p>
        </w:tc>
      </w:tr>
      <w:tr w:rsidR="003571BD" w:rsidTr="00D120DB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:rsidR="003571BD" w:rsidRDefault="003571BD">
            <w:pPr>
              <w:rPr>
                <w:rFonts w:cs="Arial"/>
                <w:b/>
                <w:bCs/>
                <w:color w:val="3366FF"/>
              </w:rPr>
            </w:pPr>
            <w:r>
              <w:rPr>
                <w:rFonts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:rsidR="003571BD" w:rsidRDefault="003571BD">
            <w:pPr>
              <w:rPr>
                <w:rFonts w:cs="Arial"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67"/>
              <w:gridCol w:w="2070"/>
              <w:gridCol w:w="1980"/>
              <w:gridCol w:w="3510"/>
            </w:tblGrid>
            <w:tr w:rsidR="003571BD" w:rsidTr="003571BD">
              <w:tc>
                <w:tcPr>
                  <w:tcW w:w="967" w:type="dxa"/>
                </w:tcPr>
                <w:p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Written/Revised By</w:t>
                  </w:r>
                </w:p>
              </w:tc>
              <w:tc>
                <w:tcPr>
                  <w:tcW w:w="1980" w:type="dxa"/>
                </w:tcPr>
                <w:p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Effective Date</w:t>
                  </w:r>
                </w:p>
              </w:tc>
              <w:tc>
                <w:tcPr>
                  <w:tcW w:w="3510" w:type="dxa"/>
                </w:tcPr>
                <w:p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 xml:space="preserve">Summary of </w:t>
                  </w:r>
                  <w:r w:rsidR="00F814F1">
                    <w:rPr>
                      <w:rFonts w:cs="Arial"/>
                      <w:b/>
                      <w:iCs/>
                    </w:rPr>
                    <w:t>Revisions</w:t>
                  </w:r>
                </w:p>
              </w:tc>
            </w:tr>
            <w:tr w:rsidR="003571BD" w:rsidTr="003571BD">
              <w:tc>
                <w:tcPr>
                  <w:tcW w:w="967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Kelsi Brown</w:t>
                  </w:r>
                  <w:r w:rsidR="00987740">
                    <w:rPr>
                      <w:rFonts w:cs="Arial"/>
                      <w:iCs/>
                    </w:rPr>
                    <w:t>/ Erin Bartos</w:t>
                  </w:r>
                </w:p>
              </w:tc>
              <w:tc>
                <w:tcPr>
                  <w:tcW w:w="1980" w:type="dxa"/>
                </w:tcPr>
                <w:p w:rsidR="003571BD" w:rsidRDefault="000F077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4/24</w:t>
                  </w:r>
                  <w:r w:rsidR="00987740">
                    <w:rPr>
                      <w:rFonts w:cs="Arial"/>
                      <w:iCs/>
                    </w:rPr>
                    <w:t>/2018</w:t>
                  </w:r>
                </w:p>
              </w:tc>
              <w:tc>
                <w:tcPr>
                  <w:tcW w:w="351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New Procedure</w:t>
                  </w:r>
                </w:p>
              </w:tc>
            </w:tr>
            <w:tr w:rsidR="003571BD" w:rsidTr="003571BD">
              <w:tc>
                <w:tcPr>
                  <w:tcW w:w="967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07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51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</w:tr>
            <w:tr w:rsidR="003571BD" w:rsidTr="003571BD">
              <w:tc>
                <w:tcPr>
                  <w:tcW w:w="967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07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8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510" w:type="dxa"/>
                </w:tcPr>
                <w:p w:rsidR="003571BD" w:rsidRDefault="003571BD">
                  <w:pPr>
                    <w:rPr>
                      <w:rFonts w:cs="Arial"/>
                      <w:iCs/>
                    </w:rPr>
                  </w:pPr>
                </w:p>
              </w:tc>
            </w:tr>
          </w:tbl>
          <w:p w:rsidR="003571BD" w:rsidRDefault="003571BD">
            <w:pPr>
              <w:rPr>
                <w:rFonts w:cs="Arial"/>
                <w:iCs/>
              </w:rPr>
            </w:pPr>
          </w:p>
        </w:tc>
      </w:tr>
    </w:tbl>
    <w:p w:rsidR="008C6EDC" w:rsidRDefault="008C6EDC"/>
    <w:sectPr w:rsidR="008C6EDC" w:rsidSect="00287C41">
      <w:headerReference w:type="default" r:id="rId12"/>
      <w:footerReference w:type="default" r:id="rId13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3A" w:rsidRDefault="00975B3A">
      <w:r>
        <w:separator/>
      </w:r>
    </w:p>
  </w:endnote>
  <w:endnote w:type="continuationSeparator" w:id="0">
    <w:p w:rsidR="00975B3A" w:rsidRDefault="0097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 Pro 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3A" w:rsidRPr="001A774F" w:rsidRDefault="00975B3A" w:rsidP="008C6EDC">
    <w:pPr>
      <w:ind w:left="-1260" w:right="-1260"/>
      <w:rPr>
        <w:rFonts w:cs="Arial"/>
        <w:sz w:val="18"/>
      </w:rPr>
    </w:pPr>
    <w:r>
      <w:rPr>
        <w:rFonts w:cs="Arial"/>
        <w:sz w:val="18"/>
      </w:rPr>
      <w:t>Laboratory, Children’s Hospitals and Clinics of Minnesota, Minneapolis/St. Paul, MN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sz w:val="18"/>
      </w:rPr>
      <w:t xml:space="preserve">Page </w:t>
    </w:r>
    <w:r w:rsidR="00FF2142">
      <w:rPr>
        <w:sz w:val="18"/>
      </w:rPr>
      <w:fldChar w:fldCharType="begin"/>
    </w:r>
    <w:r>
      <w:rPr>
        <w:sz w:val="18"/>
      </w:rPr>
      <w:instrText xml:space="preserve"> PAGE </w:instrText>
    </w:r>
    <w:r w:rsidR="00FF2142">
      <w:rPr>
        <w:sz w:val="18"/>
      </w:rPr>
      <w:fldChar w:fldCharType="separate"/>
    </w:r>
    <w:r w:rsidR="004237F5">
      <w:rPr>
        <w:noProof/>
        <w:sz w:val="18"/>
      </w:rPr>
      <w:t>4</w:t>
    </w:r>
    <w:r w:rsidR="00FF2142">
      <w:rPr>
        <w:sz w:val="18"/>
      </w:rPr>
      <w:fldChar w:fldCharType="end"/>
    </w:r>
    <w:r>
      <w:rPr>
        <w:sz w:val="18"/>
      </w:rPr>
      <w:t xml:space="preserve"> of </w:t>
    </w:r>
    <w:r w:rsidR="00FF2142">
      <w:rPr>
        <w:sz w:val="18"/>
      </w:rPr>
      <w:fldChar w:fldCharType="begin"/>
    </w:r>
    <w:r>
      <w:rPr>
        <w:sz w:val="18"/>
      </w:rPr>
      <w:instrText xml:space="preserve"> NUMPAGES </w:instrText>
    </w:r>
    <w:r w:rsidR="00FF2142">
      <w:rPr>
        <w:sz w:val="18"/>
      </w:rPr>
      <w:fldChar w:fldCharType="separate"/>
    </w:r>
    <w:r w:rsidR="004237F5">
      <w:rPr>
        <w:noProof/>
        <w:sz w:val="18"/>
      </w:rPr>
      <w:t>5</w:t>
    </w:r>
    <w:r w:rsidR="00FF2142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3A" w:rsidRDefault="00975B3A">
      <w:r>
        <w:separator/>
      </w:r>
    </w:p>
  </w:footnote>
  <w:footnote w:type="continuationSeparator" w:id="0">
    <w:p w:rsidR="00975B3A" w:rsidRDefault="0097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3A" w:rsidRDefault="00FF2142">
    <w:pPr>
      <w:ind w:left="-1260" w:right="-1260"/>
      <w:rPr>
        <w:rFonts w:cs="Arial"/>
        <w:sz w:val="18"/>
      </w:rPr>
    </w:pPr>
    <w:r w:rsidRPr="00FF21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67.95pt;margin-top:-15.3pt;width:133.7pt;height:42.85pt;z-index:-251658752;mso-position-horizontal-relative:text;mso-position-vertical-relative:text" wrapcoords="-121 0 -121 21221 21600 21221 21600 0 -121 0">
          <v:imagedata r:id="rId1" o:title="Childrens_MN_2015_logo_2c_RGB_800x257"/>
          <w10:wrap type="tight"/>
        </v:shape>
      </w:pict>
    </w:r>
    <w:r w:rsidR="00975B3A">
      <w:rPr>
        <w:rFonts w:cs="Arial"/>
        <w:sz w:val="18"/>
      </w:rPr>
      <w:t>CH 6.96 Vitamin D</w:t>
    </w:r>
  </w:p>
  <w:p w:rsidR="00975B3A" w:rsidRDefault="00975B3A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1</w:t>
    </w:r>
  </w:p>
  <w:p w:rsidR="00975B3A" w:rsidRDefault="000F0777">
    <w:pPr>
      <w:ind w:left="-1260" w:right="-1260"/>
      <w:rPr>
        <w:rFonts w:cs="Arial"/>
        <w:sz w:val="18"/>
      </w:rPr>
    </w:pPr>
    <w:r>
      <w:rPr>
        <w:rFonts w:cs="Arial"/>
        <w:sz w:val="18"/>
      </w:rPr>
      <w:t>Effective Date: 4/24</w:t>
    </w:r>
    <w:r w:rsidR="00975B3A">
      <w:rPr>
        <w:rFonts w:cs="Arial"/>
        <w:sz w:val="18"/>
      </w:rPr>
      <w:t>/2018</w:t>
    </w:r>
  </w:p>
  <w:p w:rsidR="00975B3A" w:rsidRDefault="00975B3A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D5"/>
    <w:multiLevelType w:val="hybridMultilevel"/>
    <w:tmpl w:val="163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4C66A2"/>
    <w:multiLevelType w:val="hybridMultilevel"/>
    <w:tmpl w:val="30D8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F030FD"/>
    <w:multiLevelType w:val="hybridMultilevel"/>
    <w:tmpl w:val="1E32B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194C53"/>
    <w:multiLevelType w:val="hybridMultilevel"/>
    <w:tmpl w:val="A3F4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66EDC"/>
    <w:multiLevelType w:val="hybridMultilevel"/>
    <w:tmpl w:val="EE002A8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144E14"/>
    <w:multiLevelType w:val="hybridMultilevel"/>
    <w:tmpl w:val="10A4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75893"/>
    <w:multiLevelType w:val="hybridMultilevel"/>
    <w:tmpl w:val="C768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2220"/>
    <w:multiLevelType w:val="hybridMultilevel"/>
    <w:tmpl w:val="736A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16995"/>
    <w:multiLevelType w:val="hybridMultilevel"/>
    <w:tmpl w:val="9EFA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A63E3B"/>
    <w:multiLevelType w:val="hybridMultilevel"/>
    <w:tmpl w:val="4992B338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31311"/>
    <w:multiLevelType w:val="hybridMultilevel"/>
    <w:tmpl w:val="71B6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0640B0"/>
    <w:multiLevelType w:val="hybridMultilevel"/>
    <w:tmpl w:val="E568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75C2C"/>
    <w:multiLevelType w:val="hybridMultilevel"/>
    <w:tmpl w:val="91C6C1E0"/>
    <w:lvl w:ilvl="0" w:tplc="12A23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03B16"/>
    <w:multiLevelType w:val="hybridMultilevel"/>
    <w:tmpl w:val="99E46710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80F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D877F2"/>
    <w:multiLevelType w:val="hybridMultilevel"/>
    <w:tmpl w:val="9D6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743396"/>
    <w:multiLevelType w:val="hybridMultilevel"/>
    <w:tmpl w:val="960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D0579"/>
    <w:multiLevelType w:val="hybridMultilevel"/>
    <w:tmpl w:val="22CC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54D05"/>
    <w:multiLevelType w:val="hybridMultilevel"/>
    <w:tmpl w:val="C5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A3B0D"/>
    <w:multiLevelType w:val="hybridMultilevel"/>
    <w:tmpl w:val="30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31F08"/>
    <w:multiLevelType w:val="hybridMultilevel"/>
    <w:tmpl w:val="6586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14723"/>
    <w:multiLevelType w:val="hybridMultilevel"/>
    <w:tmpl w:val="D4E4B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26"/>
  </w:num>
  <w:num w:numId="9">
    <w:abstractNumId w:val="13"/>
  </w:num>
  <w:num w:numId="10">
    <w:abstractNumId w:val="1"/>
  </w:num>
  <w:num w:numId="11">
    <w:abstractNumId w:val="28"/>
  </w:num>
  <w:num w:numId="12">
    <w:abstractNumId w:val="24"/>
  </w:num>
  <w:num w:numId="13">
    <w:abstractNumId w:val="5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7"/>
  </w:num>
  <w:num w:numId="19">
    <w:abstractNumId w:val="21"/>
  </w:num>
  <w:num w:numId="20">
    <w:abstractNumId w:val="25"/>
  </w:num>
  <w:num w:numId="21">
    <w:abstractNumId w:val="27"/>
  </w:num>
  <w:num w:numId="22">
    <w:abstractNumId w:val="22"/>
  </w:num>
  <w:num w:numId="23">
    <w:abstractNumId w:val="0"/>
  </w:num>
  <w:num w:numId="24">
    <w:abstractNumId w:val="19"/>
  </w:num>
  <w:num w:numId="25">
    <w:abstractNumId w:val="8"/>
  </w:num>
  <w:num w:numId="26">
    <w:abstractNumId w:val="4"/>
  </w:num>
  <w:num w:numId="27">
    <w:abstractNumId w:val="15"/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gutterAtTop/>
  <w:hideSpellingErrors/>
  <w:hideGrammaticalErrors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47"/>
    <w:rsid w:val="00000536"/>
    <w:rsid w:val="00003218"/>
    <w:rsid w:val="0004669D"/>
    <w:rsid w:val="000625DB"/>
    <w:rsid w:val="0007457F"/>
    <w:rsid w:val="0009335B"/>
    <w:rsid w:val="00095086"/>
    <w:rsid w:val="000F0777"/>
    <w:rsid w:val="001058B8"/>
    <w:rsid w:val="001425F1"/>
    <w:rsid w:val="00143FF4"/>
    <w:rsid w:val="001B4419"/>
    <w:rsid w:val="001E2DF4"/>
    <w:rsid w:val="001F2FF6"/>
    <w:rsid w:val="002265E2"/>
    <w:rsid w:val="00240238"/>
    <w:rsid w:val="00253C63"/>
    <w:rsid w:val="00260A50"/>
    <w:rsid w:val="00287C41"/>
    <w:rsid w:val="0029711F"/>
    <w:rsid w:val="002A65EF"/>
    <w:rsid w:val="002D50CB"/>
    <w:rsid w:val="003571BD"/>
    <w:rsid w:val="003B66C9"/>
    <w:rsid w:val="004237F5"/>
    <w:rsid w:val="00492A62"/>
    <w:rsid w:val="004E548A"/>
    <w:rsid w:val="00513F9B"/>
    <w:rsid w:val="00542D1B"/>
    <w:rsid w:val="005516E7"/>
    <w:rsid w:val="00641CB0"/>
    <w:rsid w:val="006B0E34"/>
    <w:rsid w:val="007071A4"/>
    <w:rsid w:val="00707507"/>
    <w:rsid w:val="00712847"/>
    <w:rsid w:val="007442BC"/>
    <w:rsid w:val="007A0899"/>
    <w:rsid w:val="007A7F88"/>
    <w:rsid w:val="00807A13"/>
    <w:rsid w:val="00814EAD"/>
    <w:rsid w:val="008168BB"/>
    <w:rsid w:val="00817708"/>
    <w:rsid w:val="0083747A"/>
    <w:rsid w:val="00893627"/>
    <w:rsid w:val="008C6EDC"/>
    <w:rsid w:val="008E43B5"/>
    <w:rsid w:val="008E5CF2"/>
    <w:rsid w:val="00975B3A"/>
    <w:rsid w:val="00987740"/>
    <w:rsid w:val="009945A2"/>
    <w:rsid w:val="009D0CD6"/>
    <w:rsid w:val="009F5B34"/>
    <w:rsid w:val="00A072CE"/>
    <w:rsid w:val="00A403A4"/>
    <w:rsid w:val="00A52AF8"/>
    <w:rsid w:val="00A82A92"/>
    <w:rsid w:val="00AC0053"/>
    <w:rsid w:val="00B00AD4"/>
    <w:rsid w:val="00B04735"/>
    <w:rsid w:val="00B227D9"/>
    <w:rsid w:val="00B816B4"/>
    <w:rsid w:val="00BE3754"/>
    <w:rsid w:val="00C0260C"/>
    <w:rsid w:val="00C0536C"/>
    <w:rsid w:val="00C3746E"/>
    <w:rsid w:val="00CB4A23"/>
    <w:rsid w:val="00D120DB"/>
    <w:rsid w:val="00D512DA"/>
    <w:rsid w:val="00DE32D9"/>
    <w:rsid w:val="00DF4638"/>
    <w:rsid w:val="00E2166F"/>
    <w:rsid w:val="00E63CB7"/>
    <w:rsid w:val="00E80A70"/>
    <w:rsid w:val="00ED4191"/>
    <w:rsid w:val="00F1266F"/>
    <w:rsid w:val="00F54C44"/>
    <w:rsid w:val="00F814F1"/>
    <w:rsid w:val="00FA099C"/>
    <w:rsid w:val="00FC6715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4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7C41"/>
    <w:pPr>
      <w:keepNext/>
      <w:numPr>
        <w:numId w:val="10"/>
      </w:numPr>
      <w:jc w:val="both"/>
      <w:outlineLvl w:val="0"/>
    </w:pPr>
    <w:rPr>
      <w:rFonts w:ascii="Times New Roman" w:hAnsi="Times New Roman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7C41"/>
    <w:pPr>
      <w:keepNext/>
      <w:numPr>
        <w:ilvl w:val="1"/>
        <w:numId w:val="10"/>
      </w:numPr>
      <w:jc w:val="both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7C41"/>
    <w:pPr>
      <w:keepNext/>
      <w:numPr>
        <w:ilvl w:val="2"/>
        <w:numId w:val="10"/>
      </w:numPr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287C41"/>
    <w:pPr>
      <w:keepNext/>
      <w:numPr>
        <w:ilvl w:val="3"/>
        <w:numId w:val="10"/>
      </w:numPr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287C41"/>
    <w:pPr>
      <w:keepNext/>
      <w:numPr>
        <w:ilvl w:val="4"/>
        <w:numId w:val="10"/>
      </w:numPr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287C41"/>
    <w:pPr>
      <w:keepNext/>
      <w:numPr>
        <w:ilvl w:val="5"/>
        <w:numId w:val="10"/>
      </w:numPr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287C41"/>
    <w:pPr>
      <w:keepNext/>
      <w:numPr>
        <w:ilvl w:val="6"/>
        <w:numId w:val="10"/>
      </w:numPr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287C41"/>
    <w:pPr>
      <w:keepNext/>
      <w:numPr>
        <w:ilvl w:val="7"/>
        <w:numId w:val="10"/>
      </w:numPr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287C41"/>
    <w:pPr>
      <w:keepNext/>
      <w:numPr>
        <w:ilvl w:val="8"/>
        <w:numId w:val="10"/>
      </w:numPr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7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7C41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287C41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287C41"/>
    <w:pPr>
      <w:spacing w:after="120"/>
    </w:pPr>
  </w:style>
  <w:style w:type="paragraph" w:customStyle="1" w:styleId="Reagents">
    <w:name w:val="Reagents"/>
    <w:basedOn w:val="Normal"/>
    <w:rsid w:val="00287C41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customStyle="1" w:styleId="Default">
    <w:name w:val="Default"/>
    <w:rsid w:val="00287C41"/>
    <w:pPr>
      <w:autoSpaceDE w:val="0"/>
      <w:autoSpaceDN w:val="0"/>
      <w:adjustRightInd w:val="0"/>
    </w:pPr>
    <w:rPr>
      <w:rFonts w:ascii="Helen Pro Cond" w:hAnsi="Helen Pro Cond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0">
    <w:name w:val="Pa10"/>
    <w:basedOn w:val="Normal"/>
    <w:next w:val="Normal"/>
    <w:rsid w:val="00287C41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Default"/>
    <w:next w:val="Default"/>
    <w:rsid w:val="00287C41"/>
    <w:pPr>
      <w:spacing w:line="151" w:lineRule="atLeast"/>
    </w:pPr>
    <w:rPr>
      <w:color w:val="auto"/>
    </w:rPr>
  </w:style>
  <w:style w:type="character" w:customStyle="1" w:styleId="A8">
    <w:name w:val="A8"/>
    <w:rsid w:val="00287C41"/>
    <w:rPr>
      <w:rFonts w:ascii="Helen Pro" w:hAnsi="Helen Pro"/>
      <w:color w:val="000000"/>
      <w:sz w:val="8"/>
      <w:szCs w:val="8"/>
    </w:rPr>
  </w:style>
  <w:style w:type="character" w:customStyle="1" w:styleId="A7">
    <w:name w:val="A7"/>
    <w:rsid w:val="00287C41"/>
    <w:rPr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rsid w:val="00287C41"/>
    <w:rPr>
      <w:color w:val="0000FF"/>
      <w:u w:val="single"/>
    </w:rPr>
  </w:style>
  <w:style w:type="paragraph" w:styleId="BodyTextIndent">
    <w:name w:val="Body Text Indent"/>
    <w:basedOn w:val="Normal"/>
    <w:semiHidden/>
    <w:rsid w:val="00287C41"/>
    <w:pPr>
      <w:ind w:left="-108"/>
    </w:pPr>
    <w:rPr>
      <w:rFonts w:cs="Arial"/>
      <w:b/>
      <w:bCs/>
      <w:color w:val="0000FF"/>
    </w:rPr>
  </w:style>
  <w:style w:type="paragraph" w:customStyle="1" w:styleId="TableText">
    <w:name w:val="Table Text"/>
    <w:basedOn w:val="Normal"/>
    <w:rsid w:val="00287C41"/>
    <w:pPr>
      <w:autoSpaceDE w:val="0"/>
      <w:autoSpaceDN w:val="0"/>
    </w:pPr>
    <w:rPr>
      <w:rFonts w:ascii="Times New Roman" w:hAnsi="Times New Roman"/>
    </w:rPr>
  </w:style>
  <w:style w:type="paragraph" w:customStyle="1" w:styleId="Pa27">
    <w:name w:val="Pa27"/>
    <w:basedOn w:val="Default"/>
    <w:next w:val="Default"/>
    <w:rsid w:val="00287C41"/>
    <w:pPr>
      <w:spacing w:line="141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unhideWhenUsed/>
    <w:rsid w:val="009C0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0037"/>
    <w:rPr>
      <w:rFonts w:ascii="Arial" w:hAnsi="Arial"/>
      <w:szCs w:val="24"/>
    </w:rPr>
  </w:style>
  <w:style w:type="character" w:customStyle="1" w:styleId="A9">
    <w:name w:val="A9"/>
    <w:uiPriority w:val="99"/>
    <w:rsid w:val="00CA766B"/>
    <w:rPr>
      <w:color w:val="000000"/>
      <w:sz w:val="8"/>
      <w:szCs w:val="8"/>
    </w:rPr>
  </w:style>
  <w:style w:type="paragraph" w:styleId="CommentText">
    <w:name w:val="annotation text"/>
    <w:basedOn w:val="Normal"/>
    <w:link w:val="CommentTextChar"/>
    <w:semiHidden/>
    <w:rsid w:val="00EF74E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4E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13F9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5E2"/>
    <w:pPr>
      <w:spacing w:before="240" w:after="60"/>
      <w:jc w:val="center"/>
    </w:pPr>
    <w:rPr>
      <w:rFonts w:ascii="Times New Roman" w:hAnsi="Times New Roman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65E2"/>
    <w:rPr>
      <w:rFonts w:cs="Arial"/>
      <w:b/>
      <w:bCs/>
      <w:kern w:val="28"/>
      <w:sz w:val="28"/>
      <w:szCs w:val="32"/>
    </w:rPr>
  </w:style>
  <w:style w:type="character" w:customStyle="1" w:styleId="tgc">
    <w:name w:val="_tgc"/>
    <w:basedOn w:val="DefaultParagraphFont"/>
    <w:rsid w:val="002265E2"/>
  </w:style>
  <w:style w:type="table" w:styleId="TableGrid">
    <w:name w:val="Table Grid"/>
    <w:basedOn w:val="TableNormal"/>
    <w:uiPriority w:val="59"/>
    <w:rsid w:val="003571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hem/procedure/ch5.106-abbott-architect-operating-procedur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In Process</WFStatus>
    <Renewal_x0020_Date xmlns="199f0838-75a6-4f0c-9be1-f2c07140bccc">2019-08-01T05:00:00+00:00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F6TN54CWY5RS-50183619-32219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6.07 ALT (Alanine Aminotransferase)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CHEM</Owner>
    <Content_x0020_Release_x0020_Date xmlns="199f0838-75a6-4f0c-9be1-f2c07140bccc">2017-08-01T05:00:00+00:00</Content_x0020_Release_x0020_Date>
    <Summary xmlns="199f0838-75a6-4f0c-9be1-f2c07140bccc" xsi:nil="true"/>
    <SubTitle xmlns="199f0838-75a6-4f0c-9be1-f2c07140bccc" xsi:nil="true"/>
    <_dlc_DocIdUrl xmlns="199f0838-75a6-4f0c-9be1-f2c07140bccc">
      <Url>http://vcpsharepoint2/references/_layouts/15/DocIdRedir.aspx?ID=F6TN54CWY5RS-50183619-32219</Url>
      <Description>F6TN54CWY5RS-50183619-32219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46BDD-F3AF-4F61-B41E-2F5C9219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F4924-055F-437A-BF96-931834C44D40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4CB3B2-B889-495C-9217-71907AA5B9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9129F5-5224-49F7-8AE2-7D0F2A48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6.07 ALT (Alanine Aminotransferase)</vt:lpstr>
    </vt:vector>
  </TitlesOfParts>
  <Company>Authorized User</Company>
  <LinksUpToDate>false</LinksUpToDate>
  <CharactersWithSpaces>10945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http://khan.childrensmn.org/Manuals/Lab/SOP/Chem/Procedure/206820.pdf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6.07 ALT (Alanine Aminotransferase)</dc:title>
  <dc:creator>Authorized User</dc:creator>
  <dc:description>7/17/17 Updated interfering substances  after notification from Siemens. KB_x000d_
7/20/17 Updated for new reference ranges and added 2 new references ERB 7/20/17</dc:description>
  <cp:lastModifiedBy>CE155076</cp:lastModifiedBy>
  <cp:revision>3</cp:revision>
  <cp:lastPrinted>2011-06-16T20:36:00Z</cp:lastPrinted>
  <dcterms:created xsi:type="dcterms:W3CDTF">2018-04-23T13:45:00Z</dcterms:created>
  <dcterms:modified xsi:type="dcterms:W3CDTF">2018-04-23T13:50:00Z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7425ab00-c274-4220-8dd3-587f4a2fda7d</vt:lpwstr>
  </property>
</Properties>
</file>