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1152" w:type="dxa"/>
        <w:tblLayout w:type="fixed"/>
        <w:tblLook w:val="0000"/>
      </w:tblPr>
      <w:tblGrid>
        <w:gridCol w:w="2160"/>
        <w:gridCol w:w="8910"/>
      </w:tblGrid>
      <w:tr w:rsidR="008C6EDC" w:rsidTr="00D120DB">
        <w:trPr>
          <w:cantSplit/>
          <w:tblHeader/>
        </w:trPr>
        <w:tc>
          <w:tcPr>
            <w:tcW w:w="11070" w:type="dxa"/>
            <w:gridSpan w:val="2"/>
            <w:tcBorders>
              <w:bottom w:val="single" w:sz="18" w:space="0" w:color="A6A6A6" w:themeColor="background1" w:themeShade="A6"/>
            </w:tcBorders>
          </w:tcPr>
          <w:p w:rsidR="008C6EDC" w:rsidRDefault="00FC277E">
            <w:pPr>
              <w:pStyle w:val="Header"/>
              <w:tabs>
                <w:tab w:val="clear" w:pos="4320"/>
                <w:tab w:val="clear" w:pos="8640"/>
                <w:tab w:val="left" w:pos="11520"/>
              </w:tabs>
              <w:jc w:val="both"/>
              <w:rPr>
                <w:rFonts w:cs="Arial"/>
                <w:b/>
                <w:bCs/>
                <w:color w:val="0000FF"/>
                <w:sz w:val="36"/>
              </w:rPr>
            </w:pPr>
            <w:r>
              <w:rPr>
                <w:rFonts w:cs="Arial"/>
                <w:b/>
                <w:bCs/>
                <w:color w:val="0000FF"/>
                <w:sz w:val="36"/>
              </w:rPr>
              <w:t>Cortisol</w:t>
            </w:r>
          </w:p>
          <w:p w:rsidR="008C6EDC" w:rsidRDefault="008C6EDC">
            <w:pPr>
              <w:pStyle w:val="Header"/>
              <w:tabs>
                <w:tab w:val="clear" w:pos="4320"/>
                <w:tab w:val="clear" w:pos="8640"/>
                <w:tab w:val="left" w:pos="11520"/>
              </w:tabs>
              <w:jc w:val="both"/>
              <w:rPr>
                <w:rFonts w:cs="Arial"/>
                <w:color w:val="0000FF"/>
              </w:rPr>
            </w:pP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Purpose</w:t>
            </w:r>
          </w:p>
        </w:tc>
        <w:tc>
          <w:tcPr>
            <w:tcW w:w="8910" w:type="dxa"/>
            <w:tcBorders>
              <w:top w:val="single" w:sz="18" w:space="0" w:color="A6A6A6" w:themeColor="background1" w:themeShade="A6"/>
              <w:bottom w:val="single" w:sz="18" w:space="0" w:color="A6A6A6" w:themeColor="background1" w:themeShade="A6"/>
            </w:tcBorders>
            <w:vAlign w:val="center"/>
          </w:tcPr>
          <w:p w:rsidR="002F385E" w:rsidRDefault="002F385E" w:rsidP="008C6EDC">
            <w:pPr>
              <w:jc w:val="both"/>
              <w:rPr>
                <w:rFonts w:cs="Arial"/>
              </w:rPr>
            </w:pPr>
          </w:p>
          <w:p w:rsidR="008C6EDC" w:rsidRPr="008634BF" w:rsidRDefault="002F385E" w:rsidP="008C6EDC">
            <w:pPr>
              <w:jc w:val="both"/>
              <w:rPr>
                <w:rFonts w:cs="Arial"/>
                <w:szCs w:val="20"/>
              </w:rPr>
            </w:pPr>
            <w:r>
              <w:rPr>
                <w:rFonts w:cs="Arial"/>
              </w:rPr>
              <w:t>This procedure provides</w:t>
            </w:r>
            <w:r w:rsidR="00FC277E">
              <w:rPr>
                <w:rFonts w:cs="Arial"/>
              </w:rPr>
              <w:t xml:space="preserve"> instructions for performing Cortisol</w:t>
            </w:r>
            <w:r>
              <w:rPr>
                <w:rFonts w:cs="Arial"/>
              </w:rPr>
              <w:t xml:space="preserve"> on the Abbott Architect</w:t>
            </w:r>
            <w:r w:rsidR="008F2F45">
              <w:rPr>
                <w:rFonts w:cs="Arial"/>
              </w:rPr>
              <w:t xml:space="preserve"> i1000SR</w:t>
            </w:r>
          </w:p>
          <w:p w:rsidR="008C6EDC" w:rsidRPr="008634BF" w:rsidRDefault="008C6EDC" w:rsidP="00D0201D">
            <w:pPr>
              <w:autoSpaceDE w:val="0"/>
              <w:autoSpaceDN w:val="0"/>
              <w:adjustRightInd w:val="0"/>
              <w:jc w:val="both"/>
              <w:rPr>
                <w:rFonts w:cs="Arial"/>
                <w:szCs w:val="20"/>
              </w:rPr>
            </w:pPr>
          </w:p>
        </w:tc>
      </w:tr>
      <w:tr w:rsidR="008C6EDC" w:rsidTr="00D120DB">
        <w:trPr>
          <w:trHeight w:val="935"/>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8C6EDC">
            <w:pPr>
              <w:rPr>
                <w:rFonts w:cs="Arial"/>
                <w:b/>
                <w:bCs/>
                <w:color w:val="0000FF"/>
              </w:rPr>
            </w:pPr>
          </w:p>
          <w:p w:rsidR="008C6EDC" w:rsidRDefault="008C6EDC" w:rsidP="008C6EDC">
            <w:pPr>
              <w:rPr>
                <w:rFonts w:cs="Arial"/>
                <w:b/>
                <w:bCs/>
                <w:color w:val="0000FF"/>
              </w:rPr>
            </w:pPr>
            <w:r>
              <w:rPr>
                <w:rFonts w:cs="Arial"/>
                <w:b/>
                <w:bCs/>
                <w:color w:val="0000FF"/>
              </w:rPr>
              <w:t>Policy Statements</w:t>
            </w:r>
          </w:p>
        </w:tc>
        <w:tc>
          <w:tcPr>
            <w:tcW w:w="8910" w:type="dxa"/>
            <w:tcBorders>
              <w:top w:val="single" w:sz="18" w:space="0" w:color="A6A6A6" w:themeColor="background1" w:themeShade="A6"/>
              <w:bottom w:val="single" w:sz="18" w:space="0" w:color="A6A6A6" w:themeColor="background1" w:themeShade="A6"/>
            </w:tcBorders>
            <w:vAlign w:val="center"/>
          </w:tcPr>
          <w:p w:rsidR="008C6EDC" w:rsidRPr="001246C0" w:rsidRDefault="001B1C87" w:rsidP="00253C63">
            <w:pPr>
              <w:autoSpaceDE w:val="0"/>
              <w:autoSpaceDN w:val="0"/>
              <w:adjustRightInd w:val="0"/>
              <w:jc w:val="both"/>
              <w:rPr>
                <w:rFonts w:cs="Arial"/>
                <w:szCs w:val="20"/>
              </w:rPr>
            </w:pPr>
            <w:r>
              <w:rPr>
                <w:rFonts w:cs="Arial"/>
                <w:szCs w:val="15"/>
              </w:rPr>
              <w:t xml:space="preserve">This procedure applies to all personnel responsible for performing testing on the </w:t>
            </w:r>
            <w:r>
              <w:rPr>
                <w:rFonts w:cs="Arial"/>
                <w:szCs w:val="20"/>
              </w:rPr>
              <w:t>Abbott Architect</w:t>
            </w:r>
            <w:r w:rsidR="008F2F45">
              <w:rPr>
                <w:rFonts w:cs="Arial"/>
                <w:szCs w:val="20"/>
              </w:rPr>
              <w:t xml:space="preserve"> i1000SR</w:t>
            </w:r>
            <w:r>
              <w:rPr>
                <w:rFonts w:cs="Arial"/>
                <w:szCs w:val="20"/>
              </w:rPr>
              <w:t>.</w:t>
            </w: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Principle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1B1C87" w:rsidRDefault="001B1C87" w:rsidP="002F385E">
            <w:pPr>
              <w:autoSpaceDE w:val="0"/>
              <w:autoSpaceDN w:val="0"/>
              <w:adjustRightInd w:val="0"/>
              <w:rPr>
                <w:rFonts w:eastAsia="HelenPro-Regular"/>
              </w:rPr>
            </w:pPr>
          </w:p>
          <w:p w:rsidR="001B1C87" w:rsidRDefault="00FC277E" w:rsidP="00FC277E">
            <w:pPr>
              <w:autoSpaceDE w:val="0"/>
              <w:autoSpaceDN w:val="0"/>
              <w:adjustRightInd w:val="0"/>
              <w:rPr>
                <w:rFonts w:eastAsia="HelenPro-Regular" w:cs="Arial"/>
                <w:szCs w:val="20"/>
              </w:rPr>
            </w:pPr>
            <w:r w:rsidRPr="00FC277E">
              <w:rPr>
                <w:rFonts w:eastAsia="HelenPro-Regular" w:cs="Arial"/>
                <w:szCs w:val="20"/>
              </w:rPr>
              <w:t>ARCHITECT Cortisol is a</w:t>
            </w:r>
            <w:r>
              <w:rPr>
                <w:rFonts w:eastAsia="HelenPro-Regular" w:cs="Arial"/>
                <w:szCs w:val="20"/>
              </w:rPr>
              <w:t xml:space="preserve"> chemiluminescent microparticle </w:t>
            </w:r>
            <w:r w:rsidRPr="00FC277E">
              <w:rPr>
                <w:rFonts w:eastAsia="HelenPro-Regular" w:cs="Arial"/>
                <w:szCs w:val="20"/>
              </w:rPr>
              <w:t>immunoassay (CMIA) for the quantit</w:t>
            </w:r>
            <w:r>
              <w:rPr>
                <w:rFonts w:eastAsia="HelenPro-Regular" w:cs="Arial"/>
                <w:szCs w:val="20"/>
              </w:rPr>
              <w:t xml:space="preserve">ative determination of cortisol </w:t>
            </w:r>
            <w:r w:rsidRPr="00FC277E">
              <w:rPr>
                <w:rFonts w:eastAsia="HelenPro-Regular" w:cs="Arial"/>
                <w:szCs w:val="20"/>
              </w:rPr>
              <w:t>in human serum, plasma or urin</w:t>
            </w:r>
            <w:r>
              <w:rPr>
                <w:rFonts w:eastAsia="HelenPro-Regular" w:cs="Arial"/>
                <w:szCs w:val="20"/>
              </w:rPr>
              <w:t xml:space="preserve">e on the ARCHITECT iSystem. The </w:t>
            </w:r>
            <w:r w:rsidRPr="00FC277E">
              <w:rPr>
                <w:rFonts w:eastAsia="HelenPro-Regular" w:cs="Arial"/>
                <w:szCs w:val="20"/>
              </w:rPr>
              <w:t>ARCHITECT Cortisol assay is in</w:t>
            </w:r>
            <w:r>
              <w:rPr>
                <w:rFonts w:eastAsia="HelenPro-Regular" w:cs="Arial"/>
                <w:szCs w:val="20"/>
              </w:rPr>
              <w:t xml:space="preserve">tended for use as an aid in the </w:t>
            </w:r>
            <w:r w:rsidRPr="00FC277E">
              <w:rPr>
                <w:rFonts w:eastAsia="HelenPro-Regular" w:cs="Arial"/>
                <w:szCs w:val="20"/>
              </w:rPr>
              <w:t>diagnosis and treatment of adrenal disorders.</w:t>
            </w:r>
          </w:p>
          <w:p w:rsidR="000F7A3F" w:rsidRDefault="000F7A3F" w:rsidP="00FC277E">
            <w:pPr>
              <w:autoSpaceDE w:val="0"/>
              <w:autoSpaceDN w:val="0"/>
              <w:adjustRightInd w:val="0"/>
              <w:rPr>
                <w:rFonts w:eastAsia="HelenPro-Regular" w:cs="Arial"/>
                <w:szCs w:val="20"/>
              </w:rPr>
            </w:pPr>
          </w:p>
          <w:p w:rsidR="000F7A3F" w:rsidRPr="000F7A3F" w:rsidRDefault="000F7A3F" w:rsidP="000F7A3F">
            <w:pPr>
              <w:autoSpaceDE w:val="0"/>
              <w:autoSpaceDN w:val="0"/>
              <w:adjustRightInd w:val="0"/>
              <w:rPr>
                <w:rFonts w:eastAsia="HelenPro-Regular" w:cs="Arial"/>
                <w:szCs w:val="20"/>
              </w:rPr>
            </w:pPr>
            <w:r w:rsidRPr="000F7A3F">
              <w:rPr>
                <w:rFonts w:eastAsia="HelenPro-Regular" w:cs="Arial"/>
                <w:szCs w:val="20"/>
              </w:rPr>
              <w:t>The ARCHITECT Cortisol assay is a delayed one-step immunoassay for the quantitative determination of cortisol in human serum, plasma or urine using CMIA technology with fle</w:t>
            </w:r>
            <w:r>
              <w:rPr>
                <w:rFonts w:eastAsia="HelenPro-Regular" w:cs="Arial"/>
                <w:szCs w:val="20"/>
              </w:rPr>
              <w:t xml:space="preserve">xible assay protocols, referred </w:t>
            </w:r>
            <w:r w:rsidRPr="000F7A3F">
              <w:rPr>
                <w:rFonts w:eastAsia="HelenPro-Regular" w:cs="Arial"/>
                <w:szCs w:val="20"/>
              </w:rPr>
              <w:t xml:space="preserve">to as Chemiflex.  Sample and anti-cortisol coated paramagnetic microparticles are combined. </w:t>
            </w:r>
            <w:r w:rsidR="000E000A">
              <w:rPr>
                <w:rFonts w:eastAsia="HelenPro-Regular" w:cs="Arial"/>
                <w:szCs w:val="20"/>
              </w:rPr>
              <w:t xml:space="preserve"> </w:t>
            </w:r>
            <w:r w:rsidRPr="000F7A3F">
              <w:rPr>
                <w:rFonts w:eastAsia="HelenPro-Regular" w:cs="Arial"/>
                <w:szCs w:val="20"/>
              </w:rPr>
              <w:t xml:space="preserve">The cortisol present in the sample binds to the anticortisol coated microparticles.  After incubation, cortisol acridinium-labeled conjugate is </w:t>
            </w:r>
            <w:r w:rsidR="00AD63AE" w:rsidRPr="000F7A3F">
              <w:rPr>
                <w:rFonts w:eastAsia="HelenPro-Regular" w:cs="Arial"/>
                <w:szCs w:val="20"/>
              </w:rPr>
              <w:t>added to</w:t>
            </w:r>
            <w:r w:rsidRPr="000F7A3F">
              <w:rPr>
                <w:rFonts w:eastAsia="HelenPro-Regular" w:cs="Arial"/>
                <w:szCs w:val="20"/>
              </w:rPr>
              <w:t xml:space="preserve"> the reaction mixture.  Following a second incubation, the microparticles are </w:t>
            </w:r>
            <w:proofErr w:type="gramStart"/>
            <w:r w:rsidRPr="000F7A3F">
              <w:rPr>
                <w:rFonts w:eastAsia="HelenPro-Regular" w:cs="Arial"/>
                <w:szCs w:val="20"/>
              </w:rPr>
              <w:t>washed,</w:t>
            </w:r>
            <w:proofErr w:type="gramEnd"/>
            <w:r w:rsidRPr="000F7A3F">
              <w:rPr>
                <w:rFonts w:eastAsia="HelenPro-Regular" w:cs="Arial"/>
                <w:szCs w:val="20"/>
              </w:rPr>
              <w:t xml:space="preserve"> and pre-trigger and trigger solutions are added to the reaction mixture.</w:t>
            </w:r>
            <w:r w:rsidR="000E000A">
              <w:rPr>
                <w:rFonts w:eastAsia="HelenPro-Regular" w:cs="Arial"/>
                <w:szCs w:val="20"/>
              </w:rPr>
              <w:t xml:space="preserve"> </w:t>
            </w:r>
            <w:r w:rsidRPr="000F7A3F">
              <w:rPr>
                <w:rFonts w:eastAsia="HelenPro-Regular" w:cs="Arial"/>
                <w:szCs w:val="20"/>
              </w:rPr>
              <w:t xml:space="preserve"> The resulting chemiluminescent reaction is measured as relative light units (RLUs). </w:t>
            </w:r>
            <w:r w:rsidR="000E000A">
              <w:rPr>
                <w:rFonts w:eastAsia="HelenPro-Regular" w:cs="Arial"/>
                <w:szCs w:val="20"/>
              </w:rPr>
              <w:t xml:space="preserve"> </w:t>
            </w:r>
            <w:r w:rsidRPr="000F7A3F">
              <w:rPr>
                <w:rFonts w:eastAsia="HelenPro-Regular" w:cs="Arial"/>
                <w:szCs w:val="20"/>
              </w:rPr>
              <w:t>There is an inverse relationship between the amount of cortisol in the sample and the RLUs detected by the ARCHITECT iSystem optics.</w:t>
            </w:r>
          </w:p>
          <w:p w:rsidR="00FC277E" w:rsidRPr="00253C63" w:rsidRDefault="00FC277E" w:rsidP="00FC277E">
            <w:pPr>
              <w:autoSpaceDE w:val="0"/>
              <w:autoSpaceDN w:val="0"/>
              <w:adjustRightInd w:val="0"/>
              <w:rPr>
                <w:rFonts w:eastAsia="HelenPro-Regular" w:cs="Arial"/>
                <w:szCs w:val="20"/>
              </w:rPr>
            </w:pP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Clinical Significance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1B1C87" w:rsidRDefault="001B1C87" w:rsidP="001B1C87">
            <w:pPr>
              <w:autoSpaceDE w:val="0"/>
              <w:autoSpaceDN w:val="0"/>
              <w:adjustRightInd w:val="0"/>
              <w:rPr>
                <w:rFonts w:eastAsia="HelenPro-Regular"/>
              </w:rPr>
            </w:pPr>
          </w:p>
          <w:p w:rsidR="00FC277E" w:rsidRPr="00FC277E" w:rsidRDefault="00FC277E" w:rsidP="00FC277E">
            <w:pPr>
              <w:autoSpaceDE w:val="0"/>
              <w:autoSpaceDN w:val="0"/>
              <w:adjustRightInd w:val="0"/>
              <w:rPr>
                <w:rFonts w:eastAsia="HelenPro-Regular" w:cs="Arial"/>
                <w:szCs w:val="20"/>
              </w:rPr>
            </w:pPr>
            <w:r w:rsidRPr="00FC277E">
              <w:rPr>
                <w:rFonts w:eastAsia="HelenPro-Regular" w:cs="Arial"/>
                <w:szCs w:val="20"/>
              </w:rPr>
              <w:t>Cortisol is the major glucoco</w:t>
            </w:r>
            <w:r>
              <w:rPr>
                <w:rFonts w:eastAsia="HelenPro-Regular" w:cs="Arial"/>
                <w:szCs w:val="20"/>
              </w:rPr>
              <w:t xml:space="preserve">rticoid hormone secreted by the </w:t>
            </w:r>
            <w:r w:rsidRPr="00FC277E">
              <w:rPr>
                <w:rFonts w:eastAsia="HelenPro-Regular" w:cs="Arial"/>
                <w:szCs w:val="20"/>
              </w:rPr>
              <w:t>adrenal cortex.</w:t>
            </w:r>
            <w:r w:rsidR="000E000A">
              <w:rPr>
                <w:rFonts w:eastAsia="HelenPro-Regular" w:cs="Arial"/>
                <w:szCs w:val="20"/>
              </w:rPr>
              <w:t xml:space="preserve"> </w:t>
            </w:r>
            <w:r w:rsidRPr="00FC277E">
              <w:rPr>
                <w:rFonts w:eastAsia="HelenPro-Regular" w:cs="Arial"/>
                <w:szCs w:val="20"/>
              </w:rPr>
              <w:t xml:space="preserve"> Its physiological </w:t>
            </w:r>
            <w:r>
              <w:rPr>
                <w:rFonts w:eastAsia="HelenPro-Regular" w:cs="Arial"/>
                <w:szCs w:val="20"/>
              </w:rPr>
              <w:t xml:space="preserve">functions include regulation of </w:t>
            </w:r>
            <w:r w:rsidRPr="00FC277E">
              <w:rPr>
                <w:rFonts w:eastAsia="HelenPro-Regular" w:cs="Arial"/>
                <w:szCs w:val="20"/>
              </w:rPr>
              <w:t>carbohydrate metabolism and electrolyte and water distribution.</w:t>
            </w:r>
          </w:p>
          <w:p w:rsidR="000E000A" w:rsidRDefault="00FC277E" w:rsidP="00FC277E">
            <w:pPr>
              <w:autoSpaceDE w:val="0"/>
              <w:autoSpaceDN w:val="0"/>
              <w:adjustRightInd w:val="0"/>
              <w:rPr>
                <w:rFonts w:eastAsia="HelenPro-Regular" w:cs="Arial"/>
                <w:szCs w:val="20"/>
              </w:rPr>
            </w:pPr>
            <w:r w:rsidRPr="00FC277E">
              <w:rPr>
                <w:rFonts w:eastAsia="HelenPro-Regular" w:cs="Arial"/>
                <w:szCs w:val="20"/>
              </w:rPr>
              <w:t xml:space="preserve">Cortisol also has immunosuppressive </w:t>
            </w:r>
            <w:r>
              <w:rPr>
                <w:rFonts w:eastAsia="HelenPro-Regular" w:cs="Arial"/>
                <w:szCs w:val="20"/>
              </w:rPr>
              <w:t>and anti-inflammatory activity.</w:t>
            </w:r>
            <w:r w:rsidR="000E000A">
              <w:rPr>
                <w:rFonts w:eastAsia="HelenPro-Regular" w:cs="Arial"/>
                <w:szCs w:val="20"/>
              </w:rPr>
              <w:t xml:space="preserve"> </w:t>
            </w:r>
            <w:r>
              <w:rPr>
                <w:rFonts w:eastAsia="HelenPro-Regular" w:cs="Arial"/>
                <w:szCs w:val="20"/>
              </w:rPr>
              <w:t xml:space="preserve"> </w:t>
            </w:r>
            <w:r w:rsidRPr="00FC277E">
              <w:rPr>
                <w:rFonts w:eastAsia="HelenPro-Regular" w:cs="Arial"/>
                <w:szCs w:val="20"/>
              </w:rPr>
              <w:t>In normal individuals, cortisol levels a</w:t>
            </w:r>
            <w:r>
              <w:rPr>
                <w:rFonts w:eastAsia="HelenPro-Regular" w:cs="Arial"/>
                <w:szCs w:val="20"/>
              </w:rPr>
              <w:t xml:space="preserve">re regulated through a negative </w:t>
            </w:r>
            <w:r w:rsidRPr="00FC277E">
              <w:rPr>
                <w:rFonts w:eastAsia="HelenPro-Regular" w:cs="Arial"/>
                <w:szCs w:val="20"/>
              </w:rPr>
              <w:t>feedback loop in which the adren</w:t>
            </w:r>
            <w:r>
              <w:rPr>
                <w:rFonts w:eastAsia="HelenPro-Regular" w:cs="Arial"/>
                <w:szCs w:val="20"/>
              </w:rPr>
              <w:t xml:space="preserve">al cortex responds to increased </w:t>
            </w:r>
            <w:r w:rsidRPr="00FC277E">
              <w:rPr>
                <w:rFonts w:eastAsia="HelenPro-Regular" w:cs="Arial"/>
                <w:szCs w:val="20"/>
              </w:rPr>
              <w:t>adrenocorticotropic hormone (ACTH</w:t>
            </w:r>
            <w:r>
              <w:rPr>
                <w:rFonts w:eastAsia="HelenPro-Regular" w:cs="Arial"/>
                <w:szCs w:val="20"/>
              </w:rPr>
              <w:t xml:space="preserve">) levels by increasing cortisol </w:t>
            </w:r>
            <w:r w:rsidRPr="00FC277E">
              <w:rPr>
                <w:rFonts w:eastAsia="HelenPro-Regular" w:cs="Arial"/>
                <w:szCs w:val="20"/>
              </w:rPr>
              <w:t>secretion, and the pituitary responds</w:t>
            </w:r>
            <w:r>
              <w:rPr>
                <w:rFonts w:eastAsia="HelenPro-Regular" w:cs="Arial"/>
                <w:szCs w:val="20"/>
              </w:rPr>
              <w:t xml:space="preserve"> to elevated cortisol levels by </w:t>
            </w:r>
            <w:r w:rsidRPr="00FC277E">
              <w:rPr>
                <w:rFonts w:eastAsia="HelenPro-Regular" w:cs="Arial"/>
                <w:szCs w:val="20"/>
              </w:rPr>
              <w:t>down-regulation of ACTH product</w:t>
            </w:r>
            <w:r>
              <w:rPr>
                <w:rFonts w:eastAsia="HelenPro-Regular" w:cs="Arial"/>
                <w:szCs w:val="20"/>
              </w:rPr>
              <w:t>ion.</w:t>
            </w:r>
            <w:r w:rsidR="000E000A">
              <w:rPr>
                <w:rFonts w:eastAsia="HelenPro-Regular" w:cs="Arial"/>
                <w:szCs w:val="20"/>
              </w:rPr>
              <w:t xml:space="preserve"> </w:t>
            </w:r>
            <w:r>
              <w:rPr>
                <w:rFonts w:eastAsia="HelenPro-Regular" w:cs="Arial"/>
                <w:szCs w:val="20"/>
              </w:rPr>
              <w:t xml:space="preserve"> Plasma cortisol levels are </w:t>
            </w:r>
            <w:r w:rsidRPr="00FC277E">
              <w:rPr>
                <w:rFonts w:eastAsia="HelenPro-Regular" w:cs="Arial"/>
                <w:szCs w:val="20"/>
              </w:rPr>
              <w:t>highest in the morning, and concen</w:t>
            </w:r>
            <w:r>
              <w:rPr>
                <w:rFonts w:eastAsia="HelenPro-Regular" w:cs="Arial"/>
                <w:szCs w:val="20"/>
              </w:rPr>
              <w:t xml:space="preserve">trations decrease by about half </w:t>
            </w:r>
            <w:r w:rsidRPr="00FC277E">
              <w:rPr>
                <w:rFonts w:eastAsia="HelenPro-Regular" w:cs="Arial"/>
                <w:szCs w:val="20"/>
              </w:rPr>
              <w:t>toward evening.</w:t>
            </w:r>
            <w:r>
              <w:rPr>
                <w:rFonts w:eastAsia="HelenPro-Regular" w:cs="Arial"/>
                <w:szCs w:val="20"/>
              </w:rPr>
              <w:t xml:space="preserve"> </w:t>
            </w:r>
            <w:r w:rsidR="000E000A">
              <w:rPr>
                <w:rFonts w:eastAsia="HelenPro-Regular" w:cs="Arial"/>
                <w:szCs w:val="20"/>
              </w:rPr>
              <w:t xml:space="preserve"> </w:t>
            </w:r>
            <w:r w:rsidRPr="00FC277E">
              <w:rPr>
                <w:rFonts w:eastAsia="HelenPro-Regular" w:cs="Arial"/>
                <w:szCs w:val="20"/>
              </w:rPr>
              <w:t>Pregnancy or estro</w:t>
            </w:r>
            <w:r>
              <w:rPr>
                <w:rFonts w:eastAsia="HelenPro-Regular" w:cs="Arial"/>
                <w:szCs w:val="20"/>
              </w:rPr>
              <w:t xml:space="preserve">gen treatment markedly elevates </w:t>
            </w:r>
            <w:r w:rsidRPr="00FC277E">
              <w:rPr>
                <w:rFonts w:eastAsia="HelenPro-Regular" w:cs="Arial"/>
                <w:szCs w:val="20"/>
              </w:rPr>
              <w:t xml:space="preserve">cortisol levels. </w:t>
            </w:r>
            <w:r w:rsidR="000E000A">
              <w:rPr>
                <w:rFonts w:eastAsia="HelenPro-Regular" w:cs="Arial"/>
                <w:szCs w:val="20"/>
              </w:rPr>
              <w:t xml:space="preserve"> </w:t>
            </w:r>
            <w:r w:rsidRPr="00FC277E">
              <w:rPr>
                <w:rFonts w:eastAsia="HelenPro-Regular" w:cs="Arial"/>
                <w:szCs w:val="20"/>
              </w:rPr>
              <w:t>Other stimuli such as</w:t>
            </w:r>
            <w:r>
              <w:rPr>
                <w:rFonts w:eastAsia="HelenPro-Regular" w:cs="Arial"/>
                <w:szCs w:val="20"/>
              </w:rPr>
              <w:t xml:space="preserve"> severe stress may also lead to </w:t>
            </w:r>
            <w:r w:rsidRPr="00FC277E">
              <w:rPr>
                <w:rFonts w:eastAsia="HelenPro-Regular" w:cs="Arial"/>
                <w:szCs w:val="20"/>
              </w:rPr>
              <w:t>increased cortisol production.</w:t>
            </w:r>
            <w:r>
              <w:rPr>
                <w:rFonts w:eastAsia="HelenPro-Regular" w:cs="Arial"/>
                <w:szCs w:val="20"/>
              </w:rPr>
              <w:t xml:space="preserve">  </w:t>
            </w:r>
            <w:r w:rsidRPr="00FC277E">
              <w:rPr>
                <w:rFonts w:eastAsia="HelenPro-Regular" w:cs="Arial"/>
                <w:szCs w:val="20"/>
              </w:rPr>
              <w:t>Cortisol measurements are used as a direct monitor of adrenal status</w:t>
            </w:r>
            <w:r>
              <w:rPr>
                <w:rFonts w:eastAsia="HelenPro-Regular" w:cs="Arial"/>
                <w:szCs w:val="20"/>
              </w:rPr>
              <w:t xml:space="preserve"> </w:t>
            </w:r>
            <w:r w:rsidRPr="00FC277E">
              <w:rPr>
                <w:rFonts w:eastAsia="HelenPro-Regular" w:cs="Arial"/>
                <w:szCs w:val="20"/>
              </w:rPr>
              <w:t xml:space="preserve">and an indirect measure of pituitary </w:t>
            </w:r>
            <w:r>
              <w:rPr>
                <w:rFonts w:eastAsia="HelenPro-Regular" w:cs="Arial"/>
                <w:szCs w:val="20"/>
              </w:rPr>
              <w:t xml:space="preserve">hyper or hypofunction. Elevated </w:t>
            </w:r>
            <w:r w:rsidRPr="00FC277E">
              <w:rPr>
                <w:rFonts w:eastAsia="HelenPro-Regular" w:cs="Arial"/>
                <w:szCs w:val="20"/>
              </w:rPr>
              <w:t>cortisol levels are associated with adre</w:t>
            </w:r>
            <w:r>
              <w:rPr>
                <w:rFonts w:eastAsia="HelenPro-Regular" w:cs="Arial"/>
                <w:szCs w:val="20"/>
              </w:rPr>
              <w:t xml:space="preserve">nal tumors, pituitary tumors or ectopic ACTH-producing tumors.  </w:t>
            </w:r>
            <w:r w:rsidRPr="00FC277E">
              <w:rPr>
                <w:rFonts w:eastAsia="HelenPro-Regular" w:cs="Arial"/>
                <w:szCs w:val="20"/>
              </w:rPr>
              <w:t>Su</w:t>
            </w:r>
            <w:r>
              <w:rPr>
                <w:rFonts w:eastAsia="HelenPro-Regular" w:cs="Arial"/>
                <w:szCs w:val="20"/>
              </w:rPr>
              <w:t xml:space="preserve">bnormal cortisol concentrations </w:t>
            </w:r>
            <w:r w:rsidRPr="00FC277E">
              <w:rPr>
                <w:rFonts w:eastAsia="HelenPro-Regular" w:cs="Arial"/>
                <w:szCs w:val="20"/>
              </w:rPr>
              <w:t>may indicate generalized adrenal hypofunction or a defect in</w:t>
            </w:r>
            <w:r>
              <w:rPr>
                <w:rFonts w:eastAsia="HelenPro-Regular" w:cs="Arial"/>
                <w:szCs w:val="20"/>
              </w:rPr>
              <w:t xml:space="preserve"> </w:t>
            </w:r>
            <w:r w:rsidRPr="00FC277E">
              <w:rPr>
                <w:rFonts w:eastAsia="HelenPro-Regular" w:cs="Arial"/>
                <w:szCs w:val="20"/>
              </w:rPr>
              <w:t>the metabolic pa</w:t>
            </w:r>
            <w:r>
              <w:rPr>
                <w:rFonts w:eastAsia="HelenPro-Regular" w:cs="Arial"/>
                <w:szCs w:val="20"/>
              </w:rPr>
              <w:t>thway for cortisol biosynthesis.</w:t>
            </w:r>
            <w:r w:rsidRPr="00FC277E">
              <w:rPr>
                <w:rFonts w:eastAsia="HelenPro-Regular" w:cs="Arial"/>
                <w:szCs w:val="20"/>
              </w:rPr>
              <w:t xml:space="preserve"> </w:t>
            </w:r>
            <w:r w:rsidR="000E000A">
              <w:rPr>
                <w:rFonts w:eastAsia="HelenPro-Regular" w:cs="Arial"/>
                <w:szCs w:val="20"/>
              </w:rPr>
              <w:t xml:space="preserve"> </w:t>
            </w:r>
          </w:p>
          <w:p w:rsidR="001B1C87" w:rsidRPr="00FC277E" w:rsidRDefault="00FC277E" w:rsidP="00FC277E">
            <w:pPr>
              <w:autoSpaceDE w:val="0"/>
              <w:autoSpaceDN w:val="0"/>
              <w:adjustRightInd w:val="0"/>
              <w:rPr>
                <w:rFonts w:eastAsia="HelenPro-Regular" w:cs="Arial"/>
                <w:szCs w:val="20"/>
              </w:rPr>
            </w:pPr>
            <w:r w:rsidRPr="00FC277E">
              <w:rPr>
                <w:rFonts w:eastAsia="HelenPro-Regular" w:cs="Arial"/>
                <w:szCs w:val="20"/>
              </w:rPr>
              <w:t>The majority of</w:t>
            </w:r>
            <w:r w:rsidR="000E000A">
              <w:rPr>
                <w:rFonts w:eastAsia="HelenPro-Regular" w:cs="Arial"/>
                <w:szCs w:val="20"/>
              </w:rPr>
              <w:t xml:space="preserve"> </w:t>
            </w:r>
            <w:r w:rsidRPr="00FC277E">
              <w:rPr>
                <w:rFonts w:eastAsia="HelenPro-Regular" w:cs="Arial"/>
                <w:szCs w:val="20"/>
              </w:rPr>
              <w:t>cortisol in plasma is bound to p</w:t>
            </w:r>
            <w:r>
              <w:rPr>
                <w:rFonts w:eastAsia="HelenPro-Regular" w:cs="Arial"/>
                <w:szCs w:val="20"/>
              </w:rPr>
              <w:t xml:space="preserve">roteins and approximately 1% is </w:t>
            </w:r>
            <w:r w:rsidRPr="00FC277E">
              <w:rPr>
                <w:rFonts w:eastAsia="HelenPro-Regular" w:cs="Arial"/>
                <w:szCs w:val="20"/>
              </w:rPr>
              <w:t>excreted unchanged into the urine.</w:t>
            </w:r>
            <w:r>
              <w:rPr>
                <w:rFonts w:eastAsia="HelenPro-Regular" w:cs="Arial"/>
                <w:szCs w:val="20"/>
              </w:rPr>
              <w:t xml:space="preserve">  Urinary cortisol is </w:t>
            </w:r>
            <w:r w:rsidR="00AD63AE">
              <w:rPr>
                <w:rFonts w:eastAsia="HelenPro-Regular" w:cs="Arial"/>
                <w:szCs w:val="20"/>
              </w:rPr>
              <w:t>generally thought</w:t>
            </w:r>
            <w:r w:rsidRPr="00FC277E">
              <w:rPr>
                <w:rFonts w:eastAsia="HelenPro-Regular" w:cs="Arial"/>
                <w:szCs w:val="20"/>
              </w:rPr>
              <w:t xml:space="preserve"> to reflect the level of unbound (free) plasma cortis</w:t>
            </w:r>
            <w:r>
              <w:rPr>
                <w:rFonts w:eastAsia="HelenPro-Regular" w:cs="Arial"/>
                <w:szCs w:val="20"/>
              </w:rPr>
              <w:t xml:space="preserve">ol, </w:t>
            </w:r>
            <w:r w:rsidR="00AD63AE">
              <w:rPr>
                <w:rFonts w:eastAsia="HelenPro-Regular" w:cs="Arial"/>
                <w:szCs w:val="20"/>
              </w:rPr>
              <w:t>which is</w:t>
            </w:r>
            <w:r w:rsidRPr="00FC277E">
              <w:rPr>
                <w:rFonts w:eastAsia="HelenPro-Regular" w:cs="Arial"/>
                <w:szCs w:val="20"/>
              </w:rPr>
              <w:t xml:space="preserve"> biologically active. </w:t>
            </w:r>
            <w:r w:rsidR="000E000A">
              <w:rPr>
                <w:rFonts w:eastAsia="HelenPro-Regular" w:cs="Arial"/>
                <w:szCs w:val="20"/>
              </w:rPr>
              <w:t xml:space="preserve"> </w:t>
            </w:r>
            <w:r w:rsidRPr="00FC277E">
              <w:rPr>
                <w:rFonts w:eastAsia="HelenPro-Regular" w:cs="Arial"/>
                <w:szCs w:val="20"/>
              </w:rPr>
              <w:t xml:space="preserve">In cases of cortisol </w:t>
            </w:r>
            <w:r>
              <w:rPr>
                <w:rFonts w:eastAsia="HelenPro-Regular" w:cs="Arial"/>
                <w:szCs w:val="20"/>
              </w:rPr>
              <w:t xml:space="preserve">overproduction, cortisolbinding </w:t>
            </w:r>
            <w:r w:rsidRPr="00FC277E">
              <w:rPr>
                <w:rFonts w:eastAsia="HelenPro-Regular" w:cs="Arial"/>
                <w:szCs w:val="20"/>
              </w:rPr>
              <w:t>globulin becomes satu</w:t>
            </w:r>
            <w:r>
              <w:rPr>
                <w:rFonts w:eastAsia="HelenPro-Regular" w:cs="Arial"/>
                <w:szCs w:val="20"/>
              </w:rPr>
              <w:t xml:space="preserve">rated, such that unbound plasma </w:t>
            </w:r>
            <w:r w:rsidRPr="00FC277E">
              <w:rPr>
                <w:rFonts w:eastAsia="HelenPro-Regular" w:cs="Arial"/>
                <w:szCs w:val="20"/>
              </w:rPr>
              <w:t xml:space="preserve">cortisol increases disproportionately, as </w:t>
            </w:r>
            <w:proofErr w:type="gramStart"/>
            <w:r w:rsidRPr="00FC277E">
              <w:rPr>
                <w:rFonts w:eastAsia="HelenPro-Regular" w:cs="Arial"/>
                <w:szCs w:val="20"/>
              </w:rPr>
              <w:t>does</w:t>
            </w:r>
            <w:proofErr w:type="gramEnd"/>
            <w:r w:rsidRPr="00FC277E">
              <w:rPr>
                <w:rFonts w:eastAsia="HelenPro-Regular" w:cs="Arial"/>
                <w:szCs w:val="20"/>
              </w:rPr>
              <w:t xml:space="preserve"> urinary excretion. </w:t>
            </w:r>
            <w:r w:rsidR="000E000A">
              <w:rPr>
                <w:rFonts w:eastAsia="HelenPro-Regular" w:cs="Arial"/>
                <w:szCs w:val="20"/>
              </w:rPr>
              <w:t xml:space="preserve"> </w:t>
            </w:r>
            <w:r w:rsidRPr="00FC277E">
              <w:rPr>
                <w:rFonts w:eastAsia="HelenPro-Regular" w:cs="Arial"/>
                <w:szCs w:val="20"/>
              </w:rPr>
              <w:t>The</w:t>
            </w:r>
            <w:r>
              <w:rPr>
                <w:rFonts w:eastAsia="HelenPro-Regular" w:cs="Arial"/>
                <w:szCs w:val="20"/>
              </w:rPr>
              <w:t xml:space="preserve"> </w:t>
            </w:r>
            <w:r w:rsidRPr="00FC277E">
              <w:rPr>
                <w:rFonts w:eastAsia="HelenPro-Regular" w:cs="Arial"/>
                <w:szCs w:val="20"/>
              </w:rPr>
              <w:t>measurement of urinary cortisol is a sensitive</w:t>
            </w:r>
            <w:r>
              <w:rPr>
                <w:rFonts w:eastAsia="HelenPro-Regular" w:cs="Arial"/>
                <w:szCs w:val="20"/>
              </w:rPr>
              <w:t xml:space="preserve"> means of determining </w:t>
            </w:r>
            <w:r w:rsidRPr="00FC277E">
              <w:rPr>
                <w:rFonts w:eastAsia="HelenPro-Regular" w:cs="Arial"/>
                <w:szCs w:val="20"/>
              </w:rPr>
              <w:t>adrenocortical hyperfunction such as Cushing’s syndrome.</w:t>
            </w:r>
            <w:r>
              <w:rPr>
                <w:rFonts w:eastAsia="HelenPro-Regular" w:cs="Arial"/>
                <w:szCs w:val="20"/>
              </w:rPr>
              <w:t xml:space="preserve"> </w:t>
            </w:r>
            <w:r w:rsidRPr="00FC277E">
              <w:rPr>
                <w:rFonts w:eastAsia="HelenPro-Regular" w:cs="Arial"/>
                <w:szCs w:val="20"/>
              </w:rPr>
              <w:t xml:space="preserve"> </w:t>
            </w:r>
            <w:r>
              <w:rPr>
                <w:rFonts w:eastAsia="HelenPro-Regular" w:cs="Arial"/>
                <w:szCs w:val="20"/>
              </w:rPr>
              <w:t xml:space="preserve">Urinary </w:t>
            </w:r>
            <w:r w:rsidRPr="00FC277E">
              <w:rPr>
                <w:rFonts w:eastAsia="HelenPro-Regular" w:cs="Arial"/>
                <w:szCs w:val="20"/>
              </w:rPr>
              <w:t xml:space="preserve">cortisol </w:t>
            </w:r>
            <w:r w:rsidR="000E000A">
              <w:rPr>
                <w:rFonts w:eastAsia="HelenPro-Regular" w:cs="Arial"/>
                <w:szCs w:val="20"/>
              </w:rPr>
              <w:t xml:space="preserve">(not performed at Children’s MN) </w:t>
            </w:r>
            <w:r w:rsidRPr="00FC277E">
              <w:rPr>
                <w:rFonts w:eastAsia="HelenPro-Regular" w:cs="Arial"/>
                <w:szCs w:val="20"/>
              </w:rPr>
              <w:t>from 24-hour collections re</w:t>
            </w:r>
            <w:r>
              <w:rPr>
                <w:rFonts w:eastAsia="HelenPro-Regular" w:cs="Arial"/>
                <w:szCs w:val="20"/>
              </w:rPr>
              <w:t xml:space="preserve">present integration over a full </w:t>
            </w:r>
            <w:r w:rsidRPr="00FC277E">
              <w:rPr>
                <w:rFonts w:eastAsia="HelenPro-Regular" w:cs="Arial"/>
                <w:szCs w:val="20"/>
              </w:rPr>
              <w:t>day and are not affected by the diur</w:t>
            </w:r>
            <w:r>
              <w:rPr>
                <w:rFonts w:eastAsia="HelenPro-Regular" w:cs="Arial"/>
                <w:szCs w:val="20"/>
              </w:rPr>
              <w:t xml:space="preserve">nal variation evident in plasma </w:t>
            </w:r>
            <w:r w:rsidRPr="00FC277E">
              <w:rPr>
                <w:rFonts w:eastAsia="HelenPro-Regular" w:cs="Arial"/>
                <w:szCs w:val="20"/>
              </w:rPr>
              <w:t>cortisol levels.</w:t>
            </w:r>
            <w:r>
              <w:rPr>
                <w:rFonts w:eastAsia="HelenPro-Regular" w:cs="Arial"/>
                <w:szCs w:val="20"/>
              </w:rPr>
              <w:t xml:space="preserve"> </w:t>
            </w:r>
            <w:r w:rsidR="000E000A">
              <w:rPr>
                <w:rFonts w:eastAsia="HelenPro-Regular" w:cs="Arial"/>
                <w:szCs w:val="20"/>
              </w:rPr>
              <w:t xml:space="preserve"> </w:t>
            </w:r>
            <w:r w:rsidRPr="00FC277E">
              <w:rPr>
                <w:rFonts w:eastAsia="HelenPro-Regular" w:cs="Arial"/>
                <w:szCs w:val="20"/>
              </w:rPr>
              <w:t>Cortisol measurements are often performed in conjunction with</w:t>
            </w:r>
            <w:r>
              <w:rPr>
                <w:rFonts w:eastAsia="HelenPro-Regular" w:cs="Arial"/>
                <w:szCs w:val="20"/>
              </w:rPr>
              <w:t xml:space="preserve"> </w:t>
            </w:r>
            <w:r w:rsidRPr="00FC277E">
              <w:rPr>
                <w:rFonts w:eastAsia="HelenPro-Regular" w:cs="Arial"/>
                <w:szCs w:val="20"/>
              </w:rPr>
              <w:t>certain “challenge” tests designed t</w:t>
            </w:r>
            <w:r>
              <w:rPr>
                <w:rFonts w:eastAsia="HelenPro-Regular" w:cs="Arial"/>
                <w:szCs w:val="20"/>
              </w:rPr>
              <w:t xml:space="preserve">o measure whether regulation of </w:t>
            </w:r>
            <w:r w:rsidRPr="00FC277E">
              <w:rPr>
                <w:rFonts w:eastAsia="HelenPro-Regular" w:cs="Arial"/>
                <w:szCs w:val="20"/>
              </w:rPr>
              <w:t>the hypothalamic-pituitary-adrenal ax</w:t>
            </w:r>
            <w:r>
              <w:rPr>
                <w:rFonts w:eastAsia="HelenPro-Regular" w:cs="Arial"/>
                <w:szCs w:val="20"/>
              </w:rPr>
              <w:t>is is intact.</w:t>
            </w:r>
            <w:r w:rsidR="000E000A">
              <w:rPr>
                <w:rFonts w:eastAsia="HelenPro-Regular" w:cs="Arial"/>
                <w:szCs w:val="20"/>
              </w:rPr>
              <w:t xml:space="preserve"> </w:t>
            </w:r>
            <w:r>
              <w:rPr>
                <w:rFonts w:eastAsia="HelenPro-Regular" w:cs="Arial"/>
                <w:szCs w:val="20"/>
              </w:rPr>
              <w:t xml:space="preserve"> These include the </w:t>
            </w:r>
            <w:r w:rsidRPr="00FC277E">
              <w:rPr>
                <w:rFonts w:eastAsia="HelenPro-Regular" w:cs="Arial"/>
                <w:szCs w:val="20"/>
              </w:rPr>
              <w:t>dexamethasone suppression test (</w:t>
            </w:r>
            <w:r>
              <w:rPr>
                <w:rFonts w:eastAsia="HelenPro-Regular" w:cs="Arial"/>
                <w:szCs w:val="20"/>
              </w:rPr>
              <w:t xml:space="preserve">DST), ACTH stimulation test and </w:t>
            </w:r>
            <w:r w:rsidRPr="00FC277E">
              <w:rPr>
                <w:rFonts w:eastAsia="HelenPro-Regular" w:cs="Arial"/>
                <w:szCs w:val="20"/>
              </w:rPr>
              <w:t>insulin tolerance test.</w:t>
            </w:r>
            <w:r>
              <w:rPr>
                <w:rFonts w:eastAsia="HelenPro-Regular" w:cs="Arial"/>
                <w:szCs w:val="20"/>
              </w:rPr>
              <w:t xml:space="preserve"> </w:t>
            </w:r>
            <w:r w:rsidRPr="00FC277E">
              <w:rPr>
                <w:rFonts w:eastAsia="HelenPro-Regular" w:cs="Arial"/>
                <w:szCs w:val="20"/>
              </w:rPr>
              <w:t xml:space="preserve"> Such challeng</w:t>
            </w:r>
            <w:r>
              <w:rPr>
                <w:rFonts w:eastAsia="HelenPro-Regular" w:cs="Arial"/>
                <w:szCs w:val="20"/>
              </w:rPr>
              <w:t xml:space="preserve">e tests aid in the differential </w:t>
            </w:r>
            <w:r w:rsidRPr="00FC277E">
              <w:rPr>
                <w:rFonts w:eastAsia="HelenPro-Regular" w:cs="Arial"/>
                <w:szCs w:val="20"/>
              </w:rPr>
              <w:t>diagnosis of Cushing’s syndrome (c</w:t>
            </w:r>
            <w:r>
              <w:rPr>
                <w:rFonts w:eastAsia="HelenPro-Regular" w:cs="Arial"/>
                <w:szCs w:val="20"/>
              </w:rPr>
              <w:t xml:space="preserve">ortisol overproduction) and the </w:t>
            </w:r>
            <w:r w:rsidRPr="00FC277E">
              <w:rPr>
                <w:rFonts w:eastAsia="HelenPro-Regular" w:cs="Arial"/>
                <w:szCs w:val="20"/>
              </w:rPr>
              <w:t>assessment of Addison’s disease (cortisol underproduction).</w:t>
            </w:r>
          </w:p>
          <w:p w:rsidR="001B1C87" w:rsidRDefault="001B1C87" w:rsidP="00D0201D">
            <w:pPr>
              <w:autoSpaceDE w:val="0"/>
              <w:autoSpaceDN w:val="0"/>
              <w:adjustRightInd w:val="0"/>
              <w:rPr>
                <w:rFonts w:cs="Arial"/>
                <w:szCs w:val="15"/>
              </w:rPr>
            </w:pPr>
          </w:p>
          <w:p w:rsidR="001B1C87" w:rsidRDefault="001B1C87" w:rsidP="00D0201D">
            <w:pPr>
              <w:autoSpaceDE w:val="0"/>
              <w:autoSpaceDN w:val="0"/>
              <w:adjustRightInd w:val="0"/>
              <w:rPr>
                <w:rFonts w:cs="Arial"/>
                <w:szCs w:val="15"/>
              </w:rPr>
            </w:pPr>
          </w:p>
          <w:p w:rsidR="001B1C87" w:rsidRDefault="001B1C87" w:rsidP="00D0201D">
            <w:pPr>
              <w:autoSpaceDE w:val="0"/>
              <w:autoSpaceDN w:val="0"/>
              <w:adjustRightInd w:val="0"/>
              <w:rPr>
                <w:rFonts w:cs="Arial"/>
                <w:szCs w:val="15"/>
              </w:rPr>
            </w:pP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Instrument</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pStyle w:val="Header"/>
              <w:tabs>
                <w:tab w:val="clear" w:pos="4320"/>
                <w:tab w:val="clear" w:pos="8640"/>
              </w:tabs>
              <w:jc w:val="both"/>
              <w:rPr>
                <w:rFonts w:cs="Arial"/>
              </w:rPr>
            </w:pPr>
          </w:p>
          <w:p w:rsidR="00D0201D" w:rsidRDefault="008C6EDC" w:rsidP="008C6EDC">
            <w:pPr>
              <w:pStyle w:val="Header"/>
              <w:tabs>
                <w:tab w:val="clear" w:pos="4320"/>
                <w:tab w:val="clear" w:pos="8640"/>
              </w:tabs>
              <w:spacing w:line="360" w:lineRule="auto"/>
              <w:jc w:val="both"/>
            </w:pPr>
            <w:r w:rsidRPr="00D05869">
              <w:rPr>
                <w:b/>
                <w:bCs/>
                <w:color w:val="5F497A"/>
              </w:rPr>
              <w:t>PRIMARY METHOD:</w:t>
            </w:r>
            <w:r w:rsidRPr="00B1018B">
              <w:rPr>
                <w:b/>
                <w:bCs/>
              </w:rPr>
              <w:t xml:space="preserve"> </w:t>
            </w:r>
            <w:r w:rsidR="001B1C87">
              <w:rPr>
                <w:b/>
                <w:bCs/>
              </w:rPr>
              <w:t>Abbott Architect</w:t>
            </w:r>
          </w:p>
          <w:p w:rsidR="008C6EDC" w:rsidRDefault="008F2F45" w:rsidP="008C6EDC">
            <w:pPr>
              <w:pStyle w:val="Header"/>
              <w:tabs>
                <w:tab w:val="clear" w:pos="4320"/>
                <w:tab w:val="clear" w:pos="8640"/>
              </w:tabs>
              <w:spacing w:line="360" w:lineRule="auto"/>
              <w:jc w:val="both"/>
              <w:rPr>
                <w:rFonts w:cs="Arial"/>
              </w:rPr>
            </w:pPr>
            <w:r>
              <w:rPr>
                <w:bCs/>
              </w:rPr>
              <w:t>Backup Method</w:t>
            </w:r>
            <w:r w:rsidR="008C6EDC" w:rsidRPr="00B1018B">
              <w:rPr>
                <w:b/>
                <w:bCs/>
              </w:rPr>
              <w:t xml:space="preserve">: </w:t>
            </w:r>
            <w:r w:rsidR="001B1C87">
              <w:rPr>
                <w:b/>
                <w:bCs/>
              </w:rPr>
              <w:t xml:space="preserve">Mayo Medical </w:t>
            </w:r>
            <w:r w:rsidR="00AD63AE">
              <w:rPr>
                <w:b/>
                <w:bCs/>
              </w:rPr>
              <w:t>Laboratories</w:t>
            </w:r>
          </w:p>
          <w:p w:rsidR="008C6EDC" w:rsidRDefault="008C6EDC" w:rsidP="008C6EDC">
            <w:pPr>
              <w:pStyle w:val="Header"/>
              <w:tabs>
                <w:tab w:val="clear" w:pos="4320"/>
                <w:tab w:val="clear" w:pos="8640"/>
              </w:tabs>
              <w:jc w:val="both"/>
              <w:rPr>
                <w:rFonts w:cs="Arial"/>
                <w:szCs w:val="15"/>
              </w:rPr>
            </w:pPr>
          </w:p>
        </w:tc>
      </w:tr>
      <w:tr w:rsidR="00B816B4" w:rsidTr="00D120DB">
        <w:trPr>
          <w:trHeight w:val="697"/>
          <w:tblHeader/>
        </w:trPr>
        <w:tc>
          <w:tcPr>
            <w:tcW w:w="2160" w:type="dxa"/>
            <w:tcBorders>
              <w:top w:val="single" w:sz="18" w:space="0" w:color="A6A6A6" w:themeColor="background1" w:themeShade="A6"/>
              <w:bottom w:val="single" w:sz="18" w:space="0" w:color="A6A6A6" w:themeColor="background1" w:themeShade="A6"/>
            </w:tcBorders>
            <w:vAlign w:val="center"/>
          </w:tcPr>
          <w:p w:rsidR="00B816B4" w:rsidRDefault="00B816B4">
            <w:pPr>
              <w:rPr>
                <w:rFonts w:cs="Arial"/>
                <w:b/>
                <w:bCs/>
                <w:color w:val="0000FF"/>
              </w:rPr>
            </w:pPr>
            <w:r>
              <w:rPr>
                <w:rFonts w:cs="Arial"/>
                <w:b/>
                <w:bCs/>
                <w:color w:val="0000FF"/>
              </w:rPr>
              <w:t>Sunquest Test Code</w:t>
            </w:r>
          </w:p>
        </w:tc>
        <w:tc>
          <w:tcPr>
            <w:tcW w:w="8910" w:type="dxa"/>
            <w:tcBorders>
              <w:top w:val="single" w:sz="18" w:space="0" w:color="A6A6A6" w:themeColor="background1" w:themeShade="A6"/>
              <w:bottom w:val="single" w:sz="18" w:space="0" w:color="A6A6A6" w:themeColor="background1" w:themeShade="A6"/>
            </w:tcBorders>
            <w:vAlign w:val="center"/>
          </w:tcPr>
          <w:p w:rsidR="00B816B4" w:rsidRDefault="000F7A3F" w:rsidP="003571BD">
            <w:pPr>
              <w:rPr>
                <w:rFonts w:cs="Arial"/>
                <w:szCs w:val="15"/>
              </w:rPr>
            </w:pPr>
            <w:r>
              <w:rPr>
                <w:rFonts w:cs="Arial"/>
                <w:szCs w:val="15"/>
              </w:rPr>
              <w:t>CORTI</w:t>
            </w:r>
          </w:p>
        </w:tc>
      </w:tr>
      <w:tr w:rsidR="008C6EDC" w:rsidTr="00D120DB">
        <w:trPr>
          <w:cantSplit/>
          <w:trHeight w:val="2095"/>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FC6715">
            <w:pPr>
              <w:rPr>
                <w:rFonts w:cs="Arial"/>
                <w:b/>
                <w:bCs/>
                <w:color w:val="0000FF"/>
              </w:rPr>
            </w:pPr>
          </w:p>
          <w:p w:rsidR="008C6EDC" w:rsidRDefault="008C6EDC" w:rsidP="00FC6715">
            <w:pPr>
              <w:rPr>
                <w:rFonts w:cs="Arial"/>
                <w:b/>
                <w:bCs/>
                <w:color w:val="0000FF"/>
              </w:rPr>
            </w:pPr>
            <w:r>
              <w:rPr>
                <w:rFonts w:cs="Arial"/>
                <w:b/>
                <w:bCs/>
                <w:color w:val="0000FF"/>
              </w:rPr>
              <w:t>Specimen</w:t>
            </w:r>
          </w:p>
          <w:p w:rsidR="008C6EDC" w:rsidRDefault="008C6EDC" w:rsidP="00FC6715">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8C6EDC" w:rsidRDefault="008C6EDC" w:rsidP="00FC6715">
            <w:pPr>
              <w:pStyle w:val="Header"/>
              <w:tabs>
                <w:tab w:val="clear" w:pos="4320"/>
                <w:tab w:val="clear" w:pos="8640"/>
              </w:tabs>
              <w:rPr>
                <w:rFonts w:cs="Arial"/>
              </w:rPr>
            </w:pPr>
          </w:p>
          <w:p w:rsidR="00B853BF" w:rsidRDefault="00D0201D" w:rsidP="00FC6715">
            <w:pPr>
              <w:pStyle w:val="Header"/>
              <w:tabs>
                <w:tab w:val="clear" w:pos="4320"/>
                <w:tab w:val="clear" w:pos="8640"/>
              </w:tabs>
              <w:rPr>
                <w:rFonts w:cs="Arial"/>
              </w:rPr>
            </w:pPr>
            <w:r>
              <w:rPr>
                <w:rFonts w:cs="Arial"/>
                <w:b/>
              </w:rPr>
              <w:t>Sample type:</w:t>
            </w:r>
            <w:r w:rsidR="00DA7E2D">
              <w:rPr>
                <w:rFonts w:cs="Arial"/>
                <w:b/>
              </w:rPr>
              <w:t xml:space="preserve"> </w:t>
            </w:r>
            <w:r w:rsidR="008F2F45">
              <w:rPr>
                <w:rFonts w:cs="Arial"/>
              </w:rPr>
              <w:t>SST (Serum)</w:t>
            </w:r>
            <w:r w:rsidR="00DA7E2D">
              <w:rPr>
                <w:rFonts w:cs="Arial"/>
              </w:rPr>
              <w:t xml:space="preserve"> </w:t>
            </w:r>
          </w:p>
          <w:p w:rsidR="008C6EDC" w:rsidRPr="00DA7E2D" w:rsidRDefault="00B853BF" w:rsidP="00FC6715">
            <w:pPr>
              <w:pStyle w:val="Header"/>
              <w:tabs>
                <w:tab w:val="clear" w:pos="4320"/>
                <w:tab w:val="clear" w:pos="8640"/>
              </w:tabs>
              <w:rPr>
                <w:rFonts w:cs="Arial"/>
              </w:rPr>
            </w:pPr>
            <w:r>
              <w:rPr>
                <w:rFonts w:cs="Arial"/>
              </w:rPr>
              <w:t xml:space="preserve">Also acceptable: </w:t>
            </w:r>
            <w:r w:rsidR="00DA7E2D">
              <w:rPr>
                <w:rFonts w:cs="Arial"/>
              </w:rPr>
              <w:t>Lithium Heparin plasma</w:t>
            </w:r>
            <w:r>
              <w:rPr>
                <w:rFonts w:cs="Arial"/>
              </w:rPr>
              <w:t xml:space="preserve"> (with or without gel)</w:t>
            </w:r>
            <w:r w:rsidR="00DA7E2D">
              <w:rPr>
                <w:rFonts w:cs="Arial"/>
              </w:rPr>
              <w:t>, Sodium Heparin plasma</w:t>
            </w:r>
            <w:r w:rsidR="00870277">
              <w:rPr>
                <w:rFonts w:cs="Arial"/>
              </w:rPr>
              <w:t xml:space="preserve">, </w:t>
            </w:r>
            <w:r w:rsidR="00DA7E2D">
              <w:rPr>
                <w:rFonts w:cs="Arial"/>
              </w:rPr>
              <w:t xml:space="preserve"> EDTA plasma</w:t>
            </w:r>
          </w:p>
          <w:p w:rsidR="008C6EDC" w:rsidRDefault="008C6EDC" w:rsidP="00FC6715">
            <w:pPr>
              <w:rPr>
                <w:rFonts w:cs="Arial"/>
              </w:rPr>
            </w:pPr>
          </w:p>
          <w:p w:rsidR="00B853BF" w:rsidRDefault="00B853BF" w:rsidP="00FC6715">
            <w:pPr>
              <w:pStyle w:val="Header"/>
              <w:tabs>
                <w:tab w:val="clear" w:pos="4320"/>
                <w:tab w:val="clear" w:pos="8640"/>
              </w:tabs>
              <w:rPr>
                <w:rFonts w:cs="Arial"/>
                <w:b/>
                <w:bCs/>
              </w:rPr>
            </w:pPr>
            <w:r>
              <w:rPr>
                <w:rFonts w:cs="Arial"/>
                <w:b/>
                <w:bCs/>
              </w:rPr>
              <w:t>Draw volume: 1.2 mL</w:t>
            </w:r>
          </w:p>
          <w:p w:rsidR="008C6EDC" w:rsidRDefault="008C6EDC" w:rsidP="00FC6715">
            <w:pPr>
              <w:pStyle w:val="Header"/>
              <w:tabs>
                <w:tab w:val="clear" w:pos="4320"/>
                <w:tab w:val="clear" w:pos="8640"/>
              </w:tabs>
              <w:rPr>
                <w:rFonts w:cs="Arial"/>
                <w:szCs w:val="20"/>
              </w:rPr>
            </w:pPr>
            <w:r>
              <w:rPr>
                <w:rFonts w:cs="Arial"/>
                <w:b/>
                <w:bCs/>
              </w:rPr>
              <w:t>Minimum</w:t>
            </w:r>
            <w:r w:rsidR="00B853BF">
              <w:rPr>
                <w:rFonts w:cs="Arial"/>
                <w:b/>
                <w:bCs/>
              </w:rPr>
              <w:t xml:space="preserve"> processed</w:t>
            </w:r>
            <w:r>
              <w:rPr>
                <w:rFonts w:cs="Arial"/>
                <w:b/>
                <w:bCs/>
              </w:rPr>
              <w:t xml:space="preserve"> volume:</w:t>
            </w:r>
            <w:r>
              <w:rPr>
                <w:rFonts w:cs="Arial"/>
              </w:rPr>
              <w:t xml:space="preserve"> </w:t>
            </w:r>
            <w:r w:rsidR="00870277">
              <w:rPr>
                <w:rFonts w:cs="Arial"/>
              </w:rPr>
              <w:t>150</w:t>
            </w:r>
            <w:r w:rsidR="00DA7E2D">
              <w:rPr>
                <w:rFonts w:cs="Arial"/>
              </w:rPr>
              <w:t xml:space="preserve"> </w:t>
            </w:r>
            <w:r w:rsidR="00DA7E2D" w:rsidRPr="009F5F31">
              <w:rPr>
                <w:rFonts w:cs="Arial"/>
                <w:szCs w:val="20"/>
              </w:rPr>
              <w:t>µL</w:t>
            </w:r>
            <w:r w:rsidR="00DA7E2D">
              <w:rPr>
                <w:rFonts w:cs="Arial"/>
                <w:szCs w:val="20"/>
              </w:rPr>
              <w:t xml:space="preserve"> of serum or plasma</w:t>
            </w:r>
            <w:r w:rsidR="000E20E2">
              <w:rPr>
                <w:rFonts w:cs="Arial"/>
                <w:szCs w:val="20"/>
              </w:rPr>
              <w:t xml:space="preserve"> (does not allow</w:t>
            </w:r>
            <w:r w:rsidR="00B853BF">
              <w:rPr>
                <w:rFonts w:cs="Arial"/>
                <w:szCs w:val="20"/>
              </w:rPr>
              <w:t xml:space="preserve"> for repeat or dilution</w:t>
            </w:r>
            <w:r w:rsidR="000E20E2">
              <w:rPr>
                <w:rFonts w:cs="Arial"/>
                <w:szCs w:val="20"/>
              </w:rPr>
              <w:t>)</w:t>
            </w:r>
          </w:p>
          <w:p w:rsidR="00B853BF" w:rsidRDefault="00B853BF" w:rsidP="00FC6715">
            <w:pPr>
              <w:pStyle w:val="Header"/>
              <w:tabs>
                <w:tab w:val="clear" w:pos="4320"/>
                <w:tab w:val="clear" w:pos="8640"/>
              </w:tabs>
              <w:rPr>
                <w:rFonts w:cs="Arial"/>
                <w:szCs w:val="20"/>
              </w:rPr>
            </w:pPr>
          </w:p>
          <w:p w:rsidR="00B853BF" w:rsidRDefault="00B853BF" w:rsidP="00FC6715">
            <w:pPr>
              <w:pStyle w:val="Header"/>
              <w:tabs>
                <w:tab w:val="clear" w:pos="4320"/>
                <w:tab w:val="clear" w:pos="8640"/>
              </w:tabs>
              <w:rPr>
                <w:rFonts w:cs="Arial"/>
              </w:rPr>
            </w:pPr>
            <w:r>
              <w:rPr>
                <w:rFonts w:cs="Arial"/>
                <w:b/>
                <w:szCs w:val="20"/>
              </w:rPr>
              <w:t xml:space="preserve">Transport: </w:t>
            </w:r>
            <w:r>
              <w:rPr>
                <w:rFonts w:cs="Arial"/>
                <w:szCs w:val="20"/>
              </w:rPr>
              <w:t>Ship and Store refrigerated (</w:t>
            </w:r>
            <w:r>
              <w:rPr>
                <w:rFonts w:eastAsia="HelenPro-Regular"/>
              </w:rPr>
              <w:t>2-8°C)</w:t>
            </w:r>
            <w:r>
              <w:rPr>
                <w:rFonts w:cs="Arial"/>
                <w:szCs w:val="20"/>
              </w:rPr>
              <w:t xml:space="preserve"> to Minneapolis lab</w:t>
            </w:r>
          </w:p>
          <w:p w:rsidR="008C6EDC" w:rsidRDefault="008C6EDC" w:rsidP="00FC6715">
            <w:pPr>
              <w:rPr>
                <w:rFonts w:cs="Arial"/>
              </w:rPr>
            </w:pPr>
          </w:p>
          <w:p w:rsidR="008C6EDC" w:rsidRPr="00DA7E2D" w:rsidRDefault="008C6EDC" w:rsidP="00DA7E2D">
            <w:pPr>
              <w:autoSpaceDE w:val="0"/>
              <w:autoSpaceDN w:val="0"/>
              <w:adjustRightInd w:val="0"/>
              <w:rPr>
                <w:rFonts w:eastAsia="HelenPro-Bold"/>
                <w:b/>
                <w:bCs/>
              </w:rPr>
            </w:pPr>
            <w:r>
              <w:rPr>
                <w:rFonts w:cs="Arial"/>
                <w:b/>
                <w:bCs/>
              </w:rPr>
              <w:t>Stability:</w:t>
            </w:r>
            <w:r w:rsidR="00870277">
              <w:rPr>
                <w:rFonts w:cs="Arial"/>
              </w:rPr>
              <w:t>14</w:t>
            </w:r>
            <w:r w:rsidR="00DA7E2D">
              <w:rPr>
                <w:rFonts w:cs="Arial"/>
              </w:rPr>
              <w:t xml:space="preserve"> days at </w:t>
            </w:r>
            <w:r w:rsidR="00DA7E2D">
              <w:rPr>
                <w:rFonts w:eastAsia="HelenPro-Regular"/>
              </w:rPr>
              <w:t>2-8°C</w:t>
            </w:r>
            <w:r w:rsidR="00870277">
              <w:rPr>
                <w:rFonts w:eastAsia="HelenPro-Regular"/>
              </w:rPr>
              <w:t>, 30 days</w:t>
            </w:r>
            <w:r w:rsidR="00DA7E2D" w:rsidRPr="008036AC">
              <w:rPr>
                <w:rFonts w:eastAsia="HelenPro-Regular"/>
              </w:rPr>
              <w:t xml:space="preserve"> -20°C or</w:t>
            </w:r>
            <w:r w:rsidR="00DA7E2D">
              <w:rPr>
                <w:rFonts w:eastAsia="HelenPro-Regular"/>
              </w:rPr>
              <w:t xml:space="preserve"> </w:t>
            </w:r>
            <w:r w:rsidR="00870277">
              <w:rPr>
                <w:rFonts w:eastAsia="HelenPro-Regular"/>
              </w:rPr>
              <w:t>colder</w:t>
            </w:r>
            <w:r w:rsidR="00DA7E2D">
              <w:rPr>
                <w:rFonts w:eastAsia="HelenPro-Regular"/>
              </w:rPr>
              <w:t>.</w:t>
            </w:r>
          </w:p>
          <w:p w:rsidR="008C6EDC" w:rsidRDefault="008C6EDC" w:rsidP="00FC6715">
            <w:pPr>
              <w:pStyle w:val="Header"/>
              <w:tabs>
                <w:tab w:val="clear" w:pos="4320"/>
                <w:tab w:val="clear" w:pos="8640"/>
              </w:tabs>
              <w:rPr>
                <w:rFonts w:cs="Arial"/>
                <w:szCs w:val="14"/>
              </w:rPr>
            </w:pPr>
          </w:p>
          <w:p w:rsidR="008C6EDC" w:rsidRDefault="008C6EDC" w:rsidP="00FC6715">
            <w:pPr>
              <w:rPr>
                <w:rFonts w:cs="Arial"/>
              </w:rPr>
            </w:pPr>
            <w:r>
              <w:rPr>
                <w:rFonts w:cs="Arial"/>
                <w:b/>
                <w:bCs/>
              </w:rPr>
              <w:t>Rejection criteria:</w:t>
            </w:r>
            <w:r>
              <w:rPr>
                <w:rFonts w:cs="Arial"/>
              </w:rPr>
              <w:t xml:space="preserve"> </w:t>
            </w:r>
            <w:r w:rsidR="00CF7522">
              <w:rPr>
                <w:rFonts w:cs="Arial"/>
              </w:rPr>
              <w:t>Unlabeled specimens, incorrect sample type</w:t>
            </w:r>
          </w:p>
          <w:p w:rsidR="008C6EDC" w:rsidRDefault="008C6EDC" w:rsidP="00FC6715">
            <w:pPr>
              <w:rPr>
                <w:rFonts w:cs="Arial"/>
                <w:b/>
                <w:bCs/>
                <w:szCs w:val="20"/>
              </w:rPr>
            </w:pPr>
          </w:p>
          <w:p w:rsidR="008C6EDC" w:rsidRPr="009F5F31" w:rsidRDefault="008C6EDC" w:rsidP="00FC6715">
            <w:pPr>
              <w:rPr>
                <w:rFonts w:cs="Arial"/>
                <w:szCs w:val="20"/>
              </w:rPr>
            </w:pPr>
            <w:r w:rsidRPr="009F5F31">
              <w:rPr>
                <w:rFonts w:cs="Arial"/>
                <w:b/>
                <w:bCs/>
                <w:szCs w:val="20"/>
              </w:rPr>
              <w:t>Preparation:</w:t>
            </w:r>
            <w:r w:rsidRPr="009F5F31">
              <w:rPr>
                <w:rFonts w:cs="Arial"/>
                <w:szCs w:val="20"/>
              </w:rPr>
              <w:t xml:space="preserve"> </w:t>
            </w:r>
          </w:p>
          <w:p w:rsidR="008C6EDC" w:rsidRPr="009F5F31" w:rsidRDefault="00CF7522" w:rsidP="00FC6715">
            <w:pPr>
              <w:numPr>
                <w:ilvl w:val="0"/>
                <w:numId w:val="14"/>
              </w:numPr>
              <w:rPr>
                <w:rFonts w:cs="Arial"/>
                <w:szCs w:val="20"/>
              </w:rPr>
            </w:pPr>
            <w:r>
              <w:rPr>
                <w:rFonts w:cs="Arial"/>
                <w:szCs w:val="20"/>
              </w:rPr>
              <w:t>Serum</w:t>
            </w:r>
            <w:r w:rsidR="008C6EDC" w:rsidRPr="009F5F31">
              <w:rPr>
                <w:rFonts w:cs="Arial"/>
                <w:szCs w:val="20"/>
              </w:rPr>
              <w:t xml:space="preserve"> specimens should be centrifuged following complete clot formation, according to Specimen Processing procedures prior to analysis.</w:t>
            </w:r>
            <w:r>
              <w:rPr>
                <w:rFonts w:cs="Arial"/>
                <w:szCs w:val="20"/>
              </w:rPr>
              <w:t xml:space="preserve">  Plasma specimens can be centrifuged immediately</w:t>
            </w:r>
            <w:r w:rsidR="000E000A">
              <w:rPr>
                <w:rFonts w:cs="Arial"/>
                <w:szCs w:val="20"/>
              </w:rPr>
              <w:t xml:space="preserve">.  </w:t>
            </w:r>
            <w:r>
              <w:rPr>
                <w:rFonts w:cs="Arial"/>
                <w:szCs w:val="20"/>
              </w:rPr>
              <w:t xml:space="preserve"> </w:t>
            </w:r>
          </w:p>
          <w:p w:rsidR="008C6EDC" w:rsidRDefault="008C6EDC" w:rsidP="00FC6715">
            <w:pPr>
              <w:numPr>
                <w:ilvl w:val="0"/>
                <w:numId w:val="14"/>
              </w:numPr>
              <w:autoSpaceDE w:val="0"/>
              <w:autoSpaceDN w:val="0"/>
              <w:adjustRightInd w:val="0"/>
              <w:rPr>
                <w:rFonts w:cs="Arial"/>
                <w:szCs w:val="20"/>
              </w:rPr>
            </w:pPr>
            <w:r w:rsidRPr="009F5F31">
              <w:rPr>
                <w:rFonts w:cs="Arial"/>
                <w:szCs w:val="20"/>
              </w:rPr>
              <w:t>Serum or plasma should be physically separated from cells as soon as possible with a maximum limit of two hours from the time of collection.</w:t>
            </w:r>
          </w:p>
          <w:p w:rsidR="00C0536C" w:rsidRPr="0006367E" w:rsidRDefault="00C0536C" w:rsidP="00FC6715">
            <w:pPr>
              <w:numPr>
                <w:ilvl w:val="0"/>
                <w:numId w:val="14"/>
              </w:numPr>
              <w:autoSpaceDE w:val="0"/>
              <w:autoSpaceDN w:val="0"/>
              <w:adjustRightInd w:val="0"/>
              <w:rPr>
                <w:rFonts w:cs="Arial"/>
                <w:szCs w:val="20"/>
              </w:rPr>
            </w:pPr>
            <w:r>
              <w:rPr>
                <w:rFonts w:cs="Arial"/>
                <w:szCs w:val="20"/>
              </w:rPr>
              <w:t>Lipemic samples should be ultrafuged.</w:t>
            </w:r>
          </w:p>
          <w:p w:rsidR="008C6EDC" w:rsidRPr="009F5F31" w:rsidRDefault="008C6EDC" w:rsidP="00FC6715">
            <w:pPr>
              <w:numPr>
                <w:ilvl w:val="0"/>
                <w:numId w:val="14"/>
              </w:numPr>
              <w:autoSpaceDE w:val="0"/>
              <w:autoSpaceDN w:val="0"/>
              <w:adjustRightInd w:val="0"/>
              <w:rPr>
                <w:rFonts w:cs="Arial"/>
                <w:szCs w:val="20"/>
              </w:rPr>
            </w:pPr>
            <w:r w:rsidRPr="009F5F31">
              <w:rPr>
                <w:rFonts w:cs="Arial"/>
                <w:szCs w:val="20"/>
              </w:rPr>
              <w:t xml:space="preserve">Specimens should be free of particulate matter. </w:t>
            </w:r>
          </w:p>
          <w:p w:rsidR="008C6EDC" w:rsidRPr="009F5F31" w:rsidRDefault="008C6EDC" w:rsidP="00FC6715">
            <w:pPr>
              <w:numPr>
                <w:ilvl w:val="0"/>
                <w:numId w:val="14"/>
              </w:numPr>
              <w:autoSpaceDE w:val="0"/>
              <w:autoSpaceDN w:val="0"/>
              <w:adjustRightInd w:val="0"/>
              <w:rPr>
                <w:rFonts w:cs="Arial"/>
                <w:szCs w:val="20"/>
              </w:rPr>
            </w:pPr>
            <w:r w:rsidRPr="009F5F31">
              <w:rPr>
                <w:rFonts w:cs="Arial"/>
                <w:szCs w:val="20"/>
              </w:rPr>
              <w:t xml:space="preserve">Transfer serum or plasma to a properly labeled </w:t>
            </w:r>
            <w:r w:rsidR="000E000A">
              <w:rPr>
                <w:rFonts w:cs="Arial"/>
                <w:szCs w:val="20"/>
              </w:rPr>
              <w:t>Architect sample cup on top of a sendout tube</w:t>
            </w:r>
            <w:r w:rsidRPr="009F5F31">
              <w:rPr>
                <w:rFonts w:cs="Arial"/>
                <w:szCs w:val="20"/>
              </w:rPr>
              <w:t>.</w:t>
            </w:r>
            <w:r w:rsidR="000E000A">
              <w:rPr>
                <w:rFonts w:cs="Arial"/>
                <w:szCs w:val="20"/>
              </w:rPr>
              <w:t xml:space="preserve"> </w:t>
            </w:r>
            <w:r w:rsidRPr="009F5F31">
              <w:rPr>
                <w:rFonts w:cs="Arial"/>
                <w:szCs w:val="20"/>
              </w:rPr>
              <w:t xml:space="preserve"> Minimum labeling</w:t>
            </w:r>
            <w:r w:rsidR="000E000A">
              <w:rPr>
                <w:rFonts w:cs="Arial"/>
                <w:szCs w:val="20"/>
              </w:rPr>
              <w:t xml:space="preserve"> on cup and tube</w:t>
            </w:r>
            <w:r w:rsidRPr="009F5F31">
              <w:rPr>
                <w:rFonts w:cs="Arial"/>
                <w:szCs w:val="20"/>
              </w:rPr>
              <w:t xml:space="preserve"> includes sample accession ID, and/ or patient name, medical record number, collection date and time.</w:t>
            </w:r>
            <w:r w:rsidR="000E000A">
              <w:rPr>
                <w:rFonts w:cs="Arial"/>
                <w:szCs w:val="20"/>
              </w:rPr>
              <w:t xml:space="preserve"> </w:t>
            </w:r>
          </w:p>
          <w:p w:rsidR="008C6EDC" w:rsidRDefault="008C6EDC" w:rsidP="00FC6715">
            <w:pPr>
              <w:autoSpaceDE w:val="0"/>
              <w:autoSpaceDN w:val="0"/>
              <w:adjustRightInd w:val="0"/>
              <w:rPr>
                <w:rFonts w:cs="Arial"/>
              </w:rPr>
            </w:pPr>
          </w:p>
        </w:tc>
      </w:tr>
      <w:tr w:rsidR="00B816B4" w:rsidTr="00D120DB">
        <w:trPr>
          <w:trHeight w:val="5417"/>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pPr>
              <w:rPr>
                <w:rFonts w:cs="Arial"/>
                <w:b/>
                <w:bCs/>
                <w:color w:val="0000FF"/>
              </w:rPr>
            </w:pPr>
          </w:p>
          <w:p w:rsidR="00B816B4" w:rsidRDefault="00B816B4">
            <w:pPr>
              <w:rPr>
                <w:rFonts w:cs="Arial"/>
                <w:b/>
                <w:bCs/>
                <w:color w:val="0000FF"/>
              </w:rPr>
            </w:pPr>
            <w:r>
              <w:rPr>
                <w:rFonts w:cs="Arial"/>
                <w:b/>
                <w:bCs/>
                <w:color w:val="0000FF"/>
              </w:rPr>
              <w:t>Reagents</w:t>
            </w:r>
          </w:p>
          <w:p w:rsidR="00B816B4" w:rsidRDefault="00B816B4">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B816B4" w:rsidRPr="00EF1741" w:rsidRDefault="00B816B4" w:rsidP="008C6EDC">
            <w:pPr>
              <w:pStyle w:val="Reagents"/>
              <w:rPr>
                <w:rFonts w:ascii="Arial" w:hAnsi="Arial" w:cs="Arial"/>
                <w:b/>
                <w:bCs/>
                <w:color w:val="365F91"/>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gridCol w:w="1710"/>
              <w:gridCol w:w="4140"/>
              <w:gridCol w:w="393"/>
            </w:tblGrid>
            <w:tr w:rsidR="00B816B4">
              <w:tc>
                <w:tcPr>
                  <w:tcW w:w="2857" w:type="dxa"/>
                </w:tcPr>
                <w:p w:rsidR="00B816B4" w:rsidRDefault="00B816B4" w:rsidP="008C6EDC">
                  <w:pPr>
                    <w:pStyle w:val="Reagents"/>
                    <w:rPr>
                      <w:rFonts w:ascii="Arial" w:hAnsi="Arial" w:cs="Arial"/>
                      <w:b/>
                      <w:bCs/>
                    </w:rPr>
                  </w:pPr>
                  <w:r w:rsidRPr="006D1E54">
                    <w:rPr>
                      <w:rFonts w:ascii="Arial" w:hAnsi="Arial" w:cs="Arial"/>
                      <w:b/>
                      <w:bCs/>
                      <w:i/>
                      <w:iCs/>
                    </w:rPr>
                    <w:t>Product Description</w:t>
                  </w:r>
                </w:p>
              </w:tc>
              <w:tc>
                <w:tcPr>
                  <w:tcW w:w="1710" w:type="dxa"/>
                </w:tcPr>
                <w:p w:rsidR="00B816B4" w:rsidRDefault="00B816B4" w:rsidP="008C6EDC">
                  <w:pPr>
                    <w:pStyle w:val="Reagents"/>
                    <w:rPr>
                      <w:rFonts w:ascii="Arial" w:hAnsi="Arial" w:cs="Arial"/>
                      <w:b/>
                      <w:bCs/>
                    </w:rPr>
                  </w:pPr>
                  <w:r w:rsidRPr="006D1E54">
                    <w:rPr>
                      <w:rFonts w:ascii="Arial" w:hAnsi="Arial" w:cs="Arial"/>
                      <w:b/>
                      <w:bCs/>
                      <w:i/>
                      <w:iCs/>
                    </w:rPr>
                    <w:t xml:space="preserve">Product </w:t>
                  </w:r>
                  <w:r>
                    <w:rPr>
                      <w:rFonts w:ascii="Arial" w:hAnsi="Arial" w:cs="Arial"/>
                      <w:b/>
                      <w:bCs/>
                      <w:i/>
                      <w:iCs/>
                    </w:rPr>
                    <w:t>Code</w:t>
                  </w:r>
                </w:p>
              </w:tc>
              <w:tc>
                <w:tcPr>
                  <w:tcW w:w="4533" w:type="dxa"/>
                  <w:gridSpan w:val="2"/>
                </w:tcPr>
                <w:p w:rsidR="00B816B4" w:rsidRDefault="00B816B4" w:rsidP="008C6EDC">
                  <w:pPr>
                    <w:pStyle w:val="Reagents"/>
                    <w:rPr>
                      <w:rFonts w:ascii="Arial" w:hAnsi="Arial" w:cs="Arial"/>
                      <w:b/>
                      <w:bCs/>
                    </w:rPr>
                  </w:pPr>
                  <w:r w:rsidRPr="006D1E54">
                    <w:rPr>
                      <w:rFonts w:ascii="Arial" w:hAnsi="Arial" w:cs="Arial"/>
                      <w:b/>
                      <w:bCs/>
                      <w:i/>
                      <w:iCs/>
                    </w:rPr>
                    <w:t>Stability</w:t>
                  </w:r>
                </w:p>
              </w:tc>
            </w:tr>
            <w:tr w:rsidR="00B816B4" w:rsidRPr="00C709DD">
              <w:trPr>
                <w:gridAfter w:val="1"/>
                <w:wAfter w:w="393" w:type="dxa"/>
              </w:trPr>
              <w:tc>
                <w:tcPr>
                  <w:tcW w:w="2857" w:type="dxa"/>
                </w:tcPr>
                <w:p w:rsidR="00B816B4" w:rsidRPr="006A36C8" w:rsidRDefault="00870277" w:rsidP="008C6EDC">
                  <w:pPr>
                    <w:autoSpaceDE w:val="0"/>
                    <w:autoSpaceDN w:val="0"/>
                    <w:adjustRightInd w:val="0"/>
                    <w:rPr>
                      <w:rFonts w:cs="Arial"/>
                      <w:szCs w:val="20"/>
                    </w:rPr>
                  </w:pPr>
                  <w:r>
                    <w:rPr>
                      <w:rFonts w:cs="Arial"/>
                      <w:szCs w:val="20"/>
                    </w:rPr>
                    <w:t>Cortisol</w:t>
                  </w:r>
                  <w:r w:rsidR="00CF7522">
                    <w:rPr>
                      <w:rFonts w:cs="Arial"/>
                      <w:szCs w:val="20"/>
                    </w:rPr>
                    <w:t xml:space="preserve"> Reagent</w:t>
                  </w:r>
                </w:p>
                <w:p w:rsidR="00B816B4" w:rsidRPr="006A36C8" w:rsidRDefault="00B816B4" w:rsidP="008C6EDC">
                  <w:pPr>
                    <w:autoSpaceDE w:val="0"/>
                    <w:autoSpaceDN w:val="0"/>
                    <w:adjustRightInd w:val="0"/>
                    <w:rPr>
                      <w:rFonts w:cs="Arial"/>
                      <w:szCs w:val="20"/>
                    </w:rPr>
                  </w:pPr>
                </w:p>
              </w:tc>
              <w:tc>
                <w:tcPr>
                  <w:tcW w:w="1710" w:type="dxa"/>
                </w:tcPr>
                <w:p w:rsidR="00B816B4" w:rsidRPr="006A36C8" w:rsidRDefault="00870277" w:rsidP="008C6EDC">
                  <w:pPr>
                    <w:pStyle w:val="BodyText"/>
                    <w:tabs>
                      <w:tab w:val="left" w:pos="3240"/>
                    </w:tabs>
                    <w:rPr>
                      <w:rFonts w:cs="Arial"/>
                      <w:szCs w:val="20"/>
                    </w:rPr>
                  </w:pPr>
                  <w:r>
                    <w:rPr>
                      <w:rFonts w:cs="Arial"/>
                      <w:szCs w:val="20"/>
                    </w:rPr>
                    <w:t>8D15</w:t>
                  </w:r>
                  <w:r w:rsidR="000F35A3">
                    <w:rPr>
                      <w:rFonts w:cs="Arial"/>
                      <w:szCs w:val="20"/>
                    </w:rPr>
                    <w:t>25</w:t>
                  </w:r>
                </w:p>
              </w:tc>
              <w:tc>
                <w:tcPr>
                  <w:tcW w:w="4140" w:type="dxa"/>
                  <w:vAlign w:val="center"/>
                </w:tcPr>
                <w:p w:rsidR="00B816B4" w:rsidRPr="00214007" w:rsidRDefault="00B816B4" w:rsidP="002265E2">
                  <w:pPr>
                    <w:pStyle w:val="Reagents"/>
                    <w:spacing w:after="80"/>
                    <w:rPr>
                      <w:rFonts w:ascii="Arial" w:hAnsi="Arial" w:cs="Arial"/>
                      <w:bCs/>
                    </w:rPr>
                  </w:pPr>
                  <w:r w:rsidRPr="00214007">
                    <w:rPr>
                      <w:rFonts w:ascii="Arial" w:hAnsi="Arial" w:cs="Arial"/>
                      <w:b/>
                      <w:bCs/>
                    </w:rPr>
                    <w:t>Store at:</w:t>
                  </w:r>
                  <w:r w:rsidRPr="00214007">
                    <w:rPr>
                      <w:rFonts w:ascii="Arial" w:hAnsi="Arial" w:cs="Arial"/>
                      <w:bCs/>
                    </w:rPr>
                    <w:t xml:space="preserve"> 2 – 8 °C</w:t>
                  </w:r>
                </w:p>
                <w:p w:rsidR="00B816B4" w:rsidRPr="00214007" w:rsidRDefault="00B816B4" w:rsidP="002265E2">
                  <w:pPr>
                    <w:pStyle w:val="Reagents"/>
                    <w:spacing w:after="80"/>
                    <w:rPr>
                      <w:rFonts w:ascii="Arial" w:hAnsi="Arial" w:cs="Arial"/>
                      <w:bCs/>
                    </w:rPr>
                  </w:pPr>
                  <w:r w:rsidRPr="00214007">
                    <w:rPr>
                      <w:rFonts w:ascii="Arial" w:hAnsi="Arial" w:cs="Arial"/>
                      <w:b/>
                      <w:bCs/>
                    </w:rPr>
                    <w:t>Unopened</w:t>
                  </w:r>
                  <w:r w:rsidR="002265E2">
                    <w:rPr>
                      <w:rFonts w:ascii="Arial" w:hAnsi="Arial" w:cs="Arial"/>
                      <w:b/>
                      <w:bCs/>
                    </w:rPr>
                    <w:t>/Opened</w:t>
                  </w:r>
                  <w:r w:rsidRPr="00214007">
                    <w:rPr>
                      <w:rFonts w:ascii="Arial" w:hAnsi="Arial" w:cs="Arial"/>
                      <w:b/>
                      <w:bCs/>
                    </w:rPr>
                    <w:t>:</w:t>
                  </w:r>
                  <w:r w:rsidR="002265E2">
                    <w:rPr>
                      <w:rFonts w:ascii="Arial" w:hAnsi="Arial" w:cs="Arial"/>
                      <w:b/>
                      <w:bCs/>
                    </w:rPr>
                    <w:t xml:space="preserve"> </w:t>
                  </w:r>
                  <w:r w:rsidR="002265E2">
                    <w:rPr>
                      <w:rFonts w:ascii="Arial" w:hAnsi="Arial" w:cs="Arial"/>
                      <w:bCs/>
                    </w:rPr>
                    <w:t>Manufacture</w:t>
                  </w:r>
                  <w:r w:rsidR="000E000A">
                    <w:rPr>
                      <w:rFonts w:ascii="Arial" w:hAnsi="Arial" w:cs="Arial"/>
                      <w:bCs/>
                    </w:rPr>
                    <w:t>r</w:t>
                  </w:r>
                  <w:r w:rsidR="002265E2">
                    <w:rPr>
                      <w:rFonts w:ascii="Arial" w:hAnsi="Arial" w:cs="Arial"/>
                      <w:bCs/>
                    </w:rPr>
                    <w:t xml:space="preserve"> expiration date</w:t>
                  </w:r>
                  <w:r w:rsidRPr="00214007">
                    <w:rPr>
                      <w:rFonts w:ascii="Arial" w:hAnsi="Arial" w:cs="Arial"/>
                      <w:bCs/>
                    </w:rPr>
                    <w:t>.</w:t>
                  </w:r>
                </w:p>
                <w:p w:rsidR="00B816B4" w:rsidRPr="00214007" w:rsidRDefault="00B816B4" w:rsidP="002265E2">
                  <w:pPr>
                    <w:autoSpaceDE w:val="0"/>
                    <w:autoSpaceDN w:val="0"/>
                    <w:adjustRightInd w:val="0"/>
                    <w:spacing w:after="80"/>
                    <w:rPr>
                      <w:rFonts w:cs="Arial"/>
                      <w:szCs w:val="20"/>
                    </w:rPr>
                  </w:pPr>
                  <w:r w:rsidRPr="00214007">
                    <w:rPr>
                      <w:rFonts w:cs="Arial"/>
                      <w:b/>
                      <w:bCs/>
                      <w:szCs w:val="20"/>
                    </w:rPr>
                    <w:t xml:space="preserve">On-board: </w:t>
                  </w:r>
                  <w:r w:rsidR="002265E2">
                    <w:rPr>
                      <w:rFonts w:cs="Arial"/>
                      <w:szCs w:val="20"/>
                    </w:rPr>
                    <w:t>30 Days</w:t>
                  </w:r>
                </w:p>
              </w:tc>
            </w:tr>
            <w:tr w:rsidR="00B816B4" w:rsidRPr="007B2A3E">
              <w:trPr>
                <w:gridAfter w:val="1"/>
                <w:wAfter w:w="393" w:type="dxa"/>
              </w:trPr>
              <w:tc>
                <w:tcPr>
                  <w:tcW w:w="2857" w:type="dxa"/>
                </w:tcPr>
                <w:p w:rsidR="00B816B4" w:rsidRPr="006A36C8" w:rsidRDefault="00870277" w:rsidP="008C6EDC">
                  <w:pPr>
                    <w:pStyle w:val="BodyText"/>
                    <w:rPr>
                      <w:rFonts w:cs="Arial"/>
                      <w:szCs w:val="20"/>
                    </w:rPr>
                  </w:pPr>
                  <w:r>
                    <w:rPr>
                      <w:rFonts w:cs="Arial"/>
                      <w:szCs w:val="20"/>
                    </w:rPr>
                    <w:t>Cortisol</w:t>
                  </w:r>
                  <w:r w:rsidR="00CF7522">
                    <w:rPr>
                      <w:rFonts w:cs="Arial"/>
                      <w:szCs w:val="20"/>
                    </w:rPr>
                    <w:t xml:space="preserve"> Calibrator</w:t>
                  </w:r>
                </w:p>
              </w:tc>
              <w:tc>
                <w:tcPr>
                  <w:tcW w:w="1710" w:type="dxa"/>
                </w:tcPr>
                <w:p w:rsidR="00B816B4" w:rsidRPr="006A36C8" w:rsidRDefault="000E000A" w:rsidP="008C6EDC">
                  <w:pPr>
                    <w:pStyle w:val="BodyText"/>
                    <w:rPr>
                      <w:rFonts w:cs="Arial"/>
                      <w:szCs w:val="20"/>
                    </w:rPr>
                  </w:pPr>
                  <w:r>
                    <w:rPr>
                      <w:rFonts w:cs="Arial"/>
                      <w:szCs w:val="20"/>
                    </w:rPr>
                    <w:t>0</w:t>
                  </w:r>
                  <w:r w:rsidR="00870277">
                    <w:rPr>
                      <w:rFonts w:cs="Arial"/>
                      <w:szCs w:val="20"/>
                    </w:rPr>
                    <w:t>8D15-02</w:t>
                  </w:r>
                </w:p>
              </w:tc>
              <w:tc>
                <w:tcPr>
                  <w:tcW w:w="4140" w:type="dxa"/>
                  <w:vAlign w:val="center"/>
                </w:tcPr>
                <w:p w:rsidR="00B816B4" w:rsidRDefault="00260A50" w:rsidP="008C6EDC">
                  <w:pPr>
                    <w:pStyle w:val="BodyText"/>
                    <w:spacing w:after="80"/>
                    <w:jc w:val="both"/>
                    <w:rPr>
                      <w:rFonts w:cs="Arial"/>
                      <w:bCs/>
                    </w:rPr>
                  </w:pPr>
                  <w:r>
                    <w:rPr>
                      <w:rFonts w:cs="Arial"/>
                      <w:b/>
                      <w:szCs w:val="20"/>
                    </w:rPr>
                    <w:t xml:space="preserve">Store at: </w:t>
                  </w:r>
                  <w:r w:rsidR="00870277">
                    <w:rPr>
                      <w:rFonts w:cs="Arial"/>
                      <w:szCs w:val="20"/>
                    </w:rPr>
                    <w:t xml:space="preserve"> -20 </w:t>
                  </w:r>
                  <w:r w:rsidRPr="00214007">
                    <w:rPr>
                      <w:rFonts w:cs="Arial"/>
                      <w:bCs/>
                    </w:rPr>
                    <w:t>°C</w:t>
                  </w:r>
                </w:p>
                <w:p w:rsidR="00260A50" w:rsidRDefault="00260A50" w:rsidP="008C6EDC">
                  <w:pPr>
                    <w:pStyle w:val="BodyText"/>
                    <w:spacing w:after="80"/>
                    <w:jc w:val="both"/>
                    <w:rPr>
                      <w:rFonts w:cs="Arial"/>
                      <w:bCs/>
                    </w:rPr>
                  </w:pPr>
                  <w:r w:rsidRPr="00260A50">
                    <w:rPr>
                      <w:rFonts w:cs="Arial"/>
                      <w:b/>
                      <w:bCs/>
                    </w:rPr>
                    <w:t>Unopened</w:t>
                  </w:r>
                  <w:r w:rsidR="00CF7522" w:rsidRPr="00232780">
                    <w:rPr>
                      <w:rFonts w:cs="Arial"/>
                      <w:b/>
                      <w:bCs/>
                    </w:rPr>
                    <w:t>:</w:t>
                  </w:r>
                  <w:r w:rsidR="00CF7522">
                    <w:rPr>
                      <w:rFonts w:cs="Arial"/>
                      <w:bCs/>
                    </w:rPr>
                    <w:t xml:space="preserve"> Manufacture</w:t>
                  </w:r>
                  <w:r w:rsidR="000E000A">
                    <w:rPr>
                      <w:rFonts w:cs="Arial"/>
                      <w:bCs/>
                    </w:rPr>
                    <w:t>r</w:t>
                  </w:r>
                  <w:r w:rsidR="00CF7522">
                    <w:rPr>
                      <w:rFonts w:cs="Arial"/>
                      <w:bCs/>
                    </w:rPr>
                    <w:t xml:space="preserve"> ex</w:t>
                  </w:r>
                  <w:r>
                    <w:rPr>
                      <w:rFonts w:cs="Arial"/>
                      <w:bCs/>
                    </w:rPr>
                    <w:t>piration date.</w:t>
                  </w:r>
                </w:p>
                <w:p w:rsidR="00232780" w:rsidRPr="00232780" w:rsidRDefault="00232780" w:rsidP="008C6EDC">
                  <w:pPr>
                    <w:pStyle w:val="BodyText"/>
                    <w:spacing w:after="80"/>
                    <w:jc w:val="both"/>
                    <w:rPr>
                      <w:rFonts w:cs="Arial"/>
                      <w:bCs/>
                    </w:rPr>
                  </w:pPr>
                  <w:r>
                    <w:rPr>
                      <w:rFonts w:cs="Arial"/>
                      <w:b/>
                      <w:bCs/>
                    </w:rPr>
                    <w:t xml:space="preserve">Before Use: </w:t>
                  </w:r>
                  <w:r>
                    <w:rPr>
                      <w:rFonts w:cs="Arial"/>
                      <w:bCs/>
                    </w:rPr>
                    <w:t>Thaw completely at room temperature.  Prior to use, mix thoroughly by inversion 5-10 times.</w:t>
                  </w:r>
                  <w:r w:rsidR="000E000A">
                    <w:rPr>
                      <w:rFonts w:cs="Arial"/>
                      <w:bCs/>
                    </w:rPr>
                    <w:t xml:space="preserve">  Do not allow to stand at room temperature longer than 20 minutes after thawing.</w:t>
                  </w:r>
                </w:p>
                <w:p w:rsidR="00260A50" w:rsidRPr="00260A50" w:rsidRDefault="00260A50" w:rsidP="00232780">
                  <w:pPr>
                    <w:pStyle w:val="BodyText"/>
                    <w:spacing w:after="80"/>
                    <w:jc w:val="both"/>
                    <w:rPr>
                      <w:rFonts w:cs="Arial"/>
                      <w:szCs w:val="20"/>
                    </w:rPr>
                  </w:pPr>
                  <w:r w:rsidRPr="00260A50">
                    <w:rPr>
                      <w:rFonts w:cs="Arial"/>
                      <w:b/>
                      <w:bCs/>
                    </w:rPr>
                    <w:t>Opene</w:t>
                  </w:r>
                  <w:r w:rsidRPr="00232780">
                    <w:rPr>
                      <w:rFonts w:cs="Arial"/>
                      <w:b/>
                      <w:bCs/>
                    </w:rPr>
                    <w:t>d:</w:t>
                  </w:r>
                  <w:r>
                    <w:rPr>
                      <w:rFonts w:cs="Arial"/>
                      <w:bCs/>
                    </w:rPr>
                    <w:t xml:space="preserve"> </w:t>
                  </w:r>
                  <w:r w:rsidR="00232780" w:rsidRPr="00214007">
                    <w:rPr>
                      <w:rFonts w:cs="Arial"/>
                      <w:bCs/>
                    </w:rPr>
                    <w:t>2 – 8 °C</w:t>
                  </w:r>
                  <w:r w:rsidR="00232780">
                    <w:rPr>
                      <w:rFonts w:cs="Arial"/>
                      <w:bCs/>
                    </w:rPr>
                    <w:t xml:space="preserve"> for 90 days after the </w:t>
                  </w:r>
                  <w:r w:rsidR="000E000A">
                    <w:rPr>
                      <w:rFonts w:cs="Arial"/>
                      <w:bCs/>
                    </w:rPr>
                    <w:t xml:space="preserve">first </w:t>
                  </w:r>
                  <w:r w:rsidR="00232780">
                    <w:rPr>
                      <w:rFonts w:cs="Arial"/>
                      <w:bCs/>
                    </w:rPr>
                    <w:t>thaw.</w:t>
                  </w:r>
                </w:p>
              </w:tc>
            </w:tr>
            <w:tr w:rsidR="002265E2" w:rsidRPr="007B2A3E">
              <w:trPr>
                <w:gridAfter w:val="1"/>
                <w:wAfter w:w="393" w:type="dxa"/>
              </w:trPr>
              <w:tc>
                <w:tcPr>
                  <w:tcW w:w="2857" w:type="dxa"/>
                </w:tcPr>
                <w:p w:rsidR="002265E2" w:rsidRDefault="002265E2" w:rsidP="008C6EDC">
                  <w:pPr>
                    <w:pStyle w:val="BodyText"/>
                    <w:rPr>
                      <w:rFonts w:cs="Arial"/>
                      <w:szCs w:val="20"/>
                    </w:rPr>
                  </w:pPr>
                  <w:r>
                    <w:rPr>
                      <w:rFonts w:cs="Arial"/>
                      <w:szCs w:val="20"/>
                    </w:rPr>
                    <w:t>Multiasay Diluent</w:t>
                  </w:r>
                </w:p>
              </w:tc>
              <w:tc>
                <w:tcPr>
                  <w:tcW w:w="1710" w:type="dxa"/>
                </w:tcPr>
                <w:p w:rsidR="002265E2" w:rsidRDefault="002265E2" w:rsidP="008C6EDC">
                  <w:pPr>
                    <w:pStyle w:val="BodyText"/>
                    <w:rPr>
                      <w:rFonts w:cs="Arial"/>
                      <w:szCs w:val="20"/>
                    </w:rPr>
                  </w:pPr>
                  <w:r w:rsidRPr="00DB0E90">
                    <w:rPr>
                      <w:rFonts w:eastAsia="HelenPro-Regular"/>
                    </w:rPr>
                    <w:t>7D82-50</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2265E2" w:rsidP="008C6EDC">
                  <w:pPr>
                    <w:pStyle w:val="BodyText"/>
                    <w:rPr>
                      <w:rFonts w:cs="Arial"/>
                      <w:szCs w:val="20"/>
                    </w:rPr>
                  </w:pPr>
                  <w:r>
                    <w:rPr>
                      <w:rFonts w:cs="Arial"/>
                      <w:szCs w:val="20"/>
                    </w:rPr>
                    <w:t>Pre-Trigger Solution</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06E23-65</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2265E2" w:rsidP="008C6EDC">
                  <w:pPr>
                    <w:pStyle w:val="BodyText"/>
                    <w:rPr>
                      <w:rFonts w:cs="Arial"/>
                      <w:szCs w:val="20"/>
                    </w:rPr>
                  </w:pPr>
                  <w:r>
                    <w:rPr>
                      <w:rFonts w:cs="Arial"/>
                      <w:szCs w:val="20"/>
                    </w:rPr>
                    <w:t>Trigger Solution</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06C55-60</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2265E2" w:rsidP="008C6EDC">
                  <w:pPr>
                    <w:pStyle w:val="BodyText"/>
                    <w:rPr>
                      <w:rFonts w:cs="Arial"/>
                      <w:szCs w:val="20"/>
                    </w:rPr>
                  </w:pPr>
                  <w:r>
                    <w:rPr>
                      <w:rFonts w:cs="Arial"/>
                      <w:szCs w:val="20"/>
                    </w:rPr>
                    <w:t>Wash Buffer</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06C54-58</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F814F1" w:rsidP="008C6EDC">
                  <w:pPr>
                    <w:pStyle w:val="BodyText"/>
                    <w:rPr>
                      <w:rFonts w:cs="Arial"/>
                      <w:szCs w:val="20"/>
                    </w:rPr>
                  </w:pPr>
                  <w:r>
                    <w:rPr>
                      <w:rFonts w:cs="Arial"/>
                      <w:szCs w:val="20"/>
                    </w:rPr>
                    <w:t>Reaction Vessels</w:t>
                  </w:r>
                  <w:r w:rsidR="002265E2">
                    <w:rPr>
                      <w:rFonts w:cs="Arial"/>
                      <w:szCs w:val="20"/>
                    </w:rPr>
                    <w:t xml:space="preserve"> </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07C15 (-02 or -03)</w:t>
                  </w:r>
                </w:p>
              </w:tc>
              <w:tc>
                <w:tcPr>
                  <w:tcW w:w="4140" w:type="dxa"/>
                  <w:vAlign w:val="center"/>
                </w:tcPr>
                <w:p w:rsidR="002265E2" w:rsidRPr="007B2A3E" w:rsidRDefault="002265E2" w:rsidP="008C6EDC">
                  <w:pPr>
                    <w:pStyle w:val="BodyText"/>
                    <w:spacing w:after="80"/>
                    <w:jc w:val="both"/>
                    <w:rPr>
                      <w:rFonts w:cs="Arial"/>
                      <w:szCs w:val="20"/>
                    </w:rPr>
                  </w:pPr>
                  <w:r>
                    <w:rPr>
                      <w:rFonts w:cs="Arial"/>
                      <w:szCs w:val="20"/>
                    </w:rPr>
                    <w:t>N/A</w:t>
                  </w:r>
                </w:p>
              </w:tc>
            </w:tr>
          </w:tbl>
          <w:p w:rsidR="00B816B4" w:rsidRDefault="00B816B4" w:rsidP="008C6EDC">
            <w:pPr>
              <w:pStyle w:val="Header"/>
              <w:tabs>
                <w:tab w:val="clear" w:pos="4320"/>
                <w:tab w:val="clear" w:pos="8640"/>
              </w:tabs>
              <w:rPr>
                <w:rFonts w:cs="Arial"/>
              </w:rPr>
            </w:pP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Risk and Safety:</w:t>
            </w:r>
          </w:p>
        </w:tc>
        <w:tc>
          <w:tcPr>
            <w:tcW w:w="8910" w:type="dxa"/>
            <w:tcBorders>
              <w:top w:val="single" w:sz="18" w:space="0" w:color="A6A6A6" w:themeColor="background1" w:themeShade="A6"/>
              <w:bottom w:val="single" w:sz="18" w:space="0" w:color="A6A6A6" w:themeColor="background1" w:themeShade="A6"/>
            </w:tcBorders>
          </w:tcPr>
          <w:p w:rsidR="008C6EDC" w:rsidRPr="005516E7" w:rsidRDefault="008C6EDC">
            <w:pPr>
              <w:pStyle w:val="Pa13"/>
              <w:rPr>
                <w:rFonts w:ascii="Arial" w:hAnsi="Arial" w:cs="Arial"/>
                <w:color w:val="000000"/>
                <w:sz w:val="20"/>
                <w:szCs w:val="15"/>
              </w:rPr>
            </w:pPr>
          </w:p>
          <w:p w:rsidR="008C6EDC" w:rsidRDefault="000E000A" w:rsidP="00CF7522">
            <w:pPr>
              <w:autoSpaceDE w:val="0"/>
              <w:autoSpaceDN w:val="0"/>
              <w:adjustRightInd w:val="0"/>
              <w:rPr>
                <w:rFonts w:eastAsia="HelenPro-Regular" w:cs="Arial"/>
                <w:szCs w:val="20"/>
              </w:rPr>
            </w:pPr>
            <w:r>
              <w:rPr>
                <w:rFonts w:eastAsia="HelenPro-Regular" w:cs="Arial"/>
                <w:szCs w:val="20"/>
              </w:rPr>
              <w:t>Reagent c</w:t>
            </w:r>
            <w:r w:rsidR="00A072CE" w:rsidRPr="00A072CE">
              <w:rPr>
                <w:rFonts w:eastAsia="HelenPro-Regular" w:cs="Arial"/>
                <w:szCs w:val="20"/>
              </w:rPr>
              <w:t>ontains</w:t>
            </w:r>
            <w:r w:rsidR="00870277">
              <w:rPr>
                <w:rFonts w:eastAsia="HelenPro-Regular" w:cs="Arial"/>
                <w:szCs w:val="20"/>
              </w:rPr>
              <w:t xml:space="preserve"> </w:t>
            </w:r>
            <w:proofErr w:type="spellStart"/>
            <w:r w:rsidR="00870277" w:rsidRPr="00870277">
              <w:rPr>
                <w:rFonts w:eastAsia="HelenPro-Regular" w:cs="Arial"/>
                <w:szCs w:val="20"/>
              </w:rPr>
              <w:t>methylisothiazolones</w:t>
            </w:r>
            <w:proofErr w:type="spellEnd"/>
            <w:r w:rsidR="00870277" w:rsidRPr="00870277">
              <w:rPr>
                <w:rFonts w:eastAsia="HelenPro-Regular" w:cs="Arial"/>
                <w:szCs w:val="20"/>
              </w:rPr>
              <w:t xml:space="preserve"> and</w:t>
            </w:r>
            <w:r w:rsidR="00A072CE" w:rsidRPr="00A072CE">
              <w:rPr>
                <w:rFonts w:eastAsia="HelenPro-Regular" w:cs="Arial"/>
                <w:szCs w:val="20"/>
              </w:rPr>
              <w:t xml:space="preserve"> sodium azide</w:t>
            </w:r>
            <w:r w:rsidR="00A072CE">
              <w:rPr>
                <w:rFonts w:ascii="HelenPro-Regular" w:eastAsia="HelenPro-Regular" w:hAnsi="Times New Roman" w:cs="HelenPro-Regular"/>
                <w:sz w:val="17"/>
                <w:szCs w:val="17"/>
              </w:rPr>
              <w:t>.</w:t>
            </w:r>
            <w:r w:rsidR="00AD63AE">
              <w:rPr>
                <w:rFonts w:ascii="HelenPro-Regular" w:eastAsia="HelenPro-Regular" w:hAnsi="Times New Roman" w:cs="HelenPro-Regular"/>
                <w:sz w:val="17"/>
                <w:szCs w:val="17"/>
              </w:rPr>
              <w:t xml:space="preserve"> </w:t>
            </w:r>
            <w:r w:rsidR="008C6EDC" w:rsidRPr="005516E7">
              <w:rPr>
                <w:rFonts w:cs="Arial"/>
                <w:szCs w:val="20"/>
              </w:rPr>
              <w:t>Avoid contact with skin</w:t>
            </w:r>
            <w:r w:rsidR="00A072CE">
              <w:rPr>
                <w:rFonts w:cs="Arial"/>
                <w:szCs w:val="20"/>
              </w:rPr>
              <w:t xml:space="preserve"> and eye.  Causes serious eye irritation. </w:t>
            </w:r>
            <w:r w:rsidR="008C6EDC" w:rsidRPr="005516E7">
              <w:rPr>
                <w:rFonts w:cs="Arial"/>
                <w:szCs w:val="20"/>
              </w:rPr>
              <w:t>Wear gloves.</w:t>
            </w:r>
            <w:r w:rsidR="00A072CE">
              <w:rPr>
                <w:rFonts w:cs="Arial"/>
                <w:szCs w:val="20"/>
              </w:rPr>
              <w:t xml:space="preserve"> </w:t>
            </w:r>
            <w:r w:rsidR="00A072CE" w:rsidRPr="00A072CE">
              <w:rPr>
                <w:rFonts w:eastAsia="HelenPro-Regular" w:cs="Arial"/>
                <w:szCs w:val="20"/>
              </w:rPr>
              <w:t>Contact with acids liberates very toxic gas.</w:t>
            </w:r>
            <w:r w:rsidR="00CF7522">
              <w:rPr>
                <w:rFonts w:eastAsia="HelenPro-Regular" w:cs="Arial"/>
                <w:szCs w:val="20"/>
              </w:rPr>
              <w:t xml:space="preserve">  </w:t>
            </w:r>
            <w:r>
              <w:rPr>
                <w:rFonts w:eastAsia="HelenPro-Regular" w:cs="Arial"/>
                <w:szCs w:val="20"/>
              </w:rPr>
              <w:t xml:space="preserve">If all tests have been used from the reagent, it may be disposed of in regular trash.  If any tests remain, recap and dispose of in appropriate Hazardous Waste Container.  </w:t>
            </w:r>
          </w:p>
          <w:p w:rsidR="00CF7522" w:rsidRPr="00A072CE" w:rsidRDefault="00CF7522" w:rsidP="00CF7522">
            <w:pPr>
              <w:autoSpaceDE w:val="0"/>
              <w:autoSpaceDN w:val="0"/>
              <w:adjustRightInd w:val="0"/>
              <w:rPr>
                <w:rFonts w:eastAsia="HelenPro-Regular" w:cs="Arial"/>
                <w:szCs w:val="20"/>
              </w:rPr>
            </w:pPr>
          </w:p>
        </w:tc>
      </w:tr>
      <w:tr w:rsidR="00B816B4" w:rsidTr="00D120DB">
        <w:trPr>
          <w:trHeight w:val="5520"/>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pStyle w:val="BodyTextIndent"/>
            </w:pPr>
          </w:p>
          <w:p w:rsidR="00B816B4" w:rsidRDefault="00B816B4" w:rsidP="008C6EDC">
            <w:pPr>
              <w:pStyle w:val="BodyTextIndent"/>
            </w:pPr>
            <w:r>
              <w:t>Calibration/ Verification/AMR</w:t>
            </w:r>
          </w:p>
          <w:p w:rsidR="00B816B4" w:rsidRDefault="00B816B4" w:rsidP="008C6EDC">
            <w:pPr>
              <w:pStyle w:val="BodyTextIndent"/>
            </w:pPr>
          </w:p>
        </w:tc>
        <w:tc>
          <w:tcPr>
            <w:tcW w:w="8910" w:type="dxa"/>
            <w:tcBorders>
              <w:top w:val="single" w:sz="18" w:space="0" w:color="A6A6A6" w:themeColor="background1" w:themeShade="A6"/>
              <w:bottom w:val="single" w:sz="18" w:space="0" w:color="A6A6A6" w:themeColor="background1" w:themeShade="A6"/>
            </w:tcBorders>
          </w:tcPr>
          <w:p w:rsidR="00B816B4" w:rsidRPr="00B13C1A" w:rsidRDefault="00B816B4" w:rsidP="008C6EDC">
            <w:pPr>
              <w:rPr>
                <w:rFonts w:cs="Arial"/>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7"/>
              <w:gridCol w:w="5760"/>
              <w:gridCol w:w="509"/>
            </w:tblGrid>
            <w:tr w:rsidR="00B816B4" w:rsidTr="00814EAD">
              <w:trPr>
                <w:gridAfter w:val="1"/>
                <w:wAfter w:w="509" w:type="dxa"/>
                <w:trHeight w:val="377"/>
              </w:trPr>
              <w:tc>
                <w:tcPr>
                  <w:tcW w:w="2947" w:type="dxa"/>
                  <w:tcBorders>
                    <w:top w:val="single" w:sz="4" w:space="0" w:color="auto"/>
                    <w:left w:val="single" w:sz="4" w:space="0" w:color="auto"/>
                    <w:bottom w:val="single" w:sz="4" w:space="0" w:color="auto"/>
                    <w:right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Analytical Measuring Range:</w:t>
                  </w:r>
                </w:p>
              </w:tc>
              <w:tc>
                <w:tcPr>
                  <w:tcW w:w="5760" w:type="dxa"/>
                  <w:tcBorders>
                    <w:top w:val="single" w:sz="4" w:space="0" w:color="auto"/>
                    <w:left w:val="single" w:sz="4" w:space="0" w:color="auto"/>
                    <w:bottom w:val="single" w:sz="4" w:space="0" w:color="auto"/>
                    <w:right w:val="single" w:sz="4" w:space="0" w:color="auto"/>
                  </w:tcBorders>
                  <w:vAlign w:val="center"/>
                </w:tcPr>
                <w:p w:rsidR="00B816B4" w:rsidRPr="00FC6715" w:rsidRDefault="000E20E2" w:rsidP="000E20E2">
                  <w:pPr>
                    <w:pStyle w:val="CalVerTable"/>
                    <w:numPr>
                      <w:ilvl w:val="0"/>
                      <w:numId w:val="31"/>
                    </w:numPr>
                    <w:jc w:val="both"/>
                    <w:rPr>
                      <w:rFonts w:ascii="Arial" w:hAnsi="Arial" w:cs="Arial"/>
                    </w:rPr>
                  </w:pPr>
                  <w:r>
                    <w:rPr>
                      <w:rFonts w:ascii="Arial" w:eastAsia="HelenPro-Regular" w:hAnsi="Arial" w:cs="Arial"/>
                    </w:rPr>
                    <w:t xml:space="preserve">- </w:t>
                  </w:r>
                  <w:r w:rsidR="00C507F9">
                    <w:rPr>
                      <w:rFonts w:ascii="Arial" w:eastAsia="HelenPro-Regular" w:hAnsi="Arial" w:cs="Arial"/>
                    </w:rPr>
                    <w:t xml:space="preserve">59.8 </w:t>
                  </w:r>
                  <w:r w:rsidR="00C507F9" w:rsidRPr="00C507F9">
                    <w:rPr>
                      <w:rFonts w:ascii="Arial" w:eastAsia="HelenPro-Regular" w:hAnsi="Arial" w:cs="Arial"/>
                    </w:rPr>
                    <w:t>μg/dL</w:t>
                  </w:r>
                </w:p>
              </w:tc>
            </w:tr>
            <w:tr w:rsidR="00B816B4" w:rsidTr="00814EAD">
              <w:trPr>
                <w:gridAfter w:val="1"/>
                <w:wAfter w:w="509" w:type="dxa"/>
                <w:trHeight w:val="494"/>
              </w:trPr>
              <w:tc>
                <w:tcPr>
                  <w:tcW w:w="2947" w:type="dxa"/>
                  <w:tcBorders>
                    <w:top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Reference Material:</w:t>
                  </w:r>
                </w:p>
              </w:tc>
              <w:tc>
                <w:tcPr>
                  <w:tcW w:w="5760" w:type="dxa"/>
                  <w:tcBorders>
                    <w:top w:val="single" w:sz="4" w:space="0" w:color="auto"/>
                  </w:tcBorders>
                  <w:vAlign w:val="center"/>
                </w:tcPr>
                <w:p w:rsidR="00B816B4" w:rsidRPr="00E14C48" w:rsidRDefault="00C507F9" w:rsidP="008C6EDC">
                  <w:pPr>
                    <w:pStyle w:val="CalVerTable"/>
                    <w:ind w:left="0" w:firstLine="0"/>
                    <w:jc w:val="both"/>
                    <w:rPr>
                      <w:rFonts w:ascii="Arial" w:hAnsi="Arial" w:cs="Arial"/>
                    </w:rPr>
                  </w:pPr>
                  <w:r>
                    <w:rPr>
                      <w:rFonts w:ascii="Arial" w:hAnsi="Arial" w:cs="Arial"/>
                    </w:rPr>
                    <w:t xml:space="preserve">Cortisol </w:t>
                  </w:r>
                  <w:r w:rsidRPr="002E2383">
                    <w:rPr>
                      <w:rFonts w:ascii="Arial" w:hAnsi="Arial" w:cs="Arial"/>
                    </w:rPr>
                    <w:t xml:space="preserve">Calibrator </w:t>
                  </w:r>
                  <w:r w:rsidR="000E000A">
                    <w:rPr>
                      <w:rFonts w:ascii="Arial" w:hAnsi="Arial" w:cs="Arial"/>
                    </w:rPr>
                    <w:t>0</w:t>
                  </w:r>
                  <w:r w:rsidRPr="002E2383">
                    <w:rPr>
                      <w:rFonts w:ascii="Arial" w:hAnsi="Arial" w:cs="Arial"/>
                    </w:rPr>
                    <w:t>8D15-02</w:t>
                  </w:r>
                </w:p>
              </w:tc>
            </w:tr>
            <w:tr w:rsidR="00B816B4" w:rsidTr="00814EAD">
              <w:trPr>
                <w:gridAfter w:val="1"/>
                <w:wAfter w:w="509" w:type="dxa"/>
                <w:trHeight w:val="521"/>
              </w:trPr>
              <w:tc>
                <w:tcPr>
                  <w:tcW w:w="2947" w:type="dxa"/>
                </w:tcPr>
                <w:p w:rsidR="00B816B4" w:rsidRPr="00E14C48" w:rsidRDefault="00B816B4" w:rsidP="00814EAD">
                  <w:pPr>
                    <w:pStyle w:val="CalVerTable"/>
                    <w:ind w:left="0" w:firstLine="0"/>
                    <w:rPr>
                      <w:rFonts w:ascii="Arial" w:hAnsi="Arial" w:cs="Arial"/>
                    </w:rPr>
                  </w:pPr>
                  <w:r w:rsidRPr="00E14C48">
                    <w:rPr>
                      <w:rFonts w:ascii="Arial" w:hAnsi="Arial" w:cs="Arial"/>
                    </w:rPr>
                    <w:t>Suggested Calibration Levels</w:t>
                  </w:r>
                </w:p>
              </w:tc>
              <w:tc>
                <w:tcPr>
                  <w:tcW w:w="5760" w:type="dxa"/>
                  <w:vAlign w:val="center"/>
                </w:tcPr>
                <w:p w:rsidR="00B816B4" w:rsidRDefault="00FC6715" w:rsidP="008C6EDC">
                  <w:pPr>
                    <w:pStyle w:val="CalVerTable"/>
                    <w:ind w:left="0" w:firstLine="0"/>
                    <w:jc w:val="both"/>
                    <w:rPr>
                      <w:rFonts w:ascii="Arial" w:hAnsi="Arial" w:cs="Arial"/>
                    </w:rPr>
                  </w:pPr>
                  <w:r>
                    <w:rPr>
                      <w:rFonts w:ascii="Arial" w:hAnsi="Arial" w:cs="Arial"/>
                    </w:rPr>
                    <w:t>A</w:t>
                  </w:r>
                  <w:r w:rsidR="00260A50">
                    <w:rPr>
                      <w:rFonts w:ascii="Arial" w:hAnsi="Arial" w:cs="Arial"/>
                    </w:rPr>
                    <w:t xml:space="preserve"> – 0.0 </w:t>
                  </w:r>
                  <w:r w:rsidR="00C507F9" w:rsidRPr="00C507F9">
                    <w:rPr>
                      <w:rFonts w:ascii="Arial" w:eastAsia="HelenPro-Regular" w:hAnsi="Arial" w:cs="Arial"/>
                    </w:rPr>
                    <w:t>μg/dL</w:t>
                  </w:r>
                </w:p>
                <w:p w:rsidR="00260A50" w:rsidRDefault="00FC6715" w:rsidP="008C6EDC">
                  <w:pPr>
                    <w:pStyle w:val="CalVerTable"/>
                    <w:ind w:left="0" w:firstLine="0"/>
                    <w:jc w:val="both"/>
                    <w:rPr>
                      <w:rFonts w:ascii="Arial" w:hAnsi="Arial" w:cs="Arial"/>
                    </w:rPr>
                  </w:pPr>
                  <w:r>
                    <w:rPr>
                      <w:rFonts w:ascii="Arial" w:hAnsi="Arial" w:cs="Arial"/>
                    </w:rPr>
                    <w:t>B</w:t>
                  </w:r>
                  <w:r w:rsidR="00C507F9">
                    <w:rPr>
                      <w:rFonts w:ascii="Arial" w:hAnsi="Arial" w:cs="Arial"/>
                    </w:rPr>
                    <w:t xml:space="preserve"> – 3.0 </w:t>
                  </w:r>
                  <w:r w:rsidR="00C507F9" w:rsidRPr="00C507F9">
                    <w:rPr>
                      <w:rFonts w:ascii="Arial" w:eastAsia="HelenPro-Regular" w:hAnsi="Arial" w:cs="Arial"/>
                    </w:rPr>
                    <w:t>μg/dL</w:t>
                  </w:r>
                </w:p>
                <w:p w:rsidR="00FC6715" w:rsidRDefault="00FC6715" w:rsidP="008C6EDC">
                  <w:pPr>
                    <w:pStyle w:val="CalVerTable"/>
                    <w:ind w:left="0" w:firstLine="0"/>
                    <w:jc w:val="both"/>
                    <w:rPr>
                      <w:rFonts w:ascii="Arial" w:hAnsi="Arial" w:cs="Arial"/>
                    </w:rPr>
                  </w:pPr>
                  <w:r>
                    <w:rPr>
                      <w:rFonts w:ascii="Arial" w:hAnsi="Arial" w:cs="Arial"/>
                    </w:rPr>
                    <w:t>C</w:t>
                  </w:r>
                  <w:r w:rsidR="00260A50">
                    <w:rPr>
                      <w:rFonts w:ascii="Arial" w:hAnsi="Arial" w:cs="Arial"/>
                    </w:rPr>
                    <w:t xml:space="preserve"> – </w:t>
                  </w:r>
                  <w:r w:rsidR="00C507F9">
                    <w:rPr>
                      <w:rFonts w:ascii="Arial" w:hAnsi="Arial" w:cs="Arial"/>
                    </w:rPr>
                    <w:t xml:space="preserve">5.4 </w:t>
                  </w:r>
                  <w:r w:rsidR="00C507F9" w:rsidRPr="00C507F9">
                    <w:rPr>
                      <w:rFonts w:ascii="Arial" w:eastAsia="HelenPro-Regular" w:hAnsi="Arial" w:cs="Arial"/>
                    </w:rPr>
                    <w:t>μg/dL</w:t>
                  </w:r>
                </w:p>
                <w:p w:rsidR="00FC6715" w:rsidRDefault="00FC6715" w:rsidP="008C6EDC">
                  <w:pPr>
                    <w:pStyle w:val="CalVerTable"/>
                    <w:ind w:left="0" w:firstLine="0"/>
                    <w:jc w:val="both"/>
                    <w:rPr>
                      <w:rFonts w:ascii="Arial" w:hAnsi="Arial" w:cs="Arial"/>
                    </w:rPr>
                  </w:pPr>
                  <w:r>
                    <w:rPr>
                      <w:rFonts w:ascii="Arial" w:hAnsi="Arial" w:cs="Arial"/>
                    </w:rPr>
                    <w:t>D</w:t>
                  </w:r>
                  <w:r w:rsidR="00260A50">
                    <w:rPr>
                      <w:rFonts w:ascii="Arial" w:hAnsi="Arial" w:cs="Arial"/>
                    </w:rPr>
                    <w:t xml:space="preserve"> – </w:t>
                  </w:r>
                  <w:r w:rsidR="00C507F9">
                    <w:rPr>
                      <w:rFonts w:ascii="Arial" w:hAnsi="Arial" w:cs="Arial"/>
                    </w:rPr>
                    <w:t xml:space="preserve">10.7 </w:t>
                  </w:r>
                  <w:r w:rsidR="00C507F9" w:rsidRPr="00C507F9">
                    <w:rPr>
                      <w:rFonts w:ascii="Arial" w:eastAsia="HelenPro-Regular" w:hAnsi="Arial" w:cs="Arial"/>
                    </w:rPr>
                    <w:t>μg/dL</w:t>
                  </w:r>
                </w:p>
                <w:p w:rsidR="00FC6715" w:rsidRDefault="00FC6715" w:rsidP="008C6EDC">
                  <w:pPr>
                    <w:pStyle w:val="CalVerTable"/>
                    <w:ind w:left="0" w:firstLine="0"/>
                    <w:jc w:val="both"/>
                    <w:rPr>
                      <w:rFonts w:ascii="Arial" w:hAnsi="Arial" w:cs="Arial"/>
                    </w:rPr>
                  </w:pPr>
                  <w:r>
                    <w:rPr>
                      <w:rFonts w:ascii="Arial" w:hAnsi="Arial" w:cs="Arial"/>
                    </w:rPr>
                    <w:t>E</w:t>
                  </w:r>
                  <w:r w:rsidR="00260A50">
                    <w:rPr>
                      <w:rFonts w:ascii="Arial" w:hAnsi="Arial" w:cs="Arial"/>
                    </w:rPr>
                    <w:t xml:space="preserve"> – </w:t>
                  </w:r>
                  <w:r w:rsidR="00C507F9">
                    <w:rPr>
                      <w:rFonts w:ascii="Arial" w:hAnsi="Arial" w:cs="Arial"/>
                    </w:rPr>
                    <w:t xml:space="preserve">25.2 </w:t>
                  </w:r>
                  <w:r w:rsidR="00C507F9" w:rsidRPr="00C507F9">
                    <w:rPr>
                      <w:rFonts w:ascii="Arial" w:eastAsia="HelenPro-Regular" w:hAnsi="Arial" w:cs="Arial"/>
                    </w:rPr>
                    <w:t>μg/dL</w:t>
                  </w:r>
                </w:p>
                <w:p w:rsidR="00260A50" w:rsidRPr="00E14C48" w:rsidRDefault="00FC6715" w:rsidP="00C507F9">
                  <w:pPr>
                    <w:pStyle w:val="CalVerTable"/>
                    <w:ind w:left="0" w:firstLine="0"/>
                    <w:jc w:val="both"/>
                    <w:rPr>
                      <w:rFonts w:ascii="Arial" w:hAnsi="Arial" w:cs="Arial"/>
                    </w:rPr>
                  </w:pPr>
                  <w:r>
                    <w:rPr>
                      <w:rFonts w:ascii="Arial" w:hAnsi="Arial" w:cs="Arial"/>
                    </w:rPr>
                    <w:t>F</w:t>
                  </w:r>
                  <w:r w:rsidR="00260A50">
                    <w:rPr>
                      <w:rFonts w:ascii="Arial" w:hAnsi="Arial" w:cs="Arial"/>
                    </w:rPr>
                    <w:t xml:space="preserve"> – </w:t>
                  </w:r>
                  <w:r w:rsidR="00C507F9">
                    <w:rPr>
                      <w:rFonts w:ascii="Arial" w:hAnsi="Arial" w:cs="Arial"/>
                    </w:rPr>
                    <w:t xml:space="preserve">59.8 </w:t>
                  </w:r>
                  <w:r w:rsidR="00C507F9" w:rsidRPr="00C507F9">
                    <w:rPr>
                      <w:rFonts w:ascii="Arial" w:eastAsia="HelenPro-Regular" w:hAnsi="Arial" w:cs="Arial"/>
                    </w:rPr>
                    <w:t>μg/dL</w:t>
                  </w:r>
                </w:p>
              </w:tc>
            </w:tr>
            <w:tr w:rsidR="00B816B4" w:rsidTr="00814EAD">
              <w:trPr>
                <w:gridAfter w:val="1"/>
                <w:wAfter w:w="509" w:type="dxa"/>
                <w:trHeight w:val="440"/>
              </w:trPr>
              <w:tc>
                <w:tcPr>
                  <w:tcW w:w="2947" w:type="dxa"/>
                </w:tcPr>
                <w:p w:rsidR="00B816B4" w:rsidRPr="00E14C48" w:rsidRDefault="00B816B4" w:rsidP="008C6EDC">
                  <w:pPr>
                    <w:jc w:val="both"/>
                    <w:rPr>
                      <w:rFonts w:cs="Arial"/>
                      <w:szCs w:val="20"/>
                    </w:rPr>
                  </w:pPr>
                  <w:r w:rsidRPr="00E14C48">
                    <w:rPr>
                      <w:rFonts w:cs="Arial"/>
                      <w:szCs w:val="20"/>
                    </w:rPr>
                    <w:t>Verification Scheme:</w:t>
                  </w:r>
                </w:p>
              </w:tc>
              <w:tc>
                <w:tcPr>
                  <w:tcW w:w="5760" w:type="dxa"/>
                  <w:vAlign w:val="center"/>
                </w:tcPr>
                <w:p w:rsidR="00B816B4" w:rsidRPr="00E14C48" w:rsidRDefault="00FC6715" w:rsidP="008C6EDC">
                  <w:pPr>
                    <w:pStyle w:val="CalVerTable"/>
                    <w:ind w:left="0" w:firstLine="0"/>
                    <w:jc w:val="both"/>
                    <w:rPr>
                      <w:rFonts w:ascii="Arial" w:hAnsi="Arial" w:cs="Arial"/>
                    </w:rPr>
                  </w:pPr>
                  <w:r>
                    <w:rPr>
                      <w:rFonts w:ascii="Arial" w:hAnsi="Arial" w:cs="Arial"/>
                    </w:rPr>
                    <w:t>n=6</w:t>
                  </w:r>
                </w:p>
              </w:tc>
            </w:tr>
            <w:tr w:rsidR="00B816B4" w:rsidTr="003571BD">
              <w:trPr>
                <w:gridAfter w:val="1"/>
                <w:wAfter w:w="509" w:type="dxa"/>
                <w:trHeight w:val="1169"/>
              </w:trPr>
              <w:tc>
                <w:tcPr>
                  <w:tcW w:w="2947" w:type="dxa"/>
                </w:tcPr>
                <w:p w:rsidR="00B816B4" w:rsidRPr="00E14C48" w:rsidRDefault="00B816B4" w:rsidP="008C6EDC">
                  <w:pPr>
                    <w:jc w:val="both"/>
                    <w:rPr>
                      <w:rFonts w:cs="Arial"/>
                      <w:szCs w:val="20"/>
                    </w:rPr>
                  </w:pPr>
                  <w:r w:rsidRPr="00E14C48">
                    <w:rPr>
                      <w:rFonts w:cs="Arial"/>
                      <w:szCs w:val="20"/>
                    </w:rPr>
                    <w:t>Verification Frequency:</w:t>
                  </w:r>
                </w:p>
              </w:tc>
              <w:tc>
                <w:tcPr>
                  <w:tcW w:w="5760" w:type="dxa"/>
                  <w:vAlign w:val="center"/>
                </w:tcPr>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 xml:space="preserve">For each new lot of reagent </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After major maintenance or service, if indicated by quality control results</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As indicated in laboratory quality control procedures</w:t>
                  </w:r>
                </w:p>
              </w:tc>
            </w:tr>
            <w:tr w:rsidR="00B816B4" w:rsidTr="003571BD">
              <w:trPr>
                <w:gridAfter w:val="1"/>
                <w:wAfter w:w="509" w:type="dxa"/>
                <w:trHeight w:val="989"/>
              </w:trPr>
              <w:tc>
                <w:tcPr>
                  <w:tcW w:w="2947" w:type="dxa"/>
                  <w:tcBorders>
                    <w:bottom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AMR</w:t>
                  </w:r>
                </w:p>
              </w:tc>
              <w:tc>
                <w:tcPr>
                  <w:tcW w:w="5760" w:type="dxa"/>
                  <w:tcBorders>
                    <w:bottom w:val="single" w:sz="4" w:space="0" w:color="auto"/>
                  </w:tcBorders>
                  <w:vAlign w:val="center"/>
                </w:tcPr>
                <w:p w:rsidR="00B816B4" w:rsidRPr="00E14C48" w:rsidRDefault="00B816B4" w:rsidP="008C6EDC">
                  <w:pPr>
                    <w:jc w:val="both"/>
                    <w:rPr>
                      <w:rFonts w:cs="Arial"/>
                      <w:szCs w:val="20"/>
                    </w:rPr>
                  </w:pPr>
                  <w:r w:rsidRPr="00E14C48">
                    <w:rPr>
                      <w:rFonts w:cs="Arial"/>
                      <w:szCs w:val="20"/>
                    </w:rPr>
                    <w:t>Verification of AMR is accomplished with each calibration.</w:t>
                  </w:r>
                </w:p>
                <w:p w:rsidR="00B816B4" w:rsidRPr="003571BD" w:rsidRDefault="00B816B4" w:rsidP="003571BD">
                  <w:pPr>
                    <w:numPr>
                      <w:ilvl w:val="0"/>
                      <w:numId w:val="15"/>
                    </w:numPr>
                    <w:jc w:val="both"/>
                    <w:rPr>
                      <w:rFonts w:cs="Arial"/>
                      <w:szCs w:val="20"/>
                    </w:rPr>
                  </w:pPr>
                  <w:r w:rsidRPr="00E14C48">
                    <w:rPr>
                      <w:rFonts w:cs="Arial"/>
                      <w:szCs w:val="20"/>
                    </w:rPr>
                    <w:t>Cal Verification and AMR verification are performed at least once every six (6) months.</w:t>
                  </w:r>
                </w:p>
              </w:tc>
            </w:tr>
            <w:tr w:rsidR="00B816B4" w:rsidTr="00B816B4">
              <w:tc>
                <w:tcPr>
                  <w:tcW w:w="9216" w:type="dxa"/>
                  <w:gridSpan w:val="3"/>
                  <w:tcBorders>
                    <w:left w:val="nil"/>
                    <w:bottom w:val="nil"/>
                    <w:right w:val="nil"/>
                  </w:tcBorders>
                </w:tcPr>
                <w:p w:rsidR="00B816B4" w:rsidRPr="00B13C1A" w:rsidRDefault="00B816B4" w:rsidP="008C6EDC">
                  <w:pPr>
                    <w:rPr>
                      <w:rFonts w:cs="Arial"/>
                      <w:szCs w:val="20"/>
                    </w:rPr>
                  </w:pPr>
                </w:p>
              </w:tc>
            </w:tr>
          </w:tbl>
          <w:p w:rsidR="00B816B4" w:rsidRPr="00FB1EFD" w:rsidRDefault="00B816B4" w:rsidP="008C6EDC">
            <w:pPr>
              <w:pStyle w:val="Default"/>
            </w:pPr>
          </w:p>
        </w:tc>
      </w:tr>
      <w:tr w:rsidR="00B816B4" w:rsidTr="00D120DB">
        <w:trPr>
          <w:cantSplit/>
          <w:trHeight w:val="5904"/>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ind w:right="-108"/>
              <w:rPr>
                <w:rFonts w:cs="Arial"/>
                <w:b/>
                <w:bCs/>
                <w:color w:val="0000FF"/>
              </w:rPr>
            </w:pPr>
          </w:p>
          <w:p w:rsidR="00B816B4" w:rsidRDefault="00B816B4" w:rsidP="008C6EDC">
            <w:pPr>
              <w:ind w:right="-108"/>
              <w:rPr>
                <w:rFonts w:cs="Arial"/>
                <w:b/>
                <w:bCs/>
                <w:color w:val="0000FF"/>
              </w:rPr>
            </w:pPr>
            <w:r>
              <w:rPr>
                <w:rFonts w:cs="Arial"/>
                <w:b/>
                <w:bCs/>
                <w:color w:val="0000FF"/>
              </w:rPr>
              <w:t>Quality Control</w:t>
            </w:r>
          </w:p>
        </w:tc>
        <w:tc>
          <w:tcPr>
            <w:tcW w:w="8910" w:type="dxa"/>
            <w:tcBorders>
              <w:top w:val="single" w:sz="18" w:space="0" w:color="A6A6A6" w:themeColor="background1" w:themeShade="A6"/>
              <w:bottom w:val="single" w:sz="18" w:space="0" w:color="A6A6A6" w:themeColor="background1" w:themeShade="A6"/>
            </w:tcBorders>
            <w:vAlign w:val="center"/>
          </w:tcPr>
          <w:p w:rsidR="00B816B4" w:rsidRDefault="00B816B4" w:rsidP="008C6EDC">
            <w:pPr>
              <w:jc w:val="both"/>
              <w:rPr>
                <w:rFonts w:cs="Arial"/>
                <w:b/>
                <w:bCs/>
                <w:color w:val="5F497A"/>
                <w:szCs w:val="20"/>
              </w:rPr>
            </w:pPr>
            <w:r>
              <w:rPr>
                <w:rFonts w:cs="Arial"/>
                <w:color w:val="000000"/>
                <w:szCs w:val="20"/>
              </w:rPr>
              <w:t>BioRad</w:t>
            </w:r>
            <w:r w:rsidR="003571BD">
              <w:rPr>
                <w:rFonts w:cs="Arial"/>
                <w:color w:val="000000"/>
                <w:szCs w:val="20"/>
              </w:rPr>
              <w:t xml:space="preserve"> Lyphochek </w:t>
            </w:r>
            <w:r w:rsidR="00C507F9">
              <w:rPr>
                <w:rFonts w:cs="Arial"/>
                <w:color w:val="000000"/>
                <w:szCs w:val="20"/>
              </w:rPr>
              <w:t>Immunoassay Plus</w:t>
            </w:r>
            <w:r w:rsidR="003571BD">
              <w:rPr>
                <w:rFonts w:cs="Arial"/>
                <w:color w:val="000000"/>
                <w:szCs w:val="20"/>
              </w:rPr>
              <w:t xml:space="preserve"> Levels 1,2 and 3</w:t>
            </w:r>
          </w:p>
          <w:p w:rsidR="00B816B4" w:rsidRDefault="00B816B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 xml:space="preserve">Frequency: </w:t>
            </w:r>
            <w:r w:rsidR="003571BD">
              <w:rPr>
                <w:rFonts w:cs="Arial"/>
                <w:szCs w:val="20"/>
              </w:rPr>
              <w:t>Three levels each day of use.</w:t>
            </w:r>
          </w:p>
          <w:p w:rsidR="00B816B4" w:rsidRDefault="00B816B4" w:rsidP="008C6EDC">
            <w:pPr>
              <w:autoSpaceDE w:val="0"/>
              <w:autoSpaceDN w:val="0"/>
              <w:adjustRightInd w:val="0"/>
              <w:jc w:val="both"/>
              <w:rPr>
                <w:rFonts w:cs="Arial"/>
                <w:szCs w:val="20"/>
              </w:rPr>
            </w:pPr>
          </w:p>
          <w:p w:rsidR="00B816B4" w:rsidRPr="00A82A92" w:rsidRDefault="00B816B4" w:rsidP="008C6EDC">
            <w:pPr>
              <w:autoSpaceDE w:val="0"/>
              <w:autoSpaceDN w:val="0"/>
              <w:adjustRightInd w:val="0"/>
              <w:jc w:val="both"/>
              <w:rPr>
                <w:rFonts w:cs="Arial"/>
                <w:szCs w:val="20"/>
              </w:rPr>
            </w:pPr>
            <w:r>
              <w:rPr>
                <w:rFonts w:cs="Arial"/>
                <w:b/>
                <w:bCs/>
                <w:szCs w:val="20"/>
              </w:rPr>
              <w:t>Stability</w:t>
            </w:r>
            <w:r w:rsidR="00A82A92">
              <w:rPr>
                <w:rFonts w:cs="Arial"/>
                <w:b/>
                <w:bCs/>
                <w:szCs w:val="20"/>
              </w:rPr>
              <w:t xml:space="preserve">: </w:t>
            </w:r>
            <w:r w:rsidR="00A82A92">
              <w:rPr>
                <w:rFonts w:cs="Arial"/>
                <w:bCs/>
                <w:szCs w:val="20"/>
              </w:rPr>
              <w:t>3</w:t>
            </w:r>
            <w:r w:rsidR="00C507F9">
              <w:rPr>
                <w:rFonts w:cs="Arial"/>
                <w:bCs/>
                <w:szCs w:val="20"/>
              </w:rPr>
              <w:t xml:space="preserve"> Days at 2-8</w:t>
            </w:r>
            <w:r w:rsidR="00A82A92" w:rsidRPr="00A11958">
              <w:rPr>
                <w:rStyle w:val="tgc"/>
                <w:rFonts w:cs="Arial"/>
                <w:color w:val="222222"/>
                <w:szCs w:val="20"/>
              </w:rPr>
              <w:t>°C</w:t>
            </w:r>
            <w:r w:rsidR="00A82A92">
              <w:rPr>
                <w:rStyle w:val="tgc"/>
                <w:rFonts w:cs="Arial"/>
                <w:color w:val="222222"/>
                <w:szCs w:val="20"/>
              </w:rPr>
              <w:t>.</w:t>
            </w:r>
          </w:p>
          <w:p w:rsidR="00B816B4" w:rsidRDefault="00B816B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Preparation</w:t>
            </w:r>
            <w:r>
              <w:rPr>
                <w:rFonts w:cs="Arial"/>
                <w:szCs w:val="20"/>
              </w:rPr>
              <w:t xml:space="preserve">: </w:t>
            </w:r>
            <w:r w:rsidR="000F35A3">
              <w:rPr>
                <w:rFonts w:cs="Arial"/>
                <w:szCs w:val="20"/>
              </w:rPr>
              <w:t>Reconstitute with exactly 5.0 mL of DI water.  Let vials sit for 15 minutes and gently swirl to ensure homogeneity.  Do not allow to stand at room temperature longer than 20 minutes.</w:t>
            </w:r>
          </w:p>
          <w:p w:rsidR="00B816B4" w:rsidRDefault="00B816B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Sunquest Control names:</w:t>
            </w:r>
            <w:r w:rsidR="00C507F9">
              <w:rPr>
                <w:rFonts w:cs="Arial"/>
                <w:szCs w:val="20"/>
              </w:rPr>
              <w:t xml:space="preserve"> Level 1 = C-LYIP</w:t>
            </w:r>
            <w:r w:rsidR="00A82A92">
              <w:rPr>
                <w:rFonts w:cs="Arial"/>
                <w:szCs w:val="20"/>
              </w:rPr>
              <w:t>1</w:t>
            </w:r>
            <w:r>
              <w:rPr>
                <w:rFonts w:cs="Arial"/>
                <w:szCs w:val="20"/>
              </w:rPr>
              <w:t>, Level 2 = C-</w:t>
            </w:r>
            <w:r w:rsidR="00C507F9">
              <w:rPr>
                <w:rFonts w:cs="Arial"/>
                <w:szCs w:val="20"/>
              </w:rPr>
              <w:t>LYIP2, Level 3= C-LYIP</w:t>
            </w:r>
            <w:r w:rsidR="00A82A92">
              <w:rPr>
                <w:rFonts w:cs="Arial"/>
                <w:szCs w:val="20"/>
              </w:rPr>
              <w:t>3</w:t>
            </w:r>
          </w:p>
          <w:p w:rsidR="00B816B4" w:rsidRDefault="00B816B4" w:rsidP="008C6EDC">
            <w:pPr>
              <w:jc w:val="both"/>
              <w:rPr>
                <w:rFonts w:cs="Arial"/>
                <w:b/>
                <w:bCs/>
              </w:rPr>
            </w:pPr>
          </w:p>
          <w:p w:rsidR="00B816B4" w:rsidRDefault="00B816B4" w:rsidP="008C6EDC">
            <w:pPr>
              <w:jc w:val="both"/>
              <w:rPr>
                <w:rFonts w:cs="Arial"/>
              </w:rPr>
            </w:pPr>
            <w:r>
              <w:rPr>
                <w:rFonts w:cs="Arial"/>
                <w:b/>
                <w:bCs/>
              </w:rPr>
              <w:t>Acceptable ranges:</w:t>
            </w:r>
            <w:r>
              <w:rPr>
                <w:rFonts w:cs="Arial"/>
              </w:rPr>
              <w:t xml:space="preserve"> </w:t>
            </w:r>
          </w:p>
          <w:p w:rsidR="00B816B4" w:rsidRPr="00DB6DF1" w:rsidRDefault="00B816B4" w:rsidP="008C6EDC">
            <w:pPr>
              <w:numPr>
                <w:ilvl w:val="0"/>
                <w:numId w:val="16"/>
              </w:numPr>
              <w:autoSpaceDE w:val="0"/>
              <w:autoSpaceDN w:val="0"/>
              <w:adjustRightInd w:val="0"/>
              <w:jc w:val="both"/>
              <w:rPr>
                <w:rFonts w:cs="Arial"/>
                <w:szCs w:val="20"/>
              </w:rPr>
            </w:pPr>
            <w:r>
              <w:rPr>
                <w:rFonts w:cs="Arial"/>
                <w:szCs w:val="20"/>
              </w:rPr>
              <w:t>Ranges are current in Sunquest and the instrument. Refer to the Quality Control in Chemistry p</w:t>
            </w:r>
            <w:r w:rsidRPr="00DB6DF1">
              <w:rPr>
                <w:rFonts w:cs="Arial"/>
                <w:szCs w:val="20"/>
              </w:rPr>
              <w:t>rocedure for QC exception codes.</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If a control value is outside the confidence interval, the determination must be repeated. If the repeat determination confirms the deviation, a new reference curve should be established.</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Do not release patient results until the cause of deviation has been identified and corrected</w:t>
            </w:r>
          </w:p>
          <w:p w:rsidR="00B816B4" w:rsidRPr="00DB6DF1" w:rsidRDefault="00B816B4" w:rsidP="008C6EDC">
            <w:pPr>
              <w:numPr>
                <w:ilvl w:val="0"/>
                <w:numId w:val="16"/>
              </w:numPr>
              <w:autoSpaceDE w:val="0"/>
              <w:autoSpaceDN w:val="0"/>
              <w:adjustRightInd w:val="0"/>
              <w:jc w:val="both"/>
              <w:rPr>
                <w:rFonts w:cs="Arial"/>
                <w:color w:val="000000"/>
                <w:szCs w:val="20"/>
              </w:rPr>
            </w:pPr>
            <w:r>
              <w:rPr>
                <w:rFonts w:cs="Arial"/>
                <w:szCs w:val="20"/>
              </w:rPr>
              <w:t>When a new lot of assayed control is received, validate the manufacturer’s insert range by running the new lot in parallel with the current lot, and confirming that the results obtained are within the stated range</w:t>
            </w:r>
          </w:p>
          <w:p w:rsidR="00B816B4" w:rsidRPr="00CE16FB" w:rsidRDefault="00B816B4" w:rsidP="008C6EDC">
            <w:pPr>
              <w:numPr>
                <w:ilvl w:val="0"/>
                <w:numId w:val="16"/>
              </w:numPr>
              <w:jc w:val="both"/>
              <w:rPr>
                <w:rFonts w:cs="Arial"/>
              </w:rPr>
            </w:pPr>
            <w:r>
              <w:rPr>
                <w:rFonts w:cs="Arial"/>
                <w:szCs w:val="20"/>
              </w:rPr>
              <w:t xml:space="preserve">When a new lot of unassayed control is received, verify new ranges by running the new lot in parallel with the current lot 30 times, and calculate a new range using the method mean </w:t>
            </w:r>
            <w:r>
              <w:rPr>
                <w:rFonts w:cs="Arial"/>
                <w:szCs w:val="20"/>
              </w:rPr>
              <w:sym w:font="Symbol" w:char="F0B1"/>
            </w:r>
            <w:r>
              <w:rPr>
                <w:rFonts w:cs="Arial"/>
                <w:szCs w:val="20"/>
              </w:rPr>
              <w:t xml:space="preserve"> 3 SD. </w:t>
            </w:r>
            <w:r>
              <w:rPr>
                <w:rFonts w:cs="Arial"/>
              </w:rPr>
              <w:t>Ranges are current in Sunquest and the instrument. Refer to the Quality Control Procedure for QC exception codes.</w:t>
            </w:r>
          </w:p>
        </w:tc>
      </w:tr>
      <w:tr w:rsidR="008C6EDC" w:rsidTr="00D120DB">
        <w:trPr>
          <w:cantSplit/>
          <w:trHeight w:val="1944"/>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Interferences</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C507F9" w:rsidRDefault="000E000A" w:rsidP="00C507F9">
            <w:pPr>
              <w:autoSpaceDE w:val="0"/>
              <w:autoSpaceDN w:val="0"/>
              <w:adjustRightInd w:val="0"/>
              <w:rPr>
                <w:rFonts w:eastAsia="HelenPro-Regular" w:cs="Arial"/>
                <w:szCs w:val="20"/>
              </w:rPr>
            </w:pPr>
            <w:r>
              <w:rPr>
                <w:rFonts w:ascii="HelenPro-Bold" w:eastAsia="HelenPro-Bold" w:hAnsi="Times New Roman" w:cs="HelenPro-Bold" w:hint="eastAsia"/>
                <w:b/>
                <w:bCs/>
                <w:sz w:val="17"/>
                <w:szCs w:val="17"/>
              </w:rPr>
              <w:t>•</w:t>
            </w:r>
            <w:r>
              <w:rPr>
                <w:rFonts w:ascii="HelenPro-Bold" w:eastAsia="HelenPro-Bold" w:hAnsi="Times New Roman" w:cs="HelenPro-Bold"/>
                <w:b/>
                <w:bCs/>
                <w:sz w:val="17"/>
                <w:szCs w:val="17"/>
              </w:rPr>
              <w:t xml:space="preserve"> </w:t>
            </w:r>
            <w:r w:rsidR="00B853BF">
              <w:rPr>
                <w:rFonts w:eastAsia="HelenPro-Bold" w:cs="Arial"/>
                <w:bCs/>
                <w:szCs w:val="20"/>
              </w:rPr>
              <w:t>Due</w:t>
            </w:r>
            <w:r w:rsidR="00C507F9" w:rsidRPr="009C0AE4">
              <w:rPr>
                <w:rFonts w:eastAsia="HelenPro-Regular" w:cs="Arial"/>
                <w:szCs w:val="20"/>
              </w:rPr>
              <w:t xml:space="preserve"> to the diurnal variation of cortisol levels in normal subjects, all serum/plasma cortisol measurements should be referenced to the time of day of sample collection.</w:t>
            </w:r>
          </w:p>
          <w:p w:rsidR="00EB4B37" w:rsidRPr="00EB4B37" w:rsidRDefault="00EB4B37" w:rsidP="00B853BF">
            <w:pPr>
              <w:numPr>
                <w:ilvl w:val="0"/>
                <w:numId w:val="35"/>
              </w:numPr>
              <w:autoSpaceDE w:val="0"/>
              <w:autoSpaceDN w:val="0"/>
              <w:adjustRightInd w:val="0"/>
              <w:rPr>
                <w:rFonts w:eastAsia="HelenPro-Bold" w:cs="Arial"/>
                <w:b/>
                <w:bCs/>
                <w:szCs w:val="20"/>
              </w:rPr>
            </w:pPr>
            <w:r>
              <w:rPr>
                <w:rFonts w:eastAsia="HelenPro-Regular" w:cs="Arial"/>
                <w:szCs w:val="20"/>
              </w:rPr>
              <w:t>Specimens should be free of red cells and other particulate matter (fibrin.)</w:t>
            </w:r>
          </w:p>
          <w:p w:rsidR="00C507F9" w:rsidRPr="009C0AE4" w:rsidRDefault="00C507F9" w:rsidP="00C507F9">
            <w:pPr>
              <w:autoSpaceDE w:val="0"/>
              <w:autoSpaceDN w:val="0"/>
              <w:adjustRightInd w:val="0"/>
              <w:rPr>
                <w:rFonts w:eastAsia="HelenPro-Regular" w:cs="Arial"/>
                <w:szCs w:val="20"/>
              </w:rPr>
            </w:pPr>
            <w:r w:rsidRPr="009C0AE4">
              <w:rPr>
                <w:rFonts w:eastAsia="HelenPro-Bold" w:cs="Arial"/>
                <w:b/>
                <w:bCs/>
                <w:szCs w:val="20"/>
              </w:rPr>
              <w:t xml:space="preserve">• </w:t>
            </w:r>
            <w:r w:rsidRPr="009C0AE4">
              <w:rPr>
                <w:rFonts w:eastAsia="HelenPro-Regular" w:cs="Arial"/>
                <w:szCs w:val="20"/>
              </w:rPr>
              <w:t xml:space="preserve">Patients receiving fludrocortisone, prednisolone or prednisone (which is converted to prednisolone </w:t>
            </w:r>
            <w:r w:rsidRPr="009C0AE4">
              <w:rPr>
                <w:rFonts w:eastAsia="HelenPro-Bold" w:cs="Arial"/>
                <w:i/>
                <w:iCs/>
                <w:szCs w:val="20"/>
              </w:rPr>
              <w:t>in vivo</w:t>
            </w:r>
            <w:r w:rsidRPr="009C0AE4">
              <w:rPr>
                <w:rFonts w:eastAsia="HelenPro-Regular" w:cs="Arial"/>
                <w:szCs w:val="20"/>
              </w:rPr>
              <w:t>) may show artificially elevated cortisol values due to cross-reactivity</w:t>
            </w:r>
            <w:r w:rsidR="000E20E2">
              <w:rPr>
                <w:rFonts w:eastAsia="HelenPro-Regular" w:cs="Arial"/>
                <w:szCs w:val="20"/>
              </w:rPr>
              <w:t>.  Please refer to the package insert for detailed cross-reactivity information.</w:t>
            </w:r>
          </w:p>
          <w:p w:rsidR="00C507F9" w:rsidRPr="009C0AE4" w:rsidRDefault="00C507F9" w:rsidP="00C507F9">
            <w:pPr>
              <w:autoSpaceDE w:val="0"/>
              <w:autoSpaceDN w:val="0"/>
              <w:adjustRightInd w:val="0"/>
              <w:rPr>
                <w:rFonts w:eastAsia="HelenPro-Regular" w:cs="Arial"/>
                <w:szCs w:val="20"/>
              </w:rPr>
            </w:pPr>
            <w:r w:rsidRPr="009C0AE4">
              <w:rPr>
                <w:rFonts w:eastAsia="HelenPro-Bold" w:cs="Arial"/>
                <w:b/>
                <w:bCs/>
                <w:szCs w:val="20"/>
              </w:rPr>
              <w:t xml:space="preserve">• </w:t>
            </w:r>
            <w:r w:rsidRPr="009C0AE4">
              <w:rPr>
                <w:rFonts w:eastAsia="HelenPro-Regular" w:cs="Arial"/>
                <w:szCs w:val="20"/>
              </w:rPr>
              <w:t>Specimens from patients who have received preparations of mouse monoclonal antibodies for diagnosis or therapy may contain human anti-mouse antibodies (HAMA). Such</w:t>
            </w:r>
            <w:r w:rsidR="00FF523B" w:rsidRPr="009C0AE4">
              <w:rPr>
                <w:rFonts w:eastAsia="HelenPro-Regular" w:cs="Arial"/>
                <w:szCs w:val="20"/>
              </w:rPr>
              <w:t xml:space="preserve"> </w:t>
            </w:r>
            <w:r w:rsidRPr="009C0AE4">
              <w:rPr>
                <w:rFonts w:eastAsia="HelenPro-Regular" w:cs="Arial"/>
                <w:szCs w:val="20"/>
              </w:rPr>
              <w:t>specimens may show either falsely elevated or depressed values</w:t>
            </w:r>
            <w:r w:rsidR="00FF523B" w:rsidRPr="009C0AE4">
              <w:rPr>
                <w:rFonts w:eastAsia="HelenPro-Regular" w:cs="Arial"/>
                <w:szCs w:val="20"/>
              </w:rPr>
              <w:t xml:space="preserve"> </w:t>
            </w:r>
            <w:r w:rsidRPr="009C0AE4">
              <w:rPr>
                <w:rFonts w:eastAsia="HelenPro-Regular" w:cs="Arial"/>
                <w:szCs w:val="20"/>
              </w:rPr>
              <w:t>when tested with assay kits that employ mouse monoclonal</w:t>
            </w:r>
            <w:r w:rsidR="00FF523B" w:rsidRPr="009C0AE4">
              <w:rPr>
                <w:rFonts w:eastAsia="HelenPro-Regular" w:cs="Arial"/>
                <w:szCs w:val="20"/>
              </w:rPr>
              <w:t xml:space="preserve"> </w:t>
            </w:r>
            <w:r w:rsidRPr="009C0AE4">
              <w:rPr>
                <w:rFonts w:eastAsia="HelenPro-Regular" w:cs="Arial"/>
                <w:szCs w:val="20"/>
              </w:rPr>
              <w:t>antibodies.</w:t>
            </w:r>
            <w:r w:rsidR="009C0AE4">
              <w:rPr>
                <w:rFonts w:eastAsia="HelenPro-Regular" w:cs="Arial"/>
                <w:szCs w:val="20"/>
              </w:rPr>
              <w:t xml:space="preserve"> </w:t>
            </w:r>
            <w:r w:rsidRPr="009C0AE4">
              <w:rPr>
                <w:rFonts w:eastAsia="HelenPro-Regular" w:cs="Arial"/>
                <w:szCs w:val="20"/>
              </w:rPr>
              <w:t xml:space="preserve"> Assay results that are not consistent with other</w:t>
            </w:r>
            <w:r w:rsidR="00FF523B" w:rsidRPr="009C0AE4">
              <w:rPr>
                <w:rFonts w:eastAsia="HelenPro-Regular" w:cs="Arial"/>
                <w:szCs w:val="20"/>
              </w:rPr>
              <w:t xml:space="preserve"> </w:t>
            </w:r>
            <w:r w:rsidRPr="009C0AE4">
              <w:rPr>
                <w:rFonts w:eastAsia="HelenPro-Regular" w:cs="Arial"/>
                <w:szCs w:val="20"/>
              </w:rPr>
              <w:t>clinical observations may require additional information for</w:t>
            </w:r>
            <w:r w:rsidR="00FF523B" w:rsidRPr="009C0AE4">
              <w:rPr>
                <w:rFonts w:eastAsia="HelenPro-Regular" w:cs="Arial"/>
                <w:szCs w:val="20"/>
              </w:rPr>
              <w:t xml:space="preserve"> </w:t>
            </w:r>
            <w:r w:rsidRPr="009C0AE4">
              <w:rPr>
                <w:rFonts w:eastAsia="HelenPro-Regular" w:cs="Arial"/>
                <w:szCs w:val="20"/>
              </w:rPr>
              <w:t>diagnosis.</w:t>
            </w:r>
          </w:p>
          <w:p w:rsidR="00C507F9" w:rsidRPr="009C0AE4" w:rsidRDefault="00C507F9" w:rsidP="00C507F9">
            <w:pPr>
              <w:autoSpaceDE w:val="0"/>
              <w:autoSpaceDN w:val="0"/>
              <w:adjustRightInd w:val="0"/>
              <w:rPr>
                <w:rFonts w:eastAsia="HelenPro-Regular" w:cs="Arial"/>
                <w:szCs w:val="20"/>
              </w:rPr>
            </w:pPr>
            <w:r w:rsidRPr="009C0AE4">
              <w:rPr>
                <w:rFonts w:eastAsia="HelenPro-Bold" w:cs="Arial"/>
                <w:b/>
                <w:bCs/>
                <w:szCs w:val="20"/>
              </w:rPr>
              <w:t xml:space="preserve">• </w:t>
            </w:r>
            <w:r w:rsidRPr="009C0AE4">
              <w:rPr>
                <w:rFonts w:eastAsia="HelenPro-Regular" w:cs="Arial"/>
                <w:szCs w:val="20"/>
              </w:rPr>
              <w:t>Heterophilic antibodies in human serum can react with reagent</w:t>
            </w:r>
            <w:r w:rsidR="00FF523B" w:rsidRPr="009C0AE4">
              <w:rPr>
                <w:rFonts w:eastAsia="HelenPro-Regular" w:cs="Arial"/>
                <w:szCs w:val="20"/>
              </w:rPr>
              <w:t xml:space="preserve"> </w:t>
            </w:r>
            <w:r w:rsidRPr="009C0AE4">
              <w:rPr>
                <w:rFonts w:eastAsia="HelenPro-Regular" w:cs="Arial"/>
                <w:szCs w:val="20"/>
              </w:rPr>
              <w:t xml:space="preserve">immunoglobulins, interfering with </w:t>
            </w:r>
            <w:r w:rsidRPr="009C0AE4">
              <w:rPr>
                <w:rFonts w:eastAsia="HelenPro-Bold" w:cs="Arial"/>
                <w:i/>
                <w:iCs/>
                <w:szCs w:val="20"/>
              </w:rPr>
              <w:t xml:space="preserve">in vitro </w:t>
            </w:r>
            <w:r w:rsidRPr="009C0AE4">
              <w:rPr>
                <w:rFonts w:eastAsia="HelenPro-Regular" w:cs="Arial"/>
                <w:szCs w:val="20"/>
              </w:rPr>
              <w:t>immunoassays. The</w:t>
            </w:r>
            <w:r w:rsidR="00FF523B" w:rsidRPr="009C0AE4">
              <w:rPr>
                <w:rFonts w:eastAsia="HelenPro-Regular" w:cs="Arial"/>
                <w:szCs w:val="20"/>
              </w:rPr>
              <w:t xml:space="preserve"> </w:t>
            </w:r>
            <w:r w:rsidRPr="009C0AE4">
              <w:rPr>
                <w:rFonts w:eastAsia="HelenPro-Regular" w:cs="Arial"/>
                <w:szCs w:val="20"/>
              </w:rPr>
              <w:t>presence of heterophilic antibodies in a patient specimen may</w:t>
            </w:r>
            <w:r w:rsidR="00FF523B" w:rsidRPr="009C0AE4">
              <w:rPr>
                <w:rFonts w:eastAsia="HelenPro-Regular" w:cs="Arial"/>
                <w:szCs w:val="20"/>
              </w:rPr>
              <w:t xml:space="preserve"> </w:t>
            </w:r>
            <w:r w:rsidRPr="009C0AE4">
              <w:rPr>
                <w:rFonts w:eastAsia="HelenPro-Regular" w:cs="Arial"/>
                <w:szCs w:val="20"/>
              </w:rPr>
              <w:t>cause anomalous values to be observed.</w:t>
            </w:r>
            <w:r w:rsidR="009C0AE4">
              <w:rPr>
                <w:rFonts w:eastAsia="HelenPro-Regular" w:cs="Arial"/>
                <w:szCs w:val="20"/>
              </w:rPr>
              <w:t xml:space="preserve"> </w:t>
            </w:r>
            <w:r w:rsidRPr="009C0AE4">
              <w:rPr>
                <w:rFonts w:eastAsia="HelenPro-Regular" w:cs="Arial"/>
                <w:szCs w:val="20"/>
              </w:rPr>
              <w:t xml:space="preserve"> Additional information</w:t>
            </w:r>
            <w:r w:rsidR="00FF523B" w:rsidRPr="009C0AE4">
              <w:rPr>
                <w:rFonts w:eastAsia="HelenPro-Regular" w:cs="Arial"/>
                <w:szCs w:val="20"/>
              </w:rPr>
              <w:t xml:space="preserve"> </w:t>
            </w:r>
            <w:r w:rsidRPr="009C0AE4">
              <w:rPr>
                <w:rFonts w:eastAsia="HelenPro-Regular" w:cs="Arial"/>
                <w:szCs w:val="20"/>
              </w:rPr>
              <w:t>may be required for diagnosis.</w:t>
            </w:r>
          </w:p>
          <w:p w:rsidR="00A82A92" w:rsidRDefault="00A82A92" w:rsidP="009C0AE4">
            <w:pPr>
              <w:autoSpaceDE w:val="0"/>
              <w:autoSpaceDN w:val="0"/>
              <w:adjustRightInd w:val="0"/>
              <w:rPr>
                <w:rFonts w:eastAsia="HelenPro-Regular" w:cs="Arial"/>
                <w:szCs w:val="20"/>
              </w:rPr>
            </w:pPr>
          </w:p>
          <w:p w:rsidR="002E2383" w:rsidRPr="009C0AE4" w:rsidRDefault="002E2383" w:rsidP="009C0AE4">
            <w:pPr>
              <w:autoSpaceDE w:val="0"/>
              <w:autoSpaceDN w:val="0"/>
              <w:adjustRightInd w:val="0"/>
              <w:rPr>
                <w:rFonts w:ascii="HelenPro-Regular" w:eastAsia="HelenPro-Regular" w:hAnsi="Times New Roman" w:cs="HelenPro-Regular"/>
                <w:sz w:val="17"/>
                <w:szCs w:val="17"/>
              </w:rPr>
            </w:pPr>
          </w:p>
        </w:tc>
      </w:tr>
      <w:tr w:rsidR="008C6EDC" w:rsidTr="002E2383">
        <w:trPr>
          <w:trHeight w:val="5706"/>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Pr="004D6965" w:rsidRDefault="008C6EDC" w:rsidP="008C6EDC">
            <w:pPr>
              <w:jc w:val="both"/>
              <w:rPr>
                <w:rFonts w:cs="Arial"/>
                <w:b/>
                <w:bCs/>
                <w:color w:val="0000FF"/>
              </w:rPr>
            </w:pPr>
            <w:r>
              <w:rPr>
                <w:rFonts w:cs="Arial"/>
                <w:b/>
                <w:bCs/>
                <w:color w:val="0000FF"/>
              </w:rPr>
              <w:lastRenderedPageBreak/>
              <w:t>Reference Range</w:t>
            </w:r>
          </w:p>
        </w:tc>
        <w:tc>
          <w:tcPr>
            <w:tcW w:w="8910" w:type="dxa"/>
            <w:tcBorders>
              <w:top w:val="single" w:sz="18" w:space="0" w:color="A6A6A6" w:themeColor="background1" w:themeShade="A6"/>
              <w:bottom w:val="single" w:sz="18" w:space="0" w:color="A6A6A6" w:themeColor="background1" w:themeShade="A6"/>
            </w:tcBorders>
            <w:vAlign w:val="center"/>
          </w:tcPr>
          <w:p w:rsidR="002E2383" w:rsidRPr="002E2383" w:rsidRDefault="002E2383" w:rsidP="008C6EDC">
            <w:pPr>
              <w:jc w:val="both"/>
              <w:rPr>
                <w:rFonts w:cs="Arial"/>
                <w:b/>
              </w:rPr>
            </w:pPr>
            <w:r w:rsidRPr="002E2383">
              <w:rPr>
                <w:rFonts w:cs="Arial"/>
                <w:b/>
              </w:rPr>
              <w:t>AM/PM Window Reference Ranges:</w:t>
            </w:r>
          </w:p>
          <w:p w:rsidR="002E2383" w:rsidRDefault="002E2383" w:rsidP="008C6EDC">
            <w:pPr>
              <w:jc w:val="both"/>
              <w:rPr>
                <w:rFonts w:cs="Arial"/>
              </w:rPr>
            </w:pPr>
          </w:p>
          <w:tbl>
            <w:tblPr>
              <w:tblStyle w:val="TableGrid"/>
              <w:tblW w:w="0" w:type="auto"/>
              <w:tblLayout w:type="fixed"/>
              <w:tblLook w:val="04A0"/>
            </w:tblPr>
            <w:tblGrid>
              <w:gridCol w:w="2893"/>
              <w:gridCol w:w="2893"/>
              <w:gridCol w:w="2893"/>
            </w:tblGrid>
            <w:tr w:rsidR="007B4147" w:rsidTr="007B4147">
              <w:tc>
                <w:tcPr>
                  <w:tcW w:w="2893" w:type="dxa"/>
                </w:tcPr>
                <w:p w:rsidR="007B4147" w:rsidRDefault="007B4147" w:rsidP="008C6EDC">
                  <w:pPr>
                    <w:jc w:val="both"/>
                    <w:rPr>
                      <w:rFonts w:cs="Arial"/>
                    </w:rPr>
                  </w:pPr>
                </w:p>
              </w:tc>
              <w:tc>
                <w:tcPr>
                  <w:tcW w:w="2893" w:type="dxa"/>
                </w:tcPr>
                <w:p w:rsidR="007B4147" w:rsidRPr="007B4147" w:rsidRDefault="007B4147" w:rsidP="008C6EDC">
                  <w:pPr>
                    <w:jc w:val="both"/>
                    <w:rPr>
                      <w:rFonts w:cs="Arial"/>
                      <w:b/>
                    </w:rPr>
                  </w:pPr>
                  <w:r w:rsidRPr="007B4147">
                    <w:rPr>
                      <w:rFonts w:cs="Arial"/>
                      <w:b/>
                    </w:rPr>
                    <w:t>Age</w:t>
                  </w:r>
                </w:p>
              </w:tc>
              <w:tc>
                <w:tcPr>
                  <w:tcW w:w="2893" w:type="dxa"/>
                </w:tcPr>
                <w:p w:rsidR="007B4147" w:rsidRPr="007B4147" w:rsidRDefault="007B4147" w:rsidP="008C6EDC">
                  <w:pPr>
                    <w:jc w:val="both"/>
                    <w:rPr>
                      <w:rFonts w:cs="Arial"/>
                      <w:b/>
                    </w:rPr>
                  </w:pPr>
                  <w:r w:rsidRPr="007B4147">
                    <w:rPr>
                      <w:rFonts w:cs="Arial"/>
                      <w:b/>
                    </w:rPr>
                    <w:t>Reference Range</w:t>
                  </w:r>
                </w:p>
              </w:tc>
            </w:tr>
            <w:tr w:rsidR="007B4147" w:rsidTr="007B4147">
              <w:tc>
                <w:tcPr>
                  <w:tcW w:w="2893" w:type="dxa"/>
                </w:tcPr>
                <w:p w:rsidR="007B4147" w:rsidRDefault="007B4147" w:rsidP="008C6EDC">
                  <w:pPr>
                    <w:jc w:val="both"/>
                    <w:rPr>
                      <w:rFonts w:cs="Arial"/>
                    </w:rPr>
                  </w:pPr>
                  <w:r w:rsidRPr="007B4147">
                    <w:rPr>
                      <w:rFonts w:cs="Arial"/>
                      <w:b/>
                    </w:rPr>
                    <w:t>Time</w:t>
                  </w:r>
                  <w:r w:rsidR="000E20E2">
                    <w:rPr>
                      <w:rFonts w:cs="Arial"/>
                      <w:b/>
                    </w:rPr>
                    <w:t>frame</w:t>
                  </w:r>
                  <w:r w:rsidRPr="007B4147">
                    <w:rPr>
                      <w:rFonts w:cs="Arial"/>
                      <w:b/>
                    </w:rPr>
                    <w:t>:</w:t>
                  </w:r>
                  <w:r>
                    <w:rPr>
                      <w:rFonts w:cs="Arial"/>
                    </w:rPr>
                    <w:t xml:space="preserve"> 0500-1100 </w:t>
                  </w:r>
                  <w:r w:rsidR="000E20E2">
                    <w:rPr>
                      <w:rFonts w:cs="Arial"/>
                    </w:rPr>
                    <w:t>am</w:t>
                  </w:r>
                </w:p>
              </w:tc>
              <w:tc>
                <w:tcPr>
                  <w:tcW w:w="2893" w:type="dxa"/>
                </w:tcPr>
                <w:p w:rsidR="007B4147" w:rsidRDefault="007B4147" w:rsidP="008C6EDC">
                  <w:pPr>
                    <w:jc w:val="both"/>
                    <w:rPr>
                      <w:rFonts w:cs="Arial"/>
                    </w:rPr>
                  </w:pPr>
                  <w:r>
                    <w:rPr>
                      <w:rFonts w:cs="Arial"/>
                    </w:rPr>
                    <w:t>0-24 months</w:t>
                  </w:r>
                </w:p>
              </w:tc>
              <w:tc>
                <w:tcPr>
                  <w:tcW w:w="2893" w:type="dxa"/>
                </w:tcPr>
                <w:p w:rsidR="007B4147" w:rsidRDefault="007B4147" w:rsidP="008C6EDC">
                  <w:pPr>
                    <w:jc w:val="both"/>
                    <w:rPr>
                      <w:rFonts w:cs="Arial"/>
                    </w:rPr>
                  </w:pPr>
                  <w:r>
                    <w:rPr>
                      <w:rFonts w:cs="Arial"/>
                    </w:rPr>
                    <w:t xml:space="preserve">0.8-28.6 </w:t>
                  </w:r>
                  <w:r w:rsidRPr="007B4147">
                    <w:rPr>
                      <w:rFonts w:eastAsia="HelenPro-Regular" w:cs="Arial"/>
                    </w:rPr>
                    <w:t>μg/dL</w:t>
                  </w:r>
                </w:p>
              </w:tc>
            </w:tr>
            <w:tr w:rsidR="007B4147" w:rsidTr="007B4147">
              <w:tc>
                <w:tcPr>
                  <w:tcW w:w="2893" w:type="dxa"/>
                </w:tcPr>
                <w:p w:rsidR="007B4147" w:rsidRDefault="007B4147" w:rsidP="008C6EDC">
                  <w:pPr>
                    <w:jc w:val="both"/>
                    <w:rPr>
                      <w:rFonts w:cs="Arial"/>
                    </w:rPr>
                  </w:pPr>
                </w:p>
              </w:tc>
              <w:tc>
                <w:tcPr>
                  <w:tcW w:w="2893" w:type="dxa"/>
                </w:tcPr>
                <w:p w:rsidR="007B4147" w:rsidRDefault="007B4147" w:rsidP="008C6EDC">
                  <w:pPr>
                    <w:jc w:val="both"/>
                    <w:rPr>
                      <w:rFonts w:cs="Arial"/>
                    </w:rPr>
                  </w:pPr>
                  <w:r>
                    <w:rPr>
                      <w:rFonts w:cs="Arial"/>
                    </w:rPr>
                    <w:t>2-11 years</w:t>
                  </w:r>
                </w:p>
              </w:tc>
              <w:tc>
                <w:tcPr>
                  <w:tcW w:w="2893" w:type="dxa"/>
                </w:tcPr>
                <w:p w:rsidR="007B4147" w:rsidRDefault="007B4147" w:rsidP="008C6EDC">
                  <w:pPr>
                    <w:jc w:val="both"/>
                    <w:rPr>
                      <w:rFonts w:cs="Arial"/>
                    </w:rPr>
                  </w:pPr>
                  <w:r>
                    <w:rPr>
                      <w:rFonts w:cs="Arial"/>
                    </w:rPr>
                    <w:t>0.8-27.7</w:t>
                  </w:r>
                  <w:r w:rsidRPr="00C507F9">
                    <w:rPr>
                      <w:rFonts w:eastAsia="HelenPro-Regular" w:cs="Arial"/>
                    </w:rPr>
                    <w:t xml:space="preserve"> </w:t>
                  </w:r>
                  <w:r w:rsidRPr="007B4147">
                    <w:rPr>
                      <w:rFonts w:eastAsia="HelenPro-Regular" w:cs="Arial"/>
                    </w:rPr>
                    <w:t>μg/dL</w:t>
                  </w:r>
                </w:p>
              </w:tc>
            </w:tr>
            <w:tr w:rsidR="007B4147" w:rsidTr="007B4147">
              <w:tc>
                <w:tcPr>
                  <w:tcW w:w="2893" w:type="dxa"/>
                </w:tcPr>
                <w:p w:rsidR="007B4147" w:rsidRDefault="007B4147" w:rsidP="008C6EDC">
                  <w:pPr>
                    <w:jc w:val="both"/>
                    <w:rPr>
                      <w:rFonts w:cs="Arial"/>
                    </w:rPr>
                  </w:pPr>
                </w:p>
              </w:tc>
              <w:tc>
                <w:tcPr>
                  <w:tcW w:w="2893" w:type="dxa"/>
                </w:tcPr>
                <w:p w:rsidR="007B4147" w:rsidRDefault="007B4147" w:rsidP="008C6EDC">
                  <w:pPr>
                    <w:jc w:val="both"/>
                    <w:rPr>
                      <w:rFonts w:cs="Arial"/>
                    </w:rPr>
                  </w:pPr>
                  <w:r>
                    <w:rPr>
                      <w:rFonts w:cs="Arial"/>
                    </w:rPr>
                    <w:t>11-18 years</w:t>
                  </w:r>
                </w:p>
              </w:tc>
              <w:tc>
                <w:tcPr>
                  <w:tcW w:w="2893" w:type="dxa"/>
                </w:tcPr>
                <w:p w:rsidR="007B4147" w:rsidRDefault="007B4147" w:rsidP="008C6EDC">
                  <w:pPr>
                    <w:jc w:val="both"/>
                    <w:rPr>
                      <w:rFonts w:cs="Arial"/>
                    </w:rPr>
                  </w:pPr>
                  <w:r>
                    <w:rPr>
                      <w:rFonts w:cs="Arial"/>
                    </w:rPr>
                    <w:t>0.8-23.5</w:t>
                  </w:r>
                  <w:r w:rsidRPr="00C507F9">
                    <w:rPr>
                      <w:rFonts w:eastAsia="HelenPro-Regular" w:cs="Arial"/>
                    </w:rPr>
                    <w:t xml:space="preserve"> </w:t>
                  </w:r>
                  <w:r w:rsidRPr="007B4147">
                    <w:rPr>
                      <w:rFonts w:eastAsia="HelenPro-Regular" w:cs="Arial"/>
                    </w:rPr>
                    <w:t>μg/dL</w:t>
                  </w:r>
                </w:p>
              </w:tc>
            </w:tr>
            <w:tr w:rsidR="007B4147" w:rsidTr="007B4147">
              <w:tc>
                <w:tcPr>
                  <w:tcW w:w="2893" w:type="dxa"/>
                </w:tcPr>
                <w:p w:rsidR="007B4147" w:rsidRDefault="007B4147" w:rsidP="008C6EDC">
                  <w:pPr>
                    <w:jc w:val="both"/>
                    <w:rPr>
                      <w:rFonts w:cs="Arial"/>
                    </w:rPr>
                  </w:pPr>
                </w:p>
              </w:tc>
              <w:tc>
                <w:tcPr>
                  <w:tcW w:w="2893" w:type="dxa"/>
                </w:tcPr>
                <w:p w:rsidR="007B4147" w:rsidRDefault="007B4147" w:rsidP="008C6EDC">
                  <w:pPr>
                    <w:jc w:val="both"/>
                    <w:rPr>
                      <w:rFonts w:cs="Arial"/>
                    </w:rPr>
                  </w:pPr>
                  <w:r>
                    <w:rPr>
                      <w:rFonts w:cs="Arial"/>
                    </w:rPr>
                    <w:t>&gt;18 years</w:t>
                  </w:r>
                </w:p>
              </w:tc>
              <w:tc>
                <w:tcPr>
                  <w:tcW w:w="2893" w:type="dxa"/>
                </w:tcPr>
                <w:p w:rsidR="007B4147" w:rsidRDefault="007B4147" w:rsidP="008C6EDC">
                  <w:pPr>
                    <w:jc w:val="both"/>
                    <w:rPr>
                      <w:rFonts w:cs="Arial"/>
                    </w:rPr>
                  </w:pPr>
                  <w:r>
                    <w:rPr>
                      <w:rFonts w:cs="Arial"/>
                    </w:rPr>
                    <w:t xml:space="preserve">4.2-21.0 </w:t>
                  </w:r>
                  <w:r w:rsidRPr="007B4147">
                    <w:rPr>
                      <w:rFonts w:eastAsia="HelenPro-Regular" w:cs="Arial"/>
                    </w:rPr>
                    <w:t>μg/dL</w:t>
                  </w:r>
                </w:p>
              </w:tc>
            </w:tr>
            <w:tr w:rsidR="007B4147" w:rsidTr="007B4147">
              <w:tc>
                <w:tcPr>
                  <w:tcW w:w="2893" w:type="dxa"/>
                </w:tcPr>
                <w:p w:rsidR="007B4147" w:rsidRPr="007B4147" w:rsidRDefault="007B4147" w:rsidP="008C6EDC">
                  <w:pPr>
                    <w:jc w:val="both"/>
                    <w:rPr>
                      <w:rFonts w:cs="Arial"/>
                    </w:rPr>
                  </w:pPr>
                  <w:r>
                    <w:rPr>
                      <w:rFonts w:cs="Arial"/>
                      <w:b/>
                    </w:rPr>
                    <w:t>Time</w:t>
                  </w:r>
                  <w:r w:rsidR="000E20E2">
                    <w:rPr>
                      <w:rFonts w:cs="Arial"/>
                      <w:b/>
                    </w:rPr>
                    <w:t>frame</w:t>
                  </w:r>
                  <w:r>
                    <w:rPr>
                      <w:rFonts w:cs="Arial"/>
                      <w:b/>
                    </w:rPr>
                    <w:t xml:space="preserve">: </w:t>
                  </w:r>
                  <w:r>
                    <w:rPr>
                      <w:rFonts w:cs="Arial"/>
                    </w:rPr>
                    <w:t>1700-2300</w:t>
                  </w:r>
                  <w:r w:rsidR="000E20E2">
                    <w:rPr>
                      <w:rFonts w:cs="Arial"/>
                    </w:rPr>
                    <w:t xml:space="preserve"> pm</w:t>
                  </w:r>
                </w:p>
              </w:tc>
              <w:tc>
                <w:tcPr>
                  <w:tcW w:w="2893" w:type="dxa"/>
                </w:tcPr>
                <w:p w:rsidR="007B4147" w:rsidRDefault="007B4147" w:rsidP="008C6EDC">
                  <w:pPr>
                    <w:jc w:val="both"/>
                    <w:rPr>
                      <w:rFonts w:cs="Arial"/>
                    </w:rPr>
                  </w:pPr>
                  <w:r>
                    <w:rPr>
                      <w:rFonts w:cs="Arial"/>
                    </w:rPr>
                    <w:t>0-24 months</w:t>
                  </w:r>
                </w:p>
              </w:tc>
              <w:tc>
                <w:tcPr>
                  <w:tcW w:w="2893" w:type="dxa"/>
                </w:tcPr>
                <w:p w:rsidR="007B4147" w:rsidRDefault="007B4147" w:rsidP="008C6EDC">
                  <w:pPr>
                    <w:jc w:val="both"/>
                    <w:rPr>
                      <w:rFonts w:cs="Arial"/>
                    </w:rPr>
                  </w:pPr>
                  <w:r>
                    <w:rPr>
                      <w:rFonts w:cs="Arial"/>
                    </w:rPr>
                    <w:t xml:space="preserve">0.8-25.5 </w:t>
                  </w:r>
                  <w:r w:rsidRPr="007B4147">
                    <w:rPr>
                      <w:rFonts w:eastAsia="HelenPro-Regular" w:cs="Arial"/>
                    </w:rPr>
                    <w:t>μg/dL</w:t>
                  </w:r>
                </w:p>
              </w:tc>
            </w:tr>
            <w:tr w:rsidR="007B4147" w:rsidTr="007B4147">
              <w:tc>
                <w:tcPr>
                  <w:tcW w:w="2893" w:type="dxa"/>
                </w:tcPr>
                <w:p w:rsidR="007B4147" w:rsidRDefault="007B4147" w:rsidP="008C6EDC">
                  <w:pPr>
                    <w:jc w:val="both"/>
                    <w:rPr>
                      <w:rFonts w:cs="Arial"/>
                      <w:b/>
                    </w:rPr>
                  </w:pPr>
                </w:p>
              </w:tc>
              <w:tc>
                <w:tcPr>
                  <w:tcW w:w="2893" w:type="dxa"/>
                </w:tcPr>
                <w:p w:rsidR="007B4147" w:rsidRDefault="007B4147" w:rsidP="008C6EDC">
                  <w:pPr>
                    <w:jc w:val="both"/>
                    <w:rPr>
                      <w:rFonts w:cs="Arial"/>
                    </w:rPr>
                  </w:pPr>
                  <w:r>
                    <w:rPr>
                      <w:rFonts w:cs="Arial"/>
                    </w:rPr>
                    <w:t>2-11 years</w:t>
                  </w:r>
                </w:p>
              </w:tc>
              <w:tc>
                <w:tcPr>
                  <w:tcW w:w="2893" w:type="dxa"/>
                </w:tcPr>
                <w:p w:rsidR="007B4147" w:rsidRDefault="007B4147" w:rsidP="008C6EDC">
                  <w:pPr>
                    <w:jc w:val="both"/>
                    <w:rPr>
                      <w:rFonts w:cs="Arial"/>
                    </w:rPr>
                  </w:pPr>
                  <w:r>
                    <w:rPr>
                      <w:rFonts w:cs="Arial"/>
                    </w:rPr>
                    <w:t xml:space="preserve">0.8-20.2 </w:t>
                  </w:r>
                  <w:r w:rsidRPr="007B4147">
                    <w:rPr>
                      <w:rFonts w:eastAsia="HelenPro-Regular" w:cs="Arial"/>
                    </w:rPr>
                    <w:t>μg/dL</w:t>
                  </w:r>
                </w:p>
              </w:tc>
            </w:tr>
            <w:tr w:rsidR="007B4147" w:rsidTr="007B4147">
              <w:tc>
                <w:tcPr>
                  <w:tcW w:w="2893" w:type="dxa"/>
                </w:tcPr>
                <w:p w:rsidR="007B4147" w:rsidRDefault="007B4147" w:rsidP="008C6EDC">
                  <w:pPr>
                    <w:jc w:val="both"/>
                    <w:rPr>
                      <w:rFonts w:cs="Arial"/>
                      <w:b/>
                    </w:rPr>
                  </w:pPr>
                </w:p>
              </w:tc>
              <w:tc>
                <w:tcPr>
                  <w:tcW w:w="2893" w:type="dxa"/>
                </w:tcPr>
                <w:p w:rsidR="007B4147" w:rsidRDefault="007B4147" w:rsidP="008C6EDC">
                  <w:pPr>
                    <w:jc w:val="both"/>
                    <w:rPr>
                      <w:rFonts w:cs="Arial"/>
                    </w:rPr>
                  </w:pPr>
                  <w:r>
                    <w:rPr>
                      <w:rFonts w:cs="Arial"/>
                    </w:rPr>
                    <w:t>11-18 years</w:t>
                  </w:r>
                </w:p>
              </w:tc>
              <w:tc>
                <w:tcPr>
                  <w:tcW w:w="2893" w:type="dxa"/>
                </w:tcPr>
                <w:p w:rsidR="007B4147" w:rsidRDefault="007B4147" w:rsidP="008C6EDC">
                  <w:pPr>
                    <w:jc w:val="both"/>
                    <w:rPr>
                      <w:rFonts w:cs="Arial"/>
                    </w:rPr>
                  </w:pPr>
                  <w:r>
                    <w:rPr>
                      <w:rFonts w:cs="Arial"/>
                    </w:rPr>
                    <w:t xml:space="preserve">0.8-18.5 </w:t>
                  </w:r>
                  <w:r w:rsidRPr="007B4147">
                    <w:rPr>
                      <w:rFonts w:eastAsia="HelenPro-Regular" w:cs="Arial"/>
                    </w:rPr>
                    <w:t>μg/dL</w:t>
                  </w:r>
                </w:p>
              </w:tc>
            </w:tr>
            <w:tr w:rsidR="007B4147" w:rsidTr="007B4147">
              <w:tc>
                <w:tcPr>
                  <w:tcW w:w="2893" w:type="dxa"/>
                </w:tcPr>
                <w:p w:rsidR="007B4147" w:rsidRDefault="007B4147" w:rsidP="008C6EDC">
                  <w:pPr>
                    <w:jc w:val="both"/>
                    <w:rPr>
                      <w:rFonts w:cs="Arial"/>
                      <w:b/>
                    </w:rPr>
                  </w:pPr>
                </w:p>
              </w:tc>
              <w:tc>
                <w:tcPr>
                  <w:tcW w:w="2893" w:type="dxa"/>
                </w:tcPr>
                <w:p w:rsidR="007B4147" w:rsidRDefault="007B4147" w:rsidP="008C6EDC">
                  <w:pPr>
                    <w:jc w:val="both"/>
                    <w:rPr>
                      <w:rFonts w:cs="Arial"/>
                    </w:rPr>
                  </w:pPr>
                  <w:r>
                    <w:rPr>
                      <w:rFonts w:cs="Arial"/>
                    </w:rPr>
                    <w:t>&gt;18 years</w:t>
                  </w:r>
                </w:p>
              </w:tc>
              <w:tc>
                <w:tcPr>
                  <w:tcW w:w="2893" w:type="dxa"/>
                </w:tcPr>
                <w:p w:rsidR="007B4147" w:rsidRDefault="007B4147" w:rsidP="008C6EDC">
                  <w:pPr>
                    <w:jc w:val="both"/>
                    <w:rPr>
                      <w:rFonts w:cs="Arial"/>
                    </w:rPr>
                  </w:pPr>
                  <w:r>
                    <w:rPr>
                      <w:rFonts w:cs="Arial"/>
                    </w:rPr>
                    <w:t xml:space="preserve">2.5-13.4 </w:t>
                  </w:r>
                  <w:r w:rsidRPr="007B4147">
                    <w:rPr>
                      <w:rFonts w:eastAsia="HelenPro-Regular" w:cs="Arial"/>
                    </w:rPr>
                    <w:t>μg/dL</w:t>
                  </w:r>
                </w:p>
              </w:tc>
            </w:tr>
          </w:tbl>
          <w:p w:rsidR="007B4147" w:rsidRDefault="007B4147" w:rsidP="008C6EDC">
            <w:pPr>
              <w:jc w:val="both"/>
              <w:rPr>
                <w:rFonts w:cs="Arial"/>
              </w:rPr>
            </w:pPr>
          </w:p>
          <w:p w:rsidR="002E2383" w:rsidRPr="002E2383" w:rsidRDefault="002E2383" w:rsidP="008C6EDC">
            <w:pPr>
              <w:jc w:val="both"/>
              <w:rPr>
                <w:rFonts w:cs="Arial"/>
                <w:b/>
              </w:rPr>
            </w:pPr>
            <w:r w:rsidRPr="002E2383">
              <w:rPr>
                <w:rFonts w:cs="Arial"/>
                <w:b/>
              </w:rPr>
              <w:t>For results drawn outside of the AM and PM window</w:t>
            </w:r>
            <w:r w:rsidR="000E20E2">
              <w:rPr>
                <w:rFonts w:cs="Arial"/>
                <w:b/>
              </w:rPr>
              <w:t>s</w:t>
            </w:r>
            <w:r w:rsidRPr="002E2383">
              <w:rPr>
                <w:rFonts w:cs="Arial"/>
                <w:b/>
              </w:rPr>
              <w:t>, use random cortisol ranges.</w:t>
            </w:r>
          </w:p>
          <w:p w:rsidR="002E2383" w:rsidRDefault="002E2383" w:rsidP="008C6EDC">
            <w:pPr>
              <w:jc w:val="both"/>
              <w:rPr>
                <w:rFonts w:cs="Arial"/>
              </w:rPr>
            </w:pPr>
          </w:p>
          <w:p w:rsidR="002E2383" w:rsidRPr="002E2383" w:rsidRDefault="002E2383" w:rsidP="008C6EDC">
            <w:pPr>
              <w:jc w:val="both"/>
              <w:rPr>
                <w:rFonts w:cs="Arial"/>
                <w:b/>
              </w:rPr>
            </w:pPr>
            <w:r w:rsidRPr="002E2383">
              <w:rPr>
                <w:rFonts w:cs="Arial"/>
                <w:b/>
              </w:rPr>
              <w:t>Random Cortisol Ranges:</w:t>
            </w:r>
          </w:p>
          <w:p w:rsidR="002E2383" w:rsidRDefault="002E2383" w:rsidP="008C6EDC">
            <w:pPr>
              <w:jc w:val="both"/>
              <w:rPr>
                <w:rFonts w:cs="Arial"/>
              </w:rPr>
            </w:pPr>
          </w:p>
          <w:tbl>
            <w:tblPr>
              <w:tblStyle w:val="TableGrid"/>
              <w:tblW w:w="0" w:type="auto"/>
              <w:tblLayout w:type="fixed"/>
              <w:tblLook w:val="04A0"/>
            </w:tblPr>
            <w:tblGrid>
              <w:gridCol w:w="4339"/>
              <w:gridCol w:w="4340"/>
            </w:tblGrid>
            <w:tr w:rsidR="002E2383" w:rsidTr="002E2383">
              <w:tc>
                <w:tcPr>
                  <w:tcW w:w="4339" w:type="dxa"/>
                </w:tcPr>
                <w:p w:rsidR="002E2383" w:rsidRPr="002E2383" w:rsidRDefault="002E2383" w:rsidP="008C6EDC">
                  <w:pPr>
                    <w:jc w:val="both"/>
                    <w:rPr>
                      <w:rFonts w:cs="Arial"/>
                      <w:b/>
                    </w:rPr>
                  </w:pPr>
                  <w:r w:rsidRPr="002E2383">
                    <w:rPr>
                      <w:rFonts w:cs="Arial"/>
                      <w:b/>
                    </w:rPr>
                    <w:t>Age</w:t>
                  </w:r>
                </w:p>
              </w:tc>
              <w:tc>
                <w:tcPr>
                  <w:tcW w:w="4340" w:type="dxa"/>
                </w:tcPr>
                <w:p w:rsidR="002E2383" w:rsidRPr="002E2383" w:rsidRDefault="002E2383" w:rsidP="008C6EDC">
                  <w:pPr>
                    <w:jc w:val="both"/>
                    <w:rPr>
                      <w:rFonts w:cs="Arial"/>
                      <w:b/>
                    </w:rPr>
                  </w:pPr>
                  <w:r w:rsidRPr="002E2383">
                    <w:rPr>
                      <w:rFonts w:cs="Arial"/>
                      <w:b/>
                    </w:rPr>
                    <w:t>Reference Range</w:t>
                  </w:r>
                </w:p>
              </w:tc>
            </w:tr>
            <w:tr w:rsidR="002E2383" w:rsidTr="002E2383">
              <w:tc>
                <w:tcPr>
                  <w:tcW w:w="4339" w:type="dxa"/>
                </w:tcPr>
                <w:p w:rsidR="002E2383" w:rsidRDefault="002E2383" w:rsidP="008C6EDC">
                  <w:pPr>
                    <w:jc w:val="both"/>
                    <w:rPr>
                      <w:rFonts w:cs="Arial"/>
                    </w:rPr>
                  </w:pPr>
                  <w:r>
                    <w:rPr>
                      <w:rFonts w:cs="Arial"/>
                    </w:rPr>
                    <w:t>2-14 days</w:t>
                  </w:r>
                </w:p>
              </w:tc>
              <w:tc>
                <w:tcPr>
                  <w:tcW w:w="4340" w:type="dxa"/>
                </w:tcPr>
                <w:p w:rsidR="002E2383" w:rsidRDefault="002E2383" w:rsidP="008C6EDC">
                  <w:pPr>
                    <w:jc w:val="both"/>
                    <w:rPr>
                      <w:rFonts w:cs="Arial"/>
                    </w:rPr>
                  </w:pPr>
                  <w:r>
                    <w:rPr>
                      <w:rFonts w:cs="Arial"/>
                    </w:rPr>
                    <w:t xml:space="preserve">0.5-12.3 </w:t>
                  </w:r>
                  <w:r w:rsidRPr="002E2383">
                    <w:rPr>
                      <w:rFonts w:eastAsia="HelenPro-Regular" w:cs="Arial"/>
                    </w:rPr>
                    <w:t>μg/dL</w:t>
                  </w:r>
                </w:p>
              </w:tc>
            </w:tr>
            <w:tr w:rsidR="002E2383" w:rsidTr="002E2383">
              <w:tc>
                <w:tcPr>
                  <w:tcW w:w="4339" w:type="dxa"/>
                </w:tcPr>
                <w:p w:rsidR="002E2383" w:rsidRDefault="002E2383" w:rsidP="008C6EDC">
                  <w:pPr>
                    <w:jc w:val="both"/>
                    <w:rPr>
                      <w:rFonts w:cs="Arial"/>
                    </w:rPr>
                  </w:pPr>
                  <w:r>
                    <w:rPr>
                      <w:rFonts w:cs="Arial"/>
                    </w:rPr>
                    <w:t>15 days to &lt;1 year</w:t>
                  </w:r>
                </w:p>
              </w:tc>
              <w:tc>
                <w:tcPr>
                  <w:tcW w:w="4340" w:type="dxa"/>
                </w:tcPr>
                <w:p w:rsidR="002E2383" w:rsidRDefault="002E2383" w:rsidP="008C6EDC">
                  <w:pPr>
                    <w:jc w:val="both"/>
                    <w:rPr>
                      <w:rFonts w:cs="Arial"/>
                    </w:rPr>
                  </w:pPr>
                  <w:r>
                    <w:rPr>
                      <w:rFonts w:cs="Arial"/>
                    </w:rPr>
                    <w:t xml:space="preserve">0.5-16.6 </w:t>
                  </w:r>
                  <w:r w:rsidRPr="002E2383">
                    <w:rPr>
                      <w:rFonts w:eastAsia="HelenPro-Regular" w:cs="Arial"/>
                    </w:rPr>
                    <w:t>μg/dL</w:t>
                  </w:r>
                </w:p>
              </w:tc>
            </w:tr>
            <w:tr w:rsidR="002E2383" w:rsidTr="002E2383">
              <w:tc>
                <w:tcPr>
                  <w:tcW w:w="4339" w:type="dxa"/>
                </w:tcPr>
                <w:p w:rsidR="002E2383" w:rsidRDefault="002E2383" w:rsidP="008C6EDC">
                  <w:pPr>
                    <w:jc w:val="both"/>
                    <w:rPr>
                      <w:rFonts w:cs="Arial"/>
                    </w:rPr>
                  </w:pPr>
                  <w:r>
                    <w:rPr>
                      <w:rFonts w:cs="Arial"/>
                    </w:rPr>
                    <w:t>1 year to &lt;9 years</w:t>
                  </w:r>
                </w:p>
              </w:tc>
              <w:tc>
                <w:tcPr>
                  <w:tcW w:w="4340" w:type="dxa"/>
                </w:tcPr>
                <w:p w:rsidR="002E2383" w:rsidRDefault="002E2383" w:rsidP="008C6EDC">
                  <w:pPr>
                    <w:jc w:val="both"/>
                    <w:rPr>
                      <w:rFonts w:cs="Arial"/>
                    </w:rPr>
                  </w:pPr>
                  <w:r>
                    <w:rPr>
                      <w:rFonts w:cs="Arial"/>
                    </w:rPr>
                    <w:t xml:space="preserve">1.7-10.8 </w:t>
                  </w:r>
                  <w:r w:rsidRPr="002E2383">
                    <w:rPr>
                      <w:rFonts w:eastAsia="HelenPro-Regular" w:cs="Arial"/>
                    </w:rPr>
                    <w:t>μg/dL</w:t>
                  </w:r>
                </w:p>
              </w:tc>
            </w:tr>
            <w:tr w:rsidR="002E2383" w:rsidTr="002E2383">
              <w:tc>
                <w:tcPr>
                  <w:tcW w:w="4339" w:type="dxa"/>
                </w:tcPr>
                <w:p w:rsidR="002E2383" w:rsidRDefault="002E2383" w:rsidP="008C6EDC">
                  <w:pPr>
                    <w:jc w:val="both"/>
                    <w:rPr>
                      <w:rFonts w:cs="Arial"/>
                    </w:rPr>
                  </w:pPr>
                  <w:r>
                    <w:rPr>
                      <w:rFonts w:cs="Arial"/>
                    </w:rPr>
                    <w:t>9 years to &lt;14 years</w:t>
                  </w:r>
                </w:p>
              </w:tc>
              <w:tc>
                <w:tcPr>
                  <w:tcW w:w="4340" w:type="dxa"/>
                </w:tcPr>
                <w:p w:rsidR="002E2383" w:rsidRDefault="002E2383" w:rsidP="008C6EDC">
                  <w:pPr>
                    <w:jc w:val="both"/>
                    <w:rPr>
                      <w:rFonts w:cs="Arial"/>
                    </w:rPr>
                  </w:pPr>
                  <w:r>
                    <w:rPr>
                      <w:rFonts w:cs="Arial"/>
                    </w:rPr>
                    <w:t xml:space="preserve">2.2-12.7 </w:t>
                  </w:r>
                  <w:r w:rsidRPr="002E2383">
                    <w:rPr>
                      <w:rFonts w:eastAsia="HelenPro-Regular" w:cs="Arial"/>
                    </w:rPr>
                    <w:t>μg/dL</w:t>
                  </w:r>
                </w:p>
              </w:tc>
            </w:tr>
            <w:tr w:rsidR="002E2383" w:rsidTr="002E2383">
              <w:tc>
                <w:tcPr>
                  <w:tcW w:w="4339" w:type="dxa"/>
                </w:tcPr>
                <w:p w:rsidR="002E2383" w:rsidRDefault="002E2383" w:rsidP="008C6EDC">
                  <w:pPr>
                    <w:jc w:val="both"/>
                    <w:rPr>
                      <w:rFonts w:cs="Arial"/>
                    </w:rPr>
                  </w:pPr>
                  <w:r>
                    <w:rPr>
                      <w:rFonts w:cs="Arial"/>
                    </w:rPr>
                    <w:t>14 years to &lt;17 year</w:t>
                  </w:r>
                </w:p>
              </w:tc>
              <w:tc>
                <w:tcPr>
                  <w:tcW w:w="4340" w:type="dxa"/>
                </w:tcPr>
                <w:p w:rsidR="002E2383" w:rsidRDefault="002E2383" w:rsidP="008C6EDC">
                  <w:pPr>
                    <w:jc w:val="both"/>
                    <w:rPr>
                      <w:rFonts w:cs="Arial"/>
                    </w:rPr>
                  </w:pPr>
                  <w:r>
                    <w:rPr>
                      <w:rFonts w:cs="Arial"/>
                    </w:rPr>
                    <w:t xml:space="preserve">2.8-16.4 </w:t>
                  </w:r>
                  <w:r w:rsidRPr="002E2383">
                    <w:rPr>
                      <w:rFonts w:eastAsia="HelenPro-Regular" w:cs="Arial"/>
                    </w:rPr>
                    <w:t>μg/dL</w:t>
                  </w:r>
                </w:p>
              </w:tc>
            </w:tr>
            <w:tr w:rsidR="002E2383" w:rsidTr="002E2383">
              <w:tc>
                <w:tcPr>
                  <w:tcW w:w="4339" w:type="dxa"/>
                </w:tcPr>
                <w:p w:rsidR="002E2383" w:rsidRDefault="002E2383" w:rsidP="008C6EDC">
                  <w:pPr>
                    <w:jc w:val="both"/>
                    <w:rPr>
                      <w:rFonts w:cs="Arial"/>
                    </w:rPr>
                  </w:pPr>
                  <w:r>
                    <w:rPr>
                      <w:rFonts w:cs="Arial"/>
                    </w:rPr>
                    <w:t>17-19 years</w:t>
                  </w:r>
                </w:p>
              </w:tc>
              <w:tc>
                <w:tcPr>
                  <w:tcW w:w="4340" w:type="dxa"/>
                </w:tcPr>
                <w:p w:rsidR="002E2383" w:rsidRDefault="002E2383" w:rsidP="008C6EDC">
                  <w:pPr>
                    <w:jc w:val="both"/>
                    <w:rPr>
                      <w:rFonts w:cs="Arial"/>
                    </w:rPr>
                  </w:pPr>
                  <w:r>
                    <w:rPr>
                      <w:rFonts w:cs="Arial"/>
                    </w:rPr>
                    <w:t xml:space="preserve">3.5-18.3 </w:t>
                  </w:r>
                  <w:r w:rsidRPr="002E2383">
                    <w:rPr>
                      <w:rFonts w:eastAsia="HelenPro-Regular" w:cs="Arial"/>
                    </w:rPr>
                    <w:t>μg/dL</w:t>
                  </w:r>
                </w:p>
              </w:tc>
            </w:tr>
          </w:tbl>
          <w:p w:rsidR="002E2383" w:rsidRDefault="002E2383" w:rsidP="008C6EDC">
            <w:pPr>
              <w:jc w:val="both"/>
              <w:rPr>
                <w:rFonts w:cs="Arial"/>
              </w:rPr>
            </w:pPr>
          </w:p>
          <w:p w:rsidR="000305CF" w:rsidRDefault="000305CF" w:rsidP="008C6EDC">
            <w:pPr>
              <w:jc w:val="both"/>
              <w:rPr>
                <w:rFonts w:cs="Arial"/>
              </w:rPr>
            </w:pPr>
            <w:r>
              <w:rPr>
                <w:rFonts w:cs="Arial"/>
              </w:rPr>
              <w:t>Results in Sunque</w:t>
            </w:r>
            <w:r w:rsidR="00DF4B6D">
              <w:rPr>
                <w:rFonts w:cs="Arial"/>
              </w:rPr>
              <w:t>st will flag according to the AM</w:t>
            </w:r>
            <w:r>
              <w:rPr>
                <w:rFonts w:cs="Arial"/>
              </w:rPr>
              <w:t xml:space="preserve"> Reference Intervals.</w:t>
            </w:r>
          </w:p>
        </w:tc>
      </w:tr>
      <w:tr w:rsidR="008C6EDC" w:rsidTr="00D120DB">
        <w:trPr>
          <w:trHeight w:val="701"/>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Critical Values</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rPr>
            </w:pPr>
            <w:r>
              <w:rPr>
                <w:rFonts w:cs="Arial"/>
              </w:rPr>
              <w:t>None specified</w:t>
            </w:r>
          </w:p>
        </w:tc>
      </w:tr>
      <w:tr w:rsidR="008C6EDC" w:rsidTr="009E6662">
        <w:trPr>
          <w:trHeight w:val="1413"/>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Limitations</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8C6EDC" w:rsidRDefault="008C6EDC">
            <w:pPr>
              <w:rPr>
                <w:rFonts w:cs="Arial"/>
              </w:rPr>
            </w:pPr>
          </w:p>
          <w:p w:rsidR="008C6EDC" w:rsidRDefault="008C6EDC" w:rsidP="000305CF">
            <w:pPr>
              <w:numPr>
                <w:ilvl w:val="0"/>
                <w:numId w:val="35"/>
              </w:numPr>
              <w:rPr>
                <w:rFonts w:cs="Arial"/>
                <w:color w:val="000000"/>
                <w:szCs w:val="15"/>
              </w:rPr>
            </w:pPr>
            <w:r>
              <w:rPr>
                <w:rFonts w:cs="Arial"/>
                <w:color w:val="000000"/>
                <w:szCs w:val="15"/>
              </w:rPr>
              <w:t>The instrument reporting system contains error messages to warn the op</w:t>
            </w:r>
            <w:r w:rsidR="001F2FF6">
              <w:rPr>
                <w:rFonts w:cs="Arial"/>
                <w:color w:val="000000"/>
                <w:szCs w:val="15"/>
              </w:rPr>
              <w:t>erator of specific malfunctions</w:t>
            </w:r>
            <w:r>
              <w:rPr>
                <w:rFonts w:cs="Arial"/>
                <w:color w:val="000000"/>
                <w:szCs w:val="15"/>
              </w:rPr>
              <w:t xml:space="preserve">. Refer to </w:t>
            </w:r>
            <w:r w:rsidR="001F2FF6">
              <w:rPr>
                <w:rFonts w:cs="Arial"/>
                <w:color w:val="000000"/>
                <w:szCs w:val="15"/>
              </w:rPr>
              <w:t>Operator’s Manual</w:t>
            </w:r>
            <w:r>
              <w:rPr>
                <w:rFonts w:cs="Arial"/>
                <w:color w:val="000000"/>
                <w:szCs w:val="15"/>
              </w:rPr>
              <w:t xml:space="preserve"> for troubleshooting</w:t>
            </w:r>
            <w:r w:rsidR="008E43B5">
              <w:rPr>
                <w:rFonts w:cs="Arial"/>
                <w:color w:val="000000"/>
                <w:szCs w:val="15"/>
              </w:rPr>
              <w:t xml:space="preserve"> specific error messages</w:t>
            </w:r>
            <w:r>
              <w:rPr>
                <w:rFonts w:cs="Arial"/>
                <w:color w:val="000000"/>
                <w:szCs w:val="15"/>
              </w:rPr>
              <w:t>.</w:t>
            </w:r>
          </w:p>
          <w:p w:rsidR="000305CF" w:rsidRDefault="000305CF" w:rsidP="000305CF">
            <w:pPr>
              <w:numPr>
                <w:ilvl w:val="0"/>
                <w:numId w:val="35"/>
              </w:numPr>
              <w:rPr>
                <w:rFonts w:cs="Arial"/>
                <w:color w:val="000000"/>
                <w:szCs w:val="15"/>
              </w:rPr>
            </w:pPr>
            <w:r w:rsidRPr="009C0AE4">
              <w:rPr>
                <w:rFonts w:eastAsia="HelenPro-Regular" w:cs="Arial"/>
                <w:szCs w:val="20"/>
              </w:rPr>
              <w:t>The concentration of cortisol in a given specimen, determined with assays from different manufacturers, can vary due to differences in assay methods, calibration, and reagent specificity.</w:t>
            </w:r>
          </w:p>
          <w:p w:rsidR="000305CF" w:rsidRDefault="000305CF" w:rsidP="000305CF">
            <w:pPr>
              <w:numPr>
                <w:ilvl w:val="0"/>
                <w:numId w:val="35"/>
              </w:numPr>
              <w:rPr>
                <w:rFonts w:cs="Arial"/>
                <w:color w:val="000000"/>
                <w:szCs w:val="15"/>
              </w:rPr>
            </w:pPr>
            <w:r w:rsidRPr="000305CF">
              <w:rPr>
                <w:rFonts w:eastAsia="HelenPro-Regular" w:cs="Arial"/>
                <w:szCs w:val="20"/>
              </w:rPr>
              <w:t>If the cortisol results are inconsistent with clinical evidence, additional testing is suggested to confirm the result.</w:t>
            </w:r>
          </w:p>
          <w:p w:rsidR="000305CF" w:rsidRPr="000305CF" w:rsidRDefault="000305CF" w:rsidP="000305CF">
            <w:pPr>
              <w:numPr>
                <w:ilvl w:val="0"/>
                <w:numId w:val="35"/>
              </w:numPr>
              <w:rPr>
                <w:rFonts w:cs="Arial"/>
                <w:color w:val="000000"/>
                <w:szCs w:val="15"/>
              </w:rPr>
            </w:pPr>
            <w:r w:rsidRPr="000305CF">
              <w:rPr>
                <w:rFonts w:eastAsia="HelenPro-Bold" w:cs="Arial"/>
                <w:b/>
                <w:bCs/>
                <w:szCs w:val="20"/>
              </w:rPr>
              <w:t xml:space="preserve"> </w:t>
            </w:r>
            <w:r w:rsidRPr="000305CF">
              <w:rPr>
                <w:rFonts w:eastAsia="HelenPro-Regular" w:cs="Arial"/>
                <w:szCs w:val="20"/>
              </w:rPr>
              <w:t>For diagnostic purposes, results should be used in conjunction with other data; e.g., symptoms, results of other tests, clinical impressions, etc.</w:t>
            </w:r>
          </w:p>
          <w:p w:rsidR="000305CF" w:rsidRDefault="000305CF" w:rsidP="000305CF">
            <w:pPr>
              <w:ind w:left="360"/>
              <w:rPr>
                <w:rFonts w:cs="Arial"/>
                <w:color w:val="000000"/>
                <w:szCs w:val="15"/>
              </w:rPr>
            </w:pPr>
          </w:p>
          <w:p w:rsidR="008C6EDC" w:rsidRDefault="008C6EDC">
            <w:pPr>
              <w:rPr>
                <w:rFonts w:cs="Arial"/>
              </w:rPr>
            </w:pPr>
          </w:p>
        </w:tc>
      </w:tr>
      <w:tr w:rsidR="00B816B4" w:rsidTr="00D120DB">
        <w:trPr>
          <w:trHeight w:val="864"/>
          <w:tblHeader/>
        </w:trPr>
        <w:tc>
          <w:tcPr>
            <w:tcW w:w="2160" w:type="dxa"/>
            <w:tcBorders>
              <w:top w:val="single" w:sz="18" w:space="0" w:color="A6A6A6" w:themeColor="background1" w:themeShade="A6"/>
              <w:bottom w:val="single" w:sz="18" w:space="0" w:color="A6A6A6" w:themeColor="background1" w:themeShade="A6"/>
            </w:tcBorders>
          </w:tcPr>
          <w:p w:rsidR="00B816B4" w:rsidRPr="00FE4D45" w:rsidRDefault="00B816B4" w:rsidP="008C6EDC">
            <w:pPr>
              <w:rPr>
                <w:rFonts w:cs="Arial"/>
                <w:b/>
                <w:bCs/>
                <w:color w:val="0000FF"/>
              </w:rPr>
            </w:pPr>
          </w:p>
          <w:p w:rsidR="00B816B4" w:rsidRPr="00FE4D45" w:rsidRDefault="00B816B4" w:rsidP="008C6EDC">
            <w:pPr>
              <w:rPr>
                <w:rFonts w:cs="Arial"/>
                <w:b/>
                <w:bCs/>
                <w:color w:val="0000FF"/>
              </w:rPr>
            </w:pPr>
            <w:r w:rsidRPr="00FE4D45">
              <w:rPr>
                <w:rFonts w:cs="Arial"/>
                <w:b/>
                <w:bCs/>
                <w:color w:val="0000FF"/>
              </w:rPr>
              <w:t>Dilutions</w:t>
            </w:r>
          </w:p>
          <w:p w:rsidR="00B816B4" w:rsidRPr="00FE4D45" w:rsidRDefault="00B816B4" w:rsidP="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FE4D45" w:rsidRPr="00FE4D45" w:rsidRDefault="002E2383" w:rsidP="002E2383">
            <w:pPr>
              <w:numPr>
                <w:ilvl w:val="0"/>
                <w:numId w:val="28"/>
              </w:numPr>
              <w:autoSpaceDE w:val="0"/>
              <w:autoSpaceDN w:val="0"/>
              <w:adjustRightInd w:val="0"/>
              <w:rPr>
                <w:rFonts w:cs="Arial"/>
                <w:szCs w:val="20"/>
              </w:rPr>
            </w:pPr>
            <w:r w:rsidRPr="00FE4D45">
              <w:rPr>
                <w:rFonts w:eastAsia="HelenPro-Regular" w:cs="Arial"/>
                <w:szCs w:val="20"/>
              </w:rPr>
              <w:t>Specimens with a cortisol value exceeding 59.8 μg/dL are flagged with the code “&gt; 59.8” will be automatically diluted on board with a dilution of 1:2.</w:t>
            </w:r>
          </w:p>
          <w:p w:rsidR="002E2383" w:rsidRPr="00FE4D45" w:rsidRDefault="002E2383" w:rsidP="00FE4D45">
            <w:pPr>
              <w:numPr>
                <w:ilvl w:val="0"/>
                <w:numId w:val="28"/>
              </w:numPr>
              <w:autoSpaceDE w:val="0"/>
              <w:autoSpaceDN w:val="0"/>
              <w:adjustRightInd w:val="0"/>
              <w:rPr>
                <w:rFonts w:cs="Arial"/>
                <w:szCs w:val="20"/>
              </w:rPr>
            </w:pPr>
            <w:r w:rsidRPr="00FE4D45">
              <w:rPr>
                <w:rFonts w:eastAsia="HelenPro-Regular" w:cs="Arial"/>
                <w:szCs w:val="20"/>
              </w:rPr>
              <w:t>Specimens with a cortisol value exceeding</w:t>
            </w:r>
            <w:r w:rsidR="00FE4D45" w:rsidRPr="00FE4D45">
              <w:rPr>
                <w:rFonts w:cs="Arial"/>
                <w:szCs w:val="20"/>
              </w:rPr>
              <w:t xml:space="preserve"> </w:t>
            </w:r>
            <w:r w:rsidRPr="00FE4D45">
              <w:rPr>
                <w:rFonts w:eastAsia="HelenPro-Regular" w:cs="Arial"/>
                <w:szCs w:val="20"/>
              </w:rPr>
              <w:t>119.6 μg/dL are flagged with the code “&gt;119.6” when run using the</w:t>
            </w:r>
            <w:r w:rsidR="00FE4D45" w:rsidRPr="00FE4D45">
              <w:rPr>
                <w:rFonts w:cs="Arial"/>
                <w:szCs w:val="20"/>
              </w:rPr>
              <w:t xml:space="preserve"> </w:t>
            </w:r>
            <w:r w:rsidRPr="00FE4D45">
              <w:rPr>
                <w:rFonts w:eastAsia="HelenPro-Regular" w:cs="Arial"/>
                <w:szCs w:val="20"/>
              </w:rPr>
              <w:t>Automated Dilution Protocol. These specimens may be diluted by</w:t>
            </w:r>
            <w:r w:rsidR="00FE4D45" w:rsidRPr="00FE4D45">
              <w:rPr>
                <w:rFonts w:cs="Arial"/>
                <w:szCs w:val="20"/>
              </w:rPr>
              <w:t xml:space="preserve"> </w:t>
            </w:r>
            <w:r w:rsidRPr="00FE4D45">
              <w:rPr>
                <w:rFonts w:eastAsia="HelenPro-Regular" w:cs="Arial"/>
                <w:szCs w:val="20"/>
              </w:rPr>
              <w:t>following the Manual Dilution Procedure.</w:t>
            </w:r>
          </w:p>
          <w:p w:rsidR="00FE4D45" w:rsidRPr="00FE4D45" w:rsidRDefault="00FE4D45" w:rsidP="00FE4D45">
            <w:pPr>
              <w:autoSpaceDE w:val="0"/>
              <w:autoSpaceDN w:val="0"/>
              <w:adjustRightInd w:val="0"/>
              <w:rPr>
                <w:rFonts w:eastAsia="HelenPro-Regular" w:cs="Arial"/>
                <w:szCs w:val="20"/>
              </w:rPr>
            </w:pPr>
          </w:p>
          <w:p w:rsidR="00FE4D45" w:rsidRPr="00FE4D45" w:rsidRDefault="00FE4D45" w:rsidP="00FE4D45">
            <w:pPr>
              <w:autoSpaceDE w:val="0"/>
              <w:autoSpaceDN w:val="0"/>
              <w:adjustRightInd w:val="0"/>
              <w:rPr>
                <w:rFonts w:eastAsia="HelenPro-Regular" w:cs="Arial"/>
                <w:szCs w:val="20"/>
              </w:rPr>
            </w:pPr>
            <w:r w:rsidRPr="00FE4D45">
              <w:rPr>
                <w:rFonts w:eastAsia="HelenPro-Regular" w:cs="Arial"/>
                <w:szCs w:val="20"/>
              </w:rPr>
              <w:t>Manual Dilution Procedure:</w:t>
            </w:r>
          </w:p>
          <w:p w:rsidR="00FE4D45" w:rsidRPr="00FE4D45" w:rsidRDefault="000305CF" w:rsidP="00FE4D45">
            <w:pPr>
              <w:numPr>
                <w:ilvl w:val="0"/>
                <w:numId w:val="29"/>
              </w:numPr>
              <w:autoSpaceDE w:val="0"/>
              <w:autoSpaceDN w:val="0"/>
              <w:adjustRightInd w:val="0"/>
              <w:rPr>
                <w:rFonts w:eastAsia="HelenPro-Regular" w:cs="Arial"/>
                <w:szCs w:val="20"/>
              </w:rPr>
            </w:pPr>
            <w:r>
              <w:rPr>
                <w:rFonts w:eastAsia="HelenPro-Regular" w:cs="Arial"/>
                <w:szCs w:val="20"/>
              </w:rPr>
              <w:t>The s</w:t>
            </w:r>
            <w:r w:rsidR="00FE4D45" w:rsidRPr="00FE4D45">
              <w:rPr>
                <w:rFonts w:eastAsia="HelenPro-Regular" w:cs="Arial"/>
                <w:szCs w:val="20"/>
              </w:rPr>
              <w:t>uggested</w:t>
            </w:r>
            <w:r>
              <w:rPr>
                <w:rFonts w:eastAsia="HelenPro-Regular" w:cs="Arial"/>
                <w:szCs w:val="20"/>
              </w:rPr>
              <w:t xml:space="preserve"> and maximum dilution is</w:t>
            </w:r>
            <w:r w:rsidR="00FE4D45" w:rsidRPr="00FE4D45">
              <w:rPr>
                <w:rFonts w:eastAsia="HelenPro-Regular" w:cs="Arial"/>
                <w:szCs w:val="20"/>
              </w:rPr>
              <w:t xml:space="preserve"> 1:4</w:t>
            </w:r>
          </w:p>
          <w:p w:rsidR="00FE4D45" w:rsidRPr="00FE4D45" w:rsidRDefault="00FE4D45" w:rsidP="00FE4D45">
            <w:pPr>
              <w:numPr>
                <w:ilvl w:val="0"/>
                <w:numId w:val="29"/>
              </w:numPr>
              <w:autoSpaceDE w:val="0"/>
              <w:autoSpaceDN w:val="0"/>
              <w:adjustRightInd w:val="0"/>
              <w:rPr>
                <w:rFonts w:eastAsia="HelenPro-Regular" w:cs="Arial"/>
                <w:szCs w:val="20"/>
              </w:rPr>
            </w:pPr>
            <w:r w:rsidRPr="00FE4D45">
              <w:rPr>
                <w:rFonts w:eastAsia="HelenPro-Regular" w:cs="Arial"/>
                <w:szCs w:val="20"/>
              </w:rPr>
              <w:t>Prior to diluting the specimen, dispense approximately 7 drops of ARCHITECT Cortisol Calibrator A into a clean tube for use in the next step.</w:t>
            </w:r>
          </w:p>
          <w:p w:rsidR="00FE4D45" w:rsidRDefault="00FE4D45" w:rsidP="00FE4D45">
            <w:pPr>
              <w:numPr>
                <w:ilvl w:val="0"/>
                <w:numId w:val="29"/>
              </w:numPr>
              <w:autoSpaceDE w:val="0"/>
              <w:autoSpaceDN w:val="0"/>
              <w:adjustRightInd w:val="0"/>
              <w:rPr>
                <w:rFonts w:eastAsia="HelenPro-Regular" w:cs="Arial"/>
                <w:szCs w:val="20"/>
              </w:rPr>
            </w:pPr>
            <w:r w:rsidRPr="00FE4D45">
              <w:rPr>
                <w:rFonts w:eastAsia="HelenPro-Regular" w:cs="Arial"/>
                <w:szCs w:val="20"/>
              </w:rPr>
              <w:t xml:space="preserve"> Add 150</w:t>
            </w:r>
            <w:r w:rsidR="000E20E2">
              <w:rPr>
                <w:rFonts w:eastAsia="HelenPro-Regular" w:cs="Arial"/>
                <w:szCs w:val="20"/>
              </w:rPr>
              <w:t>.0</w:t>
            </w:r>
            <w:r w:rsidRPr="00FE4D45">
              <w:rPr>
                <w:rFonts w:eastAsia="HelenPro-Regular" w:cs="Arial"/>
                <w:szCs w:val="20"/>
              </w:rPr>
              <w:t xml:space="preserve"> μL of ARCHITECT Cortisol Calibrator A from the test tube prepared in the prior step into another clean test tube and add </w:t>
            </w:r>
            <w:r w:rsidR="000E20E2">
              <w:rPr>
                <w:rFonts w:eastAsia="HelenPro-Regular" w:cs="Arial"/>
                <w:szCs w:val="20"/>
              </w:rPr>
              <w:t xml:space="preserve">exactly </w:t>
            </w:r>
            <w:r w:rsidRPr="00FE4D45">
              <w:rPr>
                <w:rFonts w:eastAsia="HelenPro-Regular" w:cs="Arial"/>
                <w:szCs w:val="20"/>
              </w:rPr>
              <w:t>50</w:t>
            </w:r>
            <w:r w:rsidR="000E20E2">
              <w:rPr>
                <w:rFonts w:eastAsia="HelenPro-Regular" w:cs="Arial"/>
                <w:szCs w:val="20"/>
              </w:rPr>
              <w:t>.0</w:t>
            </w:r>
            <w:r w:rsidRPr="00FE4D45">
              <w:rPr>
                <w:rFonts w:eastAsia="HelenPro-Regular" w:cs="Arial"/>
                <w:szCs w:val="20"/>
              </w:rPr>
              <w:t xml:space="preserve"> μL of the patient specimen.</w:t>
            </w:r>
          </w:p>
          <w:p w:rsidR="00FE4D45" w:rsidRPr="00FE4D45" w:rsidRDefault="00FE4D45" w:rsidP="00FE4D45">
            <w:pPr>
              <w:numPr>
                <w:ilvl w:val="0"/>
                <w:numId w:val="29"/>
              </w:numPr>
              <w:autoSpaceDE w:val="0"/>
              <w:autoSpaceDN w:val="0"/>
              <w:adjustRightInd w:val="0"/>
              <w:rPr>
                <w:rFonts w:eastAsia="HelenPro-Regular" w:cs="Arial"/>
                <w:szCs w:val="20"/>
              </w:rPr>
            </w:pPr>
            <w:r w:rsidRPr="00FE4D45">
              <w:rPr>
                <w:rFonts w:eastAsia="HelenPro-Regular" w:cs="Arial"/>
                <w:szCs w:val="20"/>
              </w:rPr>
              <w:t xml:space="preserve">The operator must enter the dilution factor in the Patient order screen. The system will use this dilution factor to automatically calculate the concentration of the sample before dilution and report the result. The result should be &gt; 3.0 μg/dL before the dilution factor is applied.  Refer to </w:t>
            </w:r>
            <w:r w:rsidR="00AD63AE" w:rsidRPr="00FE4D45">
              <w:rPr>
                <w:rFonts w:eastAsia="HelenPro-Regular" w:cs="Arial"/>
                <w:szCs w:val="20"/>
              </w:rPr>
              <w:t xml:space="preserve">the </w:t>
            </w:r>
            <w:hyperlink r:id="rId11" w:history="1">
              <w:r w:rsidRPr="00FE4D45">
                <w:rPr>
                  <w:rStyle w:val="Hyperlink"/>
                  <w:rFonts w:cs="Arial"/>
                  <w:szCs w:val="20"/>
                </w:rPr>
                <w:t>Abbott Architect Operating Procedure</w:t>
              </w:r>
            </w:hyperlink>
            <w:r w:rsidRPr="00FE4D45">
              <w:rPr>
                <w:rFonts w:cs="Arial"/>
                <w:szCs w:val="20"/>
              </w:rPr>
              <w:t>, under programming sample data</w:t>
            </w:r>
            <w:r w:rsidR="00AD63AE">
              <w:rPr>
                <w:rFonts w:cs="Arial"/>
                <w:szCs w:val="20"/>
              </w:rPr>
              <w:t>,</w:t>
            </w:r>
            <w:r w:rsidR="000E20E2">
              <w:rPr>
                <w:rFonts w:cs="Arial"/>
                <w:szCs w:val="20"/>
              </w:rPr>
              <w:t xml:space="preserve"> for assistance </w:t>
            </w:r>
            <w:r w:rsidRPr="00FE4D45">
              <w:rPr>
                <w:rFonts w:cs="Arial"/>
                <w:szCs w:val="20"/>
              </w:rPr>
              <w:t>programming</w:t>
            </w:r>
            <w:r w:rsidR="000E20E2">
              <w:rPr>
                <w:rFonts w:cs="Arial"/>
                <w:szCs w:val="20"/>
              </w:rPr>
              <w:t xml:space="preserve"> the</w:t>
            </w:r>
            <w:r w:rsidRPr="00FE4D45">
              <w:rPr>
                <w:rFonts w:cs="Arial"/>
                <w:szCs w:val="20"/>
              </w:rPr>
              <w:t xml:space="preserve"> manual dilution factor.</w:t>
            </w:r>
          </w:p>
          <w:p w:rsidR="00FE4D45" w:rsidRPr="00FE4D45" w:rsidRDefault="00FE4D45" w:rsidP="00FE4D45">
            <w:pPr>
              <w:autoSpaceDE w:val="0"/>
              <w:autoSpaceDN w:val="0"/>
              <w:adjustRightInd w:val="0"/>
              <w:rPr>
                <w:rFonts w:eastAsia="HelenPro-Regular" w:cs="Arial"/>
                <w:sz w:val="17"/>
                <w:szCs w:val="17"/>
              </w:rPr>
            </w:pPr>
          </w:p>
        </w:tc>
      </w:tr>
      <w:tr w:rsidR="008C6EDC" w:rsidTr="00AD63AE">
        <w:trPr>
          <w:trHeight w:val="2007"/>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Result Reporting</w:t>
            </w:r>
          </w:p>
          <w:p w:rsidR="008C6EDC" w:rsidRDefault="008C6EDC" w:rsidP="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FE4D45" w:rsidRDefault="00FE4D45" w:rsidP="00B00AD4">
            <w:pPr>
              <w:numPr>
                <w:ilvl w:val="0"/>
                <w:numId w:val="4"/>
              </w:numPr>
              <w:jc w:val="both"/>
              <w:rPr>
                <w:rFonts w:cs="Arial"/>
              </w:rPr>
            </w:pPr>
            <w:r w:rsidRPr="00FE4D45">
              <w:rPr>
                <w:rFonts w:cs="Arial"/>
              </w:rPr>
              <w:t>Cor</w:t>
            </w:r>
            <w:r w:rsidR="000E20E2">
              <w:rPr>
                <w:rFonts w:cs="Arial"/>
              </w:rPr>
              <w:t>tisol will flag according to the AM ranges, and PM ranges will be appended</w:t>
            </w:r>
            <w:r w:rsidRPr="00FE4D45">
              <w:rPr>
                <w:rFonts w:cs="Arial"/>
              </w:rPr>
              <w:t xml:space="preserve">.   </w:t>
            </w:r>
          </w:p>
          <w:p w:rsidR="00AD63AE" w:rsidRDefault="00AD63AE" w:rsidP="00B00AD4">
            <w:pPr>
              <w:numPr>
                <w:ilvl w:val="0"/>
                <w:numId w:val="4"/>
              </w:numPr>
              <w:jc w:val="both"/>
              <w:rPr>
                <w:rFonts w:cs="Arial"/>
              </w:rPr>
            </w:pPr>
            <w:r>
              <w:rPr>
                <w:rFonts w:cs="Arial"/>
              </w:rPr>
              <w:t xml:space="preserve">Results &lt;1 </w:t>
            </w:r>
            <w:r w:rsidRPr="00FE4D45">
              <w:rPr>
                <w:rFonts w:eastAsia="HelenPro-Regular" w:cs="Arial"/>
                <w:szCs w:val="20"/>
              </w:rPr>
              <w:t>μg/dL</w:t>
            </w:r>
            <w:r>
              <w:rPr>
                <w:rFonts w:eastAsia="HelenPro-Regular" w:cs="Arial"/>
                <w:szCs w:val="20"/>
              </w:rPr>
              <w:t xml:space="preserve"> will be reported as &lt;1 </w:t>
            </w:r>
            <w:r w:rsidRPr="00FE4D45">
              <w:rPr>
                <w:rFonts w:eastAsia="HelenPro-Regular" w:cs="Arial"/>
                <w:szCs w:val="20"/>
              </w:rPr>
              <w:t>μg/dL</w:t>
            </w:r>
            <w:r>
              <w:rPr>
                <w:rFonts w:eastAsia="HelenPro-Regular" w:cs="Arial"/>
                <w:szCs w:val="20"/>
              </w:rPr>
              <w:t xml:space="preserve"> rather than the numerical value.</w:t>
            </w:r>
          </w:p>
          <w:p w:rsidR="00FE4D45" w:rsidRDefault="00FE4D45" w:rsidP="00B00AD4">
            <w:pPr>
              <w:numPr>
                <w:ilvl w:val="0"/>
                <w:numId w:val="4"/>
              </w:numPr>
              <w:jc w:val="both"/>
              <w:rPr>
                <w:rFonts w:cs="Arial"/>
              </w:rPr>
            </w:pPr>
            <w:r w:rsidRPr="00FE4D45">
              <w:rPr>
                <w:rFonts w:cs="Arial"/>
              </w:rPr>
              <w:t>Results &gt;59.8</w:t>
            </w:r>
            <w:r w:rsidR="00AD63AE" w:rsidRPr="00FE4D45">
              <w:rPr>
                <w:rFonts w:eastAsia="HelenPro-Regular" w:cs="Arial"/>
                <w:szCs w:val="20"/>
              </w:rPr>
              <w:t xml:space="preserve"> μg/dL</w:t>
            </w:r>
            <w:r w:rsidR="00AD63AE">
              <w:rPr>
                <w:rFonts w:cs="Arial"/>
              </w:rPr>
              <w:t xml:space="preserve"> </w:t>
            </w:r>
            <w:r w:rsidR="00AD63AE" w:rsidRPr="00FE4D45">
              <w:rPr>
                <w:rFonts w:cs="Arial"/>
              </w:rPr>
              <w:t>will</w:t>
            </w:r>
            <w:r w:rsidRPr="00FE4D45">
              <w:rPr>
                <w:rFonts w:cs="Arial"/>
              </w:rPr>
              <w:t xml:space="preserve"> trigger an autodilution on the analyzer.  </w:t>
            </w:r>
          </w:p>
          <w:p w:rsidR="00AD63AE" w:rsidRDefault="00FE4D45" w:rsidP="00B00AD4">
            <w:pPr>
              <w:numPr>
                <w:ilvl w:val="0"/>
                <w:numId w:val="4"/>
              </w:numPr>
              <w:jc w:val="both"/>
              <w:rPr>
                <w:rFonts w:cs="Arial"/>
              </w:rPr>
            </w:pPr>
            <w:r w:rsidRPr="00FE4D45">
              <w:rPr>
                <w:rFonts w:cs="Arial"/>
              </w:rPr>
              <w:t>Results &gt; 119.6</w:t>
            </w:r>
            <w:r w:rsidR="00AD63AE">
              <w:rPr>
                <w:rFonts w:cs="Arial"/>
              </w:rPr>
              <w:t xml:space="preserve"> </w:t>
            </w:r>
            <w:r w:rsidR="00AD63AE" w:rsidRPr="00FE4D45">
              <w:rPr>
                <w:rFonts w:eastAsia="HelenPro-Regular" w:cs="Arial"/>
                <w:szCs w:val="20"/>
              </w:rPr>
              <w:t>μg/dL</w:t>
            </w:r>
            <w:r w:rsidRPr="00FE4D45">
              <w:rPr>
                <w:rFonts w:cs="Arial"/>
              </w:rPr>
              <w:t xml:space="preserve"> </w:t>
            </w:r>
            <w:r w:rsidR="00AD63AE">
              <w:rPr>
                <w:rFonts w:cs="Arial"/>
              </w:rPr>
              <w:t>should be manually diluted 1:4</w:t>
            </w:r>
          </w:p>
          <w:p w:rsidR="00AD63AE" w:rsidRDefault="00AD63AE" w:rsidP="00B00AD4">
            <w:pPr>
              <w:numPr>
                <w:ilvl w:val="0"/>
                <w:numId w:val="4"/>
              </w:numPr>
              <w:jc w:val="both"/>
              <w:rPr>
                <w:rFonts w:cs="Arial"/>
              </w:rPr>
            </w:pPr>
            <w:r>
              <w:rPr>
                <w:rFonts w:cs="Arial"/>
              </w:rPr>
              <w:t xml:space="preserve">Results that are &gt;239.2 </w:t>
            </w:r>
            <w:r w:rsidRPr="00FE4D45">
              <w:rPr>
                <w:rFonts w:eastAsia="HelenPro-Regular" w:cs="Arial"/>
                <w:szCs w:val="20"/>
              </w:rPr>
              <w:t>μg/dL</w:t>
            </w:r>
            <w:r>
              <w:rPr>
                <w:rFonts w:eastAsia="HelenPro-Regular" w:cs="Arial"/>
                <w:szCs w:val="20"/>
              </w:rPr>
              <w:t xml:space="preserve"> will be reported as &gt;239.2 </w:t>
            </w:r>
            <w:r w:rsidRPr="00FE4D45">
              <w:rPr>
                <w:rFonts w:eastAsia="HelenPro-Regular" w:cs="Arial"/>
                <w:szCs w:val="20"/>
              </w:rPr>
              <w:t>μg/dL</w:t>
            </w:r>
            <w:r>
              <w:rPr>
                <w:rFonts w:eastAsia="HelenPro-Regular" w:cs="Arial"/>
                <w:szCs w:val="20"/>
              </w:rPr>
              <w:t xml:space="preserve"> rather than the numerical value</w:t>
            </w:r>
          </w:p>
          <w:p w:rsidR="00AD63AE" w:rsidRDefault="00FE4D45" w:rsidP="00B00AD4">
            <w:pPr>
              <w:numPr>
                <w:ilvl w:val="0"/>
                <w:numId w:val="4"/>
              </w:numPr>
              <w:jc w:val="both"/>
              <w:rPr>
                <w:rFonts w:cs="Arial"/>
              </w:rPr>
            </w:pPr>
            <w:r w:rsidRPr="00FE4D45">
              <w:rPr>
                <w:rFonts w:cs="Arial"/>
              </w:rPr>
              <w:t>Specimens drawn ou</w:t>
            </w:r>
            <w:r w:rsidR="000305CF">
              <w:rPr>
                <w:rFonts w:cs="Arial"/>
              </w:rPr>
              <w:t>tside the times should be compared</w:t>
            </w:r>
            <w:r w:rsidRPr="00FE4D45">
              <w:rPr>
                <w:rFonts w:cs="Arial"/>
              </w:rPr>
              <w:t xml:space="preserve"> </w:t>
            </w:r>
            <w:r w:rsidR="00AD63AE">
              <w:rPr>
                <w:rFonts w:cs="Arial"/>
              </w:rPr>
              <w:t>with the Random</w:t>
            </w:r>
            <w:r w:rsidRPr="00FE4D45">
              <w:rPr>
                <w:rFonts w:cs="Arial"/>
              </w:rPr>
              <w:t xml:space="preserve"> </w:t>
            </w:r>
            <w:r w:rsidR="00AD63AE">
              <w:rPr>
                <w:rFonts w:cs="Arial"/>
              </w:rPr>
              <w:t>Cortisol</w:t>
            </w:r>
            <w:r w:rsidRPr="00FE4D45">
              <w:rPr>
                <w:rFonts w:cs="Arial"/>
              </w:rPr>
              <w:t xml:space="preserve"> ranges.  </w:t>
            </w:r>
          </w:p>
          <w:p w:rsidR="008C6EDC" w:rsidRPr="00B00AD4" w:rsidRDefault="00AD63AE" w:rsidP="00B00AD4">
            <w:pPr>
              <w:numPr>
                <w:ilvl w:val="0"/>
                <w:numId w:val="4"/>
              </w:numPr>
              <w:jc w:val="both"/>
              <w:rPr>
                <w:rFonts w:cs="Arial"/>
              </w:rPr>
            </w:pPr>
            <w:r>
              <w:rPr>
                <w:rFonts w:cs="Arial"/>
              </w:rPr>
              <w:t>All results will</w:t>
            </w:r>
            <w:r w:rsidR="00FE4D45" w:rsidRPr="00FE4D45">
              <w:rPr>
                <w:rFonts w:cs="Arial"/>
              </w:rPr>
              <w:t xml:space="preserve"> autofile unless they are greater than or less than AMR.</w:t>
            </w:r>
          </w:p>
        </w:tc>
      </w:tr>
      <w:tr w:rsidR="008C6EDC" w:rsidTr="00D120DB">
        <w:trPr>
          <w:trHeight w:val="1160"/>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8C6EDC">
            <w:pPr>
              <w:rPr>
                <w:rFonts w:cs="Arial"/>
                <w:b/>
                <w:bCs/>
                <w:color w:val="0000FF"/>
              </w:rPr>
            </w:pPr>
          </w:p>
          <w:p w:rsidR="008C6EDC" w:rsidRDefault="008C6EDC" w:rsidP="008C6EDC">
            <w:pPr>
              <w:rPr>
                <w:rFonts w:cs="Arial"/>
                <w:b/>
                <w:bCs/>
                <w:color w:val="0000FF"/>
              </w:rPr>
            </w:pPr>
            <w:r>
              <w:rPr>
                <w:rFonts w:cs="Arial"/>
                <w:b/>
                <w:bCs/>
                <w:color w:val="0000FF"/>
              </w:rPr>
              <w:t>Specimen Storage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8C6EDC" w:rsidP="008E43B5">
            <w:pPr>
              <w:jc w:val="both"/>
              <w:rPr>
                <w:rFonts w:cs="Arial"/>
              </w:rPr>
            </w:pPr>
            <w:r>
              <w:rPr>
                <w:rFonts w:cs="Arial"/>
              </w:rPr>
              <w:t>Promptly stopper tested specimen and store upright in specimen rack. Every 8 hours remove specimens to refrigerator/freezer</w:t>
            </w:r>
            <w:r w:rsidR="000E20E2">
              <w:rPr>
                <w:rFonts w:cs="Arial"/>
              </w:rPr>
              <w:t xml:space="preserve"> storage. Samples are retained 14</w:t>
            </w:r>
            <w:r>
              <w:rPr>
                <w:rFonts w:cs="Arial"/>
              </w:rPr>
              <w:t xml:space="preserve"> days in specimen storage freezer.</w:t>
            </w:r>
          </w:p>
        </w:tc>
      </w:tr>
      <w:tr w:rsidR="008C6EDC" w:rsidTr="00D120DB">
        <w:trPr>
          <w:trHeight w:val="2898"/>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References</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09335B" w:rsidP="008E43B5">
            <w:pPr>
              <w:numPr>
                <w:ilvl w:val="0"/>
                <w:numId w:val="6"/>
              </w:numPr>
              <w:jc w:val="both"/>
              <w:rPr>
                <w:rFonts w:cs="Arial"/>
              </w:rPr>
            </w:pPr>
            <w:r>
              <w:rPr>
                <w:rFonts w:cs="Arial"/>
              </w:rPr>
              <w:t>Abbott Architect reagent cartridg</w:t>
            </w:r>
            <w:r w:rsidR="00A52AF8">
              <w:rPr>
                <w:rFonts w:cs="Arial"/>
              </w:rPr>
              <w:t>e insert sheet Abbott Laboratories, Abbott Park, IL, 60064.</w:t>
            </w:r>
            <w:r>
              <w:rPr>
                <w:rFonts w:cs="Arial"/>
              </w:rPr>
              <w:t xml:space="preserve"> Revised Date </w:t>
            </w:r>
            <w:r w:rsidR="00AD63AE">
              <w:rPr>
                <w:rFonts w:cs="Arial"/>
              </w:rPr>
              <w:t>November 2015.</w:t>
            </w:r>
          </w:p>
          <w:p w:rsidR="00A403A4" w:rsidRDefault="00A403A4" w:rsidP="008E43B5">
            <w:pPr>
              <w:numPr>
                <w:ilvl w:val="0"/>
                <w:numId w:val="6"/>
              </w:numPr>
              <w:jc w:val="both"/>
              <w:rPr>
                <w:rFonts w:cs="Arial"/>
              </w:rPr>
            </w:pPr>
            <w:r>
              <w:rPr>
                <w:rFonts w:cs="Arial"/>
              </w:rPr>
              <w:t xml:space="preserve">Abbott Architect calibrator insert sheet Abbott </w:t>
            </w:r>
            <w:r w:rsidR="00AD63AE">
              <w:rPr>
                <w:rFonts w:cs="Arial"/>
              </w:rPr>
              <w:t>Laboratories</w:t>
            </w:r>
            <w:r>
              <w:rPr>
                <w:rFonts w:cs="Arial"/>
              </w:rPr>
              <w:t>, Abbott Park, IL 60064</w:t>
            </w:r>
            <w:r w:rsidR="00DF4638">
              <w:rPr>
                <w:rFonts w:cs="Arial"/>
              </w:rPr>
              <w:t xml:space="preserve">. Revised </w:t>
            </w:r>
            <w:r w:rsidR="00AD63AE">
              <w:rPr>
                <w:rFonts w:cs="Arial"/>
              </w:rPr>
              <w:t>January</w:t>
            </w:r>
            <w:r w:rsidR="00DF4638">
              <w:rPr>
                <w:rFonts w:cs="Arial"/>
              </w:rPr>
              <w:t xml:space="preserve"> 2015.</w:t>
            </w:r>
          </w:p>
          <w:p w:rsidR="00A403A4" w:rsidRDefault="00A403A4" w:rsidP="008E43B5">
            <w:pPr>
              <w:numPr>
                <w:ilvl w:val="0"/>
                <w:numId w:val="6"/>
              </w:numPr>
              <w:jc w:val="both"/>
              <w:rPr>
                <w:rFonts w:cs="Arial"/>
              </w:rPr>
            </w:pPr>
            <w:r>
              <w:rPr>
                <w:rFonts w:cs="Arial"/>
              </w:rPr>
              <w:t xml:space="preserve">Abbott Architect Safety Data Sheet, Abbott </w:t>
            </w:r>
            <w:r w:rsidR="00AD63AE">
              <w:rPr>
                <w:rFonts w:cs="Arial"/>
              </w:rPr>
              <w:t>Diagnostics</w:t>
            </w:r>
            <w:r w:rsidR="00A52AF8">
              <w:rPr>
                <w:rFonts w:cs="Arial"/>
              </w:rPr>
              <w:t>, Abb</w:t>
            </w:r>
            <w:r w:rsidR="009E6662">
              <w:rPr>
                <w:rFonts w:cs="Arial"/>
              </w:rPr>
              <w:t>ott Park, IL 60064. Revised July 2015</w:t>
            </w:r>
            <w:r w:rsidR="00A52AF8">
              <w:rPr>
                <w:rFonts w:cs="Arial"/>
              </w:rPr>
              <w:t>.</w:t>
            </w:r>
          </w:p>
          <w:p w:rsidR="009E6662" w:rsidRPr="009E6926" w:rsidRDefault="009E6662" w:rsidP="008E43B5">
            <w:pPr>
              <w:numPr>
                <w:ilvl w:val="0"/>
                <w:numId w:val="6"/>
              </w:numPr>
              <w:jc w:val="both"/>
              <w:rPr>
                <w:rFonts w:cs="Arial"/>
              </w:rPr>
            </w:pPr>
            <w:r>
              <w:t>Bio-Rad Lyphochek Immunoassay Plus Control Product Insert, Bio-Rad Laboratories, Irvine, CA 92618 May 2017</w:t>
            </w:r>
          </w:p>
          <w:p w:rsidR="00513F9B" w:rsidRPr="00513F9B" w:rsidRDefault="00C04A20" w:rsidP="00513F9B">
            <w:pPr>
              <w:numPr>
                <w:ilvl w:val="0"/>
                <w:numId w:val="6"/>
              </w:numPr>
              <w:jc w:val="both"/>
              <w:rPr>
                <w:rFonts w:cs="Arial"/>
              </w:rPr>
            </w:pPr>
            <w:hyperlink r:id="rId12" w:history="1">
              <w:r w:rsidR="009E6662" w:rsidRPr="009E6662">
                <w:rPr>
                  <w:rStyle w:val="Hyperlink"/>
                  <w:rFonts w:cs="Arial"/>
                </w:rPr>
                <w:t>CALIPER Reference Studies</w:t>
              </w:r>
            </w:hyperlink>
            <w:r w:rsidR="009E6662">
              <w:rPr>
                <w:rFonts w:cs="Arial"/>
              </w:rPr>
              <w:t>, accessed 4/20/2018.</w:t>
            </w:r>
          </w:p>
        </w:tc>
      </w:tr>
      <w:tr w:rsidR="003571BD" w:rsidTr="00D120DB">
        <w:tblPrEx>
          <w:tblBorders>
            <w:bottom w:val="single" w:sz="4" w:space="0" w:color="auto"/>
          </w:tblBorders>
        </w:tblPrEx>
        <w:trPr>
          <w:cantSplit/>
          <w:trHeight w:val="255"/>
        </w:trPr>
        <w:tc>
          <w:tcPr>
            <w:tcW w:w="2160" w:type="dxa"/>
            <w:tcBorders>
              <w:top w:val="single" w:sz="18" w:space="0" w:color="A6A6A6" w:themeColor="background1" w:themeShade="A6"/>
              <w:left w:val="nil"/>
              <w:bottom w:val="nil"/>
              <w:right w:val="nil"/>
            </w:tcBorders>
          </w:tcPr>
          <w:p w:rsidR="003571BD" w:rsidRDefault="003571BD">
            <w:pPr>
              <w:rPr>
                <w:rFonts w:cs="Arial"/>
                <w:b/>
                <w:bCs/>
                <w:color w:val="3366FF"/>
              </w:rPr>
            </w:pPr>
            <w:r>
              <w:rPr>
                <w:rFonts w:cs="Arial"/>
                <w:b/>
                <w:bCs/>
                <w:color w:val="0000FF"/>
              </w:rPr>
              <w:t>Historical Record</w:t>
            </w:r>
          </w:p>
        </w:tc>
        <w:tc>
          <w:tcPr>
            <w:tcW w:w="8910" w:type="dxa"/>
            <w:tcBorders>
              <w:top w:val="single" w:sz="18" w:space="0" w:color="A6A6A6" w:themeColor="background1" w:themeShade="A6"/>
              <w:left w:val="nil"/>
              <w:bottom w:val="nil"/>
              <w:right w:val="nil"/>
            </w:tcBorders>
          </w:tcPr>
          <w:p w:rsidR="003571BD" w:rsidRDefault="003571BD">
            <w:pPr>
              <w:rPr>
                <w:rFonts w:cs="Arial"/>
                <w:iCs/>
              </w:rPr>
            </w:pPr>
          </w:p>
          <w:tbl>
            <w:tblPr>
              <w:tblStyle w:val="TableGrid"/>
              <w:tblW w:w="0" w:type="auto"/>
              <w:tblLayout w:type="fixed"/>
              <w:tblLook w:val="04A0"/>
            </w:tblPr>
            <w:tblGrid>
              <w:gridCol w:w="967"/>
              <w:gridCol w:w="2070"/>
              <w:gridCol w:w="1980"/>
              <w:gridCol w:w="3510"/>
            </w:tblGrid>
            <w:tr w:rsidR="003571BD" w:rsidTr="003571BD">
              <w:tc>
                <w:tcPr>
                  <w:tcW w:w="967" w:type="dxa"/>
                </w:tcPr>
                <w:p w:rsidR="003571BD" w:rsidRPr="003571BD" w:rsidRDefault="003571BD">
                  <w:pPr>
                    <w:rPr>
                      <w:rFonts w:cs="Arial"/>
                      <w:b/>
                      <w:iCs/>
                    </w:rPr>
                  </w:pPr>
                  <w:r w:rsidRPr="003571BD">
                    <w:rPr>
                      <w:rFonts w:cs="Arial"/>
                      <w:b/>
                      <w:iCs/>
                    </w:rPr>
                    <w:t>Version</w:t>
                  </w:r>
                </w:p>
              </w:tc>
              <w:tc>
                <w:tcPr>
                  <w:tcW w:w="2070" w:type="dxa"/>
                </w:tcPr>
                <w:p w:rsidR="003571BD" w:rsidRPr="003571BD" w:rsidRDefault="003571BD">
                  <w:pPr>
                    <w:rPr>
                      <w:rFonts w:cs="Arial"/>
                      <w:b/>
                      <w:iCs/>
                    </w:rPr>
                  </w:pPr>
                  <w:r w:rsidRPr="003571BD">
                    <w:rPr>
                      <w:rFonts w:cs="Arial"/>
                      <w:b/>
                      <w:iCs/>
                    </w:rPr>
                    <w:t>Written/Revised By</w:t>
                  </w:r>
                </w:p>
              </w:tc>
              <w:tc>
                <w:tcPr>
                  <w:tcW w:w="1980" w:type="dxa"/>
                </w:tcPr>
                <w:p w:rsidR="003571BD" w:rsidRPr="003571BD" w:rsidRDefault="003571BD">
                  <w:pPr>
                    <w:rPr>
                      <w:rFonts w:cs="Arial"/>
                      <w:b/>
                      <w:iCs/>
                    </w:rPr>
                  </w:pPr>
                  <w:r w:rsidRPr="003571BD">
                    <w:rPr>
                      <w:rFonts w:cs="Arial"/>
                      <w:b/>
                      <w:iCs/>
                    </w:rPr>
                    <w:t>Effective Date</w:t>
                  </w:r>
                </w:p>
              </w:tc>
              <w:tc>
                <w:tcPr>
                  <w:tcW w:w="3510" w:type="dxa"/>
                </w:tcPr>
                <w:p w:rsidR="003571BD" w:rsidRPr="003571BD" w:rsidRDefault="003571BD">
                  <w:pPr>
                    <w:rPr>
                      <w:rFonts w:cs="Arial"/>
                      <w:b/>
                      <w:iCs/>
                    </w:rPr>
                  </w:pPr>
                  <w:r w:rsidRPr="003571BD">
                    <w:rPr>
                      <w:rFonts w:cs="Arial"/>
                      <w:b/>
                      <w:iCs/>
                    </w:rPr>
                    <w:t xml:space="preserve">Summary of </w:t>
                  </w:r>
                  <w:r w:rsidR="00F814F1">
                    <w:rPr>
                      <w:rFonts w:cs="Arial"/>
                      <w:b/>
                      <w:iCs/>
                    </w:rPr>
                    <w:t>Revisions</w:t>
                  </w:r>
                </w:p>
              </w:tc>
            </w:tr>
            <w:tr w:rsidR="003571BD" w:rsidTr="003571BD">
              <w:tc>
                <w:tcPr>
                  <w:tcW w:w="967" w:type="dxa"/>
                </w:tcPr>
                <w:p w:rsidR="003571BD" w:rsidRDefault="003571BD">
                  <w:pPr>
                    <w:rPr>
                      <w:rFonts w:cs="Arial"/>
                      <w:iCs/>
                    </w:rPr>
                  </w:pPr>
                  <w:r>
                    <w:rPr>
                      <w:rFonts w:cs="Arial"/>
                      <w:iCs/>
                    </w:rPr>
                    <w:t>1</w:t>
                  </w:r>
                </w:p>
              </w:tc>
              <w:tc>
                <w:tcPr>
                  <w:tcW w:w="2070" w:type="dxa"/>
                </w:tcPr>
                <w:p w:rsidR="003571BD" w:rsidRDefault="003571BD">
                  <w:pPr>
                    <w:rPr>
                      <w:rFonts w:cs="Arial"/>
                      <w:iCs/>
                    </w:rPr>
                  </w:pPr>
                  <w:r>
                    <w:rPr>
                      <w:rFonts w:cs="Arial"/>
                      <w:iCs/>
                    </w:rPr>
                    <w:t>Kelsi Brown</w:t>
                  </w:r>
                  <w:r w:rsidR="000F35A3">
                    <w:rPr>
                      <w:rFonts w:cs="Arial"/>
                      <w:iCs/>
                    </w:rPr>
                    <w:t>/Erin Bartos</w:t>
                  </w:r>
                </w:p>
              </w:tc>
              <w:tc>
                <w:tcPr>
                  <w:tcW w:w="1980" w:type="dxa"/>
                </w:tcPr>
                <w:p w:rsidR="003571BD" w:rsidRDefault="000F35A3">
                  <w:pPr>
                    <w:rPr>
                      <w:rFonts w:cs="Arial"/>
                      <w:iCs/>
                    </w:rPr>
                  </w:pPr>
                  <w:r>
                    <w:rPr>
                      <w:rFonts w:cs="Arial"/>
                      <w:iCs/>
                    </w:rPr>
                    <w:t>May 5, 2018</w:t>
                  </w:r>
                </w:p>
              </w:tc>
              <w:tc>
                <w:tcPr>
                  <w:tcW w:w="3510" w:type="dxa"/>
                </w:tcPr>
                <w:p w:rsidR="003571BD" w:rsidRDefault="003571BD">
                  <w:pPr>
                    <w:rPr>
                      <w:rFonts w:cs="Arial"/>
                      <w:iCs/>
                    </w:rPr>
                  </w:pPr>
                  <w:r>
                    <w:rPr>
                      <w:rFonts w:cs="Arial"/>
                      <w:iCs/>
                    </w:rPr>
                    <w:t>New Procedure</w:t>
                  </w:r>
                </w:p>
              </w:tc>
            </w:tr>
            <w:tr w:rsidR="003571BD" w:rsidTr="003571BD">
              <w:tc>
                <w:tcPr>
                  <w:tcW w:w="967" w:type="dxa"/>
                </w:tcPr>
                <w:p w:rsidR="003571BD" w:rsidRDefault="003571BD">
                  <w:pPr>
                    <w:rPr>
                      <w:rFonts w:cs="Arial"/>
                      <w:iCs/>
                    </w:rPr>
                  </w:pPr>
                </w:p>
              </w:tc>
              <w:tc>
                <w:tcPr>
                  <w:tcW w:w="2070" w:type="dxa"/>
                </w:tcPr>
                <w:p w:rsidR="003571BD" w:rsidRDefault="003571BD">
                  <w:pPr>
                    <w:rPr>
                      <w:rFonts w:cs="Arial"/>
                      <w:iCs/>
                    </w:rPr>
                  </w:pPr>
                </w:p>
              </w:tc>
              <w:tc>
                <w:tcPr>
                  <w:tcW w:w="1980" w:type="dxa"/>
                </w:tcPr>
                <w:p w:rsidR="003571BD" w:rsidRDefault="003571BD">
                  <w:pPr>
                    <w:rPr>
                      <w:rFonts w:cs="Arial"/>
                      <w:iCs/>
                    </w:rPr>
                  </w:pPr>
                </w:p>
              </w:tc>
              <w:tc>
                <w:tcPr>
                  <w:tcW w:w="3510" w:type="dxa"/>
                </w:tcPr>
                <w:p w:rsidR="003571BD" w:rsidRDefault="003571BD">
                  <w:pPr>
                    <w:rPr>
                      <w:rFonts w:cs="Arial"/>
                      <w:iCs/>
                    </w:rPr>
                  </w:pPr>
                </w:p>
              </w:tc>
            </w:tr>
            <w:tr w:rsidR="003571BD" w:rsidTr="003571BD">
              <w:tc>
                <w:tcPr>
                  <w:tcW w:w="967" w:type="dxa"/>
                </w:tcPr>
                <w:p w:rsidR="003571BD" w:rsidRDefault="003571BD">
                  <w:pPr>
                    <w:rPr>
                      <w:rFonts w:cs="Arial"/>
                      <w:iCs/>
                    </w:rPr>
                  </w:pPr>
                </w:p>
              </w:tc>
              <w:tc>
                <w:tcPr>
                  <w:tcW w:w="2070" w:type="dxa"/>
                </w:tcPr>
                <w:p w:rsidR="003571BD" w:rsidRDefault="003571BD">
                  <w:pPr>
                    <w:rPr>
                      <w:rFonts w:cs="Arial"/>
                      <w:iCs/>
                    </w:rPr>
                  </w:pPr>
                </w:p>
              </w:tc>
              <w:tc>
                <w:tcPr>
                  <w:tcW w:w="1980" w:type="dxa"/>
                </w:tcPr>
                <w:p w:rsidR="003571BD" w:rsidRDefault="003571BD">
                  <w:pPr>
                    <w:rPr>
                      <w:rFonts w:cs="Arial"/>
                      <w:iCs/>
                    </w:rPr>
                  </w:pPr>
                </w:p>
              </w:tc>
              <w:tc>
                <w:tcPr>
                  <w:tcW w:w="3510" w:type="dxa"/>
                </w:tcPr>
                <w:p w:rsidR="003571BD" w:rsidRDefault="003571BD">
                  <w:pPr>
                    <w:rPr>
                      <w:rFonts w:cs="Arial"/>
                      <w:iCs/>
                    </w:rPr>
                  </w:pPr>
                </w:p>
              </w:tc>
            </w:tr>
          </w:tbl>
          <w:p w:rsidR="003571BD" w:rsidRDefault="003571BD">
            <w:pPr>
              <w:rPr>
                <w:rFonts w:cs="Arial"/>
                <w:iCs/>
              </w:rPr>
            </w:pPr>
          </w:p>
        </w:tc>
      </w:tr>
    </w:tbl>
    <w:p w:rsidR="008C6EDC" w:rsidRDefault="008C6EDC"/>
    <w:sectPr w:rsidR="008C6EDC" w:rsidSect="00287C41">
      <w:headerReference w:type="default" r:id="rId13"/>
      <w:footerReference w:type="default" r:id="rId14"/>
      <w:pgSz w:w="12240" w:h="15840" w:code="1"/>
      <w:pgMar w:top="720" w:right="1800" w:bottom="720" w:left="180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3BF" w:rsidRDefault="00B853BF">
      <w:r>
        <w:separator/>
      </w:r>
    </w:p>
  </w:endnote>
  <w:endnote w:type="continuationSeparator" w:id="0">
    <w:p w:rsidR="00B853BF" w:rsidRDefault="00B853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w:panose1 w:val="020B0604020202020204"/>
    <w:charset w:val="00"/>
    <w:family w:val="swiss"/>
    <w:pitch w:val="variable"/>
    <w:sig w:usb0="E0002AFF" w:usb1="C0007843" w:usb2="00000009" w:usb3="00000000" w:csb0="000001FF" w:csb1="00000000"/>
  </w:font>
  <w:font w:name="Helen Pro Cond">
    <w:altName w:val="Cambria"/>
    <w:panose1 w:val="00000000000000000000"/>
    <w:charset w:val="00"/>
    <w:family w:val="swiss"/>
    <w:notTrueType/>
    <w:pitch w:val="default"/>
    <w:sig w:usb0="00000003" w:usb1="00000000" w:usb2="00000000" w:usb3="00000000" w:csb0="00000001" w:csb1="00000000"/>
  </w:font>
  <w:font w:name="Helen Pro">
    <w:altName w:val="Cambria"/>
    <w:panose1 w:val="00000000000000000000"/>
    <w:charset w:val="00"/>
    <w:family w:val="swiss"/>
    <w:notTrueType/>
    <w:pitch w:val="default"/>
    <w:sig w:usb0="00000003" w:usb1="00000000" w:usb2="00000000" w:usb3="00000000" w:csb0="00000001"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3BF" w:rsidRPr="001A774F" w:rsidRDefault="00B853BF" w:rsidP="008C6EDC">
    <w:pPr>
      <w:ind w:left="-1260" w:right="-1260"/>
      <w:rPr>
        <w:rFonts w:cs="Arial"/>
        <w:sz w:val="18"/>
      </w:rPr>
    </w:pPr>
    <w:r>
      <w:rPr>
        <w:rFonts w:cs="Arial"/>
        <w:sz w:val="18"/>
      </w:rPr>
      <w:t>Laboratory, Children’s Hospitals and Clinics of Minnesota, Minneapolis/St. Paul, MN</w:t>
    </w:r>
    <w:r>
      <w:rPr>
        <w:rFonts w:cs="Arial"/>
        <w:sz w:val="18"/>
      </w:rPr>
      <w:tab/>
    </w:r>
    <w:r>
      <w:rPr>
        <w:rFonts w:cs="Arial"/>
        <w:sz w:val="18"/>
      </w:rPr>
      <w:tab/>
    </w:r>
    <w:r>
      <w:rPr>
        <w:rFonts w:cs="Arial"/>
        <w:sz w:val="18"/>
      </w:rPr>
      <w:tab/>
    </w:r>
    <w:r>
      <w:rPr>
        <w:rFonts w:cs="Arial"/>
        <w:sz w:val="18"/>
      </w:rPr>
      <w:tab/>
    </w:r>
    <w:r>
      <w:rPr>
        <w:rFonts w:cs="Arial"/>
        <w:sz w:val="18"/>
      </w:rPr>
      <w:tab/>
    </w:r>
    <w:r>
      <w:rPr>
        <w:sz w:val="18"/>
      </w:rPr>
      <w:t xml:space="preserve">Page </w:t>
    </w:r>
    <w:r>
      <w:rPr>
        <w:sz w:val="18"/>
      </w:rPr>
      <w:fldChar w:fldCharType="begin"/>
    </w:r>
    <w:r>
      <w:rPr>
        <w:sz w:val="18"/>
      </w:rPr>
      <w:instrText xml:space="preserve"> PAGE </w:instrText>
    </w:r>
    <w:r>
      <w:rPr>
        <w:sz w:val="18"/>
      </w:rPr>
      <w:fldChar w:fldCharType="separate"/>
    </w:r>
    <w:r w:rsidR="00DF4B6D">
      <w:rPr>
        <w:noProof/>
        <w:sz w:val="18"/>
      </w:rPr>
      <w:t>6</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DF4B6D">
      <w:rPr>
        <w:noProof/>
        <w:sz w:val="18"/>
      </w:rPr>
      <w:t>6</w:t>
    </w:r>
    <w:r>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3BF" w:rsidRDefault="00B853BF">
      <w:r>
        <w:separator/>
      </w:r>
    </w:p>
  </w:footnote>
  <w:footnote w:type="continuationSeparator" w:id="0">
    <w:p w:rsidR="00B853BF" w:rsidRDefault="00B853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3BF" w:rsidRDefault="00B853BF">
    <w:pPr>
      <w:ind w:left="-1260" w:right="-1260"/>
      <w:rPr>
        <w:rFonts w:cs="Arial"/>
        <w:sz w:val="18"/>
      </w:rPr>
    </w:pPr>
    <w:r w:rsidRPr="00C04A2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67.95pt;margin-top:-15.3pt;width:133.7pt;height:42.85pt;z-index:-251658752;mso-position-horizontal-relative:text;mso-position-vertical-relative:text" wrapcoords="-121 0 -121 21221 21600 21221 21600 0 -121 0">
          <v:imagedata r:id="rId1" o:title="Childrens_MN_2015_logo_2c_RGB_800x257"/>
          <w10:wrap type="tight"/>
        </v:shape>
      </w:pict>
    </w:r>
    <w:r>
      <w:rPr>
        <w:rFonts w:cs="Arial"/>
        <w:sz w:val="18"/>
      </w:rPr>
      <w:t>CH 6.27 Cortisol</w:t>
    </w:r>
  </w:p>
  <w:p w:rsidR="00B853BF" w:rsidRDefault="00B853BF">
    <w:pPr>
      <w:ind w:left="-1260" w:right="-1260"/>
      <w:rPr>
        <w:rFonts w:cs="Arial"/>
        <w:sz w:val="18"/>
      </w:rPr>
    </w:pPr>
    <w:r>
      <w:rPr>
        <w:rFonts w:cs="Arial"/>
        <w:sz w:val="18"/>
      </w:rPr>
      <w:t>Version 1</w:t>
    </w:r>
  </w:p>
  <w:p w:rsidR="00B853BF" w:rsidRDefault="00B853BF">
    <w:pPr>
      <w:ind w:left="-1260" w:right="-1260"/>
      <w:rPr>
        <w:rFonts w:cs="Arial"/>
        <w:sz w:val="18"/>
      </w:rPr>
    </w:pPr>
    <w:r>
      <w:rPr>
        <w:rFonts w:cs="Arial"/>
        <w:sz w:val="18"/>
      </w:rPr>
      <w:t>Effective Date: May 5, 2018</w:t>
    </w:r>
  </w:p>
  <w:p w:rsidR="00B853BF" w:rsidRDefault="00B853BF">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BD5"/>
    <w:multiLevelType w:val="hybridMultilevel"/>
    <w:tmpl w:val="1638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67F7458"/>
    <w:multiLevelType w:val="hybridMultilevel"/>
    <w:tmpl w:val="370A0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DF059F7"/>
    <w:multiLevelType w:val="hybridMultilevel"/>
    <w:tmpl w:val="3978F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22FE1"/>
    <w:multiLevelType w:val="hybridMultilevel"/>
    <w:tmpl w:val="82A45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194C53"/>
    <w:multiLevelType w:val="hybridMultilevel"/>
    <w:tmpl w:val="A3F43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66EDC"/>
    <w:multiLevelType w:val="hybridMultilevel"/>
    <w:tmpl w:val="EE002A8C"/>
    <w:lvl w:ilvl="0" w:tplc="3620C6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D075893"/>
    <w:multiLevelType w:val="hybridMultilevel"/>
    <w:tmpl w:val="C768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4A63E3B"/>
    <w:multiLevelType w:val="hybridMultilevel"/>
    <w:tmpl w:val="4992B338"/>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231311"/>
    <w:multiLevelType w:val="hybridMultilevel"/>
    <w:tmpl w:val="71B6B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C144438"/>
    <w:multiLevelType w:val="hybridMultilevel"/>
    <w:tmpl w:val="C5BA0A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C475C2C"/>
    <w:multiLevelType w:val="hybridMultilevel"/>
    <w:tmpl w:val="91C6C1E0"/>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1F7F3C"/>
    <w:multiLevelType w:val="hybridMultilevel"/>
    <w:tmpl w:val="C696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F74A01"/>
    <w:multiLevelType w:val="hybridMultilevel"/>
    <w:tmpl w:val="AD9CE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BE03B16"/>
    <w:multiLevelType w:val="hybridMultilevel"/>
    <w:tmpl w:val="99E46710"/>
    <w:lvl w:ilvl="0" w:tplc="3620C63E">
      <w:start w:val="1"/>
      <w:numFmt w:val="bullet"/>
      <w:lvlText w:val=""/>
      <w:lvlJc w:val="left"/>
      <w:pPr>
        <w:tabs>
          <w:tab w:val="num" w:pos="360"/>
        </w:tabs>
        <w:ind w:left="360" w:hanging="360"/>
      </w:pPr>
      <w:rPr>
        <w:rFonts w:ascii="Symbol" w:hAnsi="Symbol" w:hint="default"/>
      </w:rPr>
    </w:lvl>
    <w:lvl w:ilvl="1" w:tplc="64380FE0">
      <w:start w:val="1"/>
      <w:numFmt w:val="bullet"/>
      <w:lvlText w:val="o"/>
      <w:lvlJc w:val="left"/>
      <w:pPr>
        <w:tabs>
          <w:tab w:val="num" w:pos="1080"/>
        </w:tabs>
        <w:ind w:left="1080" w:hanging="360"/>
      </w:pPr>
      <w:rPr>
        <w:rFonts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827A1A"/>
    <w:multiLevelType w:val="multilevel"/>
    <w:tmpl w:val="FFDE8EC2"/>
    <w:lvl w:ilvl="0">
      <w:start w:val="1"/>
      <w:numFmt w:val="decimal"/>
      <w:lvlText w:val="%1.0"/>
      <w:lvlJc w:val="left"/>
      <w:pPr>
        <w:ind w:left="360" w:hanging="360"/>
      </w:pPr>
      <w:rPr>
        <w:rFonts w:eastAsia="HelenPro-Regular" w:hint="default"/>
      </w:rPr>
    </w:lvl>
    <w:lvl w:ilvl="1">
      <w:start w:val="1"/>
      <w:numFmt w:val="decimal"/>
      <w:lvlText w:val="%1.%2"/>
      <w:lvlJc w:val="left"/>
      <w:pPr>
        <w:ind w:left="1080" w:hanging="360"/>
      </w:pPr>
      <w:rPr>
        <w:rFonts w:eastAsia="HelenPro-Regular" w:hint="default"/>
      </w:rPr>
    </w:lvl>
    <w:lvl w:ilvl="2">
      <w:start w:val="1"/>
      <w:numFmt w:val="decimal"/>
      <w:lvlText w:val="%1.%2.%3"/>
      <w:lvlJc w:val="left"/>
      <w:pPr>
        <w:ind w:left="2160" w:hanging="720"/>
      </w:pPr>
      <w:rPr>
        <w:rFonts w:eastAsia="HelenPro-Regular" w:hint="default"/>
      </w:rPr>
    </w:lvl>
    <w:lvl w:ilvl="3">
      <w:start w:val="1"/>
      <w:numFmt w:val="decimal"/>
      <w:lvlText w:val="%1.%2.%3.%4"/>
      <w:lvlJc w:val="left"/>
      <w:pPr>
        <w:ind w:left="2880" w:hanging="720"/>
      </w:pPr>
      <w:rPr>
        <w:rFonts w:eastAsia="HelenPro-Regular" w:hint="default"/>
      </w:rPr>
    </w:lvl>
    <w:lvl w:ilvl="4">
      <w:start w:val="1"/>
      <w:numFmt w:val="decimal"/>
      <w:lvlText w:val="%1.%2.%3.%4.%5"/>
      <w:lvlJc w:val="left"/>
      <w:pPr>
        <w:ind w:left="3960" w:hanging="1080"/>
      </w:pPr>
      <w:rPr>
        <w:rFonts w:eastAsia="HelenPro-Regular" w:hint="default"/>
      </w:rPr>
    </w:lvl>
    <w:lvl w:ilvl="5">
      <w:start w:val="1"/>
      <w:numFmt w:val="decimal"/>
      <w:lvlText w:val="%1.%2.%3.%4.%5.%6"/>
      <w:lvlJc w:val="left"/>
      <w:pPr>
        <w:ind w:left="4680" w:hanging="1080"/>
      </w:pPr>
      <w:rPr>
        <w:rFonts w:eastAsia="HelenPro-Regular" w:hint="default"/>
      </w:rPr>
    </w:lvl>
    <w:lvl w:ilvl="6">
      <w:start w:val="1"/>
      <w:numFmt w:val="decimal"/>
      <w:lvlText w:val="%1.%2.%3.%4.%5.%6.%7"/>
      <w:lvlJc w:val="left"/>
      <w:pPr>
        <w:ind w:left="5760" w:hanging="1440"/>
      </w:pPr>
      <w:rPr>
        <w:rFonts w:eastAsia="HelenPro-Regular" w:hint="default"/>
      </w:rPr>
    </w:lvl>
    <w:lvl w:ilvl="7">
      <w:start w:val="1"/>
      <w:numFmt w:val="decimal"/>
      <w:lvlText w:val="%1.%2.%3.%4.%5.%6.%7.%8"/>
      <w:lvlJc w:val="left"/>
      <w:pPr>
        <w:ind w:left="6480" w:hanging="1440"/>
      </w:pPr>
      <w:rPr>
        <w:rFonts w:eastAsia="HelenPro-Regular" w:hint="default"/>
      </w:rPr>
    </w:lvl>
    <w:lvl w:ilvl="8">
      <w:start w:val="1"/>
      <w:numFmt w:val="decimal"/>
      <w:lvlText w:val="%1.%2.%3.%4.%5.%6.%7.%8.%9"/>
      <w:lvlJc w:val="left"/>
      <w:pPr>
        <w:ind w:left="7560" w:hanging="1800"/>
      </w:pPr>
      <w:rPr>
        <w:rFonts w:eastAsia="HelenPro-Regular" w:hint="default"/>
      </w:rPr>
    </w:lvl>
  </w:abstractNum>
  <w:abstractNum w:abstractNumId="22">
    <w:nsid w:val="4ED877F2"/>
    <w:multiLevelType w:val="hybridMultilevel"/>
    <w:tmpl w:val="9D6A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CFB5466"/>
    <w:multiLevelType w:val="hybridMultilevel"/>
    <w:tmpl w:val="4C722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E765D7"/>
    <w:multiLevelType w:val="multilevel"/>
    <w:tmpl w:val="48C047DE"/>
    <w:lvl w:ilvl="0">
      <w:start w:val="1"/>
      <w:numFmt w:val="decimal"/>
      <w:lvlText w:val="%1.0"/>
      <w:lvlJc w:val="left"/>
      <w:pPr>
        <w:ind w:left="390" w:hanging="390"/>
      </w:pPr>
      <w:rPr>
        <w:rFonts w:eastAsia="HelenPro-Regular" w:hint="default"/>
      </w:rPr>
    </w:lvl>
    <w:lvl w:ilvl="1">
      <w:start w:val="1"/>
      <w:numFmt w:val="decimal"/>
      <w:lvlText w:val="%1.%2"/>
      <w:lvlJc w:val="left"/>
      <w:pPr>
        <w:ind w:left="1110" w:hanging="390"/>
      </w:pPr>
      <w:rPr>
        <w:rFonts w:eastAsia="HelenPro-Regular" w:hint="default"/>
      </w:rPr>
    </w:lvl>
    <w:lvl w:ilvl="2">
      <w:start w:val="1"/>
      <w:numFmt w:val="decimal"/>
      <w:lvlText w:val="%1.%2.%3"/>
      <w:lvlJc w:val="left"/>
      <w:pPr>
        <w:ind w:left="2160" w:hanging="720"/>
      </w:pPr>
      <w:rPr>
        <w:rFonts w:eastAsia="HelenPro-Regular" w:hint="default"/>
      </w:rPr>
    </w:lvl>
    <w:lvl w:ilvl="3">
      <w:start w:val="1"/>
      <w:numFmt w:val="decimal"/>
      <w:lvlText w:val="%1.%2.%3.%4"/>
      <w:lvlJc w:val="left"/>
      <w:pPr>
        <w:ind w:left="2880" w:hanging="720"/>
      </w:pPr>
      <w:rPr>
        <w:rFonts w:eastAsia="HelenPro-Regular" w:hint="default"/>
      </w:rPr>
    </w:lvl>
    <w:lvl w:ilvl="4">
      <w:start w:val="1"/>
      <w:numFmt w:val="decimal"/>
      <w:lvlText w:val="%1.%2.%3.%4.%5"/>
      <w:lvlJc w:val="left"/>
      <w:pPr>
        <w:ind w:left="3960" w:hanging="1080"/>
      </w:pPr>
      <w:rPr>
        <w:rFonts w:eastAsia="HelenPro-Regular" w:hint="default"/>
      </w:rPr>
    </w:lvl>
    <w:lvl w:ilvl="5">
      <w:start w:val="1"/>
      <w:numFmt w:val="decimal"/>
      <w:lvlText w:val="%1.%2.%3.%4.%5.%6"/>
      <w:lvlJc w:val="left"/>
      <w:pPr>
        <w:ind w:left="4680" w:hanging="1080"/>
      </w:pPr>
      <w:rPr>
        <w:rFonts w:eastAsia="HelenPro-Regular" w:hint="default"/>
      </w:rPr>
    </w:lvl>
    <w:lvl w:ilvl="6">
      <w:start w:val="1"/>
      <w:numFmt w:val="decimal"/>
      <w:lvlText w:val="%1.%2.%3.%4.%5.%6.%7"/>
      <w:lvlJc w:val="left"/>
      <w:pPr>
        <w:ind w:left="5760" w:hanging="1440"/>
      </w:pPr>
      <w:rPr>
        <w:rFonts w:eastAsia="HelenPro-Regular" w:hint="default"/>
      </w:rPr>
    </w:lvl>
    <w:lvl w:ilvl="7">
      <w:start w:val="1"/>
      <w:numFmt w:val="decimal"/>
      <w:lvlText w:val="%1.%2.%3.%4.%5.%6.%7.%8"/>
      <w:lvlJc w:val="left"/>
      <w:pPr>
        <w:ind w:left="6480" w:hanging="1440"/>
      </w:pPr>
      <w:rPr>
        <w:rFonts w:eastAsia="HelenPro-Regular" w:hint="default"/>
      </w:rPr>
    </w:lvl>
    <w:lvl w:ilvl="8">
      <w:start w:val="1"/>
      <w:numFmt w:val="decimal"/>
      <w:lvlText w:val="%1.%2.%3.%4.%5.%6.%7.%8.%9"/>
      <w:lvlJc w:val="left"/>
      <w:pPr>
        <w:ind w:left="7560" w:hanging="1800"/>
      </w:pPr>
      <w:rPr>
        <w:rFonts w:eastAsia="HelenPro-Regular" w:hint="default"/>
      </w:rPr>
    </w:lvl>
  </w:abstractNum>
  <w:abstractNum w:abstractNumId="26">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E743396"/>
    <w:multiLevelType w:val="hybridMultilevel"/>
    <w:tmpl w:val="96002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FB6EC5"/>
    <w:multiLevelType w:val="hybridMultilevel"/>
    <w:tmpl w:val="A86E2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5ED5F41"/>
    <w:multiLevelType w:val="hybridMultilevel"/>
    <w:tmpl w:val="1AC4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154D05"/>
    <w:multiLevelType w:val="hybridMultilevel"/>
    <w:tmpl w:val="C56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4A3B0D"/>
    <w:multiLevelType w:val="hybridMultilevel"/>
    <w:tmpl w:val="30E2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6F31F08"/>
    <w:multiLevelType w:val="hybridMultilevel"/>
    <w:tmpl w:val="6586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914723"/>
    <w:multiLevelType w:val="hybridMultilevel"/>
    <w:tmpl w:val="D4E4BD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2"/>
  </w:num>
  <w:num w:numId="3">
    <w:abstractNumId w:val="23"/>
  </w:num>
  <w:num w:numId="4">
    <w:abstractNumId w:val="7"/>
  </w:num>
  <w:num w:numId="5">
    <w:abstractNumId w:val="16"/>
  </w:num>
  <w:num w:numId="6">
    <w:abstractNumId w:val="14"/>
  </w:num>
  <w:num w:numId="7">
    <w:abstractNumId w:val="20"/>
  </w:num>
  <w:num w:numId="8">
    <w:abstractNumId w:val="32"/>
  </w:num>
  <w:num w:numId="9">
    <w:abstractNumId w:val="13"/>
  </w:num>
  <w:num w:numId="10">
    <w:abstractNumId w:val="1"/>
  </w:num>
  <w:num w:numId="11">
    <w:abstractNumId w:val="34"/>
  </w:num>
  <w:num w:numId="12">
    <w:abstractNumId w:val="30"/>
  </w:num>
  <w:num w:numId="13">
    <w:abstractNumId w:val="6"/>
  </w:num>
  <w:num w:numId="14">
    <w:abstractNumId w:val="11"/>
  </w:num>
  <w:num w:numId="15">
    <w:abstractNumId w:val="10"/>
  </w:num>
  <w:num w:numId="16">
    <w:abstractNumId w:val="18"/>
  </w:num>
  <w:num w:numId="17">
    <w:abstractNumId w:val="9"/>
  </w:num>
  <w:num w:numId="18">
    <w:abstractNumId w:val="8"/>
  </w:num>
  <w:num w:numId="19">
    <w:abstractNumId w:val="26"/>
  </w:num>
  <w:num w:numId="20">
    <w:abstractNumId w:val="31"/>
  </w:num>
  <w:num w:numId="21">
    <w:abstractNumId w:val="33"/>
  </w:num>
  <w:num w:numId="22">
    <w:abstractNumId w:val="27"/>
  </w:num>
  <w:num w:numId="23">
    <w:abstractNumId w:val="0"/>
  </w:num>
  <w:num w:numId="24">
    <w:abstractNumId w:val="22"/>
  </w:num>
  <w:num w:numId="25">
    <w:abstractNumId w:val="28"/>
  </w:num>
  <w:num w:numId="26">
    <w:abstractNumId w:val="24"/>
  </w:num>
  <w:num w:numId="27">
    <w:abstractNumId w:val="15"/>
  </w:num>
  <w:num w:numId="28">
    <w:abstractNumId w:val="29"/>
  </w:num>
  <w:num w:numId="29">
    <w:abstractNumId w:val="4"/>
  </w:num>
  <w:num w:numId="30">
    <w:abstractNumId w:val="25"/>
  </w:num>
  <w:num w:numId="31">
    <w:abstractNumId w:val="21"/>
  </w:num>
  <w:num w:numId="32">
    <w:abstractNumId w:val="17"/>
  </w:num>
  <w:num w:numId="33">
    <w:abstractNumId w:val="2"/>
  </w:num>
  <w:num w:numId="34">
    <w:abstractNumId w:val="19"/>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gutterAtTop/>
  <w:hideSpellingErrors/>
  <w:hideGrammaticalErrors/>
  <w:proofState w:spelling="clean" w:grammar="clean"/>
  <w:doNotTrackMove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847"/>
    <w:rsid w:val="00000536"/>
    <w:rsid w:val="00003218"/>
    <w:rsid w:val="000305CF"/>
    <w:rsid w:val="0004669D"/>
    <w:rsid w:val="000625DB"/>
    <w:rsid w:val="0009335B"/>
    <w:rsid w:val="000E000A"/>
    <w:rsid w:val="000E20E2"/>
    <w:rsid w:val="000F35A3"/>
    <w:rsid w:val="000F7A3F"/>
    <w:rsid w:val="001169C2"/>
    <w:rsid w:val="00143FF4"/>
    <w:rsid w:val="001B1C87"/>
    <w:rsid w:val="001E2DF4"/>
    <w:rsid w:val="001F2FF6"/>
    <w:rsid w:val="002265E2"/>
    <w:rsid w:val="00232780"/>
    <w:rsid w:val="00253C63"/>
    <w:rsid w:val="00260A50"/>
    <w:rsid w:val="00287C41"/>
    <w:rsid w:val="0029711F"/>
    <w:rsid w:val="002A65EF"/>
    <w:rsid w:val="002D50CB"/>
    <w:rsid w:val="002E2383"/>
    <w:rsid w:val="002F385E"/>
    <w:rsid w:val="003571BD"/>
    <w:rsid w:val="00513F9B"/>
    <w:rsid w:val="00542D1B"/>
    <w:rsid w:val="005516E7"/>
    <w:rsid w:val="005A610F"/>
    <w:rsid w:val="00707507"/>
    <w:rsid w:val="00712847"/>
    <w:rsid w:val="0073344E"/>
    <w:rsid w:val="00754D18"/>
    <w:rsid w:val="007B4147"/>
    <w:rsid w:val="00814EAD"/>
    <w:rsid w:val="008168BB"/>
    <w:rsid w:val="0083747A"/>
    <w:rsid w:val="00870277"/>
    <w:rsid w:val="008C6EDC"/>
    <w:rsid w:val="008E43B5"/>
    <w:rsid w:val="008F2F45"/>
    <w:rsid w:val="009945A2"/>
    <w:rsid w:val="009C0AE4"/>
    <w:rsid w:val="009E6662"/>
    <w:rsid w:val="009F5B34"/>
    <w:rsid w:val="00A072CE"/>
    <w:rsid w:val="00A403A4"/>
    <w:rsid w:val="00A52AF8"/>
    <w:rsid w:val="00A82A92"/>
    <w:rsid w:val="00AD63AE"/>
    <w:rsid w:val="00B00AD4"/>
    <w:rsid w:val="00B816B4"/>
    <w:rsid w:val="00B853BF"/>
    <w:rsid w:val="00C04A20"/>
    <w:rsid w:val="00C0536C"/>
    <w:rsid w:val="00C507F9"/>
    <w:rsid w:val="00C70065"/>
    <w:rsid w:val="00CF4355"/>
    <w:rsid w:val="00CF7522"/>
    <w:rsid w:val="00D0201D"/>
    <w:rsid w:val="00D120DB"/>
    <w:rsid w:val="00D6200B"/>
    <w:rsid w:val="00DA7E2D"/>
    <w:rsid w:val="00DE32D9"/>
    <w:rsid w:val="00DF4638"/>
    <w:rsid w:val="00DF4B6D"/>
    <w:rsid w:val="00E2166F"/>
    <w:rsid w:val="00E63CB7"/>
    <w:rsid w:val="00EB4B37"/>
    <w:rsid w:val="00F814F1"/>
    <w:rsid w:val="00FC277E"/>
    <w:rsid w:val="00FC6715"/>
    <w:rsid w:val="00FE4D45"/>
    <w:rsid w:val="00FF52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41"/>
    <w:rPr>
      <w:rFonts w:ascii="Arial" w:hAnsi="Arial"/>
      <w:szCs w:val="24"/>
    </w:rPr>
  </w:style>
  <w:style w:type="paragraph" w:styleId="Heading1">
    <w:name w:val="heading 1"/>
    <w:basedOn w:val="Normal"/>
    <w:next w:val="Normal"/>
    <w:qFormat/>
    <w:rsid w:val="00287C41"/>
    <w:pPr>
      <w:keepNext/>
      <w:numPr>
        <w:numId w:val="10"/>
      </w:numPr>
      <w:jc w:val="both"/>
      <w:outlineLvl w:val="0"/>
    </w:pPr>
    <w:rPr>
      <w:rFonts w:ascii="Times New Roman" w:hAnsi="Times New Roman" w:cs="Arial"/>
      <w:b/>
      <w:bCs/>
      <w:kern w:val="32"/>
      <w:sz w:val="26"/>
      <w:szCs w:val="32"/>
    </w:rPr>
  </w:style>
  <w:style w:type="paragraph" w:styleId="Heading2">
    <w:name w:val="heading 2"/>
    <w:basedOn w:val="Normal"/>
    <w:next w:val="Normal"/>
    <w:qFormat/>
    <w:rsid w:val="00287C41"/>
    <w:pPr>
      <w:keepNext/>
      <w:numPr>
        <w:ilvl w:val="1"/>
        <w:numId w:val="10"/>
      </w:numPr>
      <w:jc w:val="both"/>
      <w:outlineLvl w:val="1"/>
    </w:pPr>
    <w:rPr>
      <w:rFonts w:ascii="Times New Roman" w:hAnsi="Times New Roman" w:cs="Arial"/>
      <w:b/>
      <w:bCs/>
      <w:iCs/>
      <w:sz w:val="24"/>
      <w:szCs w:val="28"/>
    </w:rPr>
  </w:style>
  <w:style w:type="paragraph" w:styleId="Heading3">
    <w:name w:val="heading 3"/>
    <w:basedOn w:val="Normal"/>
    <w:next w:val="Normal"/>
    <w:qFormat/>
    <w:rsid w:val="00287C41"/>
    <w:pPr>
      <w:keepNext/>
      <w:numPr>
        <w:ilvl w:val="2"/>
        <w:numId w:val="10"/>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287C41"/>
    <w:pPr>
      <w:keepNext/>
      <w:numPr>
        <w:ilvl w:val="3"/>
        <w:numId w:val="10"/>
      </w:numPr>
      <w:jc w:val="both"/>
      <w:outlineLvl w:val="3"/>
    </w:pPr>
    <w:rPr>
      <w:rFonts w:ascii="Times New Roman" w:hAnsi="Times New Roman"/>
      <w:bCs/>
      <w:sz w:val="22"/>
      <w:szCs w:val="28"/>
    </w:rPr>
  </w:style>
  <w:style w:type="paragraph" w:styleId="Heading5">
    <w:name w:val="heading 5"/>
    <w:aliases w:val="Block Label"/>
    <w:basedOn w:val="Normal"/>
    <w:next w:val="Normal"/>
    <w:qFormat/>
    <w:rsid w:val="00287C41"/>
    <w:pPr>
      <w:keepNext/>
      <w:numPr>
        <w:ilvl w:val="4"/>
        <w:numId w:val="10"/>
      </w:numPr>
      <w:spacing w:before="20"/>
      <w:jc w:val="both"/>
      <w:outlineLvl w:val="4"/>
    </w:pPr>
    <w:rPr>
      <w:rFonts w:ascii="Times New Roman" w:hAnsi="Times New Roman"/>
      <w:sz w:val="22"/>
    </w:rPr>
  </w:style>
  <w:style w:type="paragraph" w:styleId="Heading6">
    <w:name w:val="heading 6"/>
    <w:basedOn w:val="Normal"/>
    <w:next w:val="Normal"/>
    <w:qFormat/>
    <w:rsid w:val="00287C41"/>
    <w:pPr>
      <w:keepNext/>
      <w:numPr>
        <w:ilvl w:val="5"/>
        <w:numId w:val="10"/>
      </w:numPr>
      <w:jc w:val="both"/>
      <w:outlineLvl w:val="5"/>
    </w:pPr>
    <w:rPr>
      <w:rFonts w:ascii="Times New Roman" w:hAnsi="Times New Roman"/>
      <w:b/>
      <w:bCs/>
      <w:sz w:val="18"/>
    </w:rPr>
  </w:style>
  <w:style w:type="paragraph" w:styleId="Heading7">
    <w:name w:val="heading 7"/>
    <w:basedOn w:val="Normal"/>
    <w:next w:val="Normal"/>
    <w:qFormat/>
    <w:rsid w:val="00287C41"/>
    <w:pPr>
      <w:keepNext/>
      <w:numPr>
        <w:ilvl w:val="6"/>
        <w:numId w:val="10"/>
      </w:numPr>
      <w:jc w:val="both"/>
      <w:outlineLvl w:val="6"/>
    </w:pPr>
    <w:rPr>
      <w:rFonts w:ascii="Times New Roman" w:hAnsi="Times New Roman"/>
      <w:sz w:val="28"/>
    </w:rPr>
  </w:style>
  <w:style w:type="paragraph" w:styleId="Heading8">
    <w:name w:val="heading 8"/>
    <w:basedOn w:val="Normal"/>
    <w:next w:val="Normal"/>
    <w:qFormat/>
    <w:rsid w:val="00287C41"/>
    <w:pPr>
      <w:keepNext/>
      <w:numPr>
        <w:ilvl w:val="7"/>
        <w:numId w:val="10"/>
      </w:numPr>
      <w:jc w:val="center"/>
      <w:outlineLvl w:val="7"/>
    </w:pPr>
    <w:rPr>
      <w:rFonts w:ascii="Times New Roman" w:hAnsi="Times New Roman"/>
      <w:b/>
      <w:bCs/>
      <w:sz w:val="22"/>
    </w:rPr>
  </w:style>
  <w:style w:type="paragraph" w:styleId="Heading9">
    <w:name w:val="heading 9"/>
    <w:basedOn w:val="Normal"/>
    <w:next w:val="Normal"/>
    <w:qFormat/>
    <w:rsid w:val="00287C41"/>
    <w:pPr>
      <w:keepNext/>
      <w:numPr>
        <w:ilvl w:val="8"/>
        <w:numId w:val="10"/>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7C41"/>
    <w:pPr>
      <w:tabs>
        <w:tab w:val="center" w:pos="4320"/>
        <w:tab w:val="right" w:pos="8640"/>
      </w:tabs>
    </w:pPr>
  </w:style>
  <w:style w:type="paragraph" w:styleId="Footer">
    <w:name w:val="footer"/>
    <w:basedOn w:val="Normal"/>
    <w:semiHidden/>
    <w:rsid w:val="00287C41"/>
    <w:pPr>
      <w:tabs>
        <w:tab w:val="center" w:pos="4320"/>
        <w:tab w:val="right" w:pos="8640"/>
      </w:tabs>
    </w:pPr>
  </w:style>
  <w:style w:type="paragraph" w:customStyle="1" w:styleId="CalVerTable">
    <w:name w:val="CalVerTable"/>
    <w:basedOn w:val="BodyText"/>
    <w:rsid w:val="00287C41"/>
    <w:pPr>
      <w:spacing w:after="40" w:line="160" w:lineRule="atLeast"/>
      <w:ind w:left="3240" w:hanging="3240"/>
    </w:pPr>
    <w:rPr>
      <w:rFonts w:ascii="Times New Roman" w:hAnsi="Times New Roman"/>
      <w:szCs w:val="20"/>
    </w:rPr>
  </w:style>
  <w:style w:type="paragraph" w:styleId="BodyText">
    <w:name w:val="Body Text"/>
    <w:basedOn w:val="Normal"/>
    <w:semiHidden/>
    <w:rsid w:val="00287C41"/>
    <w:pPr>
      <w:spacing w:after="120"/>
    </w:pPr>
  </w:style>
  <w:style w:type="paragraph" w:customStyle="1" w:styleId="Reagents">
    <w:name w:val="Reagents"/>
    <w:basedOn w:val="Normal"/>
    <w:rsid w:val="00287C41"/>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Default">
    <w:name w:val="Default"/>
    <w:rsid w:val="00287C41"/>
    <w:pPr>
      <w:autoSpaceDE w:val="0"/>
      <w:autoSpaceDN w:val="0"/>
      <w:adjustRightInd w:val="0"/>
    </w:pPr>
    <w:rPr>
      <w:rFonts w:ascii="Helen Pro Cond" w:hAnsi="Helen Pro Cond"/>
      <w:color w:val="000000"/>
      <w:sz w:val="24"/>
      <w:szCs w:val="24"/>
    </w:rPr>
  </w:style>
  <w:style w:type="paragraph" w:customStyle="1" w:styleId="Pa13">
    <w:name w:val="Pa13"/>
    <w:basedOn w:val="Default"/>
    <w:next w:val="Default"/>
    <w:rsid w:val="00287C41"/>
    <w:pPr>
      <w:spacing w:line="151" w:lineRule="atLeast"/>
    </w:pPr>
    <w:rPr>
      <w:color w:val="auto"/>
    </w:rPr>
  </w:style>
  <w:style w:type="paragraph" w:customStyle="1" w:styleId="Pa12">
    <w:name w:val="Pa12"/>
    <w:basedOn w:val="Default"/>
    <w:next w:val="Default"/>
    <w:rsid w:val="00287C41"/>
    <w:pPr>
      <w:spacing w:line="151" w:lineRule="atLeast"/>
    </w:pPr>
    <w:rPr>
      <w:color w:val="auto"/>
    </w:rPr>
  </w:style>
  <w:style w:type="paragraph" w:customStyle="1" w:styleId="Pa4">
    <w:name w:val="Pa4"/>
    <w:basedOn w:val="Default"/>
    <w:next w:val="Default"/>
    <w:rsid w:val="00287C41"/>
    <w:pPr>
      <w:spacing w:line="151" w:lineRule="atLeast"/>
    </w:pPr>
    <w:rPr>
      <w:color w:val="auto"/>
    </w:rPr>
  </w:style>
  <w:style w:type="paragraph" w:customStyle="1" w:styleId="Pa14">
    <w:name w:val="Pa14"/>
    <w:basedOn w:val="Default"/>
    <w:next w:val="Default"/>
    <w:rsid w:val="00287C41"/>
    <w:pPr>
      <w:spacing w:line="151" w:lineRule="atLeast"/>
    </w:pPr>
    <w:rPr>
      <w:color w:val="auto"/>
    </w:rPr>
  </w:style>
  <w:style w:type="paragraph" w:customStyle="1" w:styleId="Pa10">
    <w:name w:val="Pa10"/>
    <w:basedOn w:val="Normal"/>
    <w:next w:val="Normal"/>
    <w:rsid w:val="00287C41"/>
    <w:pPr>
      <w:autoSpaceDE w:val="0"/>
      <w:autoSpaceDN w:val="0"/>
      <w:adjustRightInd w:val="0"/>
      <w:spacing w:line="141" w:lineRule="atLeast"/>
    </w:pPr>
    <w:rPr>
      <w:rFonts w:ascii="Helen Pro Cond" w:hAnsi="Helen Pro Cond"/>
      <w:sz w:val="24"/>
    </w:rPr>
  </w:style>
  <w:style w:type="paragraph" w:customStyle="1" w:styleId="Pa15">
    <w:name w:val="Pa15"/>
    <w:basedOn w:val="Default"/>
    <w:next w:val="Default"/>
    <w:rsid w:val="00287C41"/>
    <w:pPr>
      <w:spacing w:line="151" w:lineRule="atLeast"/>
    </w:pPr>
    <w:rPr>
      <w:color w:val="auto"/>
    </w:rPr>
  </w:style>
  <w:style w:type="character" w:customStyle="1" w:styleId="A8">
    <w:name w:val="A8"/>
    <w:rsid w:val="00287C41"/>
    <w:rPr>
      <w:rFonts w:ascii="Helen Pro" w:hAnsi="Helen Pro"/>
      <w:color w:val="000000"/>
      <w:sz w:val="8"/>
      <w:szCs w:val="8"/>
    </w:rPr>
  </w:style>
  <w:style w:type="character" w:customStyle="1" w:styleId="A7">
    <w:name w:val="A7"/>
    <w:rsid w:val="00287C41"/>
    <w:rPr>
      <w:color w:val="000000"/>
      <w:sz w:val="15"/>
      <w:szCs w:val="15"/>
    </w:rPr>
  </w:style>
  <w:style w:type="character" w:styleId="Hyperlink">
    <w:name w:val="Hyperlink"/>
    <w:basedOn w:val="DefaultParagraphFont"/>
    <w:uiPriority w:val="99"/>
    <w:rsid w:val="00287C41"/>
    <w:rPr>
      <w:color w:val="0000FF"/>
      <w:u w:val="single"/>
    </w:rPr>
  </w:style>
  <w:style w:type="paragraph" w:styleId="BodyTextIndent">
    <w:name w:val="Body Text Indent"/>
    <w:basedOn w:val="Normal"/>
    <w:semiHidden/>
    <w:rsid w:val="00287C41"/>
    <w:pPr>
      <w:ind w:left="-108"/>
    </w:pPr>
    <w:rPr>
      <w:rFonts w:cs="Arial"/>
      <w:b/>
      <w:bCs/>
      <w:color w:val="0000FF"/>
    </w:rPr>
  </w:style>
  <w:style w:type="paragraph" w:customStyle="1" w:styleId="TableText">
    <w:name w:val="Table Text"/>
    <w:basedOn w:val="Normal"/>
    <w:rsid w:val="00287C41"/>
    <w:pPr>
      <w:autoSpaceDE w:val="0"/>
      <w:autoSpaceDN w:val="0"/>
    </w:pPr>
    <w:rPr>
      <w:rFonts w:ascii="Times New Roman" w:hAnsi="Times New Roman"/>
    </w:rPr>
  </w:style>
  <w:style w:type="paragraph" w:customStyle="1" w:styleId="Pa27">
    <w:name w:val="Pa27"/>
    <w:basedOn w:val="Default"/>
    <w:next w:val="Default"/>
    <w:rsid w:val="00287C41"/>
    <w:pPr>
      <w:spacing w:line="141" w:lineRule="atLeast"/>
    </w:pPr>
    <w:rPr>
      <w:color w:val="auto"/>
    </w:rPr>
  </w:style>
  <w:style w:type="paragraph" w:styleId="BodyText2">
    <w:name w:val="Body Text 2"/>
    <w:basedOn w:val="Normal"/>
    <w:link w:val="BodyText2Char"/>
    <w:uiPriority w:val="99"/>
    <w:unhideWhenUsed/>
    <w:rsid w:val="009C0037"/>
    <w:pPr>
      <w:spacing w:after="120" w:line="480" w:lineRule="auto"/>
    </w:pPr>
  </w:style>
  <w:style w:type="character" w:customStyle="1" w:styleId="BodyText2Char">
    <w:name w:val="Body Text 2 Char"/>
    <w:basedOn w:val="DefaultParagraphFont"/>
    <w:link w:val="BodyText2"/>
    <w:uiPriority w:val="99"/>
    <w:rsid w:val="009C0037"/>
    <w:rPr>
      <w:rFonts w:ascii="Arial" w:hAnsi="Arial"/>
      <w:szCs w:val="24"/>
    </w:rPr>
  </w:style>
  <w:style w:type="character" w:customStyle="1" w:styleId="A9">
    <w:name w:val="A9"/>
    <w:uiPriority w:val="99"/>
    <w:rsid w:val="00CA766B"/>
    <w:rPr>
      <w:color w:val="000000"/>
      <w:sz w:val="8"/>
      <w:szCs w:val="8"/>
    </w:rPr>
  </w:style>
  <w:style w:type="paragraph" w:styleId="CommentText">
    <w:name w:val="annotation text"/>
    <w:basedOn w:val="Normal"/>
    <w:link w:val="CommentTextChar"/>
    <w:semiHidden/>
    <w:rsid w:val="00EF74E9"/>
    <w:rPr>
      <w:szCs w:val="20"/>
    </w:rPr>
  </w:style>
  <w:style w:type="character" w:customStyle="1" w:styleId="CommentTextChar">
    <w:name w:val="Comment Text Char"/>
    <w:basedOn w:val="DefaultParagraphFont"/>
    <w:link w:val="CommentText"/>
    <w:semiHidden/>
    <w:rsid w:val="00EF74E9"/>
    <w:rPr>
      <w:rFonts w:ascii="Arial" w:hAnsi="Arial"/>
    </w:rPr>
  </w:style>
  <w:style w:type="character" w:styleId="FollowedHyperlink">
    <w:name w:val="FollowedHyperlink"/>
    <w:basedOn w:val="DefaultParagraphFont"/>
    <w:uiPriority w:val="99"/>
    <w:semiHidden/>
    <w:unhideWhenUsed/>
    <w:rsid w:val="00513F9B"/>
    <w:rPr>
      <w:color w:val="800080" w:themeColor="followedHyperlink"/>
      <w:u w:val="single"/>
    </w:rPr>
  </w:style>
  <w:style w:type="paragraph" w:styleId="Title">
    <w:name w:val="Title"/>
    <w:basedOn w:val="Normal"/>
    <w:link w:val="TitleChar"/>
    <w:qFormat/>
    <w:rsid w:val="002265E2"/>
    <w:pPr>
      <w:spacing w:before="240" w:after="60"/>
      <w:jc w:val="center"/>
    </w:pPr>
    <w:rPr>
      <w:rFonts w:ascii="Times New Roman" w:hAnsi="Times New Roman" w:cs="Arial"/>
      <w:b/>
      <w:bCs/>
      <w:kern w:val="28"/>
      <w:sz w:val="28"/>
      <w:szCs w:val="32"/>
    </w:rPr>
  </w:style>
  <w:style w:type="character" w:customStyle="1" w:styleId="TitleChar">
    <w:name w:val="Title Char"/>
    <w:basedOn w:val="DefaultParagraphFont"/>
    <w:link w:val="Title"/>
    <w:rsid w:val="002265E2"/>
    <w:rPr>
      <w:rFonts w:cs="Arial"/>
      <w:b/>
      <w:bCs/>
      <w:kern w:val="28"/>
      <w:sz w:val="28"/>
      <w:szCs w:val="32"/>
    </w:rPr>
  </w:style>
  <w:style w:type="character" w:customStyle="1" w:styleId="tgc">
    <w:name w:val="_tgc"/>
    <w:basedOn w:val="DefaultParagraphFont"/>
    <w:rsid w:val="002265E2"/>
  </w:style>
  <w:style w:type="table" w:styleId="TableGrid">
    <w:name w:val="Table Grid"/>
    <w:basedOn w:val="TableNormal"/>
    <w:uiPriority w:val="59"/>
    <w:rsid w:val="003571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ickkids.ca/Caliperproject/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net.childrenshc.org/References/labsop/chem/procedure/ch5.106-abbott-architect-operating-procedur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In Process</WFStatus>
    <Renewal_x0020_Date xmlns="199f0838-75a6-4f0c-9be1-f2c07140bccc">2019-08-01T05:00:00+00:00</Renewal_x0020_Dat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F6TN54CWY5RS-50183619-32219</_dlc_DocId>
    <_Version xmlns="http://schemas.microsoft.com/sharepoint/v3/fields" xsi:nil="true"/>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CH 6.07 ALT (Alanine Aminotransferase)</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CHEM</Owner>
    <Content_x0020_Release_x0020_Date xmlns="199f0838-75a6-4f0c-9be1-f2c07140bccc">2017-08-01T05:00:00+00:00</Content_x0020_Release_x0020_Date>
    <Summary xmlns="199f0838-75a6-4f0c-9be1-f2c07140bccc" xsi:nil="true"/>
    <SubTitle xmlns="199f0838-75a6-4f0c-9be1-f2c07140bccc" xsi:nil="true"/>
    <_dlc_DocIdUrl xmlns="199f0838-75a6-4f0c-9be1-f2c07140bccc">
      <Url>http://vcpsharepoint2/references/_layouts/15/DocIdRedir.aspx?ID=F6TN54CWY5RS-50183619-32219</Url>
      <Description>F6TN54CWY5RS-50183619-32219</Description>
    </_dlc_DocIdUrl>
    <Study_x0020_Status xmlns="c1848e11-9cf6-4ce4-877e-6837d2c2fa23" xsi:nil="true"/>
    <Meta_x0020_Page_x0020_Description xmlns="199f0838-75a6-4f0c-9be1-f2c07140bc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CB3B2-B889-495C-9217-71907AA5B9FA}">
  <ds:schemaRefs>
    <ds:schemaRef ds:uri="http://schemas.microsoft.com/sharepoint/events"/>
  </ds:schemaRefs>
</ds:datastoreItem>
</file>

<file path=customXml/itemProps2.xml><?xml version="1.0" encoding="utf-8"?>
<ds:datastoreItem xmlns:ds="http://schemas.openxmlformats.org/officeDocument/2006/customXml" ds:itemID="{C96F4924-055F-437A-BF96-931834C44D40}">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41946BDD-F3AF-4F61-B41E-2F5C92196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129F5-5224-49F7-8AE2-7D0F2A48FD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1980</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CH 6.07 ALT (Alanine Aminotransferase)</vt:lpstr>
    </vt:vector>
  </TitlesOfParts>
  <Company>Authorized User</Company>
  <LinksUpToDate>false</LinksUpToDate>
  <CharactersWithSpaces>13575</CharactersWithSpaces>
  <SharedDoc>false</SharedDoc>
  <HLinks>
    <vt:vector size="6" baseType="variant">
      <vt:variant>
        <vt:i4>4390980</vt:i4>
      </vt:variant>
      <vt:variant>
        <vt:i4>0</vt:i4>
      </vt:variant>
      <vt:variant>
        <vt:i4>0</vt:i4>
      </vt:variant>
      <vt:variant>
        <vt:i4>5</vt:i4>
      </vt:variant>
      <vt:variant>
        <vt:lpwstr>http://khan.childrensmn.org/Manuals/Lab/SOP/Chem/Procedure/206820.pdf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6.07 ALT (Alanine Aminotransferase)</dc:title>
  <dc:creator>Authorized User</dc:creator>
  <dc:description>7/17/17 Updated interfering substances  after notification from Siemens. KB_x000d_
7/20/17 Updated for new reference ranges and added 2 new references ERB 7/20/17</dc:description>
  <cp:lastModifiedBy>CE155076</cp:lastModifiedBy>
  <cp:revision>7</cp:revision>
  <cp:lastPrinted>2011-06-16T20:36:00Z</cp:lastPrinted>
  <dcterms:created xsi:type="dcterms:W3CDTF">2018-04-30T18:32:00Z</dcterms:created>
  <dcterms:modified xsi:type="dcterms:W3CDTF">2018-05-10T13:16:00Z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7425ab00-c274-4220-8dd3-587f4a2fda7d</vt:lpwstr>
  </property>
</Properties>
</file>