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Layout w:type="fixed"/>
        <w:tblLook w:val="0000"/>
      </w:tblPr>
      <w:tblGrid>
        <w:gridCol w:w="2160"/>
        <w:gridCol w:w="8910"/>
      </w:tblGrid>
      <w:tr w:rsidR="008C6EDC" w:rsidTr="00D120DB">
        <w:trPr>
          <w:cantSplit/>
          <w:tblHeader/>
        </w:trPr>
        <w:tc>
          <w:tcPr>
            <w:tcW w:w="11070" w:type="dxa"/>
            <w:gridSpan w:val="2"/>
            <w:tcBorders>
              <w:bottom w:val="single" w:sz="18" w:space="0" w:color="A6A6A6" w:themeColor="background1" w:themeShade="A6"/>
            </w:tcBorders>
          </w:tcPr>
          <w:p w:rsidR="008C6EDC" w:rsidRDefault="00B0339F">
            <w:pPr>
              <w:pStyle w:val="Header"/>
              <w:tabs>
                <w:tab w:val="clear" w:pos="4320"/>
                <w:tab w:val="clear" w:pos="8640"/>
                <w:tab w:val="left" w:pos="11520"/>
              </w:tabs>
              <w:jc w:val="both"/>
              <w:rPr>
                <w:rFonts w:cs="Arial"/>
                <w:b/>
                <w:bCs/>
                <w:color w:val="0000FF"/>
                <w:sz w:val="36"/>
              </w:rPr>
            </w:pPr>
            <w:r>
              <w:rPr>
                <w:rFonts w:cs="Arial"/>
                <w:b/>
                <w:bCs/>
                <w:color w:val="0000FF"/>
                <w:sz w:val="36"/>
              </w:rPr>
              <w:t>Hepatitis B Surface Anti</w:t>
            </w:r>
            <w:r w:rsidR="00BE7040">
              <w:rPr>
                <w:rFonts w:cs="Arial"/>
                <w:b/>
                <w:bCs/>
                <w:color w:val="0000FF"/>
                <w:sz w:val="36"/>
              </w:rPr>
              <w:t>gen</w:t>
            </w:r>
            <w:r w:rsidR="0045274F">
              <w:rPr>
                <w:rFonts w:cs="Arial"/>
                <w:b/>
                <w:bCs/>
                <w:color w:val="0000FF"/>
                <w:sz w:val="36"/>
              </w:rPr>
              <w:t xml:space="preserve"> Qualitative</w:t>
            </w:r>
            <w:r w:rsidR="00BE7040">
              <w:rPr>
                <w:rFonts w:cs="Arial"/>
                <w:b/>
                <w:bCs/>
                <w:color w:val="0000FF"/>
                <w:sz w:val="36"/>
              </w:rPr>
              <w:t xml:space="preserve"> (HBsAg)</w:t>
            </w:r>
          </w:p>
          <w:p w:rsidR="008C6EDC" w:rsidRDefault="008C6EDC">
            <w:pPr>
              <w:pStyle w:val="Header"/>
              <w:tabs>
                <w:tab w:val="clear" w:pos="4320"/>
                <w:tab w:val="clear" w:pos="8640"/>
                <w:tab w:val="left" w:pos="11520"/>
              </w:tabs>
              <w:jc w:val="both"/>
              <w:rPr>
                <w:rFonts w:cs="Arial"/>
                <w:color w:val="0000FF"/>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Purpose</w:t>
            </w:r>
          </w:p>
        </w:tc>
        <w:tc>
          <w:tcPr>
            <w:tcW w:w="8910" w:type="dxa"/>
            <w:tcBorders>
              <w:top w:val="single" w:sz="18" w:space="0" w:color="A6A6A6" w:themeColor="background1" w:themeShade="A6"/>
              <w:bottom w:val="single" w:sz="18" w:space="0" w:color="A6A6A6" w:themeColor="background1" w:themeShade="A6"/>
            </w:tcBorders>
            <w:vAlign w:val="center"/>
          </w:tcPr>
          <w:p w:rsidR="002F385E" w:rsidRDefault="002F385E" w:rsidP="008C6EDC">
            <w:pPr>
              <w:jc w:val="both"/>
              <w:rPr>
                <w:rFonts w:cs="Arial"/>
              </w:rPr>
            </w:pPr>
          </w:p>
          <w:p w:rsidR="008C6EDC" w:rsidRPr="008634BF" w:rsidRDefault="002F385E" w:rsidP="008C6EDC">
            <w:pPr>
              <w:jc w:val="both"/>
              <w:rPr>
                <w:rFonts w:cs="Arial"/>
                <w:szCs w:val="20"/>
              </w:rPr>
            </w:pPr>
            <w:r>
              <w:rPr>
                <w:rFonts w:cs="Arial"/>
              </w:rPr>
              <w:t xml:space="preserve">This procedure provides instructions for performing </w:t>
            </w:r>
            <w:r w:rsidR="00BE7040">
              <w:rPr>
                <w:rFonts w:cs="Arial"/>
              </w:rPr>
              <w:t>HEPATITIS B SURFACE ANTIGEN</w:t>
            </w:r>
            <w:r w:rsidR="0045274F">
              <w:rPr>
                <w:rFonts w:cs="Arial"/>
              </w:rPr>
              <w:t xml:space="preserve"> (Qualitative)</w:t>
            </w:r>
            <w:r>
              <w:rPr>
                <w:rFonts w:cs="Arial"/>
              </w:rPr>
              <w:t xml:space="preserve"> on the Abbott Architect</w:t>
            </w:r>
            <w:r w:rsidR="00100A32">
              <w:rPr>
                <w:rFonts w:cs="Arial"/>
              </w:rPr>
              <w:t xml:space="preserve"> i1000SR</w:t>
            </w:r>
            <w:r w:rsidR="00B0339F">
              <w:rPr>
                <w:rFonts w:cs="Arial"/>
              </w:rPr>
              <w:t>.</w:t>
            </w:r>
          </w:p>
          <w:p w:rsidR="008C6EDC" w:rsidRPr="008634BF" w:rsidRDefault="008C6EDC" w:rsidP="00D0201D">
            <w:pPr>
              <w:autoSpaceDE w:val="0"/>
              <w:autoSpaceDN w:val="0"/>
              <w:adjustRightInd w:val="0"/>
              <w:jc w:val="both"/>
              <w:rPr>
                <w:rFonts w:cs="Arial"/>
                <w:szCs w:val="20"/>
              </w:rPr>
            </w:pPr>
          </w:p>
        </w:tc>
      </w:tr>
      <w:tr w:rsidR="008C6EDC" w:rsidTr="00D120DB">
        <w:trPr>
          <w:trHeight w:val="93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Policy Statements</w:t>
            </w:r>
          </w:p>
        </w:tc>
        <w:tc>
          <w:tcPr>
            <w:tcW w:w="8910" w:type="dxa"/>
            <w:tcBorders>
              <w:top w:val="single" w:sz="18" w:space="0" w:color="A6A6A6" w:themeColor="background1" w:themeShade="A6"/>
              <w:bottom w:val="single" w:sz="18" w:space="0" w:color="A6A6A6" w:themeColor="background1" w:themeShade="A6"/>
            </w:tcBorders>
            <w:vAlign w:val="center"/>
          </w:tcPr>
          <w:p w:rsidR="008C6EDC" w:rsidRPr="001246C0" w:rsidRDefault="001B1C87" w:rsidP="00253C63">
            <w:pPr>
              <w:autoSpaceDE w:val="0"/>
              <w:autoSpaceDN w:val="0"/>
              <w:adjustRightInd w:val="0"/>
              <w:jc w:val="both"/>
              <w:rPr>
                <w:rFonts w:cs="Arial"/>
                <w:szCs w:val="20"/>
              </w:rPr>
            </w:pPr>
            <w:r>
              <w:rPr>
                <w:rFonts w:cs="Arial"/>
                <w:szCs w:val="15"/>
              </w:rPr>
              <w:t xml:space="preserve">This procedure applies to all personnel responsible for performing testing on the </w:t>
            </w:r>
            <w:r>
              <w:rPr>
                <w:rFonts w:cs="Arial"/>
                <w:szCs w:val="20"/>
              </w:rPr>
              <w:t>Abbott Architect</w:t>
            </w:r>
            <w:r w:rsidR="00100A32">
              <w:rPr>
                <w:rFonts w:cs="Arial"/>
                <w:szCs w:val="20"/>
              </w:rPr>
              <w:t xml:space="preserve"> i1000SR.</w:t>
            </w: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Principle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1B1C87" w:rsidRDefault="001B1C87" w:rsidP="002F385E">
            <w:pPr>
              <w:autoSpaceDE w:val="0"/>
              <w:autoSpaceDN w:val="0"/>
              <w:adjustRightInd w:val="0"/>
              <w:rPr>
                <w:rFonts w:eastAsia="HelenPro-Regular"/>
              </w:rPr>
            </w:pPr>
          </w:p>
          <w:p w:rsidR="00BE7040" w:rsidRPr="00225989" w:rsidRDefault="00BE7040" w:rsidP="00BE7040">
            <w:pPr>
              <w:autoSpaceDE w:val="0"/>
              <w:autoSpaceDN w:val="0"/>
              <w:adjustRightInd w:val="0"/>
              <w:rPr>
                <w:rFonts w:eastAsia="HelenPro-Regular"/>
              </w:rPr>
            </w:pPr>
            <w:r w:rsidRPr="00225989">
              <w:rPr>
                <w:rFonts w:eastAsia="HelenPro-Regular"/>
              </w:rPr>
              <w:t>The ARCHITECT HBsAg Qualitative assa</w:t>
            </w:r>
            <w:r>
              <w:rPr>
                <w:rFonts w:eastAsia="HelenPro-Regular"/>
              </w:rPr>
              <w:t xml:space="preserve">y is a one-step immunoassay for </w:t>
            </w:r>
            <w:r w:rsidRPr="00225989">
              <w:rPr>
                <w:rFonts w:eastAsia="HelenPro-Regular"/>
              </w:rPr>
              <w:t>the qualitative detection of HBsAg in human serum using CMIA</w:t>
            </w:r>
            <w:r>
              <w:rPr>
                <w:rFonts w:eastAsia="HelenPro-Regular"/>
              </w:rPr>
              <w:t xml:space="preserve"> </w:t>
            </w:r>
            <w:r w:rsidRPr="00225989">
              <w:rPr>
                <w:rFonts w:eastAsia="HelenPro-Regular"/>
              </w:rPr>
              <w:t xml:space="preserve">technology, with flexible assay protocols, referred to as Chemiflex. </w:t>
            </w:r>
            <w:r w:rsidR="0045274F">
              <w:rPr>
                <w:rFonts w:eastAsia="HelenPro-Regular"/>
              </w:rPr>
              <w:t xml:space="preserve"> </w:t>
            </w:r>
            <w:r w:rsidRPr="00225989">
              <w:rPr>
                <w:rFonts w:eastAsia="HelenPro-Regular"/>
              </w:rPr>
              <w:t>(Note:</w:t>
            </w:r>
            <w:r>
              <w:rPr>
                <w:rFonts w:eastAsia="HelenPro-Regular"/>
              </w:rPr>
              <w:t xml:space="preserve"> </w:t>
            </w:r>
            <w:r w:rsidRPr="00225989">
              <w:rPr>
                <w:rFonts w:eastAsia="HelenPro-Regular"/>
              </w:rPr>
              <w:t>Ancillary Wash Buffer is added in a second incubation step so the assay</w:t>
            </w:r>
            <w:r>
              <w:rPr>
                <w:rFonts w:eastAsia="HelenPro-Regular"/>
              </w:rPr>
              <w:t xml:space="preserve"> </w:t>
            </w:r>
            <w:r w:rsidRPr="00225989">
              <w:rPr>
                <w:rFonts w:eastAsia="HelenPro-Regular"/>
              </w:rPr>
              <w:t>files perform a two-step assay.)</w:t>
            </w:r>
            <w:r>
              <w:rPr>
                <w:rFonts w:eastAsia="HelenPro-Regular"/>
              </w:rPr>
              <w:t xml:space="preserve"> </w:t>
            </w:r>
            <w:r w:rsidR="0045274F">
              <w:rPr>
                <w:rFonts w:eastAsia="HelenPro-Regular"/>
              </w:rPr>
              <w:t xml:space="preserve"> </w:t>
            </w:r>
            <w:r w:rsidRPr="00225989">
              <w:rPr>
                <w:rFonts w:eastAsia="HelenPro-Regular"/>
              </w:rPr>
              <w:t>In the ARCHITECT HBsAg Qualitative assay, sample, anti-HBs coated</w:t>
            </w:r>
            <w:r>
              <w:rPr>
                <w:rFonts w:eastAsia="HelenPro-Regular"/>
              </w:rPr>
              <w:t xml:space="preserve"> </w:t>
            </w:r>
            <w:r w:rsidRPr="00225989">
              <w:rPr>
                <w:rFonts w:eastAsia="HelenPro-Regular"/>
              </w:rPr>
              <w:t>paramagnetic microparticles, and anti-HBs acridinium-labeled conjugate</w:t>
            </w:r>
            <w:r>
              <w:rPr>
                <w:rFonts w:eastAsia="HelenPro-Regular"/>
              </w:rPr>
              <w:t xml:space="preserve"> </w:t>
            </w:r>
            <w:r w:rsidRPr="00225989">
              <w:rPr>
                <w:rFonts w:eastAsia="HelenPro-Regular"/>
              </w:rPr>
              <w:t xml:space="preserve">are combined to create a reaction mixture. </w:t>
            </w:r>
            <w:r w:rsidR="0045274F">
              <w:rPr>
                <w:rFonts w:eastAsia="HelenPro-Regular"/>
              </w:rPr>
              <w:t xml:space="preserve"> </w:t>
            </w:r>
            <w:r w:rsidRPr="00225989">
              <w:rPr>
                <w:rFonts w:eastAsia="HelenPro-Regular"/>
              </w:rPr>
              <w:t>HBsAg present in the</w:t>
            </w:r>
            <w:r>
              <w:rPr>
                <w:rFonts w:eastAsia="HelenPro-Regular"/>
              </w:rPr>
              <w:t xml:space="preserve"> </w:t>
            </w:r>
            <w:r w:rsidRPr="00225989">
              <w:rPr>
                <w:rFonts w:eastAsia="HelenPro-Regular"/>
              </w:rPr>
              <w:t>sample binds to the anti-HBs coated microparticles and to the anti-HBs</w:t>
            </w:r>
            <w:r>
              <w:rPr>
                <w:rFonts w:eastAsia="HelenPro-Regular"/>
              </w:rPr>
              <w:t xml:space="preserve"> </w:t>
            </w:r>
            <w:r w:rsidRPr="00225989">
              <w:rPr>
                <w:rFonts w:eastAsia="HelenPro-Regular"/>
              </w:rPr>
              <w:t xml:space="preserve">acridinium-labeled conjugate. </w:t>
            </w:r>
            <w:r w:rsidR="0045274F">
              <w:rPr>
                <w:rFonts w:eastAsia="HelenPro-Regular"/>
              </w:rPr>
              <w:t xml:space="preserve"> </w:t>
            </w:r>
            <w:r w:rsidRPr="00225989">
              <w:rPr>
                <w:rFonts w:eastAsia="HelenPro-Regular"/>
              </w:rPr>
              <w:t>After washing, ancillary wash buffer is</w:t>
            </w:r>
            <w:r>
              <w:rPr>
                <w:rFonts w:eastAsia="HelenPro-Regular"/>
              </w:rPr>
              <w:t xml:space="preserve"> </w:t>
            </w:r>
            <w:r w:rsidRPr="00225989">
              <w:rPr>
                <w:rFonts w:eastAsia="HelenPro-Regular"/>
              </w:rPr>
              <w:t xml:space="preserve">added to the reaction mixture. </w:t>
            </w:r>
            <w:r w:rsidR="0045274F">
              <w:rPr>
                <w:rFonts w:eastAsia="HelenPro-Regular"/>
              </w:rPr>
              <w:t xml:space="preserve"> </w:t>
            </w:r>
            <w:r w:rsidRPr="00225989">
              <w:rPr>
                <w:rFonts w:eastAsia="HelenPro-Regular"/>
              </w:rPr>
              <w:t>Following another wash cycle, pre-trigger</w:t>
            </w:r>
            <w:r>
              <w:rPr>
                <w:rFonts w:eastAsia="HelenPro-Regular"/>
              </w:rPr>
              <w:t xml:space="preserve"> </w:t>
            </w:r>
            <w:r w:rsidRPr="00225989">
              <w:rPr>
                <w:rFonts w:eastAsia="HelenPro-Regular"/>
              </w:rPr>
              <w:t xml:space="preserve">and trigger solutions are added to the reaction mixture. </w:t>
            </w:r>
            <w:r w:rsidR="0045274F">
              <w:rPr>
                <w:rFonts w:eastAsia="HelenPro-Regular"/>
              </w:rPr>
              <w:t xml:space="preserve"> </w:t>
            </w:r>
            <w:r w:rsidRPr="00225989">
              <w:rPr>
                <w:rFonts w:eastAsia="HelenPro-Regular"/>
              </w:rPr>
              <w:t>The resulting</w:t>
            </w:r>
            <w:r>
              <w:rPr>
                <w:rFonts w:eastAsia="HelenPro-Regular"/>
              </w:rPr>
              <w:t xml:space="preserve"> </w:t>
            </w:r>
            <w:r w:rsidRPr="00225989">
              <w:rPr>
                <w:rFonts w:eastAsia="HelenPro-Regular"/>
              </w:rPr>
              <w:t xml:space="preserve">chemiluminescent reaction is measured as relative light units (RLUs). </w:t>
            </w:r>
            <w:r w:rsidR="0045274F">
              <w:rPr>
                <w:rFonts w:eastAsia="HelenPro-Regular"/>
              </w:rPr>
              <w:t xml:space="preserve"> </w:t>
            </w:r>
            <w:r w:rsidRPr="00225989">
              <w:rPr>
                <w:rFonts w:eastAsia="HelenPro-Regular"/>
              </w:rPr>
              <w:t>A</w:t>
            </w:r>
            <w:r>
              <w:rPr>
                <w:rFonts w:eastAsia="HelenPro-Regular"/>
              </w:rPr>
              <w:t xml:space="preserve"> </w:t>
            </w:r>
            <w:r w:rsidRPr="00225989">
              <w:rPr>
                <w:rFonts w:eastAsia="HelenPro-Regular"/>
              </w:rPr>
              <w:t>direct relationship exists between the am</w:t>
            </w:r>
            <w:r>
              <w:rPr>
                <w:rFonts w:eastAsia="HelenPro-Regular"/>
              </w:rPr>
              <w:t xml:space="preserve">ount of HBsAg in the sample and </w:t>
            </w:r>
            <w:r w:rsidRPr="00225989">
              <w:rPr>
                <w:rFonts w:eastAsia="HelenPro-Regular"/>
              </w:rPr>
              <w:t xml:space="preserve">the RLUs detected by the ARCHITECT </w:t>
            </w:r>
            <w:r w:rsidRPr="00225989">
              <w:rPr>
                <w:rFonts w:eastAsia="HelenPro-Regular"/>
                <w:i/>
                <w:iCs/>
              </w:rPr>
              <w:t xml:space="preserve">i </w:t>
            </w:r>
            <w:r w:rsidRPr="00225989">
              <w:rPr>
                <w:rFonts w:eastAsia="HelenPro-Regular"/>
              </w:rPr>
              <w:t>System optics.</w:t>
            </w:r>
            <w:r>
              <w:rPr>
                <w:rFonts w:eastAsia="HelenPro-Regular"/>
              </w:rPr>
              <w:t xml:space="preserve">  </w:t>
            </w:r>
            <w:r w:rsidRPr="00225989">
              <w:rPr>
                <w:rFonts w:eastAsia="HelenPro-Regular"/>
              </w:rPr>
              <w:t>The presence or absence of HBsAg</w:t>
            </w:r>
            <w:r>
              <w:rPr>
                <w:rFonts w:eastAsia="HelenPro-Regular"/>
              </w:rPr>
              <w:t xml:space="preserve"> in the sample is determined by </w:t>
            </w:r>
            <w:r w:rsidRPr="00225989">
              <w:rPr>
                <w:rFonts w:eastAsia="HelenPro-Regular"/>
              </w:rPr>
              <w:t>comparing the chemiluminescent signal in the reaction to the cutoff signal</w:t>
            </w:r>
            <w:r>
              <w:rPr>
                <w:rFonts w:eastAsia="HelenPro-Regular"/>
              </w:rPr>
              <w:t xml:space="preserve"> </w:t>
            </w:r>
            <w:r w:rsidRPr="00225989">
              <w:rPr>
                <w:rFonts w:eastAsia="HelenPro-Regular"/>
              </w:rPr>
              <w:t xml:space="preserve">determined from an active calibration. </w:t>
            </w:r>
            <w:r w:rsidR="0045274F">
              <w:rPr>
                <w:rFonts w:eastAsia="HelenPro-Regular"/>
              </w:rPr>
              <w:t xml:space="preserve"> </w:t>
            </w:r>
            <w:r w:rsidRPr="00225989">
              <w:rPr>
                <w:rFonts w:eastAsia="HelenPro-Regular"/>
              </w:rPr>
              <w:t>If the chemiluminescent signal in</w:t>
            </w:r>
            <w:r>
              <w:rPr>
                <w:rFonts w:eastAsia="HelenPro-Regular"/>
              </w:rPr>
              <w:t xml:space="preserve"> </w:t>
            </w:r>
            <w:r w:rsidRPr="00225989">
              <w:rPr>
                <w:rFonts w:eastAsia="HelenPro-Regular"/>
              </w:rPr>
              <w:t>the specimen is greater than or equal to the cutoff signal, the sample is</w:t>
            </w:r>
            <w:r>
              <w:rPr>
                <w:rFonts w:eastAsia="HelenPro-Regular"/>
              </w:rPr>
              <w:t xml:space="preserve"> </w:t>
            </w:r>
            <w:r w:rsidRPr="00225989">
              <w:rPr>
                <w:rFonts w:eastAsia="HelenPro-Regular"/>
              </w:rPr>
              <w:t>considered reactive for HBsAg.</w:t>
            </w:r>
          </w:p>
          <w:p w:rsidR="00B0339F" w:rsidRPr="00253C63" w:rsidRDefault="00B0339F" w:rsidP="00BE7040">
            <w:pPr>
              <w:autoSpaceDE w:val="0"/>
              <w:autoSpaceDN w:val="0"/>
              <w:adjustRightInd w:val="0"/>
              <w:rPr>
                <w:rFonts w:eastAsia="HelenPro-Regular" w:cs="Arial"/>
                <w:szCs w:val="20"/>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Clinical Significance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1B1C87" w:rsidRDefault="001B1C87" w:rsidP="001B1C87">
            <w:pPr>
              <w:autoSpaceDE w:val="0"/>
              <w:autoSpaceDN w:val="0"/>
              <w:adjustRightInd w:val="0"/>
              <w:rPr>
                <w:rFonts w:eastAsia="HelenPro-Regular"/>
              </w:rPr>
            </w:pPr>
          </w:p>
          <w:p w:rsidR="0045274F" w:rsidRDefault="00BE7040" w:rsidP="00D0201D">
            <w:pPr>
              <w:autoSpaceDE w:val="0"/>
              <w:autoSpaceDN w:val="0"/>
              <w:adjustRightInd w:val="0"/>
              <w:rPr>
                <w:rFonts w:eastAsia="HelenPro-Regular"/>
              </w:rPr>
            </w:pPr>
            <w:r w:rsidRPr="00225989">
              <w:rPr>
                <w:rFonts w:eastAsia="HelenPro-Regular"/>
              </w:rPr>
              <w:t>The causative agent of serum hepatitis i</w:t>
            </w:r>
            <w:r>
              <w:rPr>
                <w:rFonts w:eastAsia="HelenPro-Regular"/>
              </w:rPr>
              <w:t xml:space="preserve">s hepatitis B virus (HBV) which </w:t>
            </w:r>
            <w:r w:rsidRPr="00225989">
              <w:rPr>
                <w:rFonts w:eastAsia="HelenPro-Regular"/>
              </w:rPr>
              <w:t xml:space="preserve">is an enveloped DNA virus. </w:t>
            </w:r>
            <w:r w:rsidR="0045274F">
              <w:rPr>
                <w:rFonts w:eastAsia="HelenPro-Regular"/>
              </w:rPr>
              <w:t xml:space="preserve"> </w:t>
            </w:r>
            <w:r w:rsidRPr="00225989">
              <w:rPr>
                <w:rFonts w:eastAsia="HelenPro-Regular"/>
              </w:rPr>
              <w:t>During infection, HBV produces an excess of</w:t>
            </w:r>
            <w:r>
              <w:rPr>
                <w:rFonts w:eastAsia="HelenPro-Regular"/>
              </w:rPr>
              <w:t xml:space="preserve"> </w:t>
            </w:r>
            <w:r w:rsidRPr="00225989">
              <w:rPr>
                <w:rFonts w:eastAsia="HelenPro-Regular"/>
              </w:rPr>
              <w:t>hepatitis B surface antigen (HBsAg), also known as Australia antigen, which</w:t>
            </w:r>
            <w:r>
              <w:rPr>
                <w:rFonts w:eastAsia="HelenPro-Regular"/>
              </w:rPr>
              <w:t xml:space="preserve"> </w:t>
            </w:r>
            <w:r w:rsidRPr="00225989">
              <w:rPr>
                <w:rFonts w:eastAsia="HelenPro-Regular"/>
              </w:rPr>
              <w:t>can be detected in the blood of infected individuals.</w:t>
            </w:r>
            <w:r w:rsidR="0045274F">
              <w:rPr>
                <w:rFonts w:eastAsia="HelenPro-Regular"/>
              </w:rPr>
              <w:t xml:space="preserve"> </w:t>
            </w:r>
            <w:r w:rsidRPr="00225989">
              <w:rPr>
                <w:rFonts w:eastAsia="HelenPro-Regular"/>
              </w:rPr>
              <w:t xml:space="preserve"> It is responsible for</w:t>
            </w:r>
            <w:r>
              <w:rPr>
                <w:rFonts w:eastAsia="HelenPro-Regular"/>
              </w:rPr>
              <w:t xml:space="preserve"> </w:t>
            </w:r>
            <w:r w:rsidRPr="00225989">
              <w:rPr>
                <w:rFonts w:eastAsia="HelenPro-Regular"/>
              </w:rPr>
              <w:t>binding the virus to the liver cell and is the target structure of neutralizing</w:t>
            </w:r>
            <w:r>
              <w:rPr>
                <w:rFonts w:eastAsia="HelenPro-Regular"/>
              </w:rPr>
              <w:t xml:space="preserve"> </w:t>
            </w:r>
            <w:r w:rsidRPr="00225989">
              <w:rPr>
                <w:rFonts w:eastAsia="HelenPro-Regular"/>
              </w:rPr>
              <w:t xml:space="preserve">antibodies. </w:t>
            </w:r>
            <w:r w:rsidR="0045274F">
              <w:rPr>
                <w:rFonts w:eastAsia="HelenPro-Regular"/>
              </w:rPr>
              <w:t xml:space="preserve"> </w:t>
            </w:r>
            <w:r w:rsidRPr="00225989">
              <w:rPr>
                <w:rFonts w:eastAsia="HelenPro-Regular"/>
              </w:rPr>
              <w:t>HBsAg is the first serological marker after infection with HBV,</w:t>
            </w:r>
            <w:r>
              <w:rPr>
                <w:rFonts w:eastAsia="HelenPro-Regular"/>
              </w:rPr>
              <w:t xml:space="preserve"> </w:t>
            </w:r>
            <w:r w:rsidRPr="00225989">
              <w:rPr>
                <w:rFonts w:eastAsia="HelenPro-Regular"/>
              </w:rPr>
              <w:t>appearing one to ten weeks after exposure and two to eight weeks before</w:t>
            </w:r>
            <w:r>
              <w:rPr>
                <w:rFonts w:eastAsia="HelenPro-Regular"/>
              </w:rPr>
              <w:t xml:space="preserve"> </w:t>
            </w:r>
            <w:r w:rsidRPr="00225989">
              <w:rPr>
                <w:rFonts w:eastAsia="HelenPro-Regular"/>
              </w:rPr>
              <w:t xml:space="preserve">the onset of clinical symptoms. </w:t>
            </w:r>
            <w:r w:rsidR="0045274F">
              <w:rPr>
                <w:rFonts w:eastAsia="HelenPro-Regular"/>
              </w:rPr>
              <w:t xml:space="preserve"> </w:t>
            </w:r>
            <w:r w:rsidRPr="00225989">
              <w:rPr>
                <w:rFonts w:eastAsia="HelenPro-Regular"/>
              </w:rPr>
              <w:t>HBsAg persists during this acute phase</w:t>
            </w:r>
            <w:r>
              <w:rPr>
                <w:rFonts w:eastAsia="HelenPro-Regular"/>
              </w:rPr>
              <w:t xml:space="preserve"> </w:t>
            </w:r>
            <w:r w:rsidRPr="00225989">
              <w:rPr>
                <w:rFonts w:eastAsia="HelenPro-Regular"/>
              </w:rPr>
              <w:t xml:space="preserve">and clears late in the convalescence period. </w:t>
            </w:r>
            <w:r w:rsidR="0045274F">
              <w:rPr>
                <w:rFonts w:eastAsia="HelenPro-Regular"/>
              </w:rPr>
              <w:t xml:space="preserve"> </w:t>
            </w:r>
            <w:r w:rsidRPr="00225989">
              <w:rPr>
                <w:rFonts w:eastAsia="HelenPro-Regular"/>
              </w:rPr>
              <w:t>Failure to clear HBsAg within</w:t>
            </w:r>
            <w:r>
              <w:rPr>
                <w:rFonts w:eastAsia="HelenPro-Regular"/>
              </w:rPr>
              <w:t xml:space="preserve"> </w:t>
            </w:r>
            <w:r w:rsidRPr="00225989">
              <w:rPr>
                <w:rFonts w:eastAsia="HelenPro-Regular"/>
              </w:rPr>
              <w:t>six months indicates a chronic HBsAg carrier state.</w:t>
            </w:r>
            <w:r>
              <w:rPr>
                <w:rFonts w:eastAsia="HelenPro-Regular"/>
              </w:rPr>
              <w:t xml:space="preserve"> </w:t>
            </w:r>
            <w:r w:rsidR="0045274F">
              <w:rPr>
                <w:rFonts w:eastAsia="HelenPro-Regular"/>
              </w:rPr>
              <w:t xml:space="preserve"> </w:t>
            </w:r>
          </w:p>
          <w:p w:rsidR="0045274F" w:rsidRDefault="0045274F" w:rsidP="00D0201D">
            <w:pPr>
              <w:autoSpaceDE w:val="0"/>
              <w:autoSpaceDN w:val="0"/>
              <w:adjustRightInd w:val="0"/>
              <w:rPr>
                <w:rFonts w:eastAsia="HelenPro-Regular"/>
              </w:rPr>
            </w:pPr>
          </w:p>
          <w:p w:rsidR="001B1C87" w:rsidRDefault="00BE7040" w:rsidP="00D0201D">
            <w:pPr>
              <w:autoSpaceDE w:val="0"/>
              <w:autoSpaceDN w:val="0"/>
              <w:adjustRightInd w:val="0"/>
              <w:rPr>
                <w:rFonts w:cs="Arial"/>
                <w:szCs w:val="15"/>
              </w:rPr>
            </w:pPr>
            <w:r w:rsidRPr="00225989">
              <w:rPr>
                <w:rFonts w:eastAsia="HelenPro-Regular"/>
              </w:rPr>
              <w:t>HBsAg assays are used to identify persons infected with HBV and to</w:t>
            </w:r>
            <w:r>
              <w:rPr>
                <w:rFonts w:eastAsia="HelenPro-Regular"/>
              </w:rPr>
              <w:t xml:space="preserve"> </w:t>
            </w:r>
            <w:r w:rsidRPr="00225989">
              <w:rPr>
                <w:rFonts w:eastAsia="HelenPro-Regular"/>
              </w:rPr>
              <w:t>monitor the status of infected individuals in combination with other</w:t>
            </w:r>
            <w:r>
              <w:rPr>
                <w:rFonts w:eastAsia="HelenPro-Regular"/>
              </w:rPr>
              <w:t xml:space="preserve"> </w:t>
            </w:r>
            <w:r w:rsidRPr="00225989">
              <w:rPr>
                <w:rFonts w:eastAsia="HelenPro-Regular"/>
              </w:rPr>
              <w:t xml:space="preserve">hepatitis B serological markers. </w:t>
            </w:r>
            <w:r w:rsidR="0045274F">
              <w:rPr>
                <w:rFonts w:eastAsia="HelenPro-Regular"/>
              </w:rPr>
              <w:t xml:space="preserve"> </w:t>
            </w:r>
            <w:r w:rsidRPr="00225989">
              <w:rPr>
                <w:rFonts w:eastAsia="HelenPro-Regular"/>
              </w:rPr>
              <w:t>In most countries, testing for HBsAg is</w:t>
            </w:r>
            <w:r>
              <w:rPr>
                <w:rFonts w:eastAsia="HelenPro-Regular"/>
              </w:rPr>
              <w:t xml:space="preserve"> </w:t>
            </w:r>
            <w:r w:rsidRPr="00225989">
              <w:rPr>
                <w:rFonts w:eastAsia="HelenPro-Regular"/>
              </w:rPr>
              <w:t>part of the antenatal screening program to identify HBV infected mothers</w:t>
            </w:r>
            <w:r>
              <w:rPr>
                <w:rFonts w:eastAsia="HelenPro-Regular"/>
              </w:rPr>
              <w:t xml:space="preserve"> </w:t>
            </w:r>
            <w:r w:rsidRPr="00225989">
              <w:rPr>
                <w:rFonts w:eastAsia="HelenPro-Regular"/>
              </w:rPr>
              <w:t xml:space="preserve">and to prevent perinatal HBV infection by subsequent immunization. </w:t>
            </w:r>
            <w:r>
              <w:rPr>
                <w:rFonts w:eastAsia="HelenPro-Regular"/>
              </w:rPr>
              <w:t xml:space="preserve"> </w:t>
            </w:r>
            <w:r w:rsidRPr="00225989">
              <w:rPr>
                <w:rFonts w:eastAsia="HelenPro-Regular"/>
              </w:rPr>
              <w:t>Specimens nonreactive by ARCHITECT HBsAg Qualitative are considered</w:t>
            </w:r>
            <w:r>
              <w:rPr>
                <w:rFonts w:eastAsia="HelenPro-Regular"/>
              </w:rPr>
              <w:t xml:space="preserve"> </w:t>
            </w:r>
            <w:r w:rsidRPr="00225989">
              <w:rPr>
                <w:rFonts w:eastAsia="HelenPro-Regular"/>
              </w:rPr>
              <w:t xml:space="preserve">negative for HBsAg. </w:t>
            </w:r>
            <w:r w:rsidR="0045274F">
              <w:rPr>
                <w:rFonts w:eastAsia="HelenPro-Regular"/>
              </w:rPr>
              <w:t xml:space="preserve"> </w:t>
            </w:r>
            <w:r w:rsidRPr="00225989">
              <w:rPr>
                <w:rFonts w:eastAsia="HelenPro-Regular"/>
              </w:rPr>
              <w:t>A reactive specimen must be retested in duplicate</w:t>
            </w:r>
            <w:r>
              <w:rPr>
                <w:rFonts w:eastAsia="HelenPro-Regular"/>
              </w:rPr>
              <w:t xml:space="preserve"> </w:t>
            </w:r>
            <w:r w:rsidRPr="00225989">
              <w:rPr>
                <w:rFonts w:eastAsia="HelenPro-Regular"/>
              </w:rPr>
              <w:t>by ARCHITECT HBsAg Qualitative to determine whether it is repeatedly</w:t>
            </w:r>
            <w:r>
              <w:rPr>
                <w:rFonts w:eastAsia="HelenPro-Regular"/>
              </w:rPr>
              <w:t xml:space="preserve"> </w:t>
            </w:r>
            <w:r w:rsidRPr="00225989">
              <w:rPr>
                <w:rFonts w:eastAsia="HelenPro-Regular"/>
              </w:rPr>
              <w:t>reactive.</w:t>
            </w:r>
            <w:r w:rsidR="0045274F">
              <w:rPr>
                <w:rFonts w:eastAsia="HelenPro-Regular"/>
              </w:rPr>
              <w:t xml:space="preserve"> </w:t>
            </w:r>
            <w:r w:rsidRPr="00225989">
              <w:rPr>
                <w:rFonts w:eastAsia="HelenPro-Regular"/>
              </w:rPr>
              <w:t xml:space="preserve"> It is recommended that</w:t>
            </w:r>
            <w:r>
              <w:rPr>
                <w:rFonts w:eastAsia="HelenPro-Regular"/>
              </w:rPr>
              <w:t xml:space="preserve"> </w:t>
            </w:r>
            <w:r w:rsidRPr="00225989">
              <w:rPr>
                <w:rFonts w:eastAsia="HelenPro-Regular"/>
              </w:rPr>
              <w:t>confirmatory testing be performed before disclosing HBsAg status</w:t>
            </w:r>
            <w:r w:rsidR="0045274F">
              <w:rPr>
                <w:rFonts w:eastAsia="HelenPro-Regular"/>
              </w:rPr>
              <w:t>.</w:t>
            </w:r>
          </w:p>
          <w:p w:rsidR="001B1C87" w:rsidRDefault="001B1C87" w:rsidP="00D0201D">
            <w:pPr>
              <w:autoSpaceDE w:val="0"/>
              <w:autoSpaceDN w:val="0"/>
              <w:adjustRightInd w:val="0"/>
              <w:rPr>
                <w:rFonts w:cs="Arial"/>
                <w:szCs w:val="15"/>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Instrument</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pStyle w:val="Header"/>
              <w:tabs>
                <w:tab w:val="clear" w:pos="4320"/>
                <w:tab w:val="clear" w:pos="8640"/>
              </w:tabs>
              <w:jc w:val="both"/>
              <w:rPr>
                <w:rFonts w:cs="Arial"/>
              </w:rPr>
            </w:pPr>
          </w:p>
          <w:p w:rsidR="00D0201D" w:rsidRPr="0045274F" w:rsidRDefault="008C6EDC" w:rsidP="008C6EDC">
            <w:pPr>
              <w:pStyle w:val="Header"/>
              <w:tabs>
                <w:tab w:val="clear" w:pos="4320"/>
                <w:tab w:val="clear" w:pos="8640"/>
              </w:tabs>
              <w:spacing w:line="360" w:lineRule="auto"/>
              <w:jc w:val="both"/>
            </w:pPr>
            <w:r w:rsidRPr="00D05869">
              <w:rPr>
                <w:b/>
                <w:bCs/>
                <w:color w:val="5F497A"/>
              </w:rPr>
              <w:t>PRIMARY METHOD:</w:t>
            </w:r>
            <w:r w:rsidRPr="00B1018B">
              <w:rPr>
                <w:b/>
                <w:bCs/>
              </w:rPr>
              <w:t xml:space="preserve"> </w:t>
            </w:r>
            <w:r w:rsidR="001B1C87" w:rsidRPr="0045274F">
              <w:rPr>
                <w:bCs/>
              </w:rPr>
              <w:t>Abbott Architect</w:t>
            </w:r>
            <w:r w:rsidR="0045274F">
              <w:rPr>
                <w:bCs/>
              </w:rPr>
              <w:t xml:space="preserve"> i1000SR</w:t>
            </w:r>
          </w:p>
          <w:p w:rsidR="008C6EDC" w:rsidRPr="0045274F" w:rsidRDefault="0045274F" w:rsidP="008C6EDC">
            <w:pPr>
              <w:pStyle w:val="Header"/>
              <w:tabs>
                <w:tab w:val="clear" w:pos="4320"/>
                <w:tab w:val="clear" w:pos="8640"/>
              </w:tabs>
              <w:spacing w:line="360" w:lineRule="auto"/>
              <w:jc w:val="both"/>
              <w:rPr>
                <w:rFonts w:cs="Arial"/>
              </w:rPr>
            </w:pPr>
            <w:r>
              <w:rPr>
                <w:bCs/>
              </w:rPr>
              <w:t>Backup Method</w:t>
            </w:r>
            <w:r w:rsidR="008C6EDC" w:rsidRPr="0045274F">
              <w:rPr>
                <w:bCs/>
              </w:rPr>
              <w:t xml:space="preserve">: </w:t>
            </w:r>
            <w:r w:rsidR="001B1C87" w:rsidRPr="0045274F">
              <w:rPr>
                <w:bCs/>
              </w:rPr>
              <w:t xml:space="preserve">Mayo Medical </w:t>
            </w:r>
            <w:r w:rsidRPr="0045274F">
              <w:rPr>
                <w:bCs/>
              </w:rPr>
              <w:t>Laboratories</w:t>
            </w:r>
          </w:p>
          <w:p w:rsidR="008C6EDC" w:rsidRDefault="008C6EDC" w:rsidP="008C6EDC">
            <w:pPr>
              <w:pStyle w:val="Header"/>
              <w:tabs>
                <w:tab w:val="clear" w:pos="4320"/>
                <w:tab w:val="clear" w:pos="8640"/>
              </w:tabs>
              <w:jc w:val="both"/>
              <w:rPr>
                <w:rFonts w:cs="Arial"/>
                <w:szCs w:val="15"/>
              </w:rPr>
            </w:pPr>
          </w:p>
        </w:tc>
      </w:tr>
      <w:tr w:rsidR="00B816B4" w:rsidTr="00D120DB">
        <w:trPr>
          <w:trHeight w:val="697"/>
          <w:tblHeader/>
        </w:trPr>
        <w:tc>
          <w:tcPr>
            <w:tcW w:w="2160" w:type="dxa"/>
            <w:tcBorders>
              <w:top w:val="single" w:sz="18" w:space="0" w:color="A6A6A6" w:themeColor="background1" w:themeShade="A6"/>
              <w:bottom w:val="single" w:sz="18" w:space="0" w:color="A6A6A6" w:themeColor="background1" w:themeShade="A6"/>
            </w:tcBorders>
            <w:vAlign w:val="center"/>
          </w:tcPr>
          <w:p w:rsidR="00B816B4" w:rsidRDefault="00B816B4">
            <w:pPr>
              <w:rPr>
                <w:rFonts w:cs="Arial"/>
                <w:b/>
                <w:bCs/>
                <w:color w:val="0000FF"/>
              </w:rPr>
            </w:pPr>
            <w:r>
              <w:rPr>
                <w:rFonts w:cs="Arial"/>
                <w:b/>
                <w:bCs/>
                <w:color w:val="0000FF"/>
              </w:rPr>
              <w:t>Sunquest Test Code</w:t>
            </w:r>
          </w:p>
        </w:tc>
        <w:tc>
          <w:tcPr>
            <w:tcW w:w="8910" w:type="dxa"/>
            <w:tcBorders>
              <w:top w:val="single" w:sz="18" w:space="0" w:color="A6A6A6" w:themeColor="background1" w:themeShade="A6"/>
              <w:bottom w:val="single" w:sz="18" w:space="0" w:color="A6A6A6" w:themeColor="background1" w:themeShade="A6"/>
            </w:tcBorders>
            <w:vAlign w:val="center"/>
          </w:tcPr>
          <w:p w:rsidR="00B816B4" w:rsidRPr="00BE7040" w:rsidRDefault="00B0339F" w:rsidP="003571BD">
            <w:pPr>
              <w:rPr>
                <w:rFonts w:cs="Arial"/>
                <w:b/>
                <w:szCs w:val="15"/>
              </w:rPr>
            </w:pPr>
            <w:r w:rsidRPr="00BE7040">
              <w:rPr>
                <w:rFonts w:cs="Arial"/>
                <w:b/>
                <w:szCs w:val="15"/>
              </w:rPr>
              <w:t>HBSA</w:t>
            </w:r>
          </w:p>
        </w:tc>
      </w:tr>
      <w:tr w:rsidR="008C6EDC" w:rsidTr="00D120DB">
        <w:trPr>
          <w:cantSplit/>
          <w:trHeight w:val="209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FC6715">
            <w:pPr>
              <w:rPr>
                <w:rFonts w:cs="Arial"/>
                <w:b/>
                <w:bCs/>
                <w:color w:val="0000FF"/>
              </w:rPr>
            </w:pPr>
          </w:p>
          <w:p w:rsidR="008C6EDC" w:rsidRDefault="008C6EDC" w:rsidP="00FC6715">
            <w:pPr>
              <w:rPr>
                <w:rFonts w:cs="Arial"/>
                <w:b/>
                <w:bCs/>
                <w:color w:val="0000FF"/>
              </w:rPr>
            </w:pPr>
            <w:r>
              <w:rPr>
                <w:rFonts w:cs="Arial"/>
                <w:b/>
                <w:bCs/>
                <w:color w:val="0000FF"/>
              </w:rPr>
              <w:t>Specimen</w:t>
            </w:r>
          </w:p>
          <w:p w:rsidR="008C6EDC" w:rsidRDefault="008C6EDC" w:rsidP="00FC6715">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8C6EDC" w:rsidRDefault="008C6EDC" w:rsidP="00FC6715">
            <w:pPr>
              <w:pStyle w:val="Header"/>
              <w:tabs>
                <w:tab w:val="clear" w:pos="4320"/>
                <w:tab w:val="clear" w:pos="8640"/>
              </w:tabs>
              <w:rPr>
                <w:rFonts w:cs="Arial"/>
              </w:rPr>
            </w:pPr>
          </w:p>
          <w:p w:rsidR="00F07A1B" w:rsidRDefault="00F07A1B" w:rsidP="00FC6715">
            <w:pPr>
              <w:pStyle w:val="Header"/>
              <w:tabs>
                <w:tab w:val="clear" w:pos="4320"/>
                <w:tab w:val="clear" w:pos="8640"/>
              </w:tabs>
              <w:rPr>
                <w:rFonts w:cs="Arial"/>
              </w:rPr>
            </w:pPr>
            <w:r>
              <w:rPr>
                <w:rFonts w:cs="Arial"/>
                <w:b/>
              </w:rPr>
              <w:t xml:space="preserve">Preferred </w:t>
            </w:r>
            <w:r w:rsidR="00D0201D">
              <w:rPr>
                <w:rFonts w:cs="Arial"/>
                <w:b/>
              </w:rPr>
              <w:t>Sample type:</w:t>
            </w:r>
            <w:r w:rsidR="00DA7E2D">
              <w:rPr>
                <w:rFonts w:cs="Arial"/>
                <w:b/>
              </w:rPr>
              <w:t xml:space="preserve"> </w:t>
            </w:r>
            <w:r>
              <w:rPr>
                <w:rFonts w:cs="Arial"/>
              </w:rPr>
              <w:t>Serum/SST</w:t>
            </w:r>
          </w:p>
          <w:p w:rsidR="008C6EDC" w:rsidRPr="00DA7E2D" w:rsidRDefault="00DA7E2D" w:rsidP="00FC6715">
            <w:pPr>
              <w:pStyle w:val="Header"/>
              <w:tabs>
                <w:tab w:val="clear" w:pos="4320"/>
                <w:tab w:val="clear" w:pos="8640"/>
              </w:tabs>
              <w:rPr>
                <w:rFonts w:cs="Arial"/>
              </w:rPr>
            </w:pPr>
            <w:r>
              <w:rPr>
                <w:rFonts w:cs="Arial"/>
              </w:rPr>
              <w:t xml:space="preserve"> </w:t>
            </w:r>
          </w:p>
          <w:p w:rsidR="008C6EDC" w:rsidRDefault="00F07A1B" w:rsidP="00FC6715">
            <w:pPr>
              <w:rPr>
                <w:rFonts w:cs="Arial"/>
              </w:rPr>
            </w:pPr>
            <w:r w:rsidRPr="00F07A1B">
              <w:rPr>
                <w:rFonts w:cs="Arial"/>
                <w:b/>
              </w:rPr>
              <w:t>Preferred Sample Draw Volume</w:t>
            </w:r>
            <w:r>
              <w:rPr>
                <w:rFonts w:cs="Arial"/>
              </w:rPr>
              <w:t>: 3.6 mL blood</w:t>
            </w:r>
          </w:p>
          <w:p w:rsidR="00F07A1B" w:rsidRDefault="00F07A1B" w:rsidP="00FC6715">
            <w:pPr>
              <w:rPr>
                <w:rFonts w:cs="Arial"/>
              </w:rPr>
            </w:pPr>
          </w:p>
          <w:p w:rsidR="008C6EDC" w:rsidRDefault="008C6EDC" w:rsidP="00FC6715">
            <w:pPr>
              <w:pStyle w:val="Header"/>
              <w:tabs>
                <w:tab w:val="clear" w:pos="4320"/>
                <w:tab w:val="clear" w:pos="8640"/>
              </w:tabs>
              <w:rPr>
                <w:rFonts w:cs="Arial"/>
              </w:rPr>
            </w:pPr>
            <w:r>
              <w:rPr>
                <w:rFonts w:cs="Arial"/>
                <w:b/>
                <w:bCs/>
              </w:rPr>
              <w:t xml:space="preserve">Minimum </w:t>
            </w:r>
            <w:r w:rsidR="00F07A1B">
              <w:rPr>
                <w:rFonts w:cs="Arial"/>
                <w:b/>
                <w:bCs/>
              </w:rPr>
              <w:t>Processed Sample V</w:t>
            </w:r>
            <w:r>
              <w:rPr>
                <w:rFonts w:cs="Arial"/>
                <w:b/>
                <w:bCs/>
              </w:rPr>
              <w:t>olume:</w:t>
            </w:r>
            <w:r>
              <w:rPr>
                <w:rFonts w:cs="Arial"/>
              </w:rPr>
              <w:t xml:space="preserve"> </w:t>
            </w:r>
            <w:r w:rsidR="00DA7E2D">
              <w:rPr>
                <w:rFonts w:cs="Arial"/>
              </w:rPr>
              <w:t xml:space="preserve"> </w:t>
            </w:r>
            <w:r w:rsidR="004A2D6A">
              <w:rPr>
                <w:rFonts w:cs="Arial"/>
              </w:rPr>
              <w:t>1.0</w:t>
            </w:r>
            <w:r w:rsidR="00F07A1B">
              <w:rPr>
                <w:rFonts w:cs="Arial"/>
              </w:rPr>
              <w:t xml:space="preserve"> </w:t>
            </w:r>
            <w:r w:rsidR="004A2D6A">
              <w:rPr>
                <w:rFonts w:cs="Arial"/>
              </w:rPr>
              <w:t>mL</w:t>
            </w:r>
            <w:r w:rsidR="00DA7E2D">
              <w:rPr>
                <w:rFonts w:cs="Arial"/>
                <w:szCs w:val="20"/>
              </w:rPr>
              <w:t xml:space="preserve"> of serum </w:t>
            </w:r>
          </w:p>
          <w:p w:rsidR="008C6EDC" w:rsidRDefault="008C6EDC" w:rsidP="00FC6715">
            <w:pPr>
              <w:rPr>
                <w:rFonts w:cs="Arial"/>
              </w:rPr>
            </w:pPr>
          </w:p>
          <w:p w:rsidR="008C6EDC" w:rsidRDefault="008C6EDC" w:rsidP="00DA7E2D">
            <w:pPr>
              <w:autoSpaceDE w:val="0"/>
              <w:autoSpaceDN w:val="0"/>
              <w:adjustRightInd w:val="0"/>
              <w:rPr>
                <w:rFonts w:eastAsia="HelenPro-Regular"/>
              </w:rPr>
            </w:pPr>
            <w:r>
              <w:rPr>
                <w:rFonts w:cs="Arial"/>
                <w:b/>
                <w:bCs/>
              </w:rPr>
              <w:t>Stability</w:t>
            </w:r>
            <w:r w:rsidR="00B0339F">
              <w:rPr>
                <w:rFonts w:cs="Arial"/>
                <w:b/>
                <w:bCs/>
              </w:rPr>
              <w:t xml:space="preserve">: </w:t>
            </w:r>
            <w:r w:rsidR="00B7030D">
              <w:rPr>
                <w:rFonts w:cs="Arial"/>
                <w:bCs/>
              </w:rPr>
              <w:t>24 hours</w:t>
            </w:r>
            <w:r w:rsidR="00DA7E2D">
              <w:rPr>
                <w:rFonts w:cs="Arial"/>
              </w:rPr>
              <w:t xml:space="preserve"> at room temperature, 7 days </w:t>
            </w:r>
            <w:r w:rsidR="00DA7E2D">
              <w:rPr>
                <w:rFonts w:eastAsia="HelenPro-Regular"/>
              </w:rPr>
              <w:t>at 2-8°C,</w:t>
            </w:r>
            <w:r w:rsidR="00B0339F">
              <w:rPr>
                <w:rFonts w:eastAsia="HelenPro-Bold"/>
                <w:bCs/>
              </w:rPr>
              <w:t xml:space="preserve"> 2 years at</w:t>
            </w:r>
            <w:r w:rsidR="00DA7E2D" w:rsidRPr="008036AC">
              <w:rPr>
                <w:rFonts w:eastAsia="HelenPro-Regular"/>
              </w:rPr>
              <w:t xml:space="preserve"> -20°C or</w:t>
            </w:r>
            <w:r w:rsidR="00DA7E2D">
              <w:rPr>
                <w:rFonts w:eastAsia="HelenPro-Regular"/>
              </w:rPr>
              <w:t xml:space="preserve"> </w:t>
            </w:r>
            <w:r w:rsidR="00DA7E2D" w:rsidRPr="008036AC">
              <w:rPr>
                <w:rFonts w:eastAsia="HelenPro-Regular"/>
              </w:rPr>
              <w:t>colder.</w:t>
            </w:r>
            <w:r w:rsidR="00DA7E2D">
              <w:rPr>
                <w:rFonts w:eastAsia="HelenPro-Regular"/>
              </w:rPr>
              <w:t xml:space="preserve"> </w:t>
            </w:r>
          </w:p>
          <w:p w:rsidR="00F07A1B" w:rsidRDefault="00F07A1B" w:rsidP="00DA7E2D">
            <w:pPr>
              <w:autoSpaceDE w:val="0"/>
              <w:autoSpaceDN w:val="0"/>
              <w:adjustRightInd w:val="0"/>
              <w:rPr>
                <w:rFonts w:eastAsia="HelenPro-Regular"/>
              </w:rPr>
            </w:pPr>
          </w:p>
          <w:p w:rsidR="00F07A1B" w:rsidRPr="00F07A1B" w:rsidRDefault="00F07A1B" w:rsidP="00DA7E2D">
            <w:pPr>
              <w:autoSpaceDE w:val="0"/>
              <w:autoSpaceDN w:val="0"/>
              <w:adjustRightInd w:val="0"/>
              <w:rPr>
                <w:rFonts w:eastAsia="HelenPro-Bold"/>
                <w:bCs/>
              </w:rPr>
            </w:pPr>
            <w:r>
              <w:rPr>
                <w:rFonts w:eastAsia="HelenPro-Regular"/>
                <w:b/>
              </w:rPr>
              <w:t xml:space="preserve">Transport: </w:t>
            </w:r>
            <w:r>
              <w:rPr>
                <w:rFonts w:eastAsia="HelenPro-Regular"/>
              </w:rPr>
              <w:t xml:space="preserve"> Send samples to Minneapolis lab refrigerated at 2-8°C.  Reactive reflexed samples should be sent frozen to MML.</w:t>
            </w:r>
          </w:p>
          <w:p w:rsidR="008C6EDC" w:rsidRDefault="008C6EDC" w:rsidP="00FC6715">
            <w:pPr>
              <w:pStyle w:val="Header"/>
              <w:tabs>
                <w:tab w:val="clear" w:pos="4320"/>
                <w:tab w:val="clear" w:pos="8640"/>
              </w:tabs>
              <w:rPr>
                <w:rFonts w:cs="Arial"/>
                <w:szCs w:val="14"/>
              </w:rPr>
            </w:pPr>
          </w:p>
          <w:p w:rsidR="008C6EDC" w:rsidRDefault="008C6EDC" w:rsidP="00FC6715">
            <w:pPr>
              <w:rPr>
                <w:rFonts w:cs="Arial"/>
              </w:rPr>
            </w:pPr>
            <w:r>
              <w:rPr>
                <w:rFonts w:cs="Arial"/>
                <w:b/>
                <w:bCs/>
              </w:rPr>
              <w:t>Rejection criteria:</w:t>
            </w:r>
            <w:r>
              <w:rPr>
                <w:rFonts w:cs="Arial"/>
              </w:rPr>
              <w:t xml:space="preserve"> </w:t>
            </w:r>
            <w:r w:rsidR="00CF7522">
              <w:rPr>
                <w:rFonts w:cs="Arial"/>
              </w:rPr>
              <w:t>Unlabeled specimens, incorrect sample type</w:t>
            </w:r>
          </w:p>
          <w:p w:rsidR="008C6EDC" w:rsidRDefault="008C6EDC" w:rsidP="00FC6715">
            <w:pPr>
              <w:rPr>
                <w:rFonts w:cs="Arial"/>
                <w:b/>
                <w:bCs/>
                <w:szCs w:val="20"/>
              </w:rPr>
            </w:pPr>
          </w:p>
          <w:p w:rsidR="008C6EDC" w:rsidRPr="009F5F31" w:rsidRDefault="008C6EDC" w:rsidP="00FC6715">
            <w:pPr>
              <w:rPr>
                <w:rFonts w:cs="Arial"/>
                <w:szCs w:val="20"/>
              </w:rPr>
            </w:pPr>
            <w:r w:rsidRPr="009F5F31">
              <w:rPr>
                <w:rFonts w:cs="Arial"/>
                <w:b/>
                <w:bCs/>
                <w:szCs w:val="20"/>
              </w:rPr>
              <w:t>Preparation:</w:t>
            </w:r>
            <w:r w:rsidRPr="009F5F31">
              <w:rPr>
                <w:rFonts w:cs="Arial"/>
                <w:szCs w:val="20"/>
              </w:rPr>
              <w:t xml:space="preserve"> </w:t>
            </w:r>
          </w:p>
          <w:p w:rsidR="008C6EDC" w:rsidRPr="00F07A1B" w:rsidRDefault="00CF7522" w:rsidP="00F07A1B">
            <w:pPr>
              <w:numPr>
                <w:ilvl w:val="0"/>
                <w:numId w:val="14"/>
              </w:numPr>
              <w:autoSpaceDE w:val="0"/>
              <w:autoSpaceDN w:val="0"/>
              <w:adjustRightInd w:val="0"/>
              <w:rPr>
                <w:rFonts w:cs="Arial"/>
                <w:szCs w:val="20"/>
              </w:rPr>
            </w:pPr>
            <w:r w:rsidRPr="004A2D6A">
              <w:rPr>
                <w:rFonts w:cs="Arial"/>
                <w:szCs w:val="20"/>
              </w:rPr>
              <w:t>Serum</w:t>
            </w:r>
            <w:r w:rsidR="008C6EDC" w:rsidRPr="004A2D6A">
              <w:rPr>
                <w:rFonts w:cs="Arial"/>
                <w:szCs w:val="20"/>
              </w:rPr>
              <w:t xml:space="preserve"> specimens should be centrifuged following complete clot formation, according to Specimen Processing procedures prior to analysis</w:t>
            </w:r>
            <w:r w:rsidR="00F07A1B">
              <w:rPr>
                <w:rFonts w:cs="Arial"/>
                <w:szCs w:val="20"/>
              </w:rPr>
              <w:t xml:space="preserve">. </w:t>
            </w:r>
            <w:r w:rsidR="00F07A1B" w:rsidRPr="00F07A1B">
              <w:rPr>
                <w:rFonts w:cs="Arial"/>
                <w:szCs w:val="20"/>
              </w:rPr>
              <w:t xml:space="preserve"> </w:t>
            </w:r>
            <w:r w:rsidR="00F07A1B" w:rsidRPr="00F07A1B">
              <w:rPr>
                <w:rFonts w:eastAsia="HelenPro-Bold" w:cs="Arial"/>
                <w:b/>
                <w:bCs/>
                <w:szCs w:val="20"/>
              </w:rPr>
              <w:t>For accurate results, serum and pla</w:t>
            </w:r>
            <w:r w:rsidR="00F07A1B">
              <w:rPr>
                <w:rFonts w:eastAsia="HelenPro-Bold" w:cs="Arial"/>
                <w:b/>
                <w:bCs/>
                <w:szCs w:val="20"/>
              </w:rPr>
              <w:t xml:space="preserve">sma specimens should be free of </w:t>
            </w:r>
            <w:r w:rsidR="00F07A1B" w:rsidRPr="00F07A1B">
              <w:rPr>
                <w:rFonts w:eastAsia="HelenPro-Bold" w:cs="Arial"/>
                <w:b/>
                <w:bCs/>
                <w:szCs w:val="20"/>
              </w:rPr>
              <w:t xml:space="preserve">fibrin, red blood cells, and other particulate matter. </w:t>
            </w:r>
            <w:r w:rsidR="00F07A1B" w:rsidRPr="00F07A1B">
              <w:rPr>
                <w:rFonts w:eastAsia="HelenPro-Regular" w:cs="Arial"/>
                <w:szCs w:val="20"/>
              </w:rPr>
              <w:t>Serum specimens</w:t>
            </w:r>
            <w:r w:rsidR="00F07A1B">
              <w:rPr>
                <w:rFonts w:eastAsia="HelenPro-Bold" w:cs="Arial"/>
                <w:b/>
                <w:bCs/>
                <w:szCs w:val="20"/>
              </w:rPr>
              <w:t xml:space="preserve"> </w:t>
            </w:r>
            <w:r w:rsidR="00F07A1B" w:rsidRPr="00F07A1B">
              <w:rPr>
                <w:rFonts w:eastAsia="HelenPro-Regular" w:cs="Arial"/>
                <w:szCs w:val="20"/>
              </w:rPr>
              <w:t>from patients receiving anticoagulant or thrombolytic therapy may</w:t>
            </w:r>
            <w:r w:rsidR="00F07A1B">
              <w:rPr>
                <w:rFonts w:cs="Arial"/>
                <w:szCs w:val="20"/>
              </w:rPr>
              <w:t xml:space="preserve"> </w:t>
            </w:r>
            <w:r w:rsidR="00F07A1B" w:rsidRPr="00F07A1B">
              <w:rPr>
                <w:rFonts w:eastAsia="HelenPro-Regular" w:cs="Arial"/>
                <w:szCs w:val="20"/>
              </w:rPr>
              <w:t>contain fibrin due to incomplete clot formation.</w:t>
            </w:r>
            <w:r w:rsidRPr="00F07A1B">
              <w:rPr>
                <w:rFonts w:cs="Arial"/>
                <w:szCs w:val="20"/>
              </w:rPr>
              <w:t xml:space="preserve"> </w:t>
            </w:r>
          </w:p>
          <w:p w:rsidR="008C6EDC" w:rsidRDefault="008C6EDC" w:rsidP="00FC6715">
            <w:pPr>
              <w:numPr>
                <w:ilvl w:val="0"/>
                <w:numId w:val="14"/>
              </w:numPr>
              <w:autoSpaceDE w:val="0"/>
              <w:autoSpaceDN w:val="0"/>
              <w:adjustRightInd w:val="0"/>
              <w:rPr>
                <w:rFonts w:cs="Arial"/>
                <w:szCs w:val="20"/>
              </w:rPr>
            </w:pPr>
            <w:r w:rsidRPr="004A2D6A">
              <w:rPr>
                <w:rFonts w:cs="Arial"/>
                <w:szCs w:val="20"/>
              </w:rPr>
              <w:t>Serum should be physically separated from cells as soon as possible with a maximum limit of two hours from the time of collection</w:t>
            </w:r>
            <w:r w:rsidRPr="009F5F31">
              <w:rPr>
                <w:rFonts w:cs="Arial"/>
                <w:szCs w:val="20"/>
              </w:rPr>
              <w:t>.</w:t>
            </w:r>
          </w:p>
          <w:p w:rsidR="00C0536C" w:rsidRPr="0006367E" w:rsidRDefault="00C0536C" w:rsidP="00FC6715">
            <w:pPr>
              <w:numPr>
                <w:ilvl w:val="0"/>
                <w:numId w:val="14"/>
              </w:numPr>
              <w:autoSpaceDE w:val="0"/>
              <w:autoSpaceDN w:val="0"/>
              <w:adjustRightInd w:val="0"/>
              <w:rPr>
                <w:rFonts w:cs="Arial"/>
                <w:szCs w:val="20"/>
              </w:rPr>
            </w:pPr>
            <w:r>
              <w:rPr>
                <w:rFonts w:cs="Arial"/>
                <w:szCs w:val="20"/>
              </w:rPr>
              <w:t>Lipemic samples should be ultrafuged.</w:t>
            </w:r>
          </w:p>
          <w:p w:rsidR="008C6EDC" w:rsidRPr="00F07A1B" w:rsidRDefault="008C6EDC" w:rsidP="00F07A1B">
            <w:pPr>
              <w:numPr>
                <w:ilvl w:val="0"/>
                <w:numId w:val="14"/>
              </w:numPr>
              <w:autoSpaceDE w:val="0"/>
              <w:autoSpaceDN w:val="0"/>
              <w:adjustRightInd w:val="0"/>
              <w:rPr>
                <w:rFonts w:cs="Arial"/>
                <w:szCs w:val="20"/>
              </w:rPr>
            </w:pPr>
            <w:r w:rsidRPr="00F07A1B">
              <w:rPr>
                <w:rFonts w:cs="Arial"/>
                <w:szCs w:val="20"/>
              </w:rPr>
              <w:t xml:space="preserve">Transfer serum to a properly labeled </w:t>
            </w:r>
            <w:r w:rsidR="002265E2" w:rsidRPr="00F07A1B">
              <w:rPr>
                <w:rFonts w:cs="Arial"/>
                <w:szCs w:val="20"/>
              </w:rPr>
              <w:t xml:space="preserve">sendout </w:t>
            </w:r>
            <w:r w:rsidRPr="00F07A1B">
              <w:rPr>
                <w:rFonts w:cs="Arial"/>
                <w:szCs w:val="20"/>
              </w:rPr>
              <w:t>tube. Minimum labeling includes sample accession ID, and/ or patient name, medical record number, collection date and time.</w:t>
            </w:r>
          </w:p>
          <w:p w:rsidR="008C6EDC" w:rsidRDefault="008C6EDC" w:rsidP="00FC6715">
            <w:pPr>
              <w:autoSpaceDE w:val="0"/>
              <w:autoSpaceDN w:val="0"/>
              <w:adjustRightInd w:val="0"/>
              <w:rPr>
                <w:rFonts w:cs="Arial"/>
              </w:rPr>
            </w:pPr>
          </w:p>
        </w:tc>
      </w:tr>
      <w:tr w:rsidR="00B816B4" w:rsidTr="00D120DB">
        <w:trPr>
          <w:trHeight w:val="5417"/>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pPr>
              <w:rPr>
                <w:rFonts w:cs="Arial"/>
                <w:b/>
                <w:bCs/>
                <w:color w:val="0000FF"/>
              </w:rPr>
            </w:pPr>
          </w:p>
          <w:p w:rsidR="00B816B4" w:rsidRDefault="00B816B4">
            <w:pPr>
              <w:rPr>
                <w:rFonts w:cs="Arial"/>
                <w:b/>
                <w:bCs/>
                <w:color w:val="0000FF"/>
              </w:rPr>
            </w:pPr>
            <w:r>
              <w:rPr>
                <w:rFonts w:cs="Arial"/>
                <w:b/>
                <w:bCs/>
                <w:color w:val="0000FF"/>
              </w:rPr>
              <w:t>Reagents</w:t>
            </w:r>
          </w:p>
          <w:p w:rsidR="00B816B4" w:rsidRDefault="00B816B4">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B816B4" w:rsidRPr="00EF1741" w:rsidRDefault="00B816B4" w:rsidP="008C6EDC">
            <w:pPr>
              <w:pStyle w:val="Reagents"/>
              <w:rPr>
                <w:rFonts w:ascii="Arial" w:hAnsi="Arial" w:cs="Arial"/>
                <w:b/>
                <w:bCs/>
                <w:color w:val="365F9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9"/>
              <w:gridCol w:w="1655"/>
              <w:gridCol w:w="4307"/>
              <w:gridCol w:w="379"/>
            </w:tblGrid>
            <w:tr w:rsidR="00B816B4" w:rsidTr="009309A1">
              <w:tc>
                <w:tcPr>
                  <w:tcW w:w="2857" w:type="dxa"/>
                </w:tcPr>
                <w:p w:rsidR="00B816B4" w:rsidRDefault="00B816B4" w:rsidP="008C6EDC">
                  <w:pPr>
                    <w:pStyle w:val="Reagents"/>
                    <w:rPr>
                      <w:rFonts w:ascii="Arial" w:hAnsi="Arial" w:cs="Arial"/>
                      <w:b/>
                      <w:bCs/>
                    </w:rPr>
                  </w:pPr>
                  <w:r w:rsidRPr="006D1E54">
                    <w:rPr>
                      <w:rFonts w:ascii="Arial" w:hAnsi="Arial" w:cs="Arial"/>
                      <w:b/>
                      <w:bCs/>
                      <w:i/>
                      <w:iCs/>
                    </w:rPr>
                    <w:t>Product Description</w:t>
                  </w:r>
                </w:p>
              </w:tc>
              <w:tc>
                <w:tcPr>
                  <w:tcW w:w="1710" w:type="dxa"/>
                </w:tcPr>
                <w:p w:rsidR="00B816B4" w:rsidRDefault="00B816B4" w:rsidP="008C6EDC">
                  <w:pPr>
                    <w:pStyle w:val="Reagents"/>
                    <w:rPr>
                      <w:rFonts w:ascii="Arial" w:hAnsi="Arial" w:cs="Arial"/>
                      <w:b/>
                      <w:bCs/>
                    </w:rPr>
                  </w:pPr>
                  <w:r w:rsidRPr="006D1E54">
                    <w:rPr>
                      <w:rFonts w:ascii="Arial" w:hAnsi="Arial" w:cs="Arial"/>
                      <w:b/>
                      <w:bCs/>
                      <w:i/>
                      <w:iCs/>
                    </w:rPr>
                    <w:t xml:space="preserve">Product </w:t>
                  </w:r>
                  <w:r>
                    <w:rPr>
                      <w:rFonts w:ascii="Arial" w:hAnsi="Arial" w:cs="Arial"/>
                      <w:b/>
                      <w:bCs/>
                      <w:i/>
                      <w:iCs/>
                    </w:rPr>
                    <w:t>Code</w:t>
                  </w:r>
                </w:p>
              </w:tc>
              <w:tc>
                <w:tcPr>
                  <w:tcW w:w="4464" w:type="dxa"/>
                  <w:gridSpan w:val="2"/>
                </w:tcPr>
                <w:p w:rsidR="00B816B4" w:rsidRDefault="00B816B4" w:rsidP="008C6EDC">
                  <w:pPr>
                    <w:pStyle w:val="Reagents"/>
                    <w:rPr>
                      <w:rFonts w:ascii="Arial" w:hAnsi="Arial" w:cs="Arial"/>
                      <w:b/>
                      <w:bCs/>
                    </w:rPr>
                  </w:pPr>
                  <w:r w:rsidRPr="006D1E54">
                    <w:rPr>
                      <w:rFonts w:ascii="Arial" w:hAnsi="Arial" w:cs="Arial"/>
                      <w:b/>
                      <w:bCs/>
                      <w:i/>
                      <w:iCs/>
                    </w:rPr>
                    <w:t>Stability</w:t>
                  </w:r>
                </w:p>
              </w:tc>
            </w:tr>
            <w:tr w:rsidR="00B816B4" w:rsidRPr="00C709DD" w:rsidTr="009309A1">
              <w:trPr>
                <w:gridAfter w:val="1"/>
                <w:wAfter w:w="393" w:type="dxa"/>
              </w:trPr>
              <w:tc>
                <w:tcPr>
                  <w:tcW w:w="2857" w:type="dxa"/>
                </w:tcPr>
                <w:p w:rsidR="00B816B4" w:rsidRPr="006A36C8" w:rsidRDefault="00284EE6" w:rsidP="008C6EDC">
                  <w:pPr>
                    <w:autoSpaceDE w:val="0"/>
                    <w:autoSpaceDN w:val="0"/>
                    <w:adjustRightInd w:val="0"/>
                    <w:rPr>
                      <w:rFonts w:cs="Arial"/>
                      <w:szCs w:val="20"/>
                    </w:rPr>
                  </w:pPr>
                  <w:r>
                    <w:rPr>
                      <w:rFonts w:cs="Arial"/>
                      <w:szCs w:val="20"/>
                    </w:rPr>
                    <w:t>HBsAg</w:t>
                  </w:r>
                  <w:r w:rsidR="00CF7522">
                    <w:rPr>
                      <w:rFonts w:cs="Arial"/>
                      <w:szCs w:val="20"/>
                    </w:rPr>
                    <w:t xml:space="preserve"> Reagent</w:t>
                  </w:r>
                </w:p>
                <w:p w:rsidR="00B816B4" w:rsidRPr="006A36C8" w:rsidRDefault="00B816B4" w:rsidP="008C6EDC">
                  <w:pPr>
                    <w:autoSpaceDE w:val="0"/>
                    <w:autoSpaceDN w:val="0"/>
                    <w:adjustRightInd w:val="0"/>
                    <w:rPr>
                      <w:rFonts w:cs="Arial"/>
                      <w:szCs w:val="20"/>
                    </w:rPr>
                  </w:pPr>
                </w:p>
              </w:tc>
              <w:tc>
                <w:tcPr>
                  <w:tcW w:w="1710" w:type="dxa"/>
                </w:tcPr>
                <w:p w:rsidR="00B816B4" w:rsidRPr="006A36C8" w:rsidRDefault="00E11C2F" w:rsidP="008C6EDC">
                  <w:pPr>
                    <w:pStyle w:val="BodyText"/>
                    <w:tabs>
                      <w:tab w:val="left" w:pos="3240"/>
                    </w:tabs>
                    <w:rPr>
                      <w:rFonts w:cs="Arial"/>
                      <w:szCs w:val="20"/>
                    </w:rPr>
                  </w:pPr>
                  <w:r>
                    <w:rPr>
                      <w:rFonts w:cs="Arial"/>
                      <w:szCs w:val="20"/>
                    </w:rPr>
                    <w:t>4P53</w:t>
                  </w:r>
                </w:p>
              </w:tc>
              <w:tc>
                <w:tcPr>
                  <w:tcW w:w="4464" w:type="dxa"/>
                  <w:vAlign w:val="center"/>
                </w:tcPr>
                <w:p w:rsidR="00B816B4" w:rsidRPr="00214007" w:rsidRDefault="00B816B4" w:rsidP="002265E2">
                  <w:pPr>
                    <w:pStyle w:val="Reagents"/>
                    <w:spacing w:after="80"/>
                    <w:rPr>
                      <w:rFonts w:ascii="Arial" w:hAnsi="Arial" w:cs="Arial"/>
                      <w:bCs/>
                    </w:rPr>
                  </w:pPr>
                  <w:r w:rsidRPr="00214007">
                    <w:rPr>
                      <w:rFonts w:ascii="Arial" w:hAnsi="Arial" w:cs="Arial"/>
                      <w:b/>
                      <w:bCs/>
                    </w:rPr>
                    <w:t>Store at:</w:t>
                  </w:r>
                  <w:r w:rsidRPr="00214007">
                    <w:rPr>
                      <w:rFonts w:ascii="Arial" w:hAnsi="Arial" w:cs="Arial"/>
                      <w:bCs/>
                    </w:rPr>
                    <w:t xml:space="preserve"> 2 – 8 °C</w:t>
                  </w:r>
                </w:p>
                <w:p w:rsidR="00284EE6" w:rsidRDefault="00B816B4" w:rsidP="002265E2">
                  <w:pPr>
                    <w:pStyle w:val="Reagents"/>
                    <w:spacing w:after="80"/>
                    <w:rPr>
                      <w:rFonts w:ascii="Arial" w:hAnsi="Arial" w:cs="Arial"/>
                      <w:b/>
                      <w:bCs/>
                    </w:rPr>
                  </w:pPr>
                  <w:r w:rsidRPr="00214007">
                    <w:rPr>
                      <w:rFonts w:ascii="Arial" w:hAnsi="Arial" w:cs="Arial"/>
                      <w:b/>
                      <w:bCs/>
                    </w:rPr>
                    <w:t>Unopened</w:t>
                  </w:r>
                  <w:r w:rsidR="00284EE6">
                    <w:rPr>
                      <w:rFonts w:ascii="Arial" w:hAnsi="Arial" w:cs="Arial"/>
                      <w:b/>
                      <w:bCs/>
                    </w:rPr>
                    <w:t xml:space="preserve">: </w:t>
                  </w:r>
                  <w:r w:rsidR="00284EE6">
                    <w:rPr>
                      <w:rFonts w:ascii="Arial" w:hAnsi="Arial" w:cs="Arial"/>
                      <w:bCs/>
                    </w:rPr>
                    <w:t>Manufacture</w:t>
                  </w:r>
                  <w:r w:rsidR="00F07A1B">
                    <w:rPr>
                      <w:rFonts w:ascii="Arial" w:hAnsi="Arial" w:cs="Arial"/>
                      <w:bCs/>
                    </w:rPr>
                    <w:t>r</w:t>
                  </w:r>
                  <w:r w:rsidR="00284EE6">
                    <w:rPr>
                      <w:rFonts w:ascii="Arial" w:hAnsi="Arial" w:cs="Arial"/>
                      <w:bCs/>
                    </w:rPr>
                    <w:t xml:space="preserve"> expiration date</w:t>
                  </w:r>
                </w:p>
                <w:p w:rsidR="00B816B4" w:rsidRPr="00284EE6" w:rsidRDefault="002265E2" w:rsidP="002265E2">
                  <w:pPr>
                    <w:pStyle w:val="Reagents"/>
                    <w:spacing w:after="80"/>
                    <w:rPr>
                      <w:rFonts w:ascii="Arial" w:hAnsi="Arial" w:cs="Arial"/>
                      <w:bCs/>
                    </w:rPr>
                  </w:pPr>
                  <w:r>
                    <w:rPr>
                      <w:rFonts w:ascii="Arial" w:hAnsi="Arial" w:cs="Arial"/>
                      <w:b/>
                      <w:bCs/>
                    </w:rPr>
                    <w:t>Opened</w:t>
                  </w:r>
                  <w:r w:rsidR="00B816B4" w:rsidRPr="00214007">
                    <w:rPr>
                      <w:rFonts w:ascii="Arial" w:hAnsi="Arial" w:cs="Arial"/>
                      <w:b/>
                      <w:bCs/>
                    </w:rPr>
                    <w:t>:</w:t>
                  </w:r>
                  <w:r>
                    <w:rPr>
                      <w:rFonts w:ascii="Arial" w:hAnsi="Arial" w:cs="Arial"/>
                      <w:b/>
                      <w:bCs/>
                    </w:rPr>
                    <w:t xml:space="preserve"> </w:t>
                  </w:r>
                  <w:r w:rsidR="00284EE6">
                    <w:rPr>
                      <w:rFonts w:ascii="Arial" w:hAnsi="Arial" w:cs="Arial"/>
                      <w:bCs/>
                    </w:rPr>
                    <w:t>30 Days</w:t>
                  </w:r>
                </w:p>
                <w:p w:rsidR="00B816B4" w:rsidRPr="00214007" w:rsidRDefault="00B816B4" w:rsidP="002265E2">
                  <w:pPr>
                    <w:autoSpaceDE w:val="0"/>
                    <w:autoSpaceDN w:val="0"/>
                    <w:adjustRightInd w:val="0"/>
                    <w:spacing w:after="80"/>
                    <w:rPr>
                      <w:rFonts w:cs="Arial"/>
                      <w:szCs w:val="20"/>
                    </w:rPr>
                  </w:pPr>
                  <w:r w:rsidRPr="00214007">
                    <w:rPr>
                      <w:rFonts w:cs="Arial"/>
                      <w:b/>
                      <w:bCs/>
                      <w:szCs w:val="20"/>
                    </w:rPr>
                    <w:t xml:space="preserve">On-board: </w:t>
                  </w:r>
                  <w:r w:rsidR="00284EE6">
                    <w:rPr>
                      <w:rFonts w:cs="Arial"/>
                      <w:szCs w:val="20"/>
                    </w:rPr>
                    <w:t>15</w:t>
                  </w:r>
                  <w:r w:rsidR="002265E2">
                    <w:rPr>
                      <w:rFonts w:cs="Arial"/>
                      <w:szCs w:val="20"/>
                    </w:rPr>
                    <w:t xml:space="preserve"> Days</w:t>
                  </w:r>
                </w:p>
              </w:tc>
            </w:tr>
            <w:tr w:rsidR="00B816B4" w:rsidRPr="007B2A3E" w:rsidTr="009309A1">
              <w:trPr>
                <w:gridAfter w:val="1"/>
                <w:wAfter w:w="393" w:type="dxa"/>
              </w:trPr>
              <w:tc>
                <w:tcPr>
                  <w:tcW w:w="2857" w:type="dxa"/>
                </w:tcPr>
                <w:p w:rsidR="00B816B4" w:rsidRPr="006A36C8" w:rsidRDefault="00284EE6" w:rsidP="00B0339F">
                  <w:pPr>
                    <w:pStyle w:val="BodyText"/>
                    <w:rPr>
                      <w:rFonts w:cs="Arial"/>
                      <w:szCs w:val="20"/>
                    </w:rPr>
                  </w:pPr>
                  <w:r>
                    <w:rPr>
                      <w:rFonts w:cs="Arial"/>
                      <w:szCs w:val="20"/>
                    </w:rPr>
                    <w:t>HBsAg</w:t>
                  </w:r>
                  <w:r w:rsidR="00CF7522">
                    <w:rPr>
                      <w:rFonts w:cs="Arial"/>
                      <w:szCs w:val="20"/>
                    </w:rPr>
                    <w:t xml:space="preserve"> Calibrator</w:t>
                  </w:r>
                </w:p>
              </w:tc>
              <w:tc>
                <w:tcPr>
                  <w:tcW w:w="1710" w:type="dxa"/>
                </w:tcPr>
                <w:p w:rsidR="00B816B4" w:rsidRPr="006A36C8" w:rsidRDefault="009309A1" w:rsidP="008C6EDC">
                  <w:pPr>
                    <w:pStyle w:val="BodyText"/>
                    <w:rPr>
                      <w:rFonts w:cs="Arial"/>
                      <w:szCs w:val="20"/>
                    </w:rPr>
                  </w:pPr>
                  <w:r>
                    <w:rPr>
                      <w:rFonts w:cs="Arial"/>
                      <w:szCs w:val="20"/>
                    </w:rPr>
                    <w:t>4P53-01</w:t>
                  </w:r>
                </w:p>
              </w:tc>
              <w:tc>
                <w:tcPr>
                  <w:tcW w:w="4464" w:type="dxa"/>
                  <w:vAlign w:val="center"/>
                </w:tcPr>
                <w:p w:rsidR="00B816B4" w:rsidRDefault="00260A50" w:rsidP="008C6EDC">
                  <w:pPr>
                    <w:pStyle w:val="BodyText"/>
                    <w:spacing w:after="80"/>
                    <w:jc w:val="both"/>
                    <w:rPr>
                      <w:rFonts w:cs="Arial"/>
                      <w:bCs/>
                    </w:rPr>
                  </w:pPr>
                  <w:r>
                    <w:rPr>
                      <w:rFonts w:cs="Arial"/>
                      <w:b/>
                      <w:szCs w:val="20"/>
                    </w:rPr>
                    <w:t xml:space="preserve">Store at: </w:t>
                  </w:r>
                  <w:r w:rsidR="00CF7522">
                    <w:rPr>
                      <w:rFonts w:cs="Arial"/>
                      <w:szCs w:val="20"/>
                    </w:rPr>
                    <w:t xml:space="preserve"> 2-8</w:t>
                  </w:r>
                  <w:r w:rsidRPr="00214007">
                    <w:rPr>
                      <w:rFonts w:cs="Arial"/>
                      <w:bCs/>
                    </w:rPr>
                    <w:t>°C</w:t>
                  </w:r>
                </w:p>
                <w:p w:rsidR="00260A50" w:rsidRDefault="00260A50" w:rsidP="008C6EDC">
                  <w:pPr>
                    <w:pStyle w:val="BodyText"/>
                    <w:spacing w:after="80"/>
                    <w:jc w:val="both"/>
                    <w:rPr>
                      <w:rFonts w:cs="Arial"/>
                      <w:bCs/>
                    </w:rPr>
                  </w:pPr>
                  <w:r w:rsidRPr="00260A50">
                    <w:rPr>
                      <w:rFonts w:cs="Arial"/>
                      <w:b/>
                      <w:bCs/>
                    </w:rPr>
                    <w:t>Unopened</w:t>
                  </w:r>
                  <w:r w:rsidR="00CF7522">
                    <w:rPr>
                      <w:rFonts w:cs="Arial"/>
                      <w:bCs/>
                    </w:rPr>
                    <w:t>: Manufacture</w:t>
                  </w:r>
                  <w:r w:rsidR="0045274F">
                    <w:rPr>
                      <w:rFonts w:cs="Arial"/>
                      <w:bCs/>
                    </w:rPr>
                    <w:t>r</w:t>
                  </w:r>
                  <w:r w:rsidR="00CF7522">
                    <w:rPr>
                      <w:rFonts w:cs="Arial"/>
                      <w:bCs/>
                    </w:rPr>
                    <w:t xml:space="preserve"> ex</w:t>
                  </w:r>
                  <w:r>
                    <w:rPr>
                      <w:rFonts w:cs="Arial"/>
                      <w:bCs/>
                    </w:rPr>
                    <w:t>piration date.</w:t>
                  </w:r>
                </w:p>
                <w:p w:rsidR="00260A50" w:rsidRPr="00260A50" w:rsidRDefault="00260A50" w:rsidP="00CF7522">
                  <w:pPr>
                    <w:pStyle w:val="BodyText"/>
                    <w:spacing w:after="80"/>
                    <w:jc w:val="both"/>
                    <w:rPr>
                      <w:rFonts w:cs="Arial"/>
                      <w:szCs w:val="20"/>
                    </w:rPr>
                  </w:pPr>
                  <w:r w:rsidRPr="00260A50">
                    <w:rPr>
                      <w:rFonts w:cs="Arial"/>
                      <w:b/>
                      <w:bCs/>
                    </w:rPr>
                    <w:t>Opened</w:t>
                  </w:r>
                  <w:r>
                    <w:rPr>
                      <w:rFonts w:cs="Arial"/>
                      <w:bCs/>
                    </w:rPr>
                    <w:t xml:space="preserve">: Store at </w:t>
                  </w:r>
                  <w:r w:rsidRPr="00214007">
                    <w:rPr>
                      <w:rFonts w:cs="Arial"/>
                      <w:bCs/>
                    </w:rPr>
                    <w:t>2 – 8 °C</w:t>
                  </w:r>
                  <w:r w:rsidR="00CF7522">
                    <w:rPr>
                      <w:rFonts w:cs="Arial"/>
                      <w:bCs/>
                    </w:rPr>
                    <w:t xml:space="preserve">, stable until expiration date when stored and handled as directed. </w:t>
                  </w:r>
                </w:p>
              </w:tc>
            </w:tr>
            <w:tr w:rsidR="002265E2" w:rsidRPr="007B2A3E" w:rsidTr="009309A1">
              <w:trPr>
                <w:gridAfter w:val="1"/>
                <w:wAfter w:w="393" w:type="dxa"/>
              </w:trPr>
              <w:tc>
                <w:tcPr>
                  <w:tcW w:w="2857" w:type="dxa"/>
                </w:tcPr>
                <w:p w:rsidR="002265E2" w:rsidRDefault="002265E2" w:rsidP="008C6EDC">
                  <w:pPr>
                    <w:pStyle w:val="BodyText"/>
                    <w:rPr>
                      <w:rFonts w:cs="Arial"/>
                      <w:szCs w:val="20"/>
                    </w:rPr>
                  </w:pPr>
                  <w:r>
                    <w:rPr>
                      <w:rFonts w:cs="Arial"/>
                      <w:szCs w:val="20"/>
                    </w:rPr>
                    <w:t>Pre-Trigger Solution</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06E23-65</w:t>
                  </w:r>
                </w:p>
              </w:tc>
              <w:tc>
                <w:tcPr>
                  <w:tcW w:w="4464"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rsidTr="009309A1">
              <w:trPr>
                <w:gridAfter w:val="1"/>
                <w:wAfter w:w="393" w:type="dxa"/>
              </w:trPr>
              <w:tc>
                <w:tcPr>
                  <w:tcW w:w="2857" w:type="dxa"/>
                </w:tcPr>
                <w:p w:rsidR="002265E2" w:rsidRDefault="002265E2" w:rsidP="008C6EDC">
                  <w:pPr>
                    <w:pStyle w:val="BodyText"/>
                    <w:rPr>
                      <w:rFonts w:cs="Arial"/>
                      <w:szCs w:val="20"/>
                    </w:rPr>
                  </w:pPr>
                  <w:r>
                    <w:rPr>
                      <w:rFonts w:cs="Arial"/>
                      <w:szCs w:val="20"/>
                    </w:rPr>
                    <w:t>Trigger Solution</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06C55-60</w:t>
                  </w:r>
                </w:p>
              </w:tc>
              <w:tc>
                <w:tcPr>
                  <w:tcW w:w="4464"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rsidTr="009309A1">
              <w:trPr>
                <w:gridAfter w:val="1"/>
                <w:wAfter w:w="393" w:type="dxa"/>
              </w:trPr>
              <w:tc>
                <w:tcPr>
                  <w:tcW w:w="2857" w:type="dxa"/>
                </w:tcPr>
                <w:p w:rsidR="002265E2" w:rsidRDefault="002265E2" w:rsidP="008C6EDC">
                  <w:pPr>
                    <w:pStyle w:val="BodyText"/>
                    <w:rPr>
                      <w:rFonts w:cs="Arial"/>
                      <w:szCs w:val="20"/>
                    </w:rPr>
                  </w:pPr>
                  <w:r>
                    <w:rPr>
                      <w:rFonts w:cs="Arial"/>
                      <w:szCs w:val="20"/>
                    </w:rPr>
                    <w:t>Wash Buffer</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06C54-58</w:t>
                  </w:r>
                </w:p>
              </w:tc>
              <w:tc>
                <w:tcPr>
                  <w:tcW w:w="4464"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rsidTr="009309A1">
              <w:trPr>
                <w:gridAfter w:val="1"/>
                <w:wAfter w:w="393" w:type="dxa"/>
              </w:trPr>
              <w:tc>
                <w:tcPr>
                  <w:tcW w:w="2857" w:type="dxa"/>
                </w:tcPr>
                <w:p w:rsidR="002265E2" w:rsidRDefault="00F814F1" w:rsidP="008C6EDC">
                  <w:pPr>
                    <w:pStyle w:val="BodyText"/>
                    <w:rPr>
                      <w:rFonts w:cs="Arial"/>
                      <w:szCs w:val="20"/>
                    </w:rPr>
                  </w:pPr>
                  <w:r>
                    <w:rPr>
                      <w:rFonts w:cs="Arial"/>
                      <w:szCs w:val="20"/>
                    </w:rPr>
                    <w:t>Reaction Vessels</w:t>
                  </w:r>
                  <w:r w:rsidR="002265E2">
                    <w:rPr>
                      <w:rFonts w:cs="Arial"/>
                      <w:szCs w:val="20"/>
                    </w:rPr>
                    <w:t xml:space="preserve"> </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07C15 (-02 or -03)</w:t>
                  </w:r>
                </w:p>
              </w:tc>
              <w:tc>
                <w:tcPr>
                  <w:tcW w:w="4464" w:type="dxa"/>
                  <w:vAlign w:val="center"/>
                </w:tcPr>
                <w:p w:rsidR="002265E2" w:rsidRPr="007B2A3E" w:rsidRDefault="002265E2" w:rsidP="008C6EDC">
                  <w:pPr>
                    <w:pStyle w:val="BodyText"/>
                    <w:spacing w:after="80"/>
                    <w:jc w:val="both"/>
                    <w:rPr>
                      <w:rFonts w:cs="Arial"/>
                      <w:szCs w:val="20"/>
                    </w:rPr>
                  </w:pPr>
                  <w:r>
                    <w:rPr>
                      <w:rFonts w:cs="Arial"/>
                      <w:szCs w:val="20"/>
                    </w:rPr>
                    <w:t>N/A</w:t>
                  </w:r>
                </w:p>
              </w:tc>
            </w:tr>
          </w:tbl>
          <w:p w:rsidR="00B816B4" w:rsidRDefault="00B816B4" w:rsidP="008C6EDC">
            <w:pPr>
              <w:pStyle w:val="Header"/>
              <w:tabs>
                <w:tab w:val="clear" w:pos="4320"/>
                <w:tab w:val="clear" w:pos="8640"/>
              </w:tabs>
              <w:rPr>
                <w:rFonts w:cs="Arial"/>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Risk and Safety:</w:t>
            </w:r>
          </w:p>
        </w:tc>
        <w:tc>
          <w:tcPr>
            <w:tcW w:w="8910" w:type="dxa"/>
            <w:tcBorders>
              <w:top w:val="single" w:sz="18" w:space="0" w:color="A6A6A6" w:themeColor="background1" w:themeShade="A6"/>
              <w:bottom w:val="single" w:sz="18" w:space="0" w:color="A6A6A6" w:themeColor="background1" w:themeShade="A6"/>
            </w:tcBorders>
          </w:tcPr>
          <w:p w:rsidR="008C6EDC" w:rsidRPr="005516E7" w:rsidRDefault="008C6EDC">
            <w:pPr>
              <w:pStyle w:val="Pa13"/>
              <w:rPr>
                <w:rFonts w:ascii="Arial" w:hAnsi="Arial" w:cs="Arial"/>
                <w:color w:val="000000"/>
                <w:sz w:val="20"/>
                <w:szCs w:val="15"/>
              </w:rPr>
            </w:pPr>
          </w:p>
          <w:p w:rsidR="00CF7522" w:rsidRPr="007E0514" w:rsidRDefault="007E0514" w:rsidP="007E0514">
            <w:pPr>
              <w:autoSpaceDE w:val="0"/>
              <w:autoSpaceDN w:val="0"/>
              <w:adjustRightInd w:val="0"/>
              <w:rPr>
                <w:rFonts w:eastAsia="HelenPro-Regular" w:cs="Arial"/>
                <w:szCs w:val="20"/>
              </w:rPr>
            </w:pPr>
            <w:r w:rsidRPr="007E0514">
              <w:rPr>
                <w:rFonts w:eastAsia="HelenPro-Regular" w:cs="Arial"/>
                <w:szCs w:val="20"/>
              </w:rPr>
              <w:t xml:space="preserve">Contains methylisothiazolones.  May cause an allergic skin reaction.  Avoid breathing mist, </w:t>
            </w:r>
            <w:r w:rsidR="0045274F" w:rsidRPr="007E0514">
              <w:rPr>
                <w:rFonts w:eastAsia="HelenPro-Regular" w:cs="Arial"/>
                <w:szCs w:val="20"/>
              </w:rPr>
              <w:t>vapors</w:t>
            </w:r>
            <w:r w:rsidRPr="007E0514">
              <w:rPr>
                <w:rFonts w:eastAsia="HelenPro-Regular" w:cs="Arial"/>
                <w:szCs w:val="20"/>
              </w:rPr>
              <w:t>, and spray.  Contaminated work clothing should not be  allowed out of the workplace.  Wear protective gloves, protective clothing, and eye protection.  Dispo</w:t>
            </w:r>
            <w:r w:rsidR="0045274F">
              <w:rPr>
                <w:rFonts w:eastAsia="HelenPro-Regular" w:cs="Arial"/>
                <w:szCs w:val="20"/>
              </w:rPr>
              <w:t>se of in proper waste container; when reagent is empty, this may be disposed of in regular trash.</w:t>
            </w:r>
          </w:p>
          <w:p w:rsidR="007E0514" w:rsidRPr="00A072CE" w:rsidRDefault="007E0514" w:rsidP="007E0514">
            <w:pPr>
              <w:autoSpaceDE w:val="0"/>
              <w:autoSpaceDN w:val="0"/>
              <w:adjustRightInd w:val="0"/>
              <w:rPr>
                <w:rFonts w:eastAsia="HelenPro-Regular" w:cs="Arial"/>
                <w:szCs w:val="20"/>
              </w:rPr>
            </w:pPr>
          </w:p>
        </w:tc>
      </w:tr>
      <w:tr w:rsidR="00B816B4" w:rsidTr="007E0514">
        <w:trPr>
          <w:trHeight w:val="491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pStyle w:val="BodyTextIndent"/>
            </w:pPr>
          </w:p>
          <w:p w:rsidR="00B816B4" w:rsidRDefault="00B816B4" w:rsidP="008C6EDC">
            <w:pPr>
              <w:pStyle w:val="BodyTextIndent"/>
            </w:pPr>
            <w:r>
              <w:t>Calibration/ Verification/AMR</w:t>
            </w:r>
          </w:p>
          <w:p w:rsidR="00B816B4" w:rsidRDefault="00B816B4" w:rsidP="008C6EDC">
            <w:pPr>
              <w:pStyle w:val="BodyTextIndent"/>
            </w:pPr>
          </w:p>
        </w:tc>
        <w:tc>
          <w:tcPr>
            <w:tcW w:w="8910" w:type="dxa"/>
            <w:tcBorders>
              <w:top w:val="single" w:sz="18" w:space="0" w:color="A6A6A6" w:themeColor="background1" w:themeShade="A6"/>
              <w:bottom w:val="single" w:sz="18" w:space="0" w:color="A6A6A6" w:themeColor="background1" w:themeShade="A6"/>
            </w:tcBorders>
          </w:tcPr>
          <w:p w:rsidR="00B816B4" w:rsidRPr="00B13C1A" w:rsidRDefault="00B816B4" w:rsidP="008C6EDC">
            <w:pPr>
              <w:rPr>
                <w:rFonts w:cs="Arial"/>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5760"/>
              <w:gridCol w:w="509"/>
            </w:tblGrid>
            <w:tr w:rsidR="00B816B4" w:rsidTr="00814EAD">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rsidR="00B816B4" w:rsidRPr="00FC6715" w:rsidRDefault="009309A1" w:rsidP="008C6EDC">
                  <w:pPr>
                    <w:pStyle w:val="CalVerTable"/>
                    <w:ind w:left="0" w:firstLine="0"/>
                    <w:jc w:val="both"/>
                    <w:rPr>
                      <w:rFonts w:ascii="Arial" w:hAnsi="Arial" w:cs="Arial"/>
                    </w:rPr>
                  </w:pPr>
                  <w:r>
                    <w:rPr>
                      <w:rFonts w:ascii="Arial" w:hAnsi="Arial" w:cs="Arial"/>
                    </w:rPr>
                    <w:t xml:space="preserve">0-1.0 </w:t>
                  </w:r>
                  <w:r w:rsidR="00F62661" w:rsidRPr="00F62661">
                    <w:rPr>
                      <w:rFonts w:ascii="Arial" w:hAnsi="Arial" w:cs="Arial"/>
                    </w:rPr>
                    <w:t>IU/mL</w:t>
                  </w:r>
                </w:p>
              </w:tc>
            </w:tr>
            <w:tr w:rsidR="00B816B4" w:rsidTr="00814EAD">
              <w:trPr>
                <w:gridAfter w:val="1"/>
                <w:wAfter w:w="509" w:type="dxa"/>
                <w:trHeight w:val="494"/>
              </w:trPr>
              <w:tc>
                <w:tcPr>
                  <w:tcW w:w="2947" w:type="dxa"/>
                  <w:tcBorders>
                    <w:top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Reference Material:</w:t>
                  </w:r>
                </w:p>
              </w:tc>
              <w:tc>
                <w:tcPr>
                  <w:tcW w:w="5760" w:type="dxa"/>
                  <w:tcBorders>
                    <w:top w:val="single" w:sz="4" w:space="0" w:color="auto"/>
                  </w:tcBorders>
                  <w:vAlign w:val="center"/>
                </w:tcPr>
                <w:p w:rsidR="00B816B4" w:rsidRPr="00E14C48" w:rsidRDefault="009309A1" w:rsidP="009309A1">
                  <w:pPr>
                    <w:pStyle w:val="CalVerTable"/>
                    <w:ind w:left="0" w:firstLine="0"/>
                    <w:jc w:val="both"/>
                    <w:rPr>
                      <w:rFonts w:ascii="Arial" w:hAnsi="Arial" w:cs="Arial"/>
                    </w:rPr>
                  </w:pPr>
                  <w:r>
                    <w:rPr>
                      <w:rFonts w:ascii="Arial" w:hAnsi="Arial" w:cs="Arial"/>
                    </w:rPr>
                    <w:t>HBsAg</w:t>
                  </w:r>
                  <w:r w:rsidR="00FC6715">
                    <w:rPr>
                      <w:rFonts w:ascii="Arial" w:hAnsi="Arial" w:cs="Arial"/>
                    </w:rPr>
                    <w:t xml:space="preserve"> </w:t>
                  </w:r>
                  <w:r w:rsidR="00FC6715" w:rsidRPr="00F62661">
                    <w:rPr>
                      <w:rFonts w:ascii="Arial" w:hAnsi="Arial" w:cs="Arial"/>
                    </w:rPr>
                    <w:t xml:space="preserve">Calibrator </w:t>
                  </w:r>
                  <w:r>
                    <w:rPr>
                      <w:rFonts w:ascii="Arial" w:hAnsi="Arial" w:cs="Arial"/>
                    </w:rPr>
                    <w:t>4P53-01</w:t>
                  </w:r>
                </w:p>
              </w:tc>
            </w:tr>
            <w:tr w:rsidR="00B816B4" w:rsidTr="00814EAD">
              <w:trPr>
                <w:gridAfter w:val="1"/>
                <w:wAfter w:w="509" w:type="dxa"/>
                <w:trHeight w:val="521"/>
              </w:trPr>
              <w:tc>
                <w:tcPr>
                  <w:tcW w:w="2947" w:type="dxa"/>
                </w:tcPr>
                <w:p w:rsidR="00B816B4" w:rsidRPr="00E14C48" w:rsidRDefault="00B816B4" w:rsidP="00814EAD">
                  <w:pPr>
                    <w:pStyle w:val="CalVerTable"/>
                    <w:ind w:left="0" w:firstLine="0"/>
                    <w:rPr>
                      <w:rFonts w:ascii="Arial" w:hAnsi="Arial" w:cs="Arial"/>
                    </w:rPr>
                  </w:pPr>
                  <w:r w:rsidRPr="00E14C48">
                    <w:rPr>
                      <w:rFonts w:ascii="Arial" w:hAnsi="Arial" w:cs="Arial"/>
                    </w:rPr>
                    <w:t>Suggested Calibration Levels</w:t>
                  </w:r>
                </w:p>
              </w:tc>
              <w:tc>
                <w:tcPr>
                  <w:tcW w:w="5760" w:type="dxa"/>
                  <w:vAlign w:val="center"/>
                </w:tcPr>
                <w:p w:rsidR="00B816B4" w:rsidRDefault="009309A1" w:rsidP="008C6EDC">
                  <w:pPr>
                    <w:pStyle w:val="CalVerTable"/>
                    <w:ind w:left="0" w:firstLine="0"/>
                    <w:jc w:val="both"/>
                    <w:rPr>
                      <w:rFonts w:ascii="Arial" w:hAnsi="Arial" w:cs="Arial"/>
                    </w:rPr>
                  </w:pPr>
                  <w:r>
                    <w:rPr>
                      <w:rFonts w:ascii="Arial" w:hAnsi="Arial" w:cs="Arial"/>
                    </w:rPr>
                    <w:t>1 – 0.5244</w:t>
                  </w:r>
                  <w:r w:rsidR="00260A50">
                    <w:rPr>
                      <w:rFonts w:ascii="Arial" w:hAnsi="Arial" w:cs="Arial"/>
                    </w:rPr>
                    <w:t xml:space="preserve"> </w:t>
                  </w:r>
                  <w:r w:rsidR="00F62661" w:rsidRPr="00F62661">
                    <w:rPr>
                      <w:rFonts w:ascii="Arial" w:hAnsi="Arial" w:cs="Arial"/>
                    </w:rPr>
                    <w:t>IU/mL</w:t>
                  </w:r>
                </w:p>
                <w:p w:rsidR="00260A50" w:rsidRPr="00E14C48" w:rsidRDefault="009309A1" w:rsidP="008C6EDC">
                  <w:pPr>
                    <w:pStyle w:val="CalVerTable"/>
                    <w:ind w:left="0" w:firstLine="0"/>
                    <w:jc w:val="both"/>
                    <w:rPr>
                      <w:rFonts w:ascii="Arial" w:hAnsi="Arial" w:cs="Arial"/>
                    </w:rPr>
                  </w:pPr>
                  <w:r>
                    <w:rPr>
                      <w:rFonts w:ascii="Arial" w:hAnsi="Arial" w:cs="Arial"/>
                    </w:rPr>
                    <w:t xml:space="preserve">2 – 0 </w:t>
                  </w:r>
                  <w:r w:rsidR="00F62661" w:rsidRPr="00F62661">
                    <w:rPr>
                      <w:rFonts w:ascii="Arial" w:hAnsi="Arial" w:cs="Arial"/>
                    </w:rPr>
                    <w:t>IU/mL</w:t>
                  </w:r>
                </w:p>
              </w:tc>
            </w:tr>
            <w:tr w:rsidR="00B816B4" w:rsidTr="00814EAD">
              <w:trPr>
                <w:gridAfter w:val="1"/>
                <w:wAfter w:w="509" w:type="dxa"/>
                <w:trHeight w:val="440"/>
              </w:trPr>
              <w:tc>
                <w:tcPr>
                  <w:tcW w:w="2947" w:type="dxa"/>
                </w:tcPr>
                <w:p w:rsidR="00B816B4" w:rsidRPr="00E14C48" w:rsidRDefault="00B816B4" w:rsidP="008C6EDC">
                  <w:pPr>
                    <w:jc w:val="both"/>
                    <w:rPr>
                      <w:rFonts w:cs="Arial"/>
                      <w:szCs w:val="20"/>
                    </w:rPr>
                  </w:pPr>
                  <w:r w:rsidRPr="00E14C48">
                    <w:rPr>
                      <w:rFonts w:cs="Arial"/>
                      <w:szCs w:val="20"/>
                    </w:rPr>
                    <w:t>Verification Scheme:</w:t>
                  </w:r>
                </w:p>
              </w:tc>
              <w:tc>
                <w:tcPr>
                  <w:tcW w:w="5760" w:type="dxa"/>
                  <w:vAlign w:val="center"/>
                </w:tcPr>
                <w:p w:rsidR="00B816B4" w:rsidRPr="00E14C48" w:rsidRDefault="00FC6715" w:rsidP="008C6EDC">
                  <w:pPr>
                    <w:pStyle w:val="CalVerTable"/>
                    <w:ind w:left="0" w:firstLine="0"/>
                    <w:jc w:val="both"/>
                    <w:rPr>
                      <w:rFonts w:ascii="Arial" w:hAnsi="Arial" w:cs="Arial"/>
                    </w:rPr>
                  </w:pPr>
                  <w:r>
                    <w:rPr>
                      <w:rFonts w:ascii="Arial" w:hAnsi="Arial" w:cs="Arial"/>
                    </w:rPr>
                    <w:t>n=</w:t>
                  </w:r>
                  <w:r w:rsidR="009309A1">
                    <w:rPr>
                      <w:rFonts w:ascii="Arial" w:hAnsi="Arial" w:cs="Arial"/>
                    </w:rPr>
                    <w:t>2</w:t>
                  </w:r>
                </w:p>
              </w:tc>
            </w:tr>
            <w:tr w:rsidR="00B816B4" w:rsidTr="003571BD">
              <w:trPr>
                <w:gridAfter w:val="1"/>
                <w:wAfter w:w="509" w:type="dxa"/>
                <w:trHeight w:val="1169"/>
              </w:trPr>
              <w:tc>
                <w:tcPr>
                  <w:tcW w:w="2947" w:type="dxa"/>
                </w:tcPr>
                <w:p w:rsidR="00B816B4" w:rsidRPr="00E14C48" w:rsidRDefault="00B816B4" w:rsidP="008C6EDC">
                  <w:pPr>
                    <w:jc w:val="both"/>
                    <w:rPr>
                      <w:rFonts w:cs="Arial"/>
                      <w:szCs w:val="20"/>
                    </w:rPr>
                  </w:pPr>
                  <w:r w:rsidRPr="00E14C48">
                    <w:rPr>
                      <w:rFonts w:cs="Arial"/>
                      <w:szCs w:val="20"/>
                    </w:rPr>
                    <w:t>Verification Frequency:</w:t>
                  </w:r>
                </w:p>
              </w:tc>
              <w:tc>
                <w:tcPr>
                  <w:tcW w:w="5760" w:type="dxa"/>
                  <w:vAlign w:val="center"/>
                </w:tcPr>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 xml:space="preserve">For each new lot of reagent </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After major maintenance or service, if indicated by quality control results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As indicated in laboratory quality control procedures</w:t>
                  </w:r>
                </w:p>
              </w:tc>
            </w:tr>
            <w:tr w:rsidR="00B816B4" w:rsidTr="003571BD">
              <w:trPr>
                <w:gridAfter w:val="1"/>
                <w:wAfter w:w="509" w:type="dxa"/>
                <w:trHeight w:val="989"/>
              </w:trPr>
              <w:tc>
                <w:tcPr>
                  <w:tcW w:w="2947" w:type="dxa"/>
                  <w:tcBorders>
                    <w:bottom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AMR</w:t>
                  </w:r>
                </w:p>
              </w:tc>
              <w:tc>
                <w:tcPr>
                  <w:tcW w:w="5760" w:type="dxa"/>
                  <w:tcBorders>
                    <w:bottom w:val="single" w:sz="4" w:space="0" w:color="auto"/>
                  </w:tcBorders>
                  <w:vAlign w:val="center"/>
                </w:tcPr>
                <w:p w:rsidR="00B816B4" w:rsidRPr="00E14C48" w:rsidRDefault="00B816B4" w:rsidP="008C6EDC">
                  <w:pPr>
                    <w:jc w:val="both"/>
                    <w:rPr>
                      <w:rFonts w:cs="Arial"/>
                      <w:szCs w:val="20"/>
                    </w:rPr>
                  </w:pPr>
                  <w:r w:rsidRPr="00E14C48">
                    <w:rPr>
                      <w:rFonts w:cs="Arial"/>
                      <w:szCs w:val="20"/>
                    </w:rPr>
                    <w:t>Verification of AMR is accomplished with each calibration.</w:t>
                  </w:r>
                </w:p>
                <w:p w:rsidR="00B816B4" w:rsidRPr="003571BD" w:rsidRDefault="00B816B4" w:rsidP="003571BD">
                  <w:pPr>
                    <w:numPr>
                      <w:ilvl w:val="0"/>
                      <w:numId w:val="15"/>
                    </w:numPr>
                    <w:jc w:val="both"/>
                    <w:rPr>
                      <w:rFonts w:cs="Arial"/>
                      <w:szCs w:val="20"/>
                    </w:rPr>
                  </w:pPr>
                  <w:r w:rsidRPr="00E14C48">
                    <w:rPr>
                      <w:rFonts w:cs="Arial"/>
                      <w:szCs w:val="20"/>
                    </w:rPr>
                    <w:t>Cal Verification and AMR verification are performed at least once every six (6) months.</w:t>
                  </w:r>
                </w:p>
              </w:tc>
            </w:tr>
            <w:tr w:rsidR="00B816B4" w:rsidTr="00B816B4">
              <w:tc>
                <w:tcPr>
                  <w:tcW w:w="9216" w:type="dxa"/>
                  <w:gridSpan w:val="3"/>
                  <w:tcBorders>
                    <w:left w:val="nil"/>
                    <w:bottom w:val="nil"/>
                    <w:right w:val="nil"/>
                  </w:tcBorders>
                </w:tcPr>
                <w:p w:rsidR="00B816B4" w:rsidRPr="00B13C1A" w:rsidRDefault="00B816B4" w:rsidP="008C6EDC">
                  <w:pPr>
                    <w:rPr>
                      <w:rFonts w:cs="Arial"/>
                      <w:szCs w:val="20"/>
                    </w:rPr>
                  </w:pPr>
                </w:p>
              </w:tc>
            </w:tr>
          </w:tbl>
          <w:p w:rsidR="00B816B4" w:rsidRPr="00FB1EFD" w:rsidRDefault="00B816B4" w:rsidP="008C6EDC">
            <w:pPr>
              <w:pStyle w:val="Default"/>
            </w:pPr>
          </w:p>
        </w:tc>
      </w:tr>
      <w:tr w:rsidR="00B816B4" w:rsidTr="00F07A1B">
        <w:trPr>
          <w:cantSplit/>
          <w:trHeight w:val="554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ind w:right="-108"/>
              <w:rPr>
                <w:rFonts w:cs="Arial"/>
                <w:b/>
                <w:bCs/>
                <w:color w:val="0000FF"/>
              </w:rPr>
            </w:pPr>
          </w:p>
          <w:p w:rsidR="00B816B4" w:rsidRDefault="00B816B4" w:rsidP="008C6EDC">
            <w:pPr>
              <w:ind w:right="-108"/>
              <w:rPr>
                <w:rFonts w:cs="Arial"/>
                <w:b/>
                <w:bCs/>
                <w:color w:val="0000FF"/>
              </w:rPr>
            </w:pPr>
            <w:r>
              <w:rPr>
                <w:rFonts w:cs="Arial"/>
                <w:b/>
                <w:bCs/>
                <w:color w:val="0000FF"/>
              </w:rPr>
              <w:t>Quality Control</w:t>
            </w:r>
          </w:p>
        </w:tc>
        <w:tc>
          <w:tcPr>
            <w:tcW w:w="8910" w:type="dxa"/>
            <w:tcBorders>
              <w:top w:val="single" w:sz="18" w:space="0" w:color="A6A6A6" w:themeColor="background1" w:themeShade="A6"/>
              <w:bottom w:val="single" w:sz="18" w:space="0" w:color="A6A6A6" w:themeColor="background1" w:themeShade="A6"/>
            </w:tcBorders>
            <w:vAlign w:val="center"/>
          </w:tcPr>
          <w:p w:rsidR="00B816B4" w:rsidRDefault="0045274F" w:rsidP="008C6EDC">
            <w:pPr>
              <w:jc w:val="both"/>
              <w:rPr>
                <w:rFonts w:cs="Arial"/>
                <w:b/>
                <w:bCs/>
                <w:color w:val="5F497A"/>
                <w:szCs w:val="20"/>
              </w:rPr>
            </w:pPr>
            <w:r>
              <w:rPr>
                <w:rFonts w:cs="Arial"/>
                <w:color w:val="000000"/>
                <w:szCs w:val="20"/>
              </w:rPr>
              <w:t>Bio-Rad</w:t>
            </w:r>
            <w:r w:rsidR="003571BD">
              <w:rPr>
                <w:rFonts w:cs="Arial"/>
                <w:color w:val="000000"/>
                <w:szCs w:val="20"/>
              </w:rPr>
              <w:t xml:space="preserve"> </w:t>
            </w:r>
            <w:r w:rsidR="009309A1">
              <w:rPr>
                <w:rFonts w:cs="Arial"/>
                <w:color w:val="000000"/>
                <w:szCs w:val="20"/>
              </w:rPr>
              <w:t xml:space="preserve">Viroclear and </w:t>
            </w:r>
            <w:r>
              <w:rPr>
                <w:rFonts w:cs="Arial"/>
                <w:color w:val="000000"/>
                <w:szCs w:val="20"/>
              </w:rPr>
              <w:t>Bio-Rad</w:t>
            </w:r>
            <w:r w:rsidR="009309A1">
              <w:rPr>
                <w:rFonts w:cs="Arial"/>
                <w:color w:val="000000"/>
                <w:szCs w:val="20"/>
              </w:rPr>
              <w:t xml:space="preserve"> Virotrol I</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 xml:space="preserve">Frequency: </w:t>
            </w:r>
            <w:r w:rsidR="009309A1">
              <w:rPr>
                <w:rFonts w:cs="Arial"/>
                <w:szCs w:val="20"/>
              </w:rPr>
              <w:t>Both levels for each day of use</w:t>
            </w:r>
            <w:r w:rsidR="003571BD">
              <w:rPr>
                <w:rFonts w:cs="Arial"/>
                <w:szCs w:val="20"/>
              </w:rPr>
              <w:t>.</w:t>
            </w:r>
          </w:p>
          <w:p w:rsidR="00B816B4" w:rsidRDefault="00B816B4" w:rsidP="008C6EDC">
            <w:pPr>
              <w:autoSpaceDE w:val="0"/>
              <w:autoSpaceDN w:val="0"/>
              <w:adjustRightInd w:val="0"/>
              <w:jc w:val="both"/>
              <w:rPr>
                <w:rFonts w:cs="Arial"/>
                <w:szCs w:val="20"/>
              </w:rPr>
            </w:pPr>
          </w:p>
          <w:p w:rsidR="00B816B4" w:rsidRPr="00A82A92" w:rsidRDefault="00B816B4" w:rsidP="008C6EDC">
            <w:pPr>
              <w:autoSpaceDE w:val="0"/>
              <w:autoSpaceDN w:val="0"/>
              <w:adjustRightInd w:val="0"/>
              <w:jc w:val="both"/>
              <w:rPr>
                <w:rFonts w:cs="Arial"/>
                <w:szCs w:val="20"/>
              </w:rPr>
            </w:pPr>
            <w:r>
              <w:rPr>
                <w:rFonts w:cs="Arial"/>
                <w:b/>
                <w:bCs/>
                <w:szCs w:val="20"/>
              </w:rPr>
              <w:t>Stability</w:t>
            </w:r>
            <w:r w:rsidR="00A82A92">
              <w:rPr>
                <w:rFonts w:cs="Arial"/>
                <w:b/>
                <w:bCs/>
                <w:szCs w:val="20"/>
              </w:rPr>
              <w:t xml:space="preserve">: </w:t>
            </w:r>
            <w:r w:rsidR="008F13C3">
              <w:rPr>
                <w:rFonts w:cs="Arial"/>
                <w:bCs/>
                <w:szCs w:val="20"/>
              </w:rPr>
              <w:t>6</w:t>
            </w:r>
            <w:r w:rsidR="00A82A92">
              <w:rPr>
                <w:rFonts w:cs="Arial"/>
                <w:bCs/>
                <w:szCs w:val="20"/>
              </w:rPr>
              <w:t>0 Day</w:t>
            </w:r>
            <w:r w:rsidR="008F13C3">
              <w:rPr>
                <w:rFonts w:cs="Arial"/>
                <w:bCs/>
                <w:szCs w:val="20"/>
              </w:rPr>
              <w:t>s</w:t>
            </w:r>
            <w:r w:rsidR="00A82A92">
              <w:rPr>
                <w:rFonts w:cs="Arial"/>
                <w:bCs/>
                <w:szCs w:val="20"/>
              </w:rPr>
              <w:t xml:space="preserve"> at </w:t>
            </w:r>
            <w:r w:rsidR="008F13C3">
              <w:rPr>
                <w:rFonts w:cs="Arial"/>
                <w:szCs w:val="20"/>
              </w:rPr>
              <w:t>2-8</w:t>
            </w:r>
            <w:r w:rsidR="00A82A92" w:rsidRPr="00A11958">
              <w:rPr>
                <w:rStyle w:val="tgc"/>
                <w:rFonts w:cs="Arial"/>
                <w:color w:val="222222"/>
                <w:szCs w:val="20"/>
              </w:rPr>
              <w:t>°C</w:t>
            </w:r>
            <w:r w:rsidR="00A82A92">
              <w:rPr>
                <w:rStyle w:val="tgc"/>
                <w:rFonts w:cs="Arial"/>
                <w:color w:val="222222"/>
                <w:szCs w:val="20"/>
              </w:rPr>
              <w:t>.</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Sunquest Control names:</w:t>
            </w:r>
            <w:r w:rsidR="008F13C3">
              <w:rPr>
                <w:rFonts w:cs="Arial"/>
                <w:szCs w:val="20"/>
              </w:rPr>
              <w:t xml:space="preserve"> C-VIROC (Viroclear), C-VIRO1 (Virotrol I)</w:t>
            </w:r>
          </w:p>
          <w:p w:rsidR="00B816B4" w:rsidRDefault="00B816B4" w:rsidP="008C6EDC">
            <w:pPr>
              <w:jc w:val="both"/>
              <w:rPr>
                <w:rFonts w:cs="Arial"/>
                <w:b/>
                <w:bCs/>
              </w:rPr>
            </w:pPr>
          </w:p>
          <w:p w:rsidR="00B816B4" w:rsidRDefault="00B816B4" w:rsidP="008C6EDC">
            <w:pPr>
              <w:jc w:val="both"/>
              <w:rPr>
                <w:rFonts w:cs="Arial"/>
              </w:rPr>
            </w:pPr>
            <w:r>
              <w:rPr>
                <w:rFonts w:cs="Arial"/>
                <w:b/>
                <w:bCs/>
              </w:rPr>
              <w:t>Acceptable ranges:</w:t>
            </w:r>
            <w:r>
              <w:rPr>
                <w:rFonts w:cs="Arial"/>
              </w:rPr>
              <w:t xml:space="preserve"> </w:t>
            </w:r>
          </w:p>
          <w:p w:rsidR="00B816B4" w:rsidRPr="00DB6DF1" w:rsidRDefault="00B816B4" w:rsidP="008C6EDC">
            <w:pPr>
              <w:numPr>
                <w:ilvl w:val="0"/>
                <w:numId w:val="16"/>
              </w:numPr>
              <w:autoSpaceDE w:val="0"/>
              <w:autoSpaceDN w:val="0"/>
              <w:adjustRightInd w:val="0"/>
              <w:jc w:val="both"/>
              <w:rPr>
                <w:rFonts w:cs="Arial"/>
                <w:szCs w:val="20"/>
              </w:rPr>
            </w:pPr>
            <w:r>
              <w:rPr>
                <w:rFonts w:cs="Arial"/>
                <w:szCs w:val="20"/>
              </w:rPr>
              <w:t>Ranges are current in Sunquest and the instrument. Refer to the Quality Control in Chemistry p</w:t>
            </w:r>
            <w:r w:rsidRPr="00DB6DF1">
              <w:rPr>
                <w:rFonts w:cs="Arial"/>
                <w:szCs w:val="20"/>
              </w:rPr>
              <w:t>rocedure for QC exception codes.</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If a control value is outside the confidence interval, the determination must be repeated. If the repeat determination confirms the deviation, a new reference curve should be established.</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Do not release patient results until the cause of deviation has been identified and corrected</w:t>
            </w:r>
          </w:p>
          <w:p w:rsidR="00B816B4" w:rsidRPr="00DB6DF1" w:rsidRDefault="00B816B4" w:rsidP="008C6EDC">
            <w:pPr>
              <w:numPr>
                <w:ilvl w:val="0"/>
                <w:numId w:val="16"/>
              </w:numPr>
              <w:autoSpaceDE w:val="0"/>
              <w:autoSpaceDN w:val="0"/>
              <w:adjustRightInd w:val="0"/>
              <w:jc w:val="both"/>
              <w:rPr>
                <w:rFonts w:cs="Arial"/>
                <w:color w:val="000000"/>
                <w:szCs w:val="20"/>
              </w:rPr>
            </w:pPr>
            <w:r>
              <w:rPr>
                <w:rFonts w:cs="Arial"/>
                <w:szCs w:val="20"/>
              </w:rPr>
              <w:t>When a new lot of assayed control is received, validate the manufacturer’s insert range by running the new lot in parallel with the current lot, and confirming that the results obtained are within the stated range</w:t>
            </w:r>
          </w:p>
          <w:p w:rsidR="00B816B4" w:rsidRDefault="00B816B4" w:rsidP="008C6EDC">
            <w:pPr>
              <w:numPr>
                <w:ilvl w:val="0"/>
                <w:numId w:val="16"/>
              </w:numPr>
              <w:jc w:val="both"/>
              <w:rPr>
                <w:rFonts w:cs="Arial"/>
              </w:rPr>
            </w:pPr>
            <w:r>
              <w:rPr>
                <w:rFonts w:cs="Arial"/>
                <w:szCs w:val="20"/>
              </w:rPr>
              <w:t xml:space="preserve">When a new lot of unassayed control is received, verify new ranges by running the new lot in parallel with the current lot 30 times, and calculate a new range using the method mean </w:t>
            </w:r>
            <w:r>
              <w:rPr>
                <w:rFonts w:cs="Arial"/>
                <w:szCs w:val="20"/>
              </w:rPr>
              <w:sym w:font="Symbol" w:char="F0B1"/>
            </w:r>
            <w:r>
              <w:rPr>
                <w:rFonts w:cs="Arial"/>
                <w:szCs w:val="20"/>
              </w:rPr>
              <w:t xml:space="preserve"> 3 SD. </w:t>
            </w:r>
            <w:r>
              <w:rPr>
                <w:rFonts w:cs="Arial"/>
              </w:rPr>
              <w:t>Ranges are current in Sunquest and the instrument. Refer to the Quality Control Procedure for QC exception codes.</w:t>
            </w:r>
          </w:p>
          <w:p w:rsidR="0045274F" w:rsidRPr="00CE16FB" w:rsidRDefault="0045274F" w:rsidP="008C6EDC">
            <w:pPr>
              <w:numPr>
                <w:ilvl w:val="0"/>
                <w:numId w:val="16"/>
              </w:numPr>
              <w:jc w:val="both"/>
              <w:rPr>
                <w:rFonts w:cs="Arial"/>
              </w:rPr>
            </w:pPr>
            <w:r>
              <w:rPr>
                <w:rFonts w:cs="Arial"/>
              </w:rPr>
              <w:t>As this is a qualitative test, Viroclear should be nonreactive and Virotrol II should be reactive.  Do not report results unless both results meet these criteria.</w:t>
            </w:r>
          </w:p>
        </w:tc>
      </w:tr>
      <w:tr w:rsidR="008C6EDC" w:rsidTr="00D120DB">
        <w:trPr>
          <w:cantSplit/>
          <w:trHeight w:val="1944"/>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005CB1" w:rsidP="008C6EDC">
            <w:pPr>
              <w:rPr>
                <w:rFonts w:cs="Arial"/>
                <w:b/>
                <w:bCs/>
                <w:color w:val="0000FF"/>
              </w:rPr>
            </w:pPr>
            <w:r>
              <w:rPr>
                <w:rFonts w:cs="Arial"/>
                <w:b/>
                <w:bCs/>
                <w:color w:val="0000FF"/>
              </w:rPr>
              <w:t>Limitations of the Procedure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005CB1" w:rsidRPr="00005CB1" w:rsidRDefault="00005CB1" w:rsidP="00005CB1">
            <w:pPr>
              <w:pStyle w:val="ListParagraph"/>
              <w:numPr>
                <w:ilvl w:val="0"/>
                <w:numId w:val="16"/>
              </w:numPr>
              <w:autoSpaceDE w:val="0"/>
              <w:autoSpaceDN w:val="0"/>
              <w:adjustRightInd w:val="0"/>
              <w:contextualSpacing w:val="0"/>
              <w:rPr>
                <w:rFonts w:ascii="Arial" w:eastAsia="HelenPro-Regular" w:hAnsi="Arial" w:cs="Arial"/>
                <w:sz w:val="20"/>
                <w:szCs w:val="20"/>
              </w:rPr>
            </w:pPr>
            <w:r w:rsidRPr="00005CB1">
              <w:rPr>
                <w:rFonts w:ascii="Arial" w:eastAsia="HelenPro-Regular" w:hAnsi="Arial" w:cs="Arial"/>
                <w:sz w:val="20"/>
                <w:szCs w:val="20"/>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A82A92" w:rsidRPr="00005CB1" w:rsidRDefault="00005CB1" w:rsidP="00005CB1">
            <w:pPr>
              <w:pStyle w:val="ListParagraph"/>
              <w:numPr>
                <w:ilvl w:val="0"/>
                <w:numId w:val="16"/>
              </w:numPr>
              <w:autoSpaceDE w:val="0"/>
              <w:autoSpaceDN w:val="0"/>
              <w:adjustRightInd w:val="0"/>
              <w:contextualSpacing w:val="0"/>
              <w:rPr>
                <w:rFonts w:eastAsia="HelenPro-Regular"/>
              </w:rPr>
            </w:pPr>
            <w:r w:rsidRPr="00005CB1">
              <w:rPr>
                <w:rFonts w:ascii="Arial" w:eastAsia="HelenPro-Regular" w:hAnsi="Arial" w:cs="Arial"/>
                <w:sz w:val="20"/>
                <w:szCs w:val="20"/>
              </w:rPr>
              <w:t xml:space="preserve">Heterophilic antibodies in human serum can react with reagent immunoglobulins, interfering with </w:t>
            </w:r>
            <w:r w:rsidRPr="00005CB1">
              <w:rPr>
                <w:rFonts w:ascii="Arial" w:eastAsia="HelenPro-Bold" w:hAnsi="Arial" w:cs="Arial"/>
                <w:i/>
                <w:iCs/>
                <w:sz w:val="20"/>
                <w:szCs w:val="20"/>
              </w:rPr>
              <w:t xml:space="preserve">in vitro </w:t>
            </w:r>
            <w:r w:rsidRPr="00005CB1">
              <w:rPr>
                <w:rFonts w:ascii="Arial" w:eastAsia="HelenPro-Regular" w:hAnsi="Arial" w:cs="Arial"/>
                <w:sz w:val="20"/>
                <w:szCs w:val="20"/>
              </w:rPr>
              <w:t>immunoassays. Patients routinely exposed to animals or to animal serum products can be prone to this interference and anomalous results may be observed. Additional information may be required for diagnosis.</w:t>
            </w:r>
          </w:p>
        </w:tc>
      </w:tr>
      <w:tr w:rsidR="00005CB1" w:rsidTr="00D120DB">
        <w:trPr>
          <w:cantSplit/>
          <w:trHeight w:val="1944"/>
          <w:tblHeader/>
        </w:trPr>
        <w:tc>
          <w:tcPr>
            <w:tcW w:w="2160" w:type="dxa"/>
            <w:tcBorders>
              <w:top w:val="single" w:sz="18" w:space="0" w:color="A6A6A6" w:themeColor="background1" w:themeShade="A6"/>
              <w:bottom w:val="single" w:sz="18" w:space="0" w:color="A6A6A6" w:themeColor="background1" w:themeShade="A6"/>
            </w:tcBorders>
          </w:tcPr>
          <w:p w:rsidR="00005CB1" w:rsidRDefault="00005CB1">
            <w:pPr>
              <w:rPr>
                <w:rFonts w:cs="Arial"/>
                <w:b/>
                <w:bCs/>
                <w:color w:val="0000FF"/>
              </w:rPr>
            </w:pPr>
            <w:r>
              <w:rPr>
                <w:rFonts w:cs="Arial"/>
                <w:b/>
                <w:bCs/>
                <w:color w:val="0000FF"/>
              </w:rPr>
              <w:lastRenderedPageBreak/>
              <w:t>Limita</w:t>
            </w:r>
            <w:r w:rsidR="00F07A1B">
              <w:rPr>
                <w:rFonts w:cs="Arial"/>
                <w:b/>
                <w:bCs/>
                <w:color w:val="0000FF"/>
              </w:rPr>
              <w:t>tions of the Procedure (Cont.)</w:t>
            </w:r>
          </w:p>
        </w:tc>
        <w:tc>
          <w:tcPr>
            <w:tcW w:w="8910" w:type="dxa"/>
            <w:tcBorders>
              <w:top w:val="single" w:sz="18" w:space="0" w:color="A6A6A6" w:themeColor="background1" w:themeShade="A6"/>
              <w:bottom w:val="single" w:sz="18" w:space="0" w:color="A6A6A6" w:themeColor="background1" w:themeShade="A6"/>
            </w:tcBorders>
            <w:vAlign w:val="center"/>
          </w:tcPr>
          <w:p w:rsidR="00005CB1" w:rsidRPr="00005CB1" w:rsidRDefault="00005CB1" w:rsidP="00005CB1">
            <w:pPr>
              <w:pStyle w:val="ListParagraph"/>
              <w:numPr>
                <w:ilvl w:val="0"/>
                <w:numId w:val="28"/>
              </w:numPr>
              <w:autoSpaceDE w:val="0"/>
              <w:autoSpaceDN w:val="0"/>
              <w:adjustRightInd w:val="0"/>
              <w:rPr>
                <w:rFonts w:ascii="Arial" w:eastAsia="HelenPro-Regular" w:hAnsi="Arial" w:cs="Arial"/>
                <w:sz w:val="20"/>
                <w:szCs w:val="20"/>
              </w:rPr>
            </w:pPr>
            <w:r w:rsidRPr="00005CB1">
              <w:rPr>
                <w:rFonts w:ascii="Arial" w:eastAsia="HelenPro-Regular" w:hAnsi="Arial" w:cs="Arial"/>
                <w:sz w:val="20"/>
                <w:szCs w:val="20"/>
              </w:rPr>
              <w:t>The effectiveness of the ARCHITECT HBsAg Qualitative assay for use in screening blood, , or tissue donors has not been established.</w:t>
            </w:r>
          </w:p>
          <w:p w:rsidR="00005CB1" w:rsidRPr="00005CB1" w:rsidRDefault="00005CB1" w:rsidP="00005CB1">
            <w:pPr>
              <w:pStyle w:val="ListParagraph"/>
              <w:numPr>
                <w:ilvl w:val="0"/>
                <w:numId w:val="28"/>
              </w:numPr>
              <w:autoSpaceDE w:val="0"/>
              <w:autoSpaceDN w:val="0"/>
              <w:adjustRightInd w:val="0"/>
              <w:rPr>
                <w:rFonts w:ascii="Arial" w:eastAsia="HelenPro-Regular" w:hAnsi="Arial" w:cs="Arial"/>
                <w:sz w:val="20"/>
                <w:szCs w:val="20"/>
              </w:rPr>
            </w:pPr>
            <w:r w:rsidRPr="00005CB1">
              <w:rPr>
                <w:rFonts w:ascii="Arial" w:eastAsia="HelenPro-Regular" w:hAnsi="Arial" w:cs="Arial"/>
                <w:sz w:val="20"/>
                <w:szCs w:val="20"/>
              </w:rPr>
              <w:t xml:space="preserve">Assay performance characteristics have not been established when the ARCHITECT HBsAg Qualitative assay is used in conjunction with other manufacturers’ assays for specific HBV markers. </w:t>
            </w:r>
          </w:p>
          <w:p w:rsidR="00005CB1" w:rsidRPr="00005CB1" w:rsidRDefault="00005CB1" w:rsidP="00005CB1">
            <w:pPr>
              <w:pStyle w:val="ListParagraph"/>
              <w:numPr>
                <w:ilvl w:val="0"/>
                <w:numId w:val="28"/>
              </w:numPr>
              <w:autoSpaceDE w:val="0"/>
              <w:autoSpaceDN w:val="0"/>
              <w:adjustRightInd w:val="0"/>
              <w:rPr>
                <w:rFonts w:ascii="Arial" w:eastAsia="HelenPro-Regular" w:hAnsi="Arial" w:cs="Arial"/>
                <w:sz w:val="20"/>
                <w:szCs w:val="20"/>
              </w:rPr>
            </w:pPr>
            <w:r w:rsidRPr="00005CB1">
              <w:rPr>
                <w:rFonts w:ascii="Arial" w:eastAsia="HelenPro-Regular" w:hAnsi="Arial" w:cs="Arial"/>
                <w:sz w:val="20"/>
                <w:szCs w:val="20"/>
              </w:rPr>
              <w:t>Current methods for the detection of hepatitis B surface antigen may not detect all potentially infected individuals. A nonreactive test result does not exclude the possibility of exposure to or infection with hepatitis B virus. A nonreactive test result in individuals with prior exposure to hepatitis B may be due to antigen levels below the detection limit of this assay or lack of antigen reactivity to the antibodies in this assay.</w:t>
            </w:r>
          </w:p>
          <w:p w:rsidR="00005CB1" w:rsidRPr="00005CB1" w:rsidRDefault="00005CB1" w:rsidP="00005CB1">
            <w:pPr>
              <w:pStyle w:val="ListParagraph"/>
              <w:numPr>
                <w:ilvl w:val="0"/>
                <w:numId w:val="28"/>
              </w:numPr>
              <w:autoSpaceDE w:val="0"/>
              <w:autoSpaceDN w:val="0"/>
              <w:adjustRightInd w:val="0"/>
              <w:rPr>
                <w:rFonts w:ascii="Arial" w:eastAsia="HelenPro-Regular" w:hAnsi="Arial" w:cs="Arial"/>
                <w:sz w:val="20"/>
                <w:szCs w:val="20"/>
              </w:rPr>
            </w:pPr>
            <w:r w:rsidRPr="00005CB1">
              <w:rPr>
                <w:rFonts w:ascii="Arial" w:eastAsia="HelenPro-Regular" w:hAnsi="Arial" w:cs="Arial"/>
                <w:sz w:val="20"/>
                <w:szCs w:val="20"/>
              </w:rPr>
              <w:t>If the ARCHITECT HBsAg Qualitative results are inconsistent with clinical evidence, additional testing is suggested to confirm the result.</w:t>
            </w:r>
          </w:p>
          <w:p w:rsidR="00005CB1" w:rsidRPr="00005CB1" w:rsidRDefault="00005CB1" w:rsidP="00005CB1">
            <w:pPr>
              <w:pStyle w:val="ListParagraph"/>
              <w:numPr>
                <w:ilvl w:val="0"/>
                <w:numId w:val="28"/>
              </w:numPr>
              <w:autoSpaceDE w:val="0"/>
              <w:autoSpaceDN w:val="0"/>
              <w:adjustRightInd w:val="0"/>
              <w:rPr>
                <w:rFonts w:ascii="Arial" w:eastAsia="HelenPro-Regular" w:hAnsi="Arial" w:cs="Arial"/>
                <w:sz w:val="20"/>
                <w:szCs w:val="20"/>
              </w:rPr>
            </w:pPr>
            <w:r w:rsidRPr="00005CB1">
              <w:rPr>
                <w:rFonts w:ascii="Arial" w:eastAsia="HelenPro-Regular" w:hAnsi="Arial" w:cs="Arial"/>
                <w:sz w:val="20"/>
                <w:szCs w:val="20"/>
              </w:rPr>
              <w:t>For diagnostic purposes, results should be used in conjunction with patient history and other hepatitis markers for diagnosis of acute and chronic infection.</w:t>
            </w:r>
          </w:p>
          <w:p w:rsidR="00005CB1" w:rsidRPr="00005CB1" w:rsidRDefault="00005CB1" w:rsidP="00005CB1">
            <w:pPr>
              <w:pStyle w:val="ListParagraph"/>
              <w:numPr>
                <w:ilvl w:val="0"/>
                <w:numId w:val="28"/>
              </w:numPr>
              <w:autoSpaceDE w:val="0"/>
              <w:autoSpaceDN w:val="0"/>
              <w:adjustRightInd w:val="0"/>
              <w:rPr>
                <w:rFonts w:ascii="Arial" w:eastAsia="HelenPro-Regular" w:hAnsi="Arial" w:cs="Arial"/>
                <w:sz w:val="20"/>
                <w:szCs w:val="20"/>
              </w:rPr>
            </w:pPr>
            <w:r w:rsidRPr="00005CB1">
              <w:rPr>
                <w:rFonts w:ascii="Arial" w:eastAsia="HelenPro-Regular" w:hAnsi="Arial" w:cs="Arial"/>
                <w:sz w:val="20"/>
                <w:szCs w:val="20"/>
              </w:rPr>
              <w:t>Results obtained with the ARCHITECT HBsAg Qualitative assay may not be used interchangeably with values obtained with different manufacturers’ assay methods.</w:t>
            </w:r>
          </w:p>
          <w:p w:rsidR="00005CB1" w:rsidRPr="00005CB1" w:rsidRDefault="00005CB1" w:rsidP="00005CB1">
            <w:pPr>
              <w:pStyle w:val="ListParagraph"/>
              <w:numPr>
                <w:ilvl w:val="0"/>
                <w:numId w:val="28"/>
              </w:numPr>
              <w:autoSpaceDE w:val="0"/>
              <w:autoSpaceDN w:val="0"/>
              <w:adjustRightInd w:val="0"/>
              <w:rPr>
                <w:rFonts w:ascii="Arial" w:eastAsia="HelenPro-Regular" w:hAnsi="Arial" w:cs="Arial"/>
                <w:sz w:val="20"/>
                <w:szCs w:val="20"/>
              </w:rPr>
            </w:pPr>
            <w:r w:rsidRPr="00005CB1">
              <w:rPr>
                <w:rFonts w:ascii="Arial" w:eastAsia="HelenPro-Regular" w:hAnsi="Arial" w:cs="Arial"/>
                <w:sz w:val="20"/>
                <w:szCs w:val="20"/>
              </w:rPr>
              <w:t>A reactive HBsAg result does not exclude co-infection by another hepatitis virus.</w:t>
            </w:r>
          </w:p>
          <w:p w:rsidR="00005CB1" w:rsidRPr="00E63CB7" w:rsidRDefault="00005CB1" w:rsidP="005512C0">
            <w:pPr>
              <w:pStyle w:val="Default"/>
              <w:jc w:val="both"/>
              <w:rPr>
                <w:rFonts w:ascii="Arial" w:hAnsi="Arial" w:cs="Arial"/>
                <w:color w:val="auto"/>
                <w:sz w:val="20"/>
                <w:szCs w:val="20"/>
              </w:rPr>
            </w:pPr>
          </w:p>
        </w:tc>
      </w:tr>
      <w:tr w:rsidR="008C6EDC" w:rsidTr="00975EFB">
        <w:trPr>
          <w:trHeight w:val="1044"/>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Pr="004D6965" w:rsidRDefault="008C6EDC" w:rsidP="008C6EDC">
            <w:pPr>
              <w:jc w:val="both"/>
              <w:rPr>
                <w:rFonts w:cs="Arial"/>
                <w:b/>
                <w:bCs/>
                <w:color w:val="0000FF"/>
              </w:rPr>
            </w:pPr>
            <w:r>
              <w:rPr>
                <w:rFonts w:cs="Arial"/>
                <w:b/>
                <w:bCs/>
                <w:color w:val="0000FF"/>
              </w:rPr>
              <w:t>Reference Range</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jc w:val="both"/>
              <w:rPr>
                <w:rFonts w:cs="Arial"/>
              </w:rPr>
            </w:pPr>
          </w:p>
          <w:tbl>
            <w:tblPr>
              <w:tblStyle w:val="TableGrid"/>
              <w:tblW w:w="0" w:type="auto"/>
              <w:tblLayout w:type="fixed"/>
              <w:tblLook w:val="04A0"/>
            </w:tblPr>
            <w:tblGrid>
              <w:gridCol w:w="2684"/>
              <w:gridCol w:w="5730"/>
            </w:tblGrid>
            <w:tr w:rsidR="00D20601" w:rsidTr="00D20601">
              <w:trPr>
                <w:trHeight w:val="249"/>
              </w:trPr>
              <w:tc>
                <w:tcPr>
                  <w:tcW w:w="2684" w:type="dxa"/>
                </w:tcPr>
                <w:p w:rsidR="00D20601" w:rsidRPr="00D20601" w:rsidRDefault="00D20601" w:rsidP="00D20601">
                  <w:pPr>
                    <w:jc w:val="both"/>
                    <w:rPr>
                      <w:rFonts w:cs="Arial"/>
                      <w:b/>
                    </w:rPr>
                  </w:pPr>
                  <w:r w:rsidRPr="00D20601">
                    <w:rPr>
                      <w:rFonts w:cs="Arial"/>
                      <w:b/>
                    </w:rPr>
                    <w:t>Numerical Value</w:t>
                  </w:r>
                </w:p>
              </w:tc>
              <w:tc>
                <w:tcPr>
                  <w:tcW w:w="5730" w:type="dxa"/>
                </w:tcPr>
                <w:p w:rsidR="00D20601" w:rsidRPr="00D20601" w:rsidRDefault="0045274F" w:rsidP="00D20601">
                  <w:pPr>
                    <w:jc w:val="both"/>
                    <w:rPr>
                      <w:rFonts w:cs="Arial"/>
                      <w:b/>
                    </w:rPr>
                  </w:pPr>
                  <w:r w:rsidRPr="00D20601">
                    <w:rPr>
                      <w:rFonts w:cs="Arial"/>
                      <w:b/>
                    </w:rPr>
                    <w:t>Interpretation</w:t>
                  </w:r>
                </w:p>
              </w:tc>
            </w:tr>
            <w:tr w:rsidR="00D20601" w:rsidTr="00D20601">
              <w:trPr>
                <w:trHeight w:val="249"/>
              </w:trPr>
              <w:tc>
                <w:tcPr>
                  <w:tcW w:w="2684" w:type="dxa"/>
                </w:tcPr>
                <w:p w:rsidR="00D20601" w:rsidRDefault="00D20601" w:rsidP="00D20601">
                  <w:pPr>
                    <w:jc w:val="both"/>
                    <w:rPr>
                      <w:rFonts w:cs="Arial"/>
                    </w:rPr>
                  </w:pPr>
                  <w:r>
                    <w:rPr>
                      <w:rFonts w:cs="Arial"/>
                    </w:rPr>
                    <w:t>&lt;1.0 IU/mL</w:t>
                  </w:r>
                </w:p>
              </w:tc>
              <w:tc>
                <w:tcPr>
                  <w:tcW w:w="5730" w:type="dxa"/>
                </w:tcPr>
                <w:p w:rsidR="00D20601" w:rsidRDefault="00D20601" w:rsidP="00D20601">
                  <w:pPr>
                    <w:jc w:val="both"/>
                    <w:rPr>
                      <w:rFonts w:cs="Arial"/>
                    </w:rPr>
                  </w:pPr>
                  <w:r>
                    <w:rPr>
                      <w:rFonts w:cs="Arial"/>
                    </w:rPr>
                    <w:t>Negative</w:t>
                  </w:r>
                </w:p>
              </w:tc>
            </w:tr>
          </w:tbl>
          <w:p w:rsidR="001F2FF6" w:rsidRDefault="001F2FF6" w:rsidP="00D20601">
            <w:pPr>
              <w:jc w:val="both"/>
              <w:rPr>
                <w:rFonts w:cs="Arial"/>
              </w:rPr>
            </w:pPr>
          </w:p>
          <w:p w:rsidR="00D20601" w:rsidRDefault="00D20601" w:rsidP="00D20601">
            <w:pPr>
              <w:jc w:val="both"/>
              <w:rPr>
                <w:rFonts w:cs="Arial"/>
              </w:rPr>
            </w:pPr>
          </w:p>
        </w:tc>
      </w:tr>
      <w:tr w:rsidR="008C6EDC" w:rsidTr="00D120DB">
        <w:trPr>
          <w:trHeight w:val="701"/>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Critical Values</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rPr>
            </w:pPr>
            <w:r>
              <w:rPr>
                <w:rFonts w:cs="Arial"/>
              </w:rPr>
              <w:t>None specified</w:t>
            </w:r>
          </w:p>
        </w:tc>
      </w:tr>
      <w:tr w:rsidR="00B816B4" w:rsidTr="00D120DB">
        <w:trPr>
          <w:trHeight w:val="86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rPr>
                <w:rFonts w:cs="Arial"/>
                <w:b/>
                <w:bCs/>
                <w:color w:val="0000FF"/>
              </w:rPr>
            </w:pPr>
          </w:p>
          <w:p w:rsidR="00B816B4" w:rsidRDefault="00B816B4" w:rsidP="008C6EDC">
            <w:pPr>
              <w:rPr>
                <w:rFonts w:cs="Arial"/>
                <w:b/>
                <w:bCs/>
                <w:color w:val="0000FF"/>
              </w:rPr>
            </w:pPr>
            <w:r>
              <w:rPr>
                <w:rFonts w:cs="Arial"/>
                <w:b/>
                <w:bCs/>
                <w:color w:val="0000FF"/>
              </w:rPr>
              <w:t>Dilutions</w:t>
            </w:r>
          </w:p>
          <w:p w:rsidR="00B816B4" w:rsidRDefault="00B816B4"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B816B4" w:rsidRPr="00C77940" w:rsidRDefault="007E0514" w:rsidP="003571BD">
            <w:pPr>
              <w:pStyle w:val="CalVerTable"/>
              <w:ind w:left="0" w:firstLine="0"/>
              <w:rPr>
                <w:rFonts w:ascii="Arial" w:hAnsi="Arial" w:cs="Arial"/>
              </w:rPr>
            </w:pPr>
            <w:r>
              <w:rPr>
                <w:rFonts w:ascii="Arial" w:hAnsi="Arial" w:cs="Arial"/>
              </w:rPr>
              <w:t>Do not dilute.</w:t>
            </w:r>
          </w:p>
        </w:tc>
      </w:tr>
      <w:tr w:rsidR="008C6EDC" w:rsidTr="00F07A1B">
        <w:trPr>
          <w:trHeight w:val="10674"/>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Result Reporting</w:t>
            </w:r>
          </w:p>
          <w:p w:rsidR="008C6EDC" w:rsidRDefault="008C6EDC"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D43880" w:rsidRPr="00A459CC" w:rsidRDefault="001A4ACF" w:rsidP="00D43880">
            <w:pPr>
              <w:pStyle w:val="NoSpacing"/>
              <w:rPr>
                <w:rFonts w:ascii="Arial" w:hAnsi="Arial" w:cs="Arial"/>
                <w:sz w:val="20"/>
                <w:szCs w:val="20"/>
              </w:rPr>
            </w:pPr>
            <w:r>
              <w:rPr>
                <w:rFonts w:ascii="Arial" w:eastAsia="Times New Roman" w:hAnsi="Arial" w:cs="Arial"/>
                <w:sz w:val="20"/>
                <w:szCs w:val="24"/>
                <w:lang w:bidi="ar-SA"/>
              </w:rPr>
              <w:t xml:space="preserve">Results will cross the interface into OEM for Architect method code AI1.  </w:t>
            </w:r>
            <w:r w:rsidR="00D43880" w:rsidRPr="00A459CC">
              <w:rPr>
                <w:rFonts w:ascii="Arial" w:hAnsi="Arial" w:cs="Arial"/>
                <w:sz w:val="20"/>
                <w:szCs w:val="20"/>
              </w:rPr>
              <w:t xml:space="preserve">Each result will have the comment “Check procedure for repeat and interpretation protocol.”  Use the ARCHITECT </w:t>
            </w:r>
            <w:r w:rsidR="00D43880">
              <w:rPr>
                <w:rFonts w:ascii="Arial" w:hAnsi="Arial" w:cs="Arial"/>
                <w:sz w:val="20"/>
                <w:szCs w:val="20"/>
              </w:rPr>
              <w:t xml:space="preserve">HBsAg </w:t>
            </w:r>
            <w:r w:rsidR="0045274F">
              <w:rPr>
                <w:rFonts w:ascii="Arial" w:hAnsi="Arial" w:cs="Arial"/>
                <w:sz w:val="20"/>
                <w:szCs w:val="20"/>
              </w:rPr>
              <w:t xml:space="preserve"> Interpretation chart </w:t>
            </w:r>
            <w:r w:rsidR="00D43880" w:rsidRPr="00A459CC">
              <w:rPr>
                <w:rFonts w:ascii="Arial" w:hAnsi="Arial" w:cs="Arial"/>
                <w:sz w:val="20"/>
                <w:szCs w:val="20"/>
              </w:rPr>
              <w:t>bel</w:t>
            </w:r>
            <w:r w:rsidR="0045274F">
              <w:rPr>
                <w:rFonts w:ascii="Arial" w:hAnsi="Arial" w:cs="Arial"/>
                <w:sz w:val="20"/>
                <w:szCs w:val="20"/>
              </w:rPr>
              <w:t>ow</w:t>
            </w:r>
            <w:r>
              <w:rPr>
                <w:rFonts w:ascii="Arial" w:hAnsi="Arial" w:cs="Arial"/>
                <w:sz w:val="20"/>
                <w:szCs w:val="20"/>
              </w:rPr>
              <w:t xml:space="preserve"> to determine if repeat testing is required</w:t>
            </w:r>
            <w:r w:rsidR="00D43880" w:rsidRPr="00A459CC">
              <w:rPr>
                <w:rFonts w:ascii="Arial" w:hAnsi="Arial" w:cs="Arial"/>
                <w:sz w:val="20"/>
                <w:szCs w:val="20"/>
              </w:rPr>
              <w:t>.  If a repeat test is not needed</w:t>
            </w:r>
            <w:r>
              <w:rPr>
                <w:rFonts w:ascii="Arial" w:hAnsi="Arial" w:cs="Arial"/>
                <w:sz w:val="20"/>
                <w:szCs w:val="20"/>
              </w:rPr>
              <w:t xml:space="preserve"> (</w:t>
            </w:r>
            <w:r w:rsidR="0045274F">
              <w:rPr>
                <w:rFonts w:ascii="Arial" w:hAnsi="Arial" w:cs="Arial"/>
                <w:sz w:val="20"/>
                <w:szCs w:val="20"/>
              </w:rPr>
              <w:t>i.e.</w:t>
            </w:r>
            <w:r>
              <w:rPr>
                <w:rFonts w:ascii="Arial" w:hAnsi="Arial" w:cs="Arial"/>
                <w:sz w:val="20"/>
                <w:szCs w:val="20"/>
              </w:rPr>
              <w:t xml:space="preserve"> result is nonreactive)</w:t>
            </w:r>
            <w:r w:rsidR="00D43880" w:rsidRPr="00A459CC">
              <w:rPr>
                <w:rFonts w:ascii="Arial" w:hAnsi="Arial" w:cs="Arial"/>
                <w:sz w:val="20"/>
                <w:szCs w:val="20"/>
              </w:rPr>
              <w:t xml:space="preserve">, manually accept the Sunquest result. </w:t>
            </w:r>
          </w:p>
          <w:p w:rsidR="00D43880" w:rsidRPr="00A459CC" w:rsidRDefault="00D43880" w:rsidP="00D43880">
            <w:pPr>
              <w:pStyle w:val="NoSpacing"/>
              <w:rPr>
                <w:rFonts w:ascii="Arial" w:hAnsi="Arial" w:cs="Arial"/>
                <w:sz w:val="20"/>
                <w:szCs w:val="20"/>
              </w:rPr>
            </w:pPr>
          </w:p>
          <w:p w:rsidR="00D43880" w:rsidRPr="00A459CC" w:rsidRDefault="00D43880" w:rsidP="00D43880">
            <w:pPr>
              <w:pStyle w:val="NoSpacing"/>
              <w:rPr>
                <w:rFonts w:ascii="Arial" w:hAnsi="Arial" w:cs="Arial"/>
                <w:sz w:val="20"/>
                <w:szCs w:val="20"/>
              </w:rPr>
            </w:pPr>
            <w:r w:rsidRPr="00A459CC">
              <w:rPr>
                <w:rFonts w:ascii="Arial" w:hAnsi="Arial" w:cs="Arial"/>
                <w:b/>
                <w:sz w:val="20"/>
                <w:szCs w:val="20"/>
              </w:rPr>
              <w:t>If retesting is required</w:t>
            </w:r>
            <w:r w:rsidRPr="00A459CC">
              <w:rPr>
                <w:rFonts w:ascii="Arial" w:hAnsi="Arial" w:cs="Arial"/>
                <w:sz w:val="20"/>
                <w:szCs w:val="20"/>
              </w:rPr>
              <w:t xml:space="preserve"> </w:t>
            </w:r>
            <w:r>
              <w:rPr>
                <w:rFonts w:ascii="Arial" w:hAnsi="Arial" w:cs="Arial"/>
                <w:sz w:val="20"/>
                <w:szCs w:val="20"/>
              </w:rPr>
              <w:t>:</w:t>
            </w:r>
          </w:p>
          <w:p w:rsidR="00D43880" w:rsidRPr="00A459CC" w:rsidRDefault="00D43880" w:rsidP="00D43880">
            <w:pPr>
              <w:pStyle w:val="NoSpacing"/>
              <w:numPr>
                <w:ilvl w:val="0"/>
                <w:numId w:val="29"/>
              </w:numPr>
              <w:rPr>
                <w:rFonts w:ascii="Arial" w:hAnsi="Arial" w:cs="Arial"/>
                <w:sz w:val="20"/>
                <w:szCs w:val="20"/>
              </w:rPr>
            </w:pPr>
            <w:r w:rsidRPr="00A459CC">
              <w:rPr>
                <w:rFonts w:ascii="Arial" w:hAnsi="Arial" w:cs="Arial"/>
                <w:sz w:val="20"/>
                <w:szCs w:val="20"/>
              </w:rPr>
              <w:t>Take specimen off the analyzer and check for clots, red cells, or other particulate ma</w:t>
            </w:r>
            <w:r>
              <w:rPr>
                <w:rFonts w:ascii="Arial" w:hAnsi="Arial" w:cs="Arial"/>
                <w:sz w:val="20"/>
                <w:szCs w:val="20"/>
              </w:rPr>
              <w:t xml:space="preserve">tter. </w:t>
            </w:r>
            <w:r w:rsidR="0045274F">
              <w:rPr>
                <w:rFonts w:ascii="Arial" w:hAnsi="Arial" w:cs="Arial"/>
                <w:b/>
                <w:sz w:val="20"/>
                <w:szCs w:val="20"/>
              </w:rPr>
              <w:t>Recentri</w:t>
            </w:r>
            <w:r w:rsidRPr="00D169AE">
              <w:rPr>
                <w:rFonts w:ascii="Arial" w:hAnsi="Arial" w:cs="Arial"/>
                <w:b/>
                <w:sz w:val="20"/>
                <w:szCs w:val="20"/>
              </w:rPr>
              <w:t>fuge if necessary.</w:t>
            </w:r>
          </w:p>
          <w:p w:rsidR="00D43880" w:rsidRPr="00A459CC" w:rsidRDefault="00D43880" w:rsidP="00D43880">
            <w:pPr>
              <w:pStyle w:val="NoSpacing"/>
              <w:numPr>
                <w:ilvl w:val="0"/>
                <w:numId w:val="29"/>
              </w:numPr>
              <w:rPr>
                <w:rFonts w:ascii="Arial" w:hAnsi="Arial" w:cs="Arial"/>
                <w:sz w:val="20"/>
                <w:szCs w:val="20"/>
              </w:rPr>
            </w:pPr>
            <w:r w:rsidRPr="00A459CC">
              <w:rPr>
                <w:rFonts w:ascii="Arial" w:hAnsi="Arial" w:cs="Arial"/>
                <w:sz w:val="20"/>
                <w:szCs w:val="20"/>
              </w:rPr>
              <w:t xml:space="preserve">Manually order the specimen </w:t>
            </w:r>
            <w:r w:rsidRPr="00D169AE">
              <w:rPr>
                <w:rFonts w:ascii="Arial" w:hAnsi="Arial" w:cs="Arial"/>
                <w:b/>
                <w:sz w:val="20"/>
                <w:szCs w:val="20"/>
              </w:rPr>
              <w:t>in duplicate</w:t>
            </w:r>
            <w:r w:rsidRPr="00A459CC">
              <w:rPr>
                <w:rFonts w:ascii="Arial" w:hAnsi="Arial" w:cs="Arial"/>
                <w:sz w:val="20"/>
                <w:szCs w:val="20"/>
              </w:rPr>
              <w:t xml:space="preserve"> with an </w:t>
            </w:r>
            <w:r>
              <w:rPr>
                <w:rFonts w:ascii="Arial" w:hAnsi="Arial" w:cs="Arial"/>
                <w:sz w:val="20"/>
                <w:szCs w:val="20"/>
              </w:rPr>
              <w:t>‘</w:t>
            </w:r>
            <w:r w:rsidRPr="00A459CC">
              <w:rPr>
                <w:rFonts w:ascii="Arial" w:hAnsi="Arial" w:cs="Arial"/>
                <w:sz w:val="20"/>
                <w:szCs w:val="20"/>
              </w:rPr>
              <w:t>R</w:t>
            </w:r>
            <w:r>
              <w:rPr>
                <w:rFonts w:ascii="Arial" w:hAnsi="Arial" w:cs="Arial"/>
                <w:sz w:val="20"/>
                <w:szCs w:val="20"/>
              </w:rPr>
              <w:t>’</w:t>
            </w:r>
            <w:r w:rsidRPr="00A459CC">
              <w:rPr>
                <w:rFonts w:ascii="Arial" w:hAnsi="Arial" w:cs="Arial"/>
                <w:sz w:val="20"/>
                <w:szCs w:val="20"/>
              </w:rPr>
              <w:t xml:space="preserve"> in front of the accession number</w:t>
            </w:r>
            <w:r>
              <w:rPr>
                <w:rFonts w:ascii="Arial" w:hAnsi="Arial" w:cs="Arial"/>
                <w:sz w:val="20"/>
                <w:szCs w:val="20"/>
              </w:rPr>
              <w:t xml:space="preserve"> to signify the accession number that crosses OEM is a retest.</w:t>
            </w:r>
            <w:r w:rsidR="001A4ACF">
              <w:rPr>
                <w:rFonts w:ascii="Arial" w:hAnsi="Arial" w:cs="Arial"/>
                <w:sz w:val="20"/>
                <w:szCs w:val="20"/>
              </w:rPr>
              <w:t xml:space="preserve"> </w:t>
            </w:r>
            <w:r>
              <w:rPr>
                <w:rFonts w:ascii="Arial" w:hAnsi="Arial" w:cs="Arial"/>
                <w:sz w:val="20"/>
                <w:szCs w:val="20"/>
              </w:rPr>
              <w:t xml:space="preserve"> </w:t>
            </w:r>
            <w:r w:rsidR="001A4ACF">
              <w:rPr>
                <w:rFonts w:ascii="Arial" w:hAnsi="Arial" w:cs="Arial"/>
                <w:sz w:val="20"/>
                <w:szCs w:val="20"/>
              </w:rPr>
              <w:t xml:space="preserve">For </w:t>
            </w:r>
            <w:r w:rsidRPr="00A459CC">
              <w:rPr>
                <w:rFonts w:ascii="Arial" w:hAnsi="Arial" w:cs="Arial"/>
                <w:sz w:val="20"/>
                <w:szCs w:val="20"/>
              </w:rPr>
              <w:t>example</w:t>
            </w:r>
            <w:r w:rsidR="001A4ACF">
              <w:rPr>
                <w:rFonts w:ascii="Arial" w:hAnsi="Arial" w:cs="Arial"/>
                <w:sz w:val="20"/>
                <w:szCs w:val="20"/>
              </w:rPr>
              <w:t>, accession number “H111”</w:t>
            </w:r>
            <w:r w:rsidRPr="00A459CC">
              <w:rPr>
                <w:rFonts w:ascii="Arial" w:hAnsi="Arial" w:cs="Arial"/>
                <w:sz w:val="20"/>
                <w:szCs w:val="20"/>
              </w:rPr>
              <w:t xml:space="preserve"> </w:t>
            </w:r>
            <w:r>
              <w:rPr>
                <w:rFonts w:ascii="Arial" w:hAnsi="Arial" w:cs="Arial"/>
                <w:sz w:val="20"/>
                <w:szCs w:val="20"/>
              </w:rPr>
              <w:t xml:space="preserve"> would be</w:t>
            </w:r>
            <w:r w:rsidR="001A4ACF">
              <w:rPr>
                <w:rFonts w:ascii="Arial" w:hAnsi="Arial" w:cs="Arial"/>
                <w:sz w:val="20"/>
                <w:szCs w:val="20"/>
              </w:rPr>
              <w:t xml:space="preserve"> manually ordered on the Architect as “</w:t>
            </w:r>
            <w:r w:rsidRPr="00A459CC">
              <w:rPr>
                <w:rFonts w:ascii="Arial" w:hAnsi="Arial" w:cs="Arial"/>
                <w:sz w:val="20"/>
                <w:szCs w:val="20"/>
              </w:rPr>
              <w:t>RH111</w:t>
            </w:r>
            <w:r w:rsidR="001A4ACF">
              <w:rPr>
                <w:rFonts w:ascii="Arial" w:hAnsi="Arial" w:cs="Arial"/>
                <w:sz w:val="20"/>
                <w:szCs w:val="20"/>
              </w:rPr>
              <w:t>” with two replicates.</w:t>
            </w:r>
          </w:p>
          <w:p w:rsidR="00D43880" w:rsidRPr="00A459CC" w:rsidRDefault="00D43880" w:rsidP="00D43880">
            <w:pPr>
              <w:pStyle w:val="NoSpacing"/>
              <w:numPr>
                <w:ilvl w:val="0"/>
                <w:numId w:val="29"/>
              </w:numPr>
              <w:rPr>
                <w:rFonts w:ascii="Arial" w:hAnsi="Arial" w:cs="Arial"/>
                <w:sz w:val="20"/>
                <w:szCs w:val="20"/>
              </w:rPr>
            </w:pPr>
            <w:r w:rsidRPr="00A459CC">
              <w:rPr>
                <w:rFonts w:ascii="Arial" w:hAnsi="Arial" w:cs="Arial"/>
                <w:sz w:val="20"/>
                <w:szCs w:val="20"/>
              </w:rPr>
              <w:t>When testing is complete</w:t>
            </w:r>
            <w:r>
              <w:rPr>
                <w:rFonts w:ascii="Arial" w:hAnsi="Arial" w:cs="Arial"/>
                <w:sz w:val="20"/>
                <w:szCs w:val="20"/>
              </w:rPr>
              <w:t>,</w:t>
            </w:r>
            <w:r w:rsidRPr="00A459CC">
              <w:rPr>
                <w:rFonts w:ascii="Arial" w:hAnsi="Arial" w:cs="Arial"/>
                <w:sz w:val="20"/>
                <w:szCs w:val="20"/>
              </w:rPr>
              <w:t xml:space="preserve"> both results will cross into Sunquest in two different cups.</w:t>
            </w:r>
          </w:p>
          <w:p w:rsidR="001A4ACF" w:rsidRPr="00E76CAC" w:rsidRDefault="001A4ACF" w:rsidP="001A4ACF">
            <w:pPr>
              <w:pStyle w:val="NoSpacing"/>
              <w:numPr>
                <w:ilvl w:val="0"/>
                <w:numId w:val="29"/>
              </w:numPr>
              <w:rPr>
                <w:rFonts w:ascii="Arial" w:hAnsi="Arial" w:cs="Arial"/>
                <w:sz w:val="20"/>
                <w:szCs w:val="20"/>
              </w:rPr>
            </w:pPr>
            <w:r w:rsidRPr="00E76CAC">
              <w:rPr>
                <w:rFonts w:ascii="Arial" w:hAnsi="Arial" w:cs="Arial"/>
                <w:sz w:val="20"/>
                <w:szCs w:val="20"/>
              </w:rPr>
              <w:t xml:space="preserve">To accept results in Sunquest, you will have to manually retype the correct accession number without the (R) for the result you wish to </w:t>
            </w:r>
            <w:r w:rsidRPr="00DA6C79">
              <w:rPr>
                <w:rFonts w:ascii="Arial" w:hAnsi="Arial" w:cs="Arial"/>
                <w:sz w:val="20"/>
                <w:szCs w:val="20"/>
              </w:rPr>
              <w:t>report</w:t>
            </w:r>
            <w:r>
              <w:rPr>
                <w:rFonts w:ascii="Arial" w:hAnsi="Arial" w:cs="Arial"/>
                <w:sz w:val="20"/>
                <w:szCs w:val="20"/>
              </w:rPr>
              <w:t xml:space="preserve"> in</w:t>
            </w:r>
            <w:r w:rsidRPr="00DA6C79">
              <w:rPr>
                <w:rFonts w:ascii="Arial" w:hAnsi="Arial" w:cs="Arial"/>
                <w:sz w:val="20"/>
                <w:szCs w:val="20"/>
              </w:rPr>
              <w:t xml:space="preserve"> OEM</w:t>
            </w:r>
            <w:r w:rsidRPr="00762D9A">
              <w:rPr>
                <w:rFonts w:ascii="Arial" w:hAnsi="Arial" w:cs="Arial"/>
                <w:color w:val="FF0000"/>
                <w:sz w:val="20"/>
                <w:szCs w:val="20"/>
              </w:rPr>
              <w:t>.</w:t>
            </w:r>
            <w:r>
              <w:rPr>
                <w:rFonts w:ascii="Arial" w:hAnsi="Arial" w:cs="Arial"/>
                <w:sz w:val="20"/>
                <w:szCs w:val="20"/>
              </w:rPr>
              <w:t xml:space="preserve"> </w:t>
            </w:r>
            <w:r w:rsidRPr="00E76CAC">
              <w:rPr>
                <w:rFonts w:ascii="Arial" w:hAnsi="Arial" w:cs="Arial"/>
                <w:sz w:val="20"/>
                <w:szCs w:val="20"/>
              </w:rPr>
              <w:t xml:space="preserve">Sunquest will ask CHANGE EXISTING ACCESSION NUMBER (Y/&lt;N&gt;).   Type Y then press ENTER to enter </w:t>
            </w:r>
            <w:r w:rsidR="0045274F">
              <w:rPr>
                <w:rFonts w:ascii="Arial" w:hAnsi="Arial" w:cs="Arial"/>
                <w:sz w:val="20"/>
                <w:szCs w:val="20"/>
              </w:rPr>
              <w:t>the accession number</w:t>
            </w:r>
            <w:r w:rsidRPr="00E76CAC">
              <w:rPr>
                <w:rFonts w:ascii="Arial" w:hAnsi="Arial" w:cs="Arial"/>
                <w:sz w:val="20"/>
                <w:szCs w:val="20"/>
              </w:rPr>
              <w:t xml:space="preserve"> you wish to report.</w:t>
            </w:r>
          </w:p>
          <w:p w:rsidR="00D43880" w:rsidRPr="001A4ACF" w:rsidRDefault="001A4ACF" w:rsidP="00D43880">
            <w:pPr>
              <w:pStyle w:val="NoSpacing"/>
              <w:numPr>
                <w:ilvl w:val="0"/>
                <w:numId w:val="29"/>
              </w:numPr>
              <w:rPr>
                <w:rFonts w:ascii="Arial" w:hAnsi="Arial" w:cs="Arial"/>
                <w:sz w:val="20"/>
                <w:szCs w:val="20"/>
              </w:rPr>
            </w:pPr>
            <w:r>
              <w:rPr>
                <w:rFonts w:ascii="Arial" w:hAnsi="Arial" w:cs="Arial"/>
                <w:b/>
                <w:sz w:val="20"/>
                <w:szCs w:val="20"/>
              </w:rPr>
              <w:t>*</w:t>
            </w:r>
            <w:r w:rsidR="00D43880" w:rsidRPr="00A459CC">
              <w:rPr>
                <w:rFonts w:ascii="Arial" w:hAnsi="Arial" w:cs="Arial"/>
                <w:b/>
                <w:sz w:val="20"/>
                <w:szCs w:val="20"/>
              </w:rPr>
              <w:t>Go to the analyzer and check results</w:t>
            </w:r>
            <w:r w:rsidR="00D43880">
              <w:rPr>
                <w:rFonts w:ascii="Arial" w:hAnsi="Arial" w:cs="Arial"/>
                <w:sz w:val="20"/>
                <w:szCs w:val="20"/>
              </w:rPr>
              <w:t>*</w:t>
            </w:r>
          </w:p>
          <w:p w:rsidR="00D43880" w:rsidRPr="005A3626" w:rsidRDefault="00D43880" w:rsidP="00D43880">
            <w:pPr>
              <w:pStyle w:val="NoSpacing"/>
              <w:numPr>
                <w:ilvl w:val="0"/>
                <w:numId w:val="29"/>
              </w:numPr>
              <w:rPr>
                <w:rFonts w:ascii="Arial" w:hAnsi="Arial" w:cs="Arial"/>
                <w:sz w:val="20"/>
                <w:szCs w:val="20"/>
              </w:rPr>
            </w:pPr>
            <w:r w:rsidRPr="005A3626">
              <w:rPr>
                <w:rFonts w:ascii="Arial" w:hAnsi="Arial" w:cs="Arial"/>
                <w:sz w:val="20"/>
                <w:szCs w:val="20"/>
              </w:rPr>
              <w:t>If both repeat tests are &lt;</w:t>
            </w:r>
            <w:r w:rsidR="00941F9A" w:rsidRPr="005A3626">
              <w:rPr>
                <w:rFonts w:ascii="Arial" w:hAnsi="Arial" w:cs="Arial"/>
                <w:sz w:val="20"/>
                <w:szCs w:val="20"/>
              </w:rPr>
              <w:t>1.00</w:t>
            </w:r>
            <w:r w:rsidRPr="005A3626">
              <w:rPr>
                <w:rFonts w:ascii="Arial" w:hAnsi="Arial" w:cs="Arial"/>
                <w:sz w:val="20"/>
                <w:szCs w:val="20"/>
              </w:rPr>
              <w:t xml:space="preserve"> (non rea</w:t>
            </w:r>
            <w:r w:rsidR="001A4ACF">
              <w:rPr>
                <w:rFonts w:ascii="Arial" w:hAnsi="Arial" w:cs="Arial"/>
                <w:sz w:val="20"/>
                <w:szCs w:val="20"/>
              </w:rPr>
              <w:t>ctive), then manually accept one of the</w:t>
            </w:r>
            <w:r w:rsidRPr="005A3626">
              <w:rPr>
                <w:rFonts w:ascii="Arial" w:hAnsi="Arial" w:cs="Arial"/>
                <w:sz w:val="20"/>
                <w:szCs w:val="20"/>
              </w:rPr>
              <w:t xml:space="preserve"> Sunquest result</w:t>
            </w:r>
            <w:r w:rsidR="001A4ACF">
              <w:rPr>
                <w:rFonts w:ascii="Arial" w:hAnsi="Arial" w:cs="Arial"/>
                <w:sz w:val="20"/>
                <w:szCs w:val="20"/>
              </w:rPr>
              <w:t>s</w:t>
            </w:r>
            <w:r w:rsidRPr="005A3626">
              <w:rPr>
                <w:rFonts w:ascii="Arial" w:hAnsi="Arial" w:cs="Arial"/>
                <w:sz w:val="20"/>
                <w:szCs w:val="20"/>
              </w:rPr>
              <w:t xml:space="preserve"> of nonreactive.</w:t>
            </w:r>
          </w:p>
          <w:p w:rsidR="00D43880" w:rsidRPr="00941F9A" w:rsidRDefault="00D43880" w:rsidP="00941F9A">
            <w:pPr>
              <w:pStyle w:val="NoSpacing"/>
              <w:numPr>
                <w:ilvl w:val="0"/>
                <w:numId w:val="29"/>
              </w:numPr>
              <w:rPr>
                <w:rFonts w:ascii="Arial" w:hAnsi="Arial" w:cs="Arial"/>
                <w:sz w:val="20"/>
                <w:szCs w:val="20"/>
              </w:rPr>
            </w:pPr>
            <w:r w:rsidRPr="005A3626">
              <w:rPr>
                <w:rFonts w:ascii="Arial" w:hAnsi="Arial" w:cs="Arial"/>
                <w:sz w:val="20"/>
                <w:szCs w:val="20"/>
              </w:rPr>
              <w:t>If both</w:t>
            </w:r>
            <w:r w:rsidR="00941F9A" w:rsidRPr="005A3626">
              <w:rPr>
                <w:rFonts w:ascii="Arial" w:hAnsi="Arial" w:cs="Arial"/>
                <w:sz w:val="20"/>
                <w:szCs w:val="20"/>
              </w:rPr>
              <w:t xml:space="preserve"> or one</w:t>
            </w:r>
            <w:r w:rsidRPr="005A3626">
              <w:rPr>
                <w:rFonts w:ascii="Arial" w:hAnsi="Arial" w:cs="Arial"/>
                <w:sz w:val="20"/>
                <w:szCs w:val="20"/>
              </w:rPr>
              <w:t xml:space="preserve"> of the repeat tests are ≥</w:t>
            </w:r>
            <w:r w:rsidR="00941F9A" w:rsidRPr="005A3626">
              <w:rPr>
                <w:rFonts w:ascii="Arial" w:hAnsi="Arial" w:cs="Arial"/>
                <w:sz w:val="20"/>
                <w:szCs w:val="20"/>
              </w:rPr>
              <w:t>1.00, accept the result of presumptive positive.  Confirmatory testing will refl</w:t>
            </w:r>
            <w:r w:rsidR="001A4ACF">
              <w:rPr>
                <w:rFonts w:ascii="Arial" w:hAnsi="Arial" w:cs="Arial"/>
                <w:sz w:val="20"/>
                <w:szCs w:val="20"/>
              </w:rPr>
              <w:t>e</w:t>
            </w:r>
            <w:r w:rsidR="00C40069" w:rsidRPr="005A3626">
              <w:rPr>
                <w:rFonts w:ascii="Arial" w:hAnsi="Arial" w:cs="Arial"/>
                <w:sz w:val="20"/>
                <w:szCs w:val="20"/>
              </w:rPr>
              <w:t xml:space="preserve">x to </w:t>
            </w:r>
            <w:r w:rsidR="0005786F" w:rsidRPr="005A3626">
              <w:rPr>
                <w:rFonts w:ascii="Arial" w:hAnsi="Arial" w:cs="Arial"/>
                <w:sz w:val="20"/>
                <w:szCs w:val="20"/>
              </w:rPr>
              <w:t xml:space="preserve">Mayo Medical Laboratories. </w:t>
            </w:r>
            <w:r w:rsidR="001A4ACF">
              <w:rPr>
                <w:rFonts w:ascii="Arial" w:hAnsi="Arial" w:cs="Arial"/>
                <w:sz w:val="20"/>
                <w:szCs w:val="20"/>
              </w:rPr>
              <w:t xml:space="preserve"> </w:t>
            </w:r>
            <w:r w:rsidR="0005786F" w:rsidRPr="005A3626">
              <w:rPr>
                <w:rFonts w:ascii="Arial" w:hAnsi="Arial" w:cs="Arial"/>
                <w:sz w:val="20"/>
                <w:szCs w:val="20"/>
              </w:rPr>
              <w:t>Mayo Medical Laboratories test HBAG will automatically reflex for confirmation and a label will print.  Place label on sample and place in the Send outs freezer for transport to MML</w:t>
            </w:r>
            <w:r w:rsidR="001A4ACF">
              <w:rPr>
                <w:rFonts w:ascii="Arial" w:hAnsi="Arial" w:cs="Arial"/>
                <w:sz w:val="20"/>
                <w:szCs w:val="20"/>
              </w:rPr>
              <w:t>.  For samples that are QNS to send to MML, call the patient location/provider immediately for redraw.</w:t>
            </w:r>
            <w:r w:rsidR="00C40069">
              <w:rPr>
                <w:rFonts w:ascii="Arial" w:hAnsi="Arial" w:cs="Arial"/>
                <w:sz w:val="20"/>
                <w:szCs w:val="20"/>
              </w:rPr>
              <w:t xml:space="preserve"> </w:t>
            </w:r>
          </w:p>
          <w:p w:rsidR="00D43880" w:rsidRDefault="00D43880" w:rsidP="005512C0">
            <w:pPr>
              <w:ind w:left="360"/>
              <w:jc w:val="both"/>
              <w:rPr>
                <w:rFonts w:cs="Arial"/>
              </w:rPr>
            </w:pPr>
          </w:p>
          <w:p w:rsidR="00D43880" w:rsidRPr="00D43880" w:rsidRDefault="00D43880" w:rsidP="00D43880">
            <w:pPr>
              <w:ind w:left="360"/>
              <w:jc w:val="center"/>
              <w:rPr>
                <w:rFonts w:cs="Arial"/>
                <w:b/>
              </w:rPr>
            </w:pPr>
            <w:r w:rsidRPr="00D43880">
              <w:rPr>
                <w:rFonts w:cs="Arial"/>
                <w:b/>
              </w:rPr>
              <w:t>Architect Initial HBsAg Results</w:t>
            </w:r>
          </w:p>
          <w:p w:rsidR="00D43880" w:rsidRDefault="00D43880" w:rsidP="00D43880">
            <w:pPr>
              <w:ind w:left="360"/>
              <w:jc w:val="center"/>
              <w:rPr>
                <w:rFonts w:cs="Arial"/>
              </w:rPr>
            </w:pPr>
          </w:p>
          <w:tbl>
            <w:tblPr>
              <w:tblW w:w="8058" w:type="dxa"/>
              <w:tblInd w:w="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2686"/>
              <w:gridCol w:w="2686"/>
              <w:gridCol w:w="2686"/>
            </w:tblGrid>
            <w:tr w:rsidR="00D43880" w:rsidRPr="00D43880" w:rsidTr="00D43880">
              <w:trPr>
                <w:trHeight w:val="245"/>
              </w:trPr>
              <w:tc>
                <w:tcPr>
                  <w:tcW w:w="2686" w:type="dxa"/>
                </w:tcPr>
                <w:p w:rsidR="00D43880" w:rsidRPr="00D43880" w:rsidRDefault="00D43880" w:rsidP="00D43880">
                  <w:pPr>
                    <w:jc w:val="both"/>
                    <w:rPr>
                      <w:rFonts w:cs="Arial"/>
                      <w:b/>
                    </w:rPr>
                  </w:pPr>
                  <w:r w:rsidRPr="00D43880">
                    <w:rPr>
                      <w:rFonts w:cs="Arial"/>
                      <w:b/>
                    </w:rPr>
                    <w:t>Initial Result (S/CO)</w:t>
                  </w:r>
                </w:p>
              </w:tc>
              <w:tc>
                <w:tcPr>
                  <w:tcW w:w="2686" w:type="dxa"/>
                </w:tcPr>
                <w:p w:rsidR="00D43880" w:rsidRPr="00D43880" w:rsidRDefault="00D43880" w:rsidP="00D43880">
                  <w:pPr>
                    <w:jc w:val="both"/>
                    <w:rPr>
                      <w:rFonts w:cs="Arial"/>
                      <w:b/>
                    </w:rPr>
                  </w:pPr>
                  <w:r w:rsidRPr="00D43880">
                    <w:rPr>
                      <w:rFonts w:cs="Arial"/>
                      <w:b/>
                    </w:rPr>
                    <w:t xml:space="preserve">Instrument </w:t>
                  </w:r>
                  <w:r w:rsidR="0045274F" w:rsidRPr="00D43880">
                    <w:rPr>
                      <w:rFonts w:cs="Arial"/>
                      <w:b/>
                    </w:rPr>
                    <w:t>Interpretation</w:t>
                  </w:r>
                </w:p>
              </w:tc>
              <w:tc>
                <w:tcPr>
                  <w:tcW w:w="2686" w:type="dxa"/>
                </w:tcPr>
                <w:p w:rsidR="00D43880" w:rsidRPr="00D43880" w:rsidRDefault="00D43880" w:rsidP="00D43880">
                  <w:pPr>
                    <w:jc w:val="both"/>
                    <w:rPr>
                      <w:rFonts w:cs="Arial"/>
                      <w:b/>
                    </w:rPr>
                  </w:pPr>
                  <w:r w:rsidRPr="00D43880">
                    <w:rPr>
                      <w:rFonts w:cs="Arial"/>
                      <w:b/>
                    </w:rPr>
                    <w:t>Retest Procedure</w:t>
                  </w:r>
                </w:p>
              </w:tc>
            </w:tr>
            <w:tr w:rsidR="00D43880" w:rsidRPr="00D43880" w:rsidTr="00D43880">
              <w:trPr>
                <w:trHeight w:val="256"/>
              </w:trPr>
              <w:tc>
                <w:tcPr>
                  <w:tcW w:w="2686" w:type="dxa"/>
                </w:tcPr>
                <w:p w:rsidR="00D43880" w:rsidRPr="00D43880" w:rsidRDefault="00D43880" w:rsidP="00D43880">
                  <w:pPr>
                    <w:jc w:val="both"/>
                    <w:rPr>
                      <w:rFonts w:cs="Arial"/>
                    </w:rPr>
                  </w:pPr>
                  <w:r w:rsidRPr="00D43880">
                    <w:rPr>
                      <w:rFonts w:cs="Arial"/>
                    </w:rPr>
                    <w:t>&lt;1.00</w:t>
                  </w:r>
                </w:p>
              </w:tc>
              <w:tc>
                <w:tcPr>
                  <w:tcW w:w="2686" w:type="dxa"/>
                </w:tcPr>
                <w:p w:rsidR="00D43880" w:rsidRPr="00D43880" w:rsidRDefault="00D43880" w:rsidP="00D43880">
                  <w:pPr>
                    <w:jc w:val="both"/>
                    <w:rPr>
                      <w:rFonts w:cs="Arial"/>
                    </w:rPr>
                  </w:pPr>
                  <w:r w:rsidRPr="00D43880">
                    <w:rPr>
                      <w:rFonts w:cs="Arial"/>
                    </w:rPr>
                    <w:t>Nonreactive</w:t>
                  </w:r>
                </w:p>
              </w:tc>
              <w:tc>
                <w:tcPr>
                  <w:tcW w:w="2686" w:type="dxa"/>
                </w:tcPr>
                <w:p w:rsidR="00D43880" w:rsidRPr="00D43880" w:rsidRDefault="00D43880" w:rsidP="00D43880">
                  <w:pPr>
                    <w:jc w:val="both"/>
                    <w:rPr>
                      <w:rFonts w:cs="Arial"/>
                    </w:rPr>
                  </w:pPr>
                  <w:r w:rsidRPr="00D43880">
                    <w:rPr>
                      <w:rFonts w:cs="Arial"/>
                    </w:rPr>
                    <w:t>No Retest Required</w:t>
                  </w:r>
                </w:p>
              </w:tc>
            </w:tr>
            <w:tr w:rsidR="00D43880" w:rsidRPr="00D43880" w:rsidTr="00D43880">
              <w:trPr>
                <w:trHeight w:val="256"/>
              </w:trPr>
              <w:tc>
                <w:tcPr>
                  <w:tcW w:w="2686" w:type="dxa"/>
                </w:tcPr>
                <w:p w:rsidR="00D43880" w:rsidRPr="00D43880" w:rsidRDefault="00D43880" w:rsidP="00D43880">
                  <w:pPr>
                    <w:jc w:val="both"/>
                    <w:rPr>
                      <w:rFonts w:cs="Arial"/>
                    </w:rPr>
                  </w:pPr>
                  <w:r w:rsidRPr="00D43880">
                    <w:rPr>
                      <w:rFonts w:cs="Arial"/>
                    </w:rPr>
                    <w:t>≥ 1.00</w:t>
                  </w:r>
                </w:p>
              </w:tc>
              <w:tc>
                <w:tcPr>
                  <w:tcW w:w="2686" w:type="dxa"/>
                </w:tcPr>
                <w:p w:rsidR="00D43880" w:rsidRPr="00D43880" w:rsidRDefault="00D43880" w:rsidP="00D43880">
                  <w:pPr>
                    <w:jc w:val="both"/>
                    <w:rPr>
                      <w:rFonts w:cs="Arial"/>
                    </w:rPr>
                  </w:pPr>
                  <w:r w:rsidRPr="00D43880">
                    <w:rPr>
                      <w:rFonts w:cs="Arial"/>
                    </w:rPr>
                    <w:t>Reactive</w:t>
                  </w:r>
                </w:p>
              </w:tc>
              <w:tc>
                <w:tcPr>
                  <w:tcW w:w="2686" w:type="dxa"/>
                </w:tcPr>
                <w:p w:rsidR="00D43880" w:rsidRPr="00D43880" w:rsidRDefault="00D43880" w:rsidP="00D43880">
                  <w:pPr>
                    <w:jc w:val="both"/>
                    <w:rPr>
                      <w:rFonts w:cs="Arial"/>
                    </w:rPr>
                  </w:pPr>
                  <w:r w:rsidRPr="00D43880">
                    <w:rPr>
                      <w:rFonts w:cs="Arial"/>
                    </w:rPr>
                    <w:t>Retest in Duplicate</w:t>
                  </w:r>
                </w:p>
              </w:tc>
            </w:tr>
          </w:tbl>
          <w:p w:rsidR="00D43880" w:rsidRDefault="00D43880" w:rsidP="005512C0">
            <w:pPr>
              <w:ind w:left="360"/>
              <w:jc w:val="both"/>
              <w:rPr>
                <w:rFonts w:cs="Arial"/>
              </w:rPr>
            </w:pPr>
          </w:p>
          <w:p w:rsidR="00D43880" w:rsidRDefault="00D43880" w:rsidP="00D43880">
            <w:pPr>
              <w:ind w:left="360"/>
              <w:jc w:val="center"/>
              <w:rPr>
                <w:rFonts w:cs="Arial"/>
                <w:b/>
              </w:rPr>
            </w:pPr>
            <w:r w:rsidRPr="00D43880">
              <w:rPr>
                <w:rFonts w:cs="Arial"/>
                <w:b/>
              </w:rPr>
              <w:t>Architect Repeat Test HBsAg Results</w:t>
            </w:r>
          </w:p>
          <w:p w:rsidR="00D43880" w:rsidRDefault="00D43880" w:rsidP="00D43880">
            <w:pPr>
              <w:ind w:left="360"/>
              <w:jc w:val="center"/>
              <w:rPr>
                <w:rFonts w:cs="Arial"/>
                <w:b/>
              </w:rPr>
            </w:pPr>
          </w:p>
          <w:tbl>
            <w:tblPr>
              <w:tblStyle w:val="TableGrid"/>
              <w:tblW w:w="8080" w:type="dxa"/>
              <w:tblInd w:w="360" w:type="dxa"/>
              <w:tblLayout w:type="fixed"/>
              <w:tblLook w:val="04A0"/>
            </w:tblPr>
            <w:tblGrid>
              <w:gridCol w:w="2497"/>
              <w:gridCol w:w="2880"/>
              <w:gridCol w:w="2703"/>
            </w:tblGrid>
            <w:tr w:rsidR="00975EFB" w:rsidTr="00975EFB">
              <w:trPr>
                <w:trHeight w:val="216"/>
              </w:trPr>
              <w:tc>
                <w:tcPr>
                  <w:tcW w:w="2497" w:type="dxa"/>
                </w:tcPr>
                <w:p w:rsidR="00975EFB" w:rsidRDefault="00975EFB" w:rsidP="00D43880">
                  <w:pPr>
                    <w:jc w:val="center"/>
                    <w:rPr>
                      <w:rFonts w:cs="Arial"/>
                      <w:b/>
                    </w:rPr>
                  </w:pPr>
                  <w:r>
                    <w:rPr>
                      <w:rFonts w:cs="Arial"/>
                      <w:b/>
                    </w:rPr>
                    <w:t xml:space="preserve">Instrument </w:t>
                  </w:r>
                  <w:r w:rsidR="0045274F">
                    <w:rPr>
                      <w:rFonts w:cs="Arial"/>
                      <w:b/>
                    </w:rPr>
                    <w:t>Interpretation</w:t>
                  </w:r>
                </w:p>
              </w:tc>
              <w:tc>
                <w:tcPr>
                  <w:tcW w:w="2880" w:type="dxa"/>
                </w:tcPr>
                <w:p w:rsidR="00975EFB" w:rsidRDefault="00F07A1B" w:rsidP="00D43880">
                  <w:pPr>
                    <w:jc w:val="center"/>
                    <w:rPr>
                      <w:rFonts w:cs="Arial"/>
                      <w:b/>
                    </w:rPr>
                  </w:pPr>
                  <w:r>
                    <w:rPr>
                      <w:rFonts w:cs="Arial"/>
                      <w:b/>
                    </w:rPr>
                    <w:t>Interpretation Appended Comment</w:t>
                  </w:r>
                </w:p>
              </w:tc>
              <w:tc>
                <w:tcPr>
                  <w:tcW w:w="2703" w:type="dxa"/>
                </w:tcPr>
                <w:p w:rsidR="00975EFB" w:rsidRDefault="00975EFB" w:rsidP="00D43880">
                  <w:pPr>
                    <w:jc w:val="center"/>
                    <w:rPr>
                      <w:rFonts w:cs="Arial"/>
                      <w:b/>
                    </w:rPr>
                  </w:pPr>
                  <w:r>
                    <w:rPr>
                      <w:rFonts w:cs="Arial"/>
                      <w:b/>
                    </w:rPr>
                    <w:t>What to Result in Sunques</w:t>
                  </w:r>
                  <w:r w:rsidR="001A4ACF">
                    <w:rPr>
                      <w:rFonts w:cs="Arial"/>
                      <w:b/>
                    </w:rPr>
                    <w:t>t</w:t>
                  </w:r>
                </w:p>
              </w:tc>
            </w:tr>
            <w:tr w:rsidR="00975EFB" w:rsidTr="00975EFB">
              <w:trPr>
                <w:trHeight w:val="225"/>
              </w:trPr>
              <w:tc>
                <w:tcPr>
                  <w:tcW w:w="2497" w:type="dxa"/>
                </w:tcPr>
                <w:p w:rsidR="00975EFB" w:rsidRPr="00D43880" w:rsidRDefault="00975EFB" w:rsidP="00D43880">
                  <w:pPr>
                    <w:rPr>
                      <w:rFonts w:cs="Arial"/>
                    </w:rPr>
                  </w:pPr>
                  <w:r>
                    <w:rPr>
                      <w:rFonts w:cs="Arial"/>
                    </w:rPr>
                    <w:t>Both repeat test results are nonreactive. (Both S/CO values are &lt;1.00)</w:t>
                  </w:r>
                </w:p>
              </w:tc>
              <w:tc>
                <w:tcPr>
                  <w:tcW w:w="2880" w:type="dxa"/>
                </w:tcPr>
                <w:p w:rsidR="00975EFB" w:rsidRPr="00D43880" w:rsidRDefault="001A4ACF" w:rsidP="00D43880">
                  <w:pPr>
                    <w:rPr>
                      <w:rFonts w:cs="Arial"/>
                    </w:rPr>
                  </w:pPr>
                  <w:r>
                    <w:rPr>
                      <w:rFonts w:cs="Arial"/>
                    </w:rPr>
                    <w:t>“</w:t>
                  </w:r>
                  <w:r w:rsidR="00975EFB">
                    <w:rPr>
                      <w:rFonts w:cs="Arial"/>
                    </w:rPr>
                    <w:t>Specimen considered negative for HBsAg</w:t>
                  </w:r>
                  <w:r>
                    <w:rPr>
                      <w:rFonts w:cs="Arial"/>
                    </w:rPr>
                    <w:t>”</w:t>
                  </w:r>
                </w:p>
              </w:tc>
              <w:tc>
                <w:tcPr>
                  <w:tcW w:w="2703" w:type="dxa"/>
                </w:tcPr>
                <w:p w:rsidR="00975EFB" w:rsidRPr="00975EFB" w:rsidRDefault="00975EFB" w:rsidP="00D43880">
                  <w:pPr>
                    <w:rPr>
                      <w:rFonts w:cs="Arial"/>
                    </w:rPr>
                  </w:pPr>
                  <w:r>
                    <w:rPr>
                      <w:rFonts w:cs="Arial"/>
                    </w:rPr>
                    <w:t>Accept the result of nonreactive.</w:t>
                  </w:r>
                </w:p>
              </w:tc>
            </w:tr>
            <w:tr w:rsidR="00975EFB" w:rsidTr="00975EFB">
              <w:trPr>
                <w:trHeight w:val="225"/>
              </w:trPr>
              <w:tc>
                <w:tcPr>
                  <w:tcW w:w="2497" w:type="dxa"/>
                </w:tcPr>
                <w:p w:rsidR="00975EFB" w:rsidRPr="00AA457D" w:rsidRDefault="00975EFB" w:rsidP="00AA457D">
                  <w:pPr>
                    <w:rPr>
                      <w:rFonts w:cs="Arial"/>
                    </w:rPr>
                  </w:pPr>
                  <w:r>
                    <w:rPr>
                      <w:rFonts w:cs="Arial"/>
                    </w:rPr>
                    <w:t xml:space="preserve">One or both results are reactive. (Both S/CO values are </w:t>
                  </w:r>
                  <w:r w:rsidRPr="00AA457D">
                    <w:rPr>
                      <w:rFonts w:cs="Arial"/>
                    </w:rPr>
                    <w:t>≥ 1.00</w:t>
                  </w:r>
                  <w:r>
                    <w:rPr>
                      <w:rFonts w:cs="Arial"/>
                    </w:rPr>
                    <w:t>)</w:t>
                  </w:r>
                </w:p>
              </w:tc>
              <w:tc>
                <w:tcPr>
                  <w:tcW w:w="2880" w:type="dxa"/>
                </w:tcPr>
                <w:p w:rsidR="00975EFB" w:rsidRPr="00AA457D" w:rsidRDefault="001A4ACF" w:rsidP="00AA457D">
                  <w:pPr>
                    <w:rPr>
                      <w:rFonts w:cs="Arial"/>
                    </w:rPr>
                  </w:pPr>
                  <w:r>
                    <w:rPr>
                      <w:rFonts w:cs="Arial"/>
                    </w:rPr>
                    <w:t>“Specimen</w:t>
                  </w:r>
                  <w:r w:rsidR="00975EFB">
                    <w:rPr>
                      <w:rFonts w:cs="Arial"/>
                    </w:rPr>
                    <w:t xml:space="preserve"> repeatedly reac</w:t>
                  </w:r>
                  <w:r>
                    <w:rPr>
                      <w:rFonts w:cs="Arial"/>
                    </w:rPr>
                    <w:t xml:space="preserve">tive, </w:t>
                  </w:r>
                  <w:r w:rsidR="0045274F">
                    <w:rPr>
                      <w:rFonts w:cs="Arial"/>
                    </w:rPr>
                    <w:t>confirmatory</w:t>
                  </w:r>
                  <w:r>
                    <w:rPr>
                      <w:rFonts w:cs="Arial"/>
                    </w:rPr>
                    <w:t xml:space="preserve"> testing refle</w:t>
                  </w:r>
                  <w:r w:rsidR="00975EFB">
                    <w:rPr>
                      <w:rFonts w:cs="Arial"/>
                    </w:rPr>
                    <w:t>xed.</w:t>
                  </w:r>
                  <w:r>
                    <w:rPr>
                      <w:rFonts w:cs="Arial"/>
                    </w:rPr>
                    <w:t>”</w:t>
                  </w:r>
                  <w:r w:rsidR="00975EFB">
                    <w:rPr>
                      <w:rFonts w:cs="Arial"/>
                    </w:rPr>
                    <w:t xml:space="preserve">  </w:t>
                  </w:r>
                  <w:r w:rsidR="00F07A1B">
                    <w:rPr>
                      <w:rFonts w:cs="Arial"/>
                    </w:rPr>
                    <w:t>Freeze a minimum of 0.5 mL to send to MML for reflexed HBAG testing.</w:t>
                  </w:r>
                </w:p>
              </w:tc>
              <w:tc>
                <w:tcPr>
                  <w:tcW w:w="2703" w:type="dxa"/>
                </w:tcPr>
                <w:p w:rsidR="00975EFB" w:rsidRDefault="00975EFB" w:rsidP="001A4ACF">
                  <w:pPr>
                    <w:rPr>
                      <w:rFonts w:cs="Arial"/>
                    </w:rPr>
                  </w:pPr>
                  <w:r>
                    <w:rPr>
                      <w:rFonts w:cs="Arial"/>
                    </w:rPr>
                    <w:t>Accept</w:t>
                  </w:r>
                  <w:r w:rsidR="001A4ACF">
                    <w:rPr>
                      <w:rFonts w:cs="Arial"/>
                    </w:rPr>
                    <w:t xml:space="preserve"> the</w:t>
                  </w:r>
                  <w:r>
                    <w:rPr>
                      <w:rFonts w:cs="Arial"/>
                    </w:rPr>
                    <w:t xml:space="preserve"> result of Presumptive Positive</w:t>
                  </w:r>
                  <w:r w:rsidR="001A4ACF">
                    <w:rPr>
                      <w:rFonts w:cs="Arial"/>
                    </w:rPr>
                    <w:t xml:space="preserve"> OR type the NUMERICAL value from the Architect</w:t>
                  </w:r>
                  <w:r>
                    <w:rPr>
                      <w:rFonts w:cs="Arial"/>
                    </w:rPr>
                    <w:t xml:space="preserve">. </w:t>
                  </w:r>
                </w:p>
              </w:tc>
            </w:tr>
          </w:tbl>
          <w:p w:rsidR="00D43880" w:rsidRPr="00D43880" w:rsidRDefault="00D43880" w:rsidP="00D43880">
            <w:pPr>
              <w:ind w:left="360"/>
              <w:jc w:val="center"/>
              <w:rPr>
                <w:rFonts w:cs="Arial"/>
                <w:b/>
              </w:rPr>
            </w:pPr>
          </w:p>
        </w:tc>
      </w:tr>
      <w:tr w:rsidR="008C6EDC" w:rsidTr="00D120DB">
        <w:trPr>
          <w:trHeight w:val="1160"/>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Specimen Storage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E43B5">
            <w:pPr>
              <w:jc w:val="both"/>
              <w:rPr>
                <w:rFonts w:cs="Arial"/>
              </w:rPr>
            </w:pPr>
            <w:r>
              <w:rPr>
                <w:rFonts w:cs="Arial"/>
              </w:rPr>
              <w:t>Promptly stopper tested specimen and store upright in specimen rack. Every 8 hours remove specimens to refrigerator/freezer</w:t>
            </w:r>
            <w:r w:rsidR="007E0514">
              <w:rPr>
                <w:rFonts w:cs="Arial"/>
              </w:rPr>
              <w:t xml:space="preserve"> storage. Samples are retained 14</w:t>
            </w:r>
            <w:r>
              <w:rPr>
                <w:rFonts w:cs="Arial"/>
              </w:rPr>
              <w:t xml:space="preserve"> days in specimen storage freezer.</w:t>
            </w:r>
          </w:p>
        </w:tc>
      </w:tr>
      <w:tr w:rsidR="008C6EDC" w:rsidTr="00D120DB">
        <w:trPr>
          <w:trHeight w:val="2898"/>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References</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09335B" w:rsidP="008E43B5">
            <w:pPr>
              <w:numPr>
                <w:ilvl w:val="0"/>
                <w:numId w:val="6"/>
              </w:numPr>
              <w:jc w:val="both"/>
              <w:rPr>
                <w:rFonts w:cs="Arial"/>
              </w:rPr>
            </w:pPr>
            <w:r>
              <w:rPr>
                <w:rFonts w:cs="Arial"/>
              </w:rPr>
              <w:t>Abbott Architect reagent cartridg</w:t>
            </w:r>
            <w:r w:rsidR="00A52AF8">
              <w:rPr>
                <w:rFonts w:cs="Arial"/>
              </w:rPr>
              <w:t>e insert sheet Abbott Laboratories, Abbott Park, IL, 60064.</w:t>
            </w:r>
            <w:r>
              <w:rPr>
                <w:rFonts w:cs="Arial"/>
              </w:rPr>
              <w:t xml:space="preserve"> Revised Date </w:t>
            </w:r>
            <w:r w:rsidR="0045274F">
              <w:rPr>
                <w:rFonts w:cs="Arial"/>
              </w:rPr>
              <w:t>January</w:t>
            </w:r>
            <w:r>
              <w:rPr>
                <w:rFonts w:cs="Arial"/>
              </w:rPr>
              <w:t xml:space="preserve"> 2016</w:t>
            </w:r>
          </w:p>
          <w:p w:rsidR="00A403A4" w:rsidRDefault="00A403A4" w:rsidP="008E43B5">
            <w:pPr>
              <w:numPr>
                <w:ilvl w:val="0"/>
                <w:numId w:val="6"/>
              </w:numPr>
              <w:jc w:val="both"/>
              <w:rPr>
                <w:rFonts w:cs="Arial"/>
              </w:rPr>
            </w:pPr>
            <w:r>
              <w:rPr>
                <w:rFonts w:cs="Arial"/>
              </w:rPr>
              <w:t xml:space="preserve">Abbott Architect calibrator insert sheet Abbott </w:t>
            </w:r>
            <w:r w:rsidR="0045274F">
              <w:rPr>
                <w:rFonts w:cs="Arial"/>
              </w:rPr>
              <w:t>Laboratories</w:t>
            </w:r>
            <w:r>
              <w:rPr>
                <w:rFonts w:cs="Arial"/>
              </w:rPr>
              <w:t>, Abbott Park, IL 60064</w:t>
            </w:r>
            <w:r w:rsidR="00DF4638">
              <w:rPr>
                <w:rFonts w:cs="Arial"/>
              </w:rPr>
              <w:t>. Revised November 2015.</w:t>
            </w:r>
          </w:p>
          <w:p w:rsidR="004A2D6A" w:rsidRDefault="004A2D6A" w:rsidP="008E43B5">
            <w:pPr>
              <w:numPr>
                <w:ilvl w:val="0"/>
                <w:numId w:val="6"/>
              </w:numPr>
              <w:jc w:val="both"/>
              <w:rPr>
                <w:rFonts w:cs="Arial"/>
              </w:rPr>
            </w:pPr>
            <w:r>
              <w:rPr>
                <w:rFonts w:cs="Arial"/>
              </w:rPr>
              <w:t xml:space="preserve">Abbott Architect Package insert sheet Abbott </w:t>
            </w:r>
            <w:r w:rsidR="0045274F">
              <w:rPr>
                <w:rFonts w:cs="Arial"/>
              </w:rPr>
              <w:t>Laboratories</w:t>
            </w:r>
            <w:r>
              <w:rPr>
                <w:rFonts w:cs="Arial"/>
              </w:rPr>
              <w:t>, Abbott Park, IL 60064. Revised January 2013</w:t>
            </w:r>
          </w:p>
          <w:p w:rsidR="00A403A4" w:rsidRPr="009E6926" w:rsidRDefault="00A403A4" w:rsidP="008E43B5">
            <w:pPr>
              <w:numPr>
                <w:ilvl w:val="0"/>
                <w:numId w:val="6"/>
              </w:numPr>
              <w:jc w:val="both"/>
              <w:rPr>
                <w:rFonts w:cs="Arial"/>
              </w:rPr>
            </w:pPr>
            <w:r>
              <w:rPr>
                <w:rFonts w:cs="Arial"/>
              </w:rPr>
              <w:t xml:space="preserve">Abbott Architect Safety Data Sheet, Abbott </w:t>
            </w:r>
            <w:r w:rsidR="0045274F">
              <w:rPr>
                <w:rFonts w:cs="Arial"/>
              </w:rPr>
              <w:t>Diagnostics</w:t>
            </w:r>
            <w:r w:rsidR="00A52AF8">
              <w:rPr>
                <w:rFonts w:cs="Arial"/>
              </w:rPr>
              <w:t>, Abbott Park, IL 60064. Revised 2016-04-09.</w:t>
            </w:r>
          </w:p>
          <w:p w:rsidR="00513F9B" w:rsidRPr="001A4ACF" w:rsidRDefault="0045274F" w:rsidP="001A4ACF">
            <w:pPr>
              <w:numPr>
                <w:ilvl w:val="0"/>
                <w:numId w:val="6"/>
              </w:numPr>
              <w:jc w:val="both"/>
              <w:rPr>
                <w:rFonts w:cs="Arial"/>
              </w:rPr>
            </w:pPr>
            <w:r w:rsidRPr="009E6926">
              <w:rPr>
                <w:rFonts w:cs="Arial"/>
                <w:bCs/>
                <w:szCs w:val="12"/>
              </w:rPr>
              <w:t>Bio-Rad</w:t>
            </w:r>
            <w:r w:rsidR="00A403A4">
              <w:rPr>
                <w:rFonts w:cs="Arial"/>
                <w:bCs/>
                <w:szCs w:val="12"/>
              </w:rPr>
              <w:t xml:space="preserve"> Lyphochek Specialty Immunoassay Control Product Insert, Bio-Rad Laboratories, Irvine, CA 92618 </w:t>
            </w:r>
            <w:r>
              <w:rPr>
                <w:rFonts w:cs="Arial"/>
                <w:bCs/>
                <w:szCs w:val="12"/>
              </w:rPr>
              <w:t>January</w:t>
            </w:r>
            <w:r w:rsidR="00A403A4">
              <w:rPr>
                <w:rFonts w:cs="Arial"/>
                <w:bCs/>
                <w:szCs w:val="12"/>
              </w:rPr>
              <w:t xml:space="preserve"> 2018</w:t>
            </w:r>
          </w:p>
        </w:tc>
      </w:tr>
      <w:tr w:rsidR="003571BD" w:rsidTr="00D120DB">
        <w:tblPrEx>
          <w:tblBorders>
            <w:bottom w:val="single" w:sz="4" w:space="0" w:color="auto"/>
          </w:tblBorders>
        </w:tblPrEx>
        <w:trPr>
          <w:cantSplit/>
          <w:trHeight w:val="255"/>
        </w:trPr>
        <w:tc>
          <w:tcPr>
            <w:tcW w:w="2160" w:type="dxa"/>
            <w:tcBorders>
              <w:top w:val="single" w:sz="18" w:space="0" w:color="A6A6A6" w:themeColor="background1" w:themeShade="A6"/>
              <w:left w:val="nil"/>
              <w:bottom w:val="nil"/>
              <w:right w:val="nil"/>
            </w:tcBorders>
          </w:tcPr>
          <w:p w:rsidR="003571BD" w:rsidRDefault="003571BD">
            <w:pPr>
              <w:rPr>
                <w:rFonts w:cs="Arial"/>
                <w:b/>
                <w:bCs/>
                <w:color w:val="3366FF"/>
              </w:rPr>
            </w:pPr>
            <w:r>
              <w:rPr>
                <w:rFonts w:cs="Arial"/>
                <w:b/>
                <w:bCs/>
                <w:color w:val="0000FF"/>
              </w:rPr>
              <w:t>Historical Record</w:t>
            </w:r>
          </w:p>
        </w:tc>
        <w:tc>
          <w:tcPr>
            <w:tcW w:w="8910" w:type="dxa"/>
            <w:tcBorders>
              <w:top w:val="single" w:sz="18" w:space="0" w:color="A6A6A6" w:themeColor="background1" w:themeShade="A6"/>
              <w:left w:val="nil"/>
              <w:bottom w:val="nil"/>
              <w:right w:val="nil"/>
            </w:tcBorders>
          </w:tcPr>
          <w:p w:rsidR="003571BD" w:rsidRDefault="003571BD">
            <w:pPr>
              <w:rPr>
                <w:rFonts w:cs="Arial"/>
                <w:iCs/>
              </w:rPr>
            </w:pPr>
          </w:p>
          <w:tbl>
            <w:tblPr>
              <w:tblStyle w:val="TableGrid"/>
              <w:tblW w:w="0" w:type="auto"/>
              <w:tblLayout w:type="fixed"/>
              <w:tblLook w:val="04A0"/>
            </w:tblPr>
            <w:tblGrid>
              <w:gridCol w:w="967"/>
              <w:gridCol w:w="2070"/>
              <w:gridCol w:w="1980"/>
              <w:gridCol w:w="3510"/>
            </w:tblGrid>
            <w:tr w:rsidR="003571BD" w:rsidTr="003571BD">
              <w:tc>
                <w:tcPr>
                  <w:tcW w:w="967" w:type="dxa"/>
                </w:tcPr>
                <w:p w:rsidR="003571BD" w:rsidRPr="003571BD" w:rsidRDefault="003571BD">
                  <w:pPr>
                    <w:rPr>
                      <w:rFonts w:cs="Arial"/>
                      <w:b/>
                      <w:iCs/>
                    </w:rPr>
                  </w:pPr>
                  <w:r w:rsidRPr="003571BD">
                    <w:rPr>
                      <w:rFonts w:cs="Arial"/>
                      <w:b/>
                      <w:iCs/>
                    </w:rPr>
                    <w:t>Version</w:t>
                  </w:r>
                </w:p>
              </w:tc>
              <w:tc>
                <w:tcPr>
                  <w:tcW w:w="2070" w:type="dxa"/>
                </w:tcPr>
                <w:p w:rsidR="003571BD" w:rsidRPr="003571BD" w:rsidRDefault="003571BD">
                  <w:pPr>
                    <w:rPr>
                      <w:rFonts w:cs="Arial"/>
                      <w:b/>
                      <w:iCs/>
                    </w:rPr>
                  </w:pPr>
                  <w:r w:rsidRPr="003571BD">
                    <w:rPr>
                      <w:rFonts w:cs="Arial"/>
                      <w:b/>
                      <w:iCs/>
                    </w:rPr>
                    <w:t>Written/Revised By</w:t>
                  </w:r>
                </w:p>
              </w:tc>
              <w:tc>
                <w:tcPr>
                  <w:tcW w:w="1980" w:type="dxa"/>
                </w:tcPr>
                <w:p w:rsidR="003571BD" w:rsidRPr="003571BD" w:rsidRDefault="003571BD">
                  <w:pPr>
                    <w:rPr>
                      <w:rFonts w:cs="Arial"/>
                      <w:b/>
                      <w:iCs/>
                    </w:rPr>
                  </w:pPr>
                  <w:r w:rsidRPr="003571BD">
                    <w:rPr>
                      <w:rFonts w:cs="Arial"/>
                      <w:b/>
                      <w:iCs/>
                    </w:rPr>
                    <w:t>Effective Date</w:t>
                  </w:r>
                </w:p>
              </w:tc>
              <w:tc>
                <w:tcPr>
                  <w:tcW w:w="3510" w:type="dxa"/>
                </w:tcPr>
                <w:p w:rsidR="003571BD" w:rsidRPr="003571BD" w:rsidRDefault="003571BD">
                  <w:pPr>
                    <w:rPr>
                      <w:rFonts w:cs="Arial"/>
                      <w:b/>
                      <w:iCs/>
                    </w:rPr>
                  </w:pPr>
                  <w:r w:rsidRPr="003571BD">
                    <w:rPr>
                      <w:rFonts w:cs="Arial"/>
                      <w:b/>
                      <w:iCs/>
                    </w:rPr>
                    <w:t xml:space="preserve">Summary of </w:t>
                  </w:r>
                  <w:r w:rsidR="00F814F1">
                    <w:rPr>
                      <w:rFonts w:cs="Arial"/>
                      <w:b/>
                      <w:iCs/>
                    </w:rPr>
                    <w:t>Revisions</w:t>
                  </w:r>
                </w:p>
              </w:tc>
            </w:tr>
            <w:tr w:rsidR="003571BD" w:rsidTr="003571BD">
              <w:tc>
                <w:tcPr>
                  <w:tcW w:w="967" w:type="dxa"/>
                </w:tcPr>
                <w:p w:rsidR="003571BD" w:rsidRDefault="003571BD">
                  <w:pPr>
                    <w:rPr>
                      <w:rFonts w:cs="Arial"/>
                      <w:iCs/>
                    </w:rPr>
                  </w:pPr>
                  <w:r>
                    <w:rPr>
                      <w:rFonts w:cs="Arial"/>
                      <w:iCs/>
                    </w:rPr>
                    <w:t>1</w:t>
                  </w:r>
                </w:p>
              </w:tc>
              <w:tc>
                <w:tcPr>
                  <w:tcW w:w="2070" w:type="dxa"/>
                </w:tcPr>
                <w:p w:rsidR="003571BD" w:rsidRDefault="003571BD">
                  <w:pPr>
                    <w:rPr>
                      <w:rFonts w:cs="Arial"/>
                      <w:iCs/>
                    </w:rPr>
                  </w:pPr>
                  <w:r>
                    <w:rPr>
                      <w:rFonts w:cs="Arial"/>
                      <w:iCs/>
                    </w:rPr>
                    <w:t>Kelsi Brown</w:t>
                  </w:r>
                  <w:r w:rsidR="0045274F">
                    <w:rPr>
                      <w:rFonts w:cs="Arial"/>
                      <w:iCs/>
                    </w:rPr>
                    <w:t>/E</w:t>
                  </w:r>
                  <w:r w:rsidR="001A4ACF">
                    <w:rPr>
                      <w:rFonts w:cs="Arial"/>
                      <w:iCs/>
                    </w:rPr>
                    <w:t>rin Bartos</w:t>
                  </w:r>
                </w:p>
              </w:tc>
              <w:tc>
                <w:tcPr>
                  <w:tcW w:w="1980" w:type="dxa"/>
                </w:tcPr>
                <w:p w:rsidR="003571BD" w:rsidRDefault="001A4ACF">
                  <w:pPr>
                    <w:rPr>
                      <w:rFonts w:cs="Arial"/>
                      <w:iCs/>
                    </w:rPr>
                  </w:pPr>
                  <w:r>
                    <w:rPr>
                      <w:rFonts w:cs="Arial"/>
                      <w:iCs/>
                    </w:rPr>
                    <w:t>May 15, 2018</w:t>
                  </w:r>
                </w:p>
              </w:tc>
              <w:tc>
                <w:tcPr>
                  <w:tcW w:w="3510" w:type="dxa"/>
                </w:tcPr>
                <w:p w:rsidR="003571BD" w:rsidRDefault="003571BD">
                  <w:pPr>
                    <w:rPr>
                      <w:rFonts w:cs="Arial"/>
                      <w:iCs/>
                    </w:rPr>
                  </w:pPr>
                  <w:r>
                    <w:rPr>
                      <w:rFonts w:cs="Arial"/>
                      <w:iCs/>
                    </w:rPr>
                    <w:t>New Procedure</w:t>
                  </w:r>
                </w:p>
              </w:tc>
            </w:tr>
            <w:tr w:rsidR="003571BD" w:rsidTr="003571BD">
              <w:tc>
                <w:tcPr>
                  <w:tcW w:w="967" w:type="dxa"/>
                </w:tcPr>
                <w:p w:rsidR="003571BD" w:rsidRDefault="003571BD">
                  <w:pPr>
                    <w:rPr>
                      <w:rFonts w:cs="Arial"/>
                      <w:iCs/>
                    </w:rPr>
                  </w:pPr>
                </w:p>
              </w:tc>
              <w:tc>
                <w:tcPr>
                  <w:tcW w:w="2070" w:type="dxa"/>
                </w:tcPr>
                <w:p w:rsidR="003571BD" w:rsidRDefault="003571BD">
                  <w:pPr>
                    <w:rPr>
                      <w:rFonts w:cs="Arial"/>
                      <w:iCs/>
                    </w:rPr>
                  </w:pPr>
                </w:p>
              </w:tc>
              <w:tc>
                <w:tcPr>
                  <w:tcW w:w="1980" w:type="dxa"/>
                </w:tcPr>
                <w:p w:rsidR="003571BD" w:rsidRDefault="003571BD">
                  <w:pPr>
                    <w:rPr>
                      <w:rFonts w:cs="Arial"/>
                      <w:iCs/>
                    </w:rPr>
                  </w:pPr>
                </w:p>
              </w:tc>
              <w:tc>
                <w:tcPr>
                  <w:tcW w:w="3510" w:type="dxa"/>
                </w:tcPr>
                <w:p w:rsidR="003571BD" w:rsidRDefault="003571BD">
                  <w:pPr>
                    <w:rPr>
                      <w:rFonts w:cs="Arial"/>
                      <w:iCs/>
                    </w:rPr>
                  </w:pPr>
                </w:p>
              </w:tc>
            </w:tr>
            <w:tr w:rsidR="003571BD" w:rsidTr="003571BD">
              <w:tc>
                <w:tcPr>
                  <w:tcW w:w="967" w:type="dxa"/>
                </w:tcPr>
                <w:p w:rsidR="003571BD" w:rsidRDefault="003571BD">
                  <w:pPr>
                    <w:rPr>
                      <w:rFonts w:cs="Arial"/>
                      <w:iCs/>
                    </w:rPr>
                  </w:pPr>
                </w:p>
              </w:tc>
              <w:tc>
                <w:tcPr>
                  <w:tcW w:w="2070" w:type="dxa"/>
                </w:tcPr>
                <w:p w:rsidR="003571BD" w:rsidRDefault="003571BD">
                  <w:pPr>
                    <w:rPr>
                      <w:rFonts w:cs="Arial"/>
                      <w:iCs/>
                    </w:rPr>
                  </w:pPr>
                </w:p>
              </w:tc>
              <w:tc>
                <w:tcPr>
                  <w:tcW w:w="1980" w:type="dxa"/>
                </w:tcPr>
                <w:p w:rsidR="003571BD" w:rsidRDefault="003571BD">
                  <w:pPr>
                    <w:rPr>
                      <w:rFonts w:cs="Arial"/>
                      <w:iCs/>
                    </w:rPr>
                  </w:pPr>
                </w:p>
              </w:tc>
              <w:tc>
                <w:tcPr>
                  <w:tcW w:w="3510" w:type="dxa"/>
                </w:tcPr>
                <w:p w:rsidR="003571BD" w:rsidRDefault="003571BD">
                  <w:pPr>
                    <w:rPr>
                      <w:rFonts w:cs="Arial"/>
                      <w:iCs/>
                    </w:rPr>
                  </w:pPr>
                </w:p>
              </w:tc>
            </w:tr>
          </w:tbl>
          <w:p w:rsidR="003571BD" w:rsidRDefault="003571BD">
            <w:pPr>
              <w:rPr>
                <w:rFonts w:cs="Arial"/>
                <w:iCs/>
              </w:rPr>
            </w:pPr>
          </w:p>
        </w:tc>
      </w:tr>
    </w:tbl>
    <w:p w:rsidR="008C6EDC" w:rsidRDefault="008C6EDC"/>
    <w:sectPr w:rsidR="008C6EDC" w:rsidSect="00287C41">
      <w:headerReference w:type="default" r:id="rId11"/>
      <w:footerReference w:type="default" r:id="rId12"/>
      <w:pgSz w:w="12240" w:h="15840" w:code="1"/>
      <w:pgMar w:top="720" w:right="180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A1B" w:rsidRDefault="00F07A1B">
      <w:r>
        <w:separator/>
      </w:r>
    </w:p>
  </w:endnote>
  <w:endnote w:type="continuationSeparator" w:id="0">
    <w:p w:rsidR="00F07A1B" w:rsidRDefault="00F07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enPro-Regular">
    <w:altName w:val="MS Mincho"/>
    <w:panose1 w:val="00000000000000000000"/>
    <w:charset w:val="80"/>
    <w:family w:val="auto"/>
    <w:notTrueType/>
    <w:pitch w:val="default"/>
    <w:sig w:usb0="00000083" w:usb1="08070000" w:usb2="00000010" w:usb3="00000000" w:csb0="00020009"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A1B" w:rsidRPr="001A774F" w:rsidRDefault="00F07A1B" w:rsidP="008C6EDC">
    <w:pPr>
      <w:ind w:left="-1260" w:right="-1260"/>
      <w:rPr>
        <w:rFonts w:cs="Arial"/>
        <w:sz w:val="18"/>
      </w:rPr>
    </w:pPr>
    <w:r>
      <w:rPr>
        <w:rFonts w:cs="Arial"/>
        <w:sz w:val="18"/>
      </w:rPr>
      <w:t>Laboratory, Children’s Hospitals and Clinics of Minnesota, Minneapolis/St. Paul,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Pr>
        <w:sz w:val="18"/>
      </w:rPr>
      <w:fldChar w:fldCharType="begin"/>
    </w:r>
    <w:r>
      <w:rPr>
        <w:sz w:val="18"/>
      </w:rPr>
      <w:instrText xml:space="preserve"> PAGE </w:instrText>
    </w:r>
    <w:r>
      <w:rPr>
        <w:sz w:val="18"/>
      </w:rPr>
      <w:fldChar w:fldCharType="separate"/>
    </w:r>
    <w:r w:rsidR="0045274F">
      <w:rPr>
        <w:noProof/>
        <w:sz w:val="18"/>
      </w:rPr>
      <w:t>3</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45274F">
      <w:rPr>
        <w:noProof/>
        <w:sz w:val="18"/>
      </w:rPr>
      <w:t>6</w:t>
    </w:r>
    <w:r>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A1B" w:rsidRDefault="00F07A1B">
      <w:r>
        <w:separator/>
      </w:r>
    </w:p>
  </w:footnote>
  <w:footnote w:type="continuationSeparator" w:id="0">
    <w:p w:rsidR="00F07A1B" w:rsidRDefault="00F07A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A1B" w:rsidRDefault="00F07A1B">
    <w:pPr>
      <w:ind w:left="-1260" w:right="-1260"/>
      <w:rPr>
        <w:rFonts w:cs="Arial"/>
        <w:sz w:val="18"/>
      </w:rPr>
    </w:pPr>
    <w:r w:rsidRPr="00126F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7.95pt;margin-top:-15.3pt;width:133.7pt;height:42.85pt;z-index:-251658752;mso-position-horizontal-relative:text;mso-position-vertical-relative:text" wrapcoords="-121 0 -121 21221 21600 21221 21600 0 -121 0">
          <v:imagedata r:id="rId1" o:title="Childrens_MN_2015_logo_2c_RGB_800x257"/>
          <w10:wrap type="tight"/>
        </v:shape>
      </w:pict>
    </w:r>
    <w:r>
      <w:rPr>
        <w:rFonts w:cs="Arial"/>
        <w:sz w:val="18"/>
      </w:rPr>
      <w:t>CH 6.43 Hepatitis B Surface Antigen</w:t>
    </w:r>
  </w:p>
  <w:p w:rsidR="00F07A1B" w:rsidRDefault="00F07A1B">
    <w:pPr>
      <w:ind w:left="-1260" w:right="-1260"/>
      <w:rPr>
        <w:rFonts w:cs="Arial"/>
        <w:sz w:val="18"/>
      </w:rPr>
    </w:pPr>
    <w:r>
      <w:rPr>
        <w:rFonts w:cs="Arial"/>
        <w:sz w:val="18"/>
      </w:rPr>
      <w:t>Version 1</w:t>
    </w:r>
  </w:p>
  <w:p w:rsidR="00F07A1B" w:rsidRDefault="00F07A1B">
    <w:pPr>
      <w:ind w:left="-1260" w:right="-1260"/>
      <w:rPr>
        <w:rFonts w:cs="Arial"/>
        <w:sz w:val="18"/>
      </w:rPr>
    </w:pPr>
    <w:r>
      <w:rPr>
        <w:rFonts w:cs="Arial"/>
        <w:sz w:val="18"/>
      </w:rPr>
      <w:t>Effective Date: May 15, 2018</w:t>
    </w:r>
  </w:p>
  <w:p w:rsidR="00F07A1B" w:rsidRDefault="00F07A1B">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231311"/>
    <w:multiLevelType w:val="hybridMultilevel"/>
    <w:tmpl w:val="71B6B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C144438"/>
    <w:multiLevelType w:val="hybridMultilevel"/>
    <w:tmpl w:val="C5BA0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A97B8D"/>
    <w:multiLevelType w:val="hybridMultilevel"/>
    <w:tmpl w:val="D7AE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190622"/>
    <w:multiLevelType w:val="hybridMultilevel"/>
    <w:tmpl w:val="0EFA0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D877F2"/>
    <w:multiLevelType w:val="hybridMultilevel"/>
    <w:tmpl w:val="9D6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CFB5466"/>
    <w:multiLevelType w:val="hybridMultilevel"/>
    <w:tmpl w:val="4C72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7200477"/>
    <w:multiLevelType w:val="hybridMultilevel"/>
    <w:tmpl w:val="FD927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BC124A0"/>
    <w:multiLevelType w:val="hybridMultilevel"/>
    <w:tmpl w:val="F7DA065E"/>
    <w:lvl w:ilvl="0" w:tplc="C6D8DFB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FB6EC5"/>
    <w:multiLevelType w:val="hybridMultilevel"/>
    <w:tmpl w:val="A86E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9"/>
  </w:num>
  <w:num w:numId="3">
    <w:abstractNumId w:val="18"/>
  </w:num>
  <w:num w:numId="4">
    <w:abstractNumId w:val="4"/>
  </w:num>
  <w:num w:numId="5">
    <w:abstractNumId w:val="13"/>
  </w:num>
  <w:num w:numId="6">
    <w:abstractNumId w:val="11"/>
  </w:num>
  <w:num w:numId="7">
    <w:abstractNumId w:val="16"/>
  </w:num>
  <w:num w:numId="8">
    <w:abstractNumId w:val="27"/>
  </w:num>
  <w:num w:numId="9">
    <w:abstractNumId w:val="10"/>
  </w:num>
  <w:num w:numId="10">
    <w:abstractNumId w:val="1"/>
  </w:num>
  <w:num w:numId="11">
    <w:abstractNumId w:val="29"/>
  </w:num>
  <w:num w:numId="12">
    <w:abstractNumId w:val="25"/>
  </w:num>
  <w:num w:numId="13">
    <w:abstractNumId w:val="3"/>
  </w:num>
  <w:num w:numId="14">
    <w:abstractNumId w:val="8"/>
  </w:num>
  <w:num w:numId="15">
    <w:abstractNumId w:val="7"/>
  </w:num>
  <w:num w:numId="16">
    <w:abstractNumId w:val="15"/>
  </w:num>
  <w:num w:numId="17">
    <w:abstractNumId w:val="6"/>
  </w:num>
  <w:num w:numId="18">
    <w:abstractNumId w:val="5"/>
  </w:num>
  <w:num w:numId="19">
    <w:abstractNumId w:val="20"/>
  </w:num>
  <w:num w:numId="20">
    <w:abstractNumId w:val="26"/>
  </w:num>
  <w:num w:numId="21">
    <w:abstractNumId w:val="28"/>
  </w:num>
  <w:num w:numId="22">
    <w:abstractNumId w:val="23"/>
  </w:num>
  <w:num w:numId="23">
    <w:abstractNumId w:val="0"/>
  </w:num>
  <w:num w:numId="24">
    <w:abstractNumId w:val="17"/>
  </w:num>
  <w:num w:numId="25">
    <w:abstractNumId w:val="24"/>
  </w:num>
  <w:num w:numId="26">
    <w:abstractNumId w:val="19"/>
  </w:num>
  <w:num w:numId="27">
    <w:abstractNumId w:val="12"/>
  </w:num>
  <w:num w:numId="28">
    <w:abstractNumId w:val="14"/>
  </w:num>
  <w:num w:numId="29">
    <w:abstractNumId w:val="22"/>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hideSpellingErrors/>
  <w:hideGrammaticalErrors/>
  <w:proofState w:spelling="clean" w:grammar="clean"/>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847"/>
    <w:rsid w:val="00000536"/>
    <w:rsid w:val="00003218"/>
    <w:rsid w:val="00005CB1"/>
    <w:rsid w:val="00043EE1"/>
    <w:rsid w:val="0004669D"/>
    <w:rsid w:val="0005786F"/>
    <w:rsid w:val="000625DB"/>
    <w:rsid w:val="0009335B"/>
    <w:rsid w:val="000C7650"/>
    <w:rsid w:val="00100A32"/>
    <w:rsid w:val="00126FB6"/>
    <w:rsid w:val="00143FF4"/>
    <w:rsid w:val="001460D6"/>
    <w:rsid w:val="001A4ACF"/>
    <w:rsid w:val="001B1C87"/>
    <w:rsid w:val="001E2DF4"/>
    <w:rsid w:val="001F2FF6"/>
    <w:rsid w:val="002265E2"/>
    <w:rsid w:val="00253C63"/>
    <w:rsid w:val="00260A50"/>
    <w:rsid w:val="00284EE6"/>
    <w:rsid w:val="00287C41"/>
    <w:rsid w:val="0029711F"/>
    <w:rsid w:val="002A63B0"/>
    <w:rsid w:val="002A65EF"/>
    <w:rsid w:val="002D50CB"/>
    <w:rsid w:val="002F385E"/>
    <w:rsid w:val="003571BD"/>
    <w:rsid w:val="0044315B"/>
    <w:rsid w:val="0045274F"/>
    <w:rsid w:val="004A2D6A"/>
    <w:rsid w:val="00513F9B"/>
    <w:rsid w:val="00542D1B"/>
    <w:rsid w:val="005512C0"/>
    <w:rsid w:val="005516E7"/>
    <w:rsid w:val="005A3626"/>
    <w:rsid w:val="005A610F"/>
    <w:rsid w:val="005D5B3D"/>
    <w:rsid w:val="006D60C2"/>
    <w:rsid w:val="00707507"/>
    <w:rsid w:val="00712847"/>
    <w:rsid w:val="007E0514"/>
    <w:rsid w:val="00814EAD"/>
    <w:rsid w:val="008168BB"/>
    <w:rsid w:val="0083747A"/>
    <w:rsid w:val="008C6EDC"/>
    <w:rsid w:val="008E43B5"/>
    <w:rsid w:val="008F13C3"/>
    <w:rsid w:val="009309A1"/>
    <w:rsid w:val="00941F9A"/>
    <w:rsid w:val="00975EFB"/>
    <w:rsid w:val="009945A2"/>
    <w:rsid w:val="009F5B34"/>
    <w:rsid w:val="00A072CE"/>
    <w:rsid w:val="00A403A4"/>
    <w:rsid w:val="00A52AF8"/>
    <w:rsid w:val="00A82A92"/>
    <w:rsid w:val="00AA457D"/>
    <w:rsid w:val="00B00AD4"/>
    <w:rsid w:val="00B0339F"/>
    <w:rsid w:val="00B1374B"/>
    <w:rsid w:val="00B61E82"/>
    <w:rsid w:val="00B7030D"/>
    <w:rsid w:val="00B816B4"/>
    <w:rsid w:val="00BE7040"/>
    <w:rsid w:val="00C0536C"/>
    <w:rsid w:val="00C40069"/>
    <w:rsid w:val="00C7466B"/>
    <w:rsid w:val="00CD42C1"/>
    <w:rsid w:val="00CF7522"/>
    <w:rsid w:val="00D0201D"/>
    <w:rsid w:val="00D120DB"/>
    <w:rsid w:val="00D20601"/>
    <w:rsid w:val="00D43880"/>
    <w:rsid w:val="00D6200B"/>
    <w:rsid w:val="00D67C72"/>
    <w:rsid w:val="00DA7E2D"/>
    <w:rsid w:val="00DE32D9"/>
    <w:rsid w:val="00DF4638"/>
    <w:rsid w:val="00E11C2F"/>
    <w:rsid w:val="00E2166F"/>
    <w:rsid w:val="00E63CB7"/>
    <w:rsid w:val="00F07A1B"/>
    <w:rsid w:val="00F62661"/>
    <w:rsid w:val="00F814F1"/>
    <w:rsid w:val="00FC67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themeColor="followedHyperlink"/>
      <w:u w:val="single"/>
    </w:rPr>
  </w:style>
  <w:style w:type="paragraph" w:styleId="Title">
    <w:name w:val="Title"/>
    <w:basedOn w:val="Normal"/>
    <w:link w:val="TitleChar"/>
    <w:qFormat/>
    <w:rsid w:val="002265E2"/>
    <w:pPr>
      <w:spacing w:before="240" w:after="60"/>
      <w:jc w:val="center"/>
    </w:pPr>
    <w:rPr>
      <w:rFonts w:ascii="Times New Roman" w:hAnsi="Times New Roman" w:cs="Arial"/>
      <w:b/>
      <w:bCs/>
      <w:kern w:val="28"/>
      <w:sz w:val="28"/>
      <w:szCs w:val="32"/>
    </w:rPr>
  </w:style>
  <w:style w:type="character" w:customStyle="1" w:styleId="TitleChar">
    <w:name w:val="Title Char"/>
    <w:basedOn w:val="DefaultParagraphFont"/>
    <w:link w:val="Title"/>
    <w:rsid w:val="002265E2"/>
    <w:rPr>
      <w:rFonts w:cs="Arial"/>
      <w:b/>
      <w:bCs/>
      <w:kern w:val="28"/>
      <w:sz w:val="28"/>
      <w:szCs w:val="32"/>
    </w:rPr>
  </w:style>
  <w:style w:type="character" w:customStyle="1" w:styleId="tgc">
    <w:name w:val="_tgc"/>
    <w:basedOn w:val="DefaultParagraphFont"/>
    <w:rsid w:val="002265E2"/>
  </w:style>
  <w:style w:type="table" w:styleId="TableGrid">
    <w:name w:val="Table Grid"/>
    <w:basedOn w:val="TableNormal"/>
    <w:uiPriority w:val="59"/>
    <w:rsid w:val="003571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05CB1"/>
    <w:pPr>
      <w:ind w:left="720"/>
      <w:contextualSpacing/>
    </w:pPr>
    <w:rPr>
      <w:rFonts w:ascii="Times New Roman" w:hAnsi="Times New Roman"/>
      <w:sz w:val="24"/>
    </w:rPr>
  </w:style>
  <w:style w:type="paragraph" w:styleId="NoSpacing">
    <w:name w:val="No Spacing"/>
    <w:basedOn w:val="Normal"/>
    <w:uiPriority w:val="1"/>
    <w:qFormat/>
    <w:rsid w:val="00D43880"/>
    <w:rPr>
      <w:rFonts w:asciiTheme="minorHAnsi" w:eastAsiaTheme="minorHAnsi" w:hAnsiTheme="minorHAnsi"/>
      <w:sz w:val="24"/>
      <w:szCs w:val="32"/>
      <w:lang w:bidi="en-US"/>
    </w:rPr>
  </w:style>
</w:styles>
</file>

<file path=word/webSettings.xml><?xml version="1.0" encoding="utf-8"?>
<w:webSettings xmlns:r="http://schemas.openxmlformats.org/officeDocument/2006/relationships" xmlns:w="http://schemas.openxmlformats.org/wordprocessingml/2006/main">
  <w:divs>
    <w:div w:id="1229537687">
      <w:bodyDiv w:val="1"/>
      <w:marLeft w:val="0"/>
      <w:marRight w:val="0"/>
      <w:marTop w:val="0"/>
      <w:marBottom w:val="0"/>
      <w:divBdr>
        <w:top w:val="none" w:sz="0" w:space="0" w:color="auto"/>
        <w:left w:val="none" w:sz="0" w:space="0" w:color="auto"/>
        <w:bottom w:val="none" w:sz="0" w:space="0" w:color="auto"/>
        <w:right w:val="none" w:sz="0" w:space="0" w:color="auto"/>
      </w:divBdr>
    </w:div>
    <w:div w:id="125451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In Process</WFStatus>
    <Renewal_x0020_Date xmlns="199f0838-75a6-4f0c-9be1-f2c07140bccc">2019-08-01T05:00:00+00:00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F6TN54CWY5RS-50183619-32219</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6.07 ALT (Alanine Aminotransferase)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2017-08-01T05:00:00+00:00</Content_x0020_Release_x0020_Date>
    <Summary xmlns="199f0838-75a6-4f0c-9be1-f2c07140bccc" xsi:nil="true"/>
    <SubTitle xmlns="199f0838-75a6-4f0c-9be1-f2c07140bccc" xsi:nil="true"/>
    <_dlc_DocIdUrl xmlns="199f0838-75a6-4f0c-9be1-f2c07140bccc">
      <Url>http://vcpsharepoint2/references/_layouts/15/DocIdRedir.aspx?ID=F6TN54CWY5RS-50183619-32219</Url>
      <Description>F6TN54CWY5RS-50183619-32219</Description>
    </_dlc_DocIdUrl>
    <Study_x0020_Status xmlns="c1848e11-9cf6-4ce4-877e-6837d2c2fa23" xsi:nil="true"/>
    <Meta_x0020_Page_x0020_Description xmlns="199f0838-75a6-4f0c-9be1-f2c07140bccc"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46BDD-F3AF-4F61-B41E-2F5C92196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F4924-055F-437A-BF96-931834C44D40}">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584CB3B2-B889-495C-9217-71907AA5B9FA}">
  <ds:schemaRefs>
    <ds:schemaRef ds:uri="http://schemas.microsoft.com/sharepoint/events"/>
  </ds:schemaRefs>
</ds:datastoreItem>
</file>

<file path=customXml/itemProps4.xml><?xml version="1.0" encoding="utf-8"?>
<ds:datastoreItem xmlns:ds="http://schemas.openxmlformats.org/officeDocument/2006/customXml" ds:itemID="{C59129F5-5224-49F7-8AE2-7D0F2A48F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6</Pages>
  <Words>1895</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 6.07 ALT (Alanine Aminotransferase)</vt:lpstr>
    </vt:vector>
  </TitlesOfParts>
  <Company>Authorized User</Company>
  <LinksUpToDate>false</LinksUpToDate>
  <CharactersWithSpaces>12636</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6.07 ALT (Alanine Aminotransferase)</dc:title>
  <dc:creator>Authorized User</dc:creator>
  <dc:description>7/17/17 Updated interfering substances  after notification from Siemens. KB_x000d_
7/20/17 Updated for new reference ranges and added 2 new references ERB 7/20/17</dc:description>
  <cp:lastModifiedBy>CE155076</cp:lastModifiedBy>
  <cp:revision>17</cp:revision>
  <cp:lastPrinted>2011-06-16T20:36:00Z</cp:lastPrinted>
  <dcterms:created xsi:type="dcterms:W3CDTF">2018-05-07T12:25:00Z</dcterms:created>
  <dcterms:modified xsi:type="dcterms:W3CDTF">2018-05-10T20:59:00Z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7425ab00-c274-4220-8dd3-587f4a2fda7d</vt:lpwstr>
  </property>
</Properties>
</file>