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466109" w:rsidP="001B002A">
            <w:pPr>
              <w:jc w:val="both"/>
              <w:rPr>
                <w:rFonts w:cs="Arial"/>
                <w:color w:val="0000FF"/>
              </w:rPr>
            </w:pPr>
            <w:r>
              <w:rPr>
                <w:rFonts w:cs="Arial"/>
                <w:b/>
                <w:bCs/>
                <w:color w:val="0000FF"/>
                <w:sz w:val="36"/>
              </w:rPr>
              <w:t>Thyroglobulin Antibody</w:t>
            </w:r>
            <w:r w:rsidR="0027341A" w:rsidRPr="001B002A">
              <w:rPr>
                <w:rFonts w:cs="Arial"/>
                <w:b/>
                <w:bCs/>
                <w:color w:val="0000FF"/>
                <w:sz w:val="36"/>
              </w:rPr>
              <w:t xml:space="preserve"> </w:t>
            </w:r>
            <w:r>
              <w:rPr>
                <w:rFonts w:cs="Arial"/>
                <w:b/>
                <w:bCs/>
                <w:color w:val="0000FF"/>
                <w:sz w:val="36"/>
              </w:rPr>
              <w:t>(</w:t>
            </w:r>
            <w:r w:rsidR="0027341A" w:rsidRPr="001B002A">
              <w:rPr>
                <w:rFonts w:cs="Arial"/>
                <w:b/>
                <w:bCs/>
                <w:color w:val="0000FF"/>
                <w:sz w:val="36"/>
              </w:rPr>
              <w:t>Anti-Tg</w:t>
            </w:r>
            <w:r>
              <w:rPr>
                <w:rFonts w:cs="Arial"/>
                <w:b/>
                <w:bCs/>
                <w:color w:val="0000FF"/>
                <w:sz w:val="36"/>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Default="0041684C" w:rsidP="00D0201D">
            <w:pPr>
              <w:autoSpaceDE w:val="0"/>
              <w:autoSpaceDN w:val="0"/>
              <w:adjustRightInd w:val="0"/>
              <w:jc w:val="both"/>
              <w:rPr>
                <w:rFonts w:cs="Arial"/>
              </w:rPr>
            </w:pPr>
            <w:r w:rsidRPr="0041684C">
              <w:rPr>
                <w:rFonts w:cs="Arial"/>
              </w:rPr>
              <w:t xml:space="preserve">This procedure provides instructions for performing </w:t>
            </w:r>
            <w:r w:rsidR="0027341A" w:rsidRPr="000F1648">
              <w:rPr>
                <w:rFonts w:cs="Arial"/>
                <w:szCs w:val="20"/>
              </w:rPr>
              <w:t>ARCHITECT Anti-Tg</w:t>
            </w:r>
            <w:r w:rsidRPr="0041684C">
              <w:rPr>
                <w:rFonts w:cs="Arial"/>
              </w:rPr>
              <w:t xml:space="preserve"> on the Abbott Architect i1000SR</w:t>
            </w:r>
          </w:p>
          <w:p w:rsidR="0041684C" w:rsidRPr="008634BF" w:rsidRDefault="0041684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41684C" w:rsidP="00253C63">
            <w:pPr>
              <w:autoSpaceDE w:val="0"/>
              <w:autoSpaceDN w:val="0"/>
              <w:adjustRightInd w:val="0"/>
              <w:jc w:val="both"/>
              <w:rPr>
                <w:rFonts w:cs="Arial"/>
                <w:szCs w:val="20"/>
              </w:rPr>
            </w:pPr>
            <w:r w:rsidRPr="0041684C">
              <w:rPr>
                <w:rFonts w:cs="Arial"/>
                <w:szCs w:val="15"/>
              </w:rPr>
              <w:t>This procedure applies to all personnel responsible for performing testing on the Abbott Architect i1000SR</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466109" w:rsidRDefault="00466109">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466109" w:rsidRDefault="00466109" w:rsidP="0027341A">
            <w:pPr>
              <w:autoSpaceDE w:val="0"/>
              <w:autoSpaceDN w:val="0"/>
              <w:adjustRightInd w:val="0"/>
              <w:rPr>
                <w:rFonts w:eastAsia="HelenPro-Regular"/>
              </w:rPr>
            </w:pPr>
          </w:p>
          <w:p w:rsidR="001B1C87" w:rsidRDefault="0027341A" w:rsidP="0027341A">
            <w:pPr>
              <w:autoSpaceDE w:val="0"/>
              <w:autoSpaceDN w:val="0"/>
              <w:adjustRightInd w:val="0"/>
              <w:rPr>
                <w:rFonts w:eastAsia="HelenPro-Regular"/>
              </w:rPr>
            </w:pPr>
            <w:r w:rsidRPr="0027341A">
              <w:rPr>
                <w:rFonts w:eastAsia="HelenPro-Regular"/>
              </w:rPr>
              <w:t>ARCHITECT Anti-Tg is a chemiluminescent microparticle</w:t>
            </w:r>
            <w:r>
              <w:rPr>
                <w:rFonts w:eastAsia="HelenPro-Regular"/>
              </w:rPr>
              <w:t xml:space="preserve"> </w:t>
            </w:r>
            <w:r w:rsidRPr="0027341A">
              <w:rPr>
                <w:rFonts w:eastAsia="HelenPro-Regular"/>
              </w:rPr>
              <w:t xml:space="preserve">immunoassay (CMIA) for the </w:t>
            </w:r>
            <w:r>
              <w:rPr>
                <w:rFonts w:eastAsia="HelenPro-Regular"/>
              </w:rPr>
              <w:t>q</w:t>
            </w:r>
            <w:r w:rsidRPr="0027341A">
              <w:rPr>
                <w:rFonts w:eastAsia="HelenPro-Regular"/>
              </w:rPr>
              <w:t>uantitative determination of the IgG</w:t>
            </w:r>
            <w:r>
              <w:rPr>
                <w:rFonts w:eastAsia="HelenPro-Regular"/>
              </w:rPr>
              <w:t xml:space="preserve"> </w:t>
            </w:r>
            <w:r w:rsidRPr="0027341A">
              <w:rPr>
                <w:rFonts w:eastAsia="HelenPro-Regular"/>
              </w:rPr>
              <w:t>class of thyroglobulin autoantibodies (anti-Tg) in human serum and</w:t>
            </w:r>
            <w:r>
              <w:rPr>
                <w:rFonts w:eastAsia="HelenPro-Regular"/>
              </w:rPr>
              <w:t xml:space="preserve"> </w:t>
            </w:r>
            <w:r w:rsidRPr="0027341A">
              <w:rPr>
                <w:rFonts w:eastAsia="HelenPro-Regular"/>
              </w:rPr>
              <w:t>plasma on the ARCHITECT iSystem. The ARCHITECT Anti-Tg assay</w:t>
            </w:r>
            <w:r>
              <w:rPr>
                <w:rFonts w:eastAsia="HelenPro-Regular"/>
              </w:rPr>
              <w:t xml:space="preserve"> </w:t>
            </w:r>
            <w:r w:rsidRPr="0027341A">
              <w:rPr>
                <w:rFonts w:eastAsia="HelenPro-Regular"/>
              </w:rPr>
              <w:t>is intended for use as an aid in the diagnosis of autoimmune thyroid</w:t>
            </w:r>
            <w:r>
              <w:rPr>
                <w:rFonts w:eastAsia="HelenPro-Regular"/>
              </w:rPr>
              <w:t xml:space="preserve"> </w:t>
            </w:r>
            <w:r w:rsidRPr="0027341A">
              <w:rPr>
                <w:rFonts w:eastAsia="HelenPro-Regular"/>
              </w:rPr>
              <w:t>disease.</w:t>
            </w:r>
          </w:p>
          <w:p w:rsidR="001B1C87" w:rsidRPr="00253C63" w:rsidRDefault="001B1C87" w:rsidP="002F385E">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27341A" w:rsidRPr="0027341A" w:rsidRDefault="0027341A" w:rsidP="0027341A">
            <w:pPr>
              <w:autoSpaceDE w:val="0"/>
              <w:autoSpaceDN w:val="0"/>
              <w:adjustRightInd w:val="0"/>
              <w:rPr>
                <w:rFonts w:cs="Arial"/>
                <w:szCs w:val="15"/>
              </w:rPr>
            </w:pPr>
            <w:r w:rsidRPr="0027341A">
              <w:rPr>
                <w:rFonts w:cs="Arial"/>
                <w:szCs w:val="15"/>
              </w:rPr>
              <w:t>Autoimmune thyroiditis was first</w:t>
            </w:r>
            <w:r>
              <w:rPr>
                <w:rFonts w:cs="Arial"/>
                <w:szCs w:val="15"/>
              </w:rPr>
              <w:t xml:space="preserve"> described by Hashimoto in 1912 </w:t>
            </w:r>
            <w:r w:rsidRPr="0027341A">
              <w:rPr>
                <w:rFonts w:cs="Arial"/>
                <w:szCs w:val="15"/>
              </w:rPr>
              <w:t>and autoimmune thyroid disease with associated goitre is termed</w:t>
            </w:r>
            <w:r>
              <w:rPr>
                <w:rFonts w:cs="Arial"/>
                <w:szCs w:val="15"/>
              </w:rPr>
              <w:t xml:space="preserve"> </w:t>
            </w:r>
            <w:r w:rsidRPr="0027341A">
              <w:rPr>
                <w:rFonts w:cs="Arial"/>
                <w:szCs w:val="15"/>
              </w:rPr>
              <w:t>Hashimoto’s thyroiditis. The presence of anti-Tg in patients with</w:t>
            </w:r>
          </w:p>
          <w:p w:rsidR="0027341A" w:rsidRDefault="0027341A" w:rsidP="0027341A">
            <w:pPr>
              <w:autoSpaceDE w:val="0"/>
              <w:autoSpaceDN w:val="0"/>
              <w:adjustRightInd w:val="0"/>
              <w:rPr>
                <w:rFonts w:cs="Arial"/>
                <w:szCs w:val="15"/>
              </w:rPr>
            </w:pPr>
            <w:r w:rsidRPr="0027341A">
              <w:rPr>
                <w:rFonts w:cs="Arial"/>
                <w:szCs w:val="15"/>
              </w:rPr>
              <w:t>this disease was first demonstrated in 1956 by Roitt, et al2 using</w:t>
            </w:r>
            <w:r>
              <w:rPr>
                <w:rFonts w:cs="Arial"/>
                <w:szCs w:val="15"/>
              </w:rPr>
              <w:t xml:space="preserve"> </w:t>
            </w:r>
            <w:r w:rsidRPr="0027341A">
              <w:rPr>
                <w:rFonts w:cs="Arial"/>
                <w:szCs w:val="15"/>
              </w:rPr>
              <w:t>a precipitin reaction. Unlike autoantibodies to thyroid peroxidase</w:t>
            </w:r>
            <w:r>
              <w:rPr>
                <w:rFonts w:cs="Arial"/>
                <w:szCs w:val="15"/>
              </w:rPr>
              <w:t xml:space="preserve"> </w:t>
            </w:r>
            <w:r w:rsidRPr="0027341A">
              <w:rPr>
                <w:rFonts w:cs="Arial"/>
                <w:szCs w:val="15"/>
              </w:rPr>
              <w:t>(anti-TPO), autoantibodies to thyroglobulin do not appear to be</w:t>
            </w:r>
            <w:r>
              <w:rPr>
                <w:rFonts w:cs="Arial"/>
                <w:szCs w:val="15"/>
              </w:rPr>
              <w:t xml:space="preserve"> </w:t>
            </w:r>
            <w:r w:rsidRPr="0027341A">
              <w:rPr>
                <w:rFonts w:cs="Arial"/>
                <w:szCs w:val="15"/>
              </w:rPr>
              <w:t>pathogenic and may s</w:t>
            </w:r>
            <w:r>
              <w:rPr>
                <w:rFonts w:cs="Arial"/>
                <w:szCs w:val="15"/>
              </w:rPr>
              <w:t>imply be indicators of disease.</w:t>
            </w:r>
            <w:r w:rsidRPr="0027341A">
              <w:rPr>
                <w:rFonts w:cs="Arial"/>
                <w:szCs w:val="15"/>
              </w:rPr>
              <w:t xml:space="preserve"> They have</w:t>
            </w:r>
            <w:r>
              <w:rPr>
                <w:rFonts w:cs="Arial"/>
                <w:szCs w:val="15"/>
              </w:rPr>
              <w:t xml:space="preserve"> </w:t>
            </w:r>
            <w:r w:rsidRPr="0027341A">
              <w:rPr>
                <w:rFonts w:cs="Arial"/>
                <w:szCs w:val="15"/>
              </w:rPr>
              <w:t>been found to be polyclonal in nature and are also heterogeneous</w:t>
            </w:r>
            <w:r>
              <w:rPr>
                <w:rFonts w:cs="Arial"/>
                <w:szCs w:val="15"/>
              </w:rPr>
              <w:t xml:space="preserve"> </w:t>
            </w:r>
            <w:r w:rsidRPr="0027341A">
              <w:rPr>
                <w:rFonts w:cs="Arial"/>
                <w:szCs w:val="15"/>
              </w:rPr>
              <w:t>with res</w:t>
            </w:r>
            <w:r>
              <w:rPr>
                <w:rFonts w:cs="Arial"/>
                <w:szCs w:val="15"/>
              </w:rPr>
              <w:t>pect to heavy chain subclass.</w:t>
            </w:r>
          </w:p>
          <w:p w:rsidR="0027341A" w:rsidRPr="0027341A" w:rsidRDefault="0027341A" w:rsidP="0027341A">
            <w:pPr>
              <w:autoSpaceDE w:val="0"/>
              <w:autoSpaceDN w:val="0"/>
              <w:adjustRightInd w:val="0"/>
              <w:rPr>
                <w:rFonts w:cs="Arial"/>
                <w:szCs w:val="15"/>
              </w:rPr>
            </w:pPr>
          </w:p>
          <w:p w:rsidR="0027341A" w:rsidRDefault="0027341A" w:rsidP="0027341A">
            <w:pPr>
              <w:autoSpaceDE w:val="0"/>
              <w:autoSpaceDN w:val="0"/>
              <w:adjustRightInd w:val="0"/>
              <w:rPr>
                <w:rFonts w:cs="Arial"/>
                <w:szCs w:val="15"/>
              </w:rPr>
            </w:pPr>
            <w:r w:rsidRPr="0027341A">
              <w:rPr>
                <w:rFonts w:cs="Arial"/>
                <w:szCs w:val="15"/>
              </w:rPr>
              <w:t>Thyroglobulin is a glycoprotein of 670,000 daltons, which is</w:t>
            </w:r>
            <w:r>
              <w:rPr>
                <w:rFonts w:cs="Arial"/>
                <w:szCs w:val="15"/>
              </w:rPr>
              <w:t xml:space="preserve"> </w:t>
            </w:r>
            <w:r w:rsidRPr="0027341A">
              <w:rPr>
                <w:rFonts w:cs="Arial"/>
                <w:szCs w:val="15"/>
              </w:rPr>
              <w:t>comprised of two identical subunits and represents the major protein</w:t>
            </w:r>
            <w:r>
              <w:rPr>
                <w:rFonts w:cs="Arial"/>
                <w:szCs w:val="15"/>
              </w:rPr>
              <w:t xml:space="preserve"> </w:t>
            </w:r>
            <w:r w:rsidRPr="0027341A">
              <w:rPr>
                <w:rFonts w:cs="Arial"/>
                <w:szCs w:val="15"/>
              </w:rPr>
              <w:t>found in the thyroid. This protein provides 40 tyrosine residues, of the</w:t>
            </w:r>
            <w:r>
              <w:rPr>
                <w:rFonts w:cs="Arial"/>
                <w:szCs w:val="15"/>
              </w:rPr>
              <w:t xml:space="preserve"> </w:t>
            </w:r>
            <w:r w:rsidRPr="0027341A">
              <w:rPr>
                <w:rFonts w:cs="Arial"/>
                <w:szCs w:val="15"/>
              </w:rPr>
              <w:t>140 in the molecule, used for iodination during the biosynthesis of</w:t>
            </w:r>
            <w:r>
              <w:rPr>
                <w:rFonts w:cs="Arial"/>
                <w:szCs w:val="15"/>
              </w:rPr>
              <w:t xml:space="preserve"> </w:t>
            </w:r>
            <w:r w:rsidRPr="0027341A">
              <w:rPr>
                <w:rFonts w:cs="Arial"/>
                <w:szCs w:val="15"/>
              </w:rPr>
              <w:t>thyroxine (T4) and triiodothyronine (T3) and, therefore, is responsible</w:t>
            </w:r>
            <w:r>
              <w:rPr>
                <w:rFonts w:cs="Arial"/>
                <w:szCs w:val="15"/>
              </w:rPr>
              <w:t xml:space="preserve"> </w:t>
            </w:r>
            <w:r w:rsidRPr="0027341A">
              <w:rPr>
                <w:rFonts w:cs="Arial"/>
                <w:szCs w:val="15"/>
              </w:rPr>
              <w:t>for the accumulation o</w:t>
            </w:r>
            <w:r>
              <w:rPr>
                <w:rFonts w:cs="Arial"/>
                <w:szCs w:val="15"/>
              </w:rPr>
              <w:t>f iodine by the thyroid gland.</w:t>
            </w:r>
          </w:p>
          <w:p w:rsidR="0027341A" w:rsidRPr="0027341A" w:rsidRDefault="0027341A" w:rsidP="0027341A">
            <w:pPr>
              <w:autoSpaceDE w:val="0"/>
              <w:autoSpaceDN w:val="0"/>
              <w:adjustRightInd w:val="0"/>
              <w:rPr>
                <w:rFonts w:cs="Arial"/>
                <w:szCs w:val="15"/>
              </w:rPr>
            </w:pPr>
          </w:p>
          <w:p w:rsidR="0027341A" w:rsidRDefault="0027341A" w:rsidP="0027341A">
            <w:pPr>
              <w:autoSpaceDE w:val="0"/>
              <w:autoSpaceDN w:val="0"/>
              <w:adjustRightInd w:val="0"/>
              <w:rPr>
                <w:rFonts w:cs="Arial"/>
                <w:szCs w:val="15"/>
              </w:rPr>
            </w:pPr>
            <w:r w:rsidRPr="0027341A">
              <w:rPr>
                <w:rFonts w:cs="Arial"/>
                <w:szCs w:val="15"/>
              </w:rPr>
              <w:t>Although anti-Tg are found in conjunction with anti-TPO in the</w:t>
            </w:r>
            <w:r>
              <w:rPr>
                <w:rFonts w:cs="Arial"/>
                <w:szCs w:val="15"/>
              </w:rPr>
              <w:t xml:space="preserve"> </w:t>
            </w:r>
            <w:r w:rsidRPr="0027341A">
              <w:rPr>
                <w:rFonts w:cs="Arial"/>
                <w:szCs w:val="15"/>
              </w:rPr>
              <w:t>majority of cases of Hashimoto’s thyroiditis, Primary Myxedema</w:t>
            </w:r>
            <w:r>
              <w:rPr>
                <w:rFonts w:cs="Arial"/>
                <w:szCs w:val="15"/>
              </w:rPr>
              <w:t xml:space="preserve"> and Graves’ </w:t>
            </w:r>
            <w:r w:rsidR="00466109">
              <w:rPr>
                <w:rFonts w:cs="Arial"/>
                <w:szCs w:val="15"/>
              </w:rPr>
              <w:t>disease,</w:t>
            </w:r>
            <w:r w:rsidR="00466109" w:rsidRPr="0027341A">
              <w:rPr>
                <w:rFonts w:cs="Arial"/>
                <w:szCs w:val="15"/>
              </w:rPr>
              <w:t xml:space="preserve"> up</w:t>
            </w:r>
            <w:r w:rsidRPr="0027341A">
              <w:rPr>
                <w:rFonts w:cs="Arial"/>
                <w:szCs w:val="15"/>
              </w:rPr>
              <w:t xml:space="preserve"> to 1% of cases of hypothyroidism are</w:t>
            </w:r>
            <w:r>
              <w:rPr>
                <w:rFonts w:cs="Arial"/>
                <w:szCs w:val="15"/>
              </w:rPr>
              <w:t xml:space="preserve"> associated with anti-Tg alone.</w:t>
            </w:r>
            <w:r w:rsidRPr="0027341A">
              <w:rPr>
                <w:rFonts w:cs="Arial"/>
                <w:szCs w:val="15"/>
              </w:rPr>
              <w:t xml:space="preserve"> Anti-Tg are associated with cases</w:t>
            </w:r>
            <w:r>
              <w:rPr>
                <w:rFonts w:cs="Arial"/>
                <w:szCs w:val="15"/>
              </w:rPr>
              <w:t xml:space="preserve"> </w:t>
            </w:r>
            <w:r w:rsidRPr="0027341A">
              <w:rPr>
                <w:rFonts w:cs="Arial"/>
                <w:szCs w:val="15"/>
              </w:rPr>
              <w:t>of mild hypothyroidism or hyperthyroidism, and are frequently found</w:t>
            </w:r>
            <w:r>
              <w:rPr>
                <w:rFonts w:cs="Arial"/>
                <w:szCs w:val="15"/>
              </w:rPr>
              <w:t xml:space="preserve"> </w:t>
            </w:r>
            <w:r w:rsidRPr="0027341A">
              <w:rPr>
                <w:rFonts w:cs="Arial"/>
                <w:szCs w:val="15"/>
              </w:rPr>
              <w:t>in patients with other autoimmune diseases such as Rheumatoid</w:t>
            </w:r>
            <w:r>
              <w:rPr>
                <w:rFonts w:cs="Arial"/>
                <w:szCs w:val="15"/>
              </w:rPr>
              <w:t xml:space="preserve"> </w:t>
            </w:r>
            <w:r w:rsidRPr="0027341A">
              <w:rPr>
                <w:rFonts w:cs="Arial"/>
                <w:szCs w:val="15"/>
              </w:rPr>
              <w:t xml:space="preserve">Arthritis, Pernicious </w:t>
            </w:r>
            <w:r w:rsidR="00466109">
              <w:rPr>
                <w:rFonts w:cs="Arial"/>
                <w:szCs w:val="15"/>
              </w:rPr>
              <w:t>Anemia</w:t>
            </w:r>
            <w:r>
              <w:rPr>
                <w:rFonts w:cs="Arial"/>
                <w:szCs w:val="15"/>
              </w:rPr>
              <w:t xml:space="preserve"> and Type I Diabetes.</w:t>
            </w:r>
            <w:r w:rsidRPr="0027341A">
              <w:rPr>
                <w:rFonts w:cs="Arial"/>
                <w:szCs w:val="15"/>
              </w:rPr>
              <w:t xml:space="preserve"> Anti-Tg</w:t>
            </w:r>
            <w:r>
              <w:rPr>
                <w:rFonts w:cs="Arial"/>
                <w:szCs w:val="15"/>
              </w:rPr>
              <w:t xml:space="preserve"> </w:t>
            </w:r>
            <w:r w:rsidRPr="0027341A">
              <w:rPr>
                <w:rFonts w:cs="Arial"/>
                <w:szCs w:val="15"/>
              </w:rPr>
              <w:t>are detected in 30-60% of cases of thyroid carcinoma patients. In</w:t>
            </w:r>
            <w:r>
              <w:rPr>
                <w:rFonts w:cs="Arial"/>
                <w:szCs w:val="15"/>
              </w:rPr>
              <w:t xml:space="preserve"> </w:t>
            </w:r>
            <w:r w:rsidRPr="0027341A">
              <w:rPr>
                <w:rFonts w:cs="Arial"/>
                <w:szCs w:val="15"/>
              </w:rPr>
              <w:t>such patients, measurement of Tg antigen must take into account</w:t>
            </w:r>
            <w:r>
              <w:rPr>
                <w:rFonts w:cs="Arial"/>
                <w:szCs w:val="15"/>
              </w:rPr>
              <w:t xml:space="preserve"> </w:t>
            </w:r>
            <w:r w:rsidRPr="0027341A">
              <w:rPr>
                <w:rFonts w:cs="Arial"/>
                <w:szCs w:val="15"/>
              </w:rPr>
              <w:t>the likelihood of the presence of significant levels of anti</w:t>
            </w:r>
            <w:r w:rsidRPr="0027341A">
              <w:rPr>
                <w:rFonts w:ascii="MS Gothic" w:eastAsia="MS Gothic" w:hAnsi="MS Gothic" w:cs="Arial" w:hint="eastAsia"/>
                <w:szCs w:val="15"/>
              </w:rPr>
              <w:t>‑</w:t>
            </w:r>
            <w:r w:rsidRPr="0027341A">
              <w:rPr>
                <w:rFonts w:cs="Arial"/>
                <w:szCs w:val="15"/>
              </w:rPr>
              <w:t>Tg, since</w:t>
            </w:r>
            <w:r>
              <w:rPr>
                <w:rFonts w:cs="Arial"/>
                <w:szCs w:val="15"/>
              </w:rPr>
              <w:t xml:space="preserve"> </w:t>
            </w:r>
            <w:r w:rsidRPr="0027341A">
              <w:rPr>
                <w:rFonts w:cs="Arial"/>
                <w:szCs w:val="15"/>
              </w:rPr>
              <w:t>measurement and detection of Tg antigen may be influenced by the</w:t>
            </w:r>
            <w:r>
              <w:rPr>
                <w:rFonts w:cs="Arial"/>
                <w:szCs w:val="15"/>
              </w:rPr>
              <w:t xml:space="preserve"> presence of anti-Tg.</w:t>
            </w:r>
          </w:p>
          <w:p w:rsidR="0027341A" w:rsidRPr="0027341A" w:rsidRDefault="0027341A" w:rsidP="0027341A">
            <w:pPr>
              <w:autoSpaceDE w:val="0"/>
              <w:autoSpaceDN w:val="0"/>
              <w:adjustRightInd w:val="0"/>
              <w:rPr>
                <w:rFonts w:cs="Arial"/>
                <w:szCs w:val="15"/>
              </w:rPr>
            </w:pPr>
          </w:p>
          <w:p w:rsidR="001B1C87" w:rsidRDefault="0027341A" w:rsidP="0027341A">
            <w:pPr>
              <w:autoSpaceDE w:val="0"/>
              <w:autoSpaceDN w:val="0"/>
              <w:adjustRightInd w:val="0"/>
              <w:rPr>
                <w:rFonts w:cs="Arial"/>
                <w:szCs w:val="15"/>
              </w:rPr>
            </w:pPr>
            <w:r w:rsidRPr="0027341A">
              <w:rPr>
                <w:rFonts w:cs="Arial"/>
                <w:szCs w:val="15"/>
              </w:rPr>
              <w:t>Furthermore, low levels of anti-Tg are also found in up to 20% of</w:t>
            </w:r>
            <w:r>
              <w:rPr>
                <w:rFonts w:cs="Arial"/>
                <w:szCs w:val="15"/>
              </w:rPr>
              <w:t xml:space="preserve"> </w:t>
            </w:r>
            <w:r w:rsidRPr="0027341A">
              <w:rPr>
                <w:rFonts w:cs="Arial"/>
                <w:szCs w:val="15"/>
              </w:rPr>
              <w:t>asymptomatic individuals, particularly the elderly and more often</w:t>
            </w:r>
            <w:r>
              <w:rPr>
                <w:rFonts w:cs="Arial"/>
                <w:szCs w:val="15"/>
              </w:rPr>
              <w:t xml:space="preserve"> </w:t>
            </w:r>
            <w:r w:rsidRPr="0027341A">
              <w:rPr>
                <w:rFonts w:cs="Arial"/>
                <w:szCs w:val="15"/>
              </w:rPr>
              <w:t>in women than men, although the clinical significance of these</w:t>
            </w:r>
            <w:r>
              <w:rPr>
                <w:rFonts w:cs="Arial"/>
                <w:szCs w:val="15"/>
              </w:rPr>
              <w:t xml:space="preserve"> </w:t>
            </w:r>
            <w:r w:rsidRPr="0027341A">
              <w:rPr>
                <w:rFonts w:cs="Arial"/>
                <w:szCs w:val="15"/>
              </w:rPr>
              <w:t>autoantibodies is unclear</w:t>
            </w:r>
            <w:r>
              <w:rPr>
                <w:rFonts w:cs="Arial"/>
                <w:szCs w:val="15"/>
              </w:rPr>
              <w:t>.</w:t>
            </w:r>
          </w:p>
          <w:p w:rsidR="001B1C87" w:rsidRDefault="001B1C87" w:rsidP="00D0201D">
            <w:pPr>
              <w:autoSpaceDE w:val="0"/>
              <w:autoSpaceDN w:val="0"/>
              <w:adjustRightInd w:val="0"/>
              <w:rPr>
                <w:rFonts w:cs="Arial"/>
                <w:szCs w:val="15"/>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Pr>
                <w:b/>
                <w:bCs/>
              </w:rPr>
              <w:t>Abbott Architect</w:t>
            </w:r>
            <w:r w:rsidR="0041684C">
              <w:rPr>
                <w:b/>
                <w:bCs/>
              </w:rPr>
              <w:t xml:space="preserve"> </w:t>
            </w:r>
            <w:r w:rsidR="0041684C" w:rsidRPr="0041684C">
              <w:rPr>
                <w:b/>
                <w:bCs/>
              </w:rPr>
              <w:t>i1000SR</w:t>
            </w:r>
          </w:p>
          <w:p w:rsidR="008C6EDC" w:rsidRDefault="00466109" w:rsidP="008C6EDC">
            <w:pPr>
              <w:pStyle w:val="Header"/>
              <w:tabs>
                <w:tab w:val="clear" w:pos="4320"/>
                <w:tab w:val="clear" w:pos="8640"/>
              </w:tabs>
              <w:spacing w:line="360" w:lineRule="auto"/>
              <w:jc w:val="both"/>
              <w:rPr>
                <w:rFonts w:cs="Arial"/>
              </w:rPr>
            </w:pPr>
            <w:r>
              <w:rPr>
                <w:bCs/>
              </w:rPr>
              <w:t>Backup Method</w:t>
            </w:r>
            <w:r w:rsidR="008C6EDC" w:rsidRPr="00B1018B">
              <w:rPr>
                <w:b/>
                <w:bCs/>
              </w:rPr>
              <w:t xml:space="preserve">: </w:t>
            </w:r>
            <w:r w:rsidR="001B1C87" w:rsidRPr="00466109">
              <w:rPr>
                <w:bCs/>
              </w:rPr>
              <w:t xml:space="preserve">Mayo Medical </w:t>
            </w:r>
            <w:r w:rsidRPr="00466109">
              <w:rPr>
                <w:bCs/>
              </w:rPr>
              <w:t>Laboratories</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41684C" w:rsidRDefault="0041684C" w:rsidP="0041684C">
            <w:pPr>
              <w:pStyle w:val="Header"/>
              <w:tabs>
                <w:tab w:val="clear" w:pos="4320"/>
                <w:tab w:val="clear" w:pos="8640"/>
              </w:tabs>
              <w:spacing w:line="360" w:lineRule="auto"/>
              <w:jc w:val="both"/>
              <w:rPr>
                <w:b/>
                <w:bCs/>
                <w:color w:val="5F497A"/>
              </w:rPr>
            </w:pPr>
          </w:p>
          <w:p w:rsidR="0041684C" w:rsidRDefault="0041684C" w:rsidP="0041684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Pr>
                <w:b/>
                <w:bCs/>
              </w:rPr>
              <w:t>ATAB</w:t>
            </w:r>
          </w:p>
          <w:p w:rsidR="001B002A" w:rsidRPr="00466109" w:rsidRDefault="00466109" w:rsidP="0041684C">
            <w:pPr>
              <w:pStyle w:val="Header"/>
              <w:tabs>
                <w:tab w:val="clear" w:pos="4320"/>
                <w:tab w:val="clear" w:pos="8640"/>
              </w:tabs>
              <w:spacing w:line="360" w:lineRule="auto"/>
              <w:jc w:val="both"/>
              <w:rPr>
                <w:b/>
                <w:bCs/>
              </w:rPr>
            </w:pPr>
            <w:r w:rsidRPr="00466109">
              <w:rPr>
                <w:bCs/>
              </w:rPr>
              <w:t>Backup Method</w:t>
            </w:r>
            <w:r w:rsidR="0041684C" w:rsidRPr="00B1018B">
              <w:rPr>
                <w:b/>
                <w:bCs/>
              </w:rPr>
              <w:t xml:space="preserve">: </w:t>
            </w:r>
            <w:r w:rsidR="0041684C" w:rsidRPr="00EC2601">
              <w:rPr>
                <w:bCs/>
              </w:rPr>
              <w:t xml:space="preserve">Mayo Medical </w:t>
            </w:r>
            <w:r w:rsidRPr="00EC2601">
              <w:rPr>
                <w:bCs/>
              </w:rPr>
              <w:t>Laboratories</w:t>
            </w:r>
            <w:r w:rsidR="001B002A" w:rsidRPr="00EC2601">
              <w:rPr>
                <w:bCs/>
              </w:rPr>
              <w:t xml:space="preserve"> (AT</w:t>
            </w:r>
            <w:r>
              <w:rPr>
                <w:bCs/>
              </w:rPr>
              <w:t>A)</w:t>
            </w:r>
          </w:p>
          <w:p w:rsidR="00B816B4" w:rsidRDefault="00B816B4" w:rsidP="003571BD">
            <w:pPr>
              <w:rPr>
                <w:rFonts w:cs="Arial"/>
                <w:szCs w:val="15"/>
              </w:rPr>
            </w:pP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Pr="00830DD4" w:rsidRDefault="008C6EDC" w:rsidP="00FC6715">
            <w:pPr>
              <w:pStyle w:val="Header"/>
              <w:tabs>
                <w:tab w:val="clear" w:pos="4320"/>
                <w:tab w:val="clear" w:pos="8640"/>
              </w:tabs>
              <w:rPr>
                <w:rFonts w:cs="Arial"/>
                <w:szCs w:val="20"/>
              </w:rPr>
            </w:pPr>
          </w:p>
          <w:p w:rsidR="00017577" w:rsidRPr="00830DD4" w:rsidRDefault="00017577" w:rsidP="00017577">
            <w:pPr>
              <w:pStyle w:val="Default"/>
              <w:rPr>
                <w:rFonts w:ascii="Arial" w:hAnsi="Arial" w:cs="Arial"/>
                <w:sz w:val="20"/>
                <w:szCs w:val="20"/>
              </w:rPr>
            </w:pPr>
            <w:r w:rsidRPr="00830DD4">
              <w:rPr>
                <w:rFonts w:ascii="Arial" w:hAnsi="Arial" w:cs="Arial"/>
                <w:b/>
                <w:bCs/>
                <w:sz w:val="20"/>
                <w:szCs w:val="20"/>
              </w:rPr>
              <w:t>Preferred Sample Type</w:t>
            </w:r>
            <w:r w:rsidRPr="00830DD4">
              <w:rPr>
                <w:rFonts w:ascii="Arial" w:hAnsi="Arial" w:cs="Arial"/>
                <w:sz w:val="20"/>
                <w:szCs w:val="20"/>
              </w:rPr>
              <w:t>: SST (gold, marble)</w:t>
            </w:r>
            <w:r w:rsidR="00830DD4">
              <w:rPr>
                <w:rFonts w:ascii="Arial" w:hAnsi="Arial" w:cs="Arial"/>
                <w:sz w:val="20"/>
                <w:szCs w:val="20"/>
              </w:rPr>
              <w:t>,</w:t>
            </w:r>
            <w:r w:rsidRPr="00830DD4">
              <w:rPr>
                <w:rFonts w:ascii="Arial" w:hAnsi="Arial" w:cs="Arial"/>
                <w:sz w:val="20"/>
                <w:szCs w:val="20"/>
              </w:rPr>
              <w:t xml:space="preserve"> Red no gel</w:t>
            </w:r>
          </w:p>
          <w:p w:rsidR="00017577" w:rsidRPr="00830DD4" w:rsidRDefault="00017577" w:rsidP="00017577">
            <w:pPr>
              <w:pStyle w:val="Default"/>
              <w:rPr>
                <w:rFonts w:ascii="Arial" w:hAnsi="Arial" w:cs="Arial"/>
                <w:sz w:val="20"/>
                <w:szCs w:val="20"/>
              </w:rPr>
            </w:pPr>
            <w:r w:rsidRPr="00830DD4">
              <w:rPr>
                <w:rFonts w:ascii="Arial" w:hAnsi="Arial" w:cs="Arial"/>
                <w:sz w:val="20"/>
                <w:szCs w:val="20"/>
              </w:rPr>
              <w:t xml:space="preserve">Also </w:t>
            </w:r>
            <w:r w:rsidR="00466109" w:rsidRPr="00830DD4">
              <w:rPr>
                <w:rFonts w:ascii="Arial" w:hAnsi="Arial" w:cs="Arial"/>
                <w:sz w:val="20"/>
                <w:szCs w:val="20"/>
              </w:rPr>
              <w:t>Acceptable: Lithium</w:t>
            </w:r>
            <w:r w:rsidRPr="00830DD4">
              <w:rPr>
                <w:rFonts w:ascii="Arial" w:hAnsi="Arial" w:cs="Arial"/>
                <w:sz w:val="20"/>
                <w:szCs w:val="20"/>
              </w:rPr>
              <w:t xml:space="preserve"> heparin, Sodium heparin,  K2EDTA (purple top) </w:t>
            </w:r>
          </w:p>
          <w:p w:rsidR="00017577" w:rsidRPr="00830DD4" w:rsidRDefault="00017577" w:rsidP="00017577">
            <w:pPr>
              <w:pStyle w:val="Default"/>
              <w:rPr>
                <w:rFonts w:ascii="Arial" w:hAnsi="Arial" w:cs="Arial"/>
                <w:sz w:val="20"/>
                <w:szCs w:val="20"/>
              </w:rPr>
            </w:pPr>
          </w:p>
          <w:p w:rsidR="00017577" w:rsidRPr="00830DD4" w:rsidRDefault="00830DD4" w:rsidP="00017577">
            <w:pPr>
              <w:pStyle w:val="Default"/>
              <w:rPr>
                <w:rFonts w:ascii="Arial" w:hAnsi="Arial" w:cs="Arial"/>
                <w:sz w:val="20"/>
                <w:szCs w:val="20"/>
              </w:rPr>
            </w:pPr>
            <w:r>
              <w:rPr>
                <w:rFonts w:ascii="Arial" w:hAnsi="Arial" w:cs="Arial"/>
                <w:b/>
                <w:bCs/>
                <w:sz w:val="20"/>
                <w:szCs w:val="20"/>
              </w:rPr>
              <w:t xml:space="preserve">Preferred </w:t>
            </w:r>
            <w:r w:rsidR="00017577" w:rsidRPr="00830DD4">
              <w:rPr>
                <w:rFonts w:ascii="Arial" w:hAnsi="Arial" w:cs="Arial"/>
                <w:b/>
                <w:bCs/>
                <w:sz w:val="20"/>
                <w:szCs w:val="20"/>
              </w:rPr>
              <w:t>Sample Draw Volume</w:t>
            </w:r>
            <w:r>
              <w:rPr>
                <w:rFonts w:ascii="Arial" w:hAnsi="Arial" w:cs="Arial"/>
                <w:sz w:val="20"/>
                <w:szCs w:val="20"/>
              </w:rPr>
              <w:t>:</w:t>
            </w:r>
            <w:r w:rsidR="00017577" w:rsidRPr="00830DD4">
              <w:rPr>
                <w:rFonts w:ascii="Arial" w:hAnsi="Arial" w:cs="Arial"/>
                <w:sz w:val="20"/>
                <w:szCs w:val="20"/>
              </w:rPr>
              <w:t xml:space="preserve"> 1.2 mL </w:t>
            </w:r>
            <w:r w:rsidR="00735A57">
              <w:rPr>
                <w:rFonts w:ascii="Arial" w:hAnsi="Arial" w:cs="Arial"/>
                <w:sz w:val="20"/>
                <w:szCs w:val="20"/>
              </w:rPr>
              <w:t>whole blood</w:t>
            </w:r>
            <w:r w:rsidR="00017577" w:rsidRPr="00830DD4">
              <w:rPr>
                <w:rFonts w:ascii="Arial" w:hAnsi="Arial" w:cs="Arial"/>
                <w:sz w:val="20"/>
                <w:szCs w:val="20"/>
              </w:rPr>
              <w:t xml:space="preserve"> </w:t>
            </w:r>
          </w:p>
          <w:p w:rsidR="00017577" w:rsidRPr="00830DD4" w:rsidRDefault="00017577" w:rsidP="00017577">
            <w:pPr>
              <w:pStyle w:val="Default"/>
              <w:rPr>
                <w:rFonts w:ascii="Arial" w:hAnsi="Arial" w:cs="Arial"/>
                <w:sz w:val="20"/>
                <w:szCs w:val="20"/>
              </w:rPr>
            </w:pPr>
          </w:p>
          <w:p w:rsidR="00017577" w:rsidRPr="00830DD4" w:rsidRDefault="00830DD4" w:rsidP="00017577">
            <w:pPr>
              <w:pStyle w:val="Default"/>
              <w:rPr>
                <w:rFonts w:ascii="Arial" w:hAnsi="Arial" w:cs="Arial"/>
                <w:sz w:val="20"/>
                <w:szCs w:val="20"/>
              </w:rPr>
            </w:pPr>
            <w:r>
              <w:rPr>
                <w:rFonts w:ascii="Arial" w:hAnsi="Arial" w:cs="Arial"/>
                <w:b/>
                <w:bCs/>
                <w:sz w:val="20"/>
                <w:szCs w:val="20"/>
              </w:rPr>
              <w:t xml:space="preserve">Minimum </w:t>
            </w:r>
            <w:r w:rsidR="00017577" w:rsidRPr="00830DD4">
              <w:rPr>
                <w:rFonts w:ascii="Arial" w:hAnsi="Arial" w:cs="Arial"/>
                <w:b/>
                <w:bCs/>
                <w:sz w:val="20"/>
                <w:szCs w:val="20"/>
              </w:rPr>
              <w:t xml:space="preserve">Processed Volume: </w:t>
            </w:r>
            <w:r w:rsidR="00024E3E" w:rsidRPr="00830DD4">
              <w:rPr>
                <w:rFonts w:ascii="Arial" w:hAnsi="Arial" w:cs="Arial"/>
                <w:sz w:val="20"/>
                <w:szCs w:val="20"/>
              </w:rPr>
              <w:t>0.2</w:t>
            </w:r>
            <w:r w:rsidR="00017577" w:rsidRPr="00830DD4">
              <w:rPr>
                <w:rFonts w:ascii="Arial" w:hAnsi="Arial" w:cs="Arial"/>
                <w:sz w:val="20"/>
                <w:szCs w:val="20"/>
              </w:rPr>
              <w:t xml:space="preserve"> mL </w:t>
            </w:r>
            <w:r w:rsidR="00735A57">
              <w:rPr>
                <w:rFonts w:ascii="Arial" w:hAnsi="Arial" w:cs="Arial"/>
                <w:sz w:val="20"/>
                <w:szCs w:val="20"/>
              </w:rPr>
              <w:t>serum or plasma</w:t>
            </w:r>
          </w:p>
          <w:p w:rsidR="00017577" w:rsidRPr="00830DD4" w:rsidRDefault="00017577" w:rsidP="00017577">
            <w:pPr>
              <w:pStyle w:val="Default"/>
              <w:rPr>
                <w:rFonts w:ascii="Arial" w:hAnsi="Arial" w:cs="Arial"/>
                <w:sz w:val="20"/>
                <w:szCs w:val="20"/>
              </w:rPr>
            </w:pPr>
            <w:r w:rsidRPr="00830DD4">
              <w:rPr>
                <w:rFonts w:ascii="Arial" w:hAnsi="Arial" w:cs="Arial"/>
                <w:sz w:val="20"/>
                <w:szCs w:val="20"/>
              </w:rPr>
              <w:tab/>
              <w:t>Note: Minimum volume does not permit repeat analysis</w:t>
            </w:r>
            <w:r w:rsidR="00830DD4">
              <w:rPr>
                <w:rFonts w:ascii="Arial" w:hAnsi="Arial" w:cs="Arial"/>
                <w:sz w:val="20"/>
                <w:szCs w:val="20"/>
              </w:rPr>
              <w:t xml:space="preserve"> or dilution</w:t>
            </w:r>
            <w:r w:rsidRPr="00830DD4">
              <w:rPr>
                <w:rFonts w:ascii="Arial" w:hAnsi="Arial" w:cs="Arial"/>
                <w:sz w:val="20"/>
                <w:szCs w:val="20"/>
              </w:rPr>
              <w:t xml:space="preserve"> </w:t>
            </w:r>
          </w:p>
          <w:p w:rsidR="00017577" w:rsidRPr="00830DD4" w:rsidRDefault="00017577" w:rsidP="00017577">
            <w:pPr>
              <w:pStyle w:val="Default"/>
              <w:rPr>
                <w:rFonts w:ascii="Arial" w:hAnsi="Arial" w:cs="Arial"/>
                <w:sz w:val="20"/>
                <w:szCs w:val="20"/>
              </w:rPr>
            </w:pPr>
          </w:p>
          <w:p w:rsidR="00017577" w:rsidRPr="00830DD4" w:rsidRDefault="00017577" w:rsidP="00017577">
            <w:pPr>
              <w:pStyle w:val="Default"/>
              <w:rPr>
                <w:rFonts w:ascii="Arial" w:hAnsi="Arial" w:cs="Arial"/>
                <w:sz w:val="20"/>
                <w:szCs w:val="20"/>
              </w:rPr>
            </w:pPr>
            <w:r w:rsidRPr="00830DD4">
              <w:rPr>
                <w:rFonts w:ascii="Arial" w:hAnsi="Arial" w:cs="Arial"/>
                <w:b/>
                <w:bCs/>
                <w:sz w:val="20"/>
                <w:szCs w:val="20"/>
              </w:rPr>
              <w:t>Sample Stability</w:t>
            </w:r>
            <w:r w:rsidRPr="00830DD4">
              <w:rPr>
                <w:rFonts w:ascii="Arial" w:hAnsi="Arial" w:cs="Arial"/>
                <w:sz w:val="20"/>
                <w:szCs w:val="20"/>
              </w:rPr>
              <w:t xml:space="preserve">: </w:t>
            </w:r>
          </w:p>
          <w:p w:rsidR="00017577" w:rsidRPr="00830DD4" w:rsidRDefault="00017577" w:rsidP="00017577">
            <w:pPr>
              <w:pStyle w:val="Default"/>
              <w:rPr>
                <w:rFonts w:ascii="Arial" w:hAnsi="Arial" w:cs="Arial"/>
                <w:sz w:val="20"/>
                <w:szCs w:val="20"/>
              </w:rPr>
            </w:pPr>
            <w:r w:rsidRPr="00830DD4">
              <w:rPr>
                <w:rFonts w:ascii="Arial" w:hAnsi="Arial" w:cs="Arial"/>
                <w:sz w:val="20"/>
                <w:szCs w:val="20"/>
              </w:rPr>
              <w:tab/>
              <w:t xml:space="preserve">8 hours </w:t>
            </w:r>
            <w:r w:rsidR="00830DD4">
              <w:rPr>
                <w:rFonts w:ascii="Arial" w:hAnsi="Arial" w:cs="Arial"/>
                <w:sz w:val="20"/>
                <w:szCs w:val="20"/>
              </w:rPr>
              <w:t>at room temperature</w:t>
            </w:r>
          </w:p>
          <w:p w:rsidR="00017577" w:rsidRPr="00830DD4" w:rsidRDefault="00017577" w:rsidP="00017577">
            <w:pPr>
              <w:pStyle w:val="Default"/>
              <w:rPr>
                <w:rFonts w:ascii="Arial" w:hAnsi="Arial" w:cs="Arial"/>
                <w:sz w:val="20"/>
                <w:szCs w:val="20"/>
              </w:rPr>
            </w:pPr>
            <w:r w:rsidRPr="00830DD4">
              <w:rPr>
                <w:rFonts w:ascii="Arial" w:hAnsi="Arial" w:cs="Arial"/>
                <w:sz w:val="20"/>
                <w:szCs w:val="20"/>
              </w:rPr>
              <w:tab/>
              <w:t xml:space="preserve">72  hours  </w:t>
            </w:r>
            <w:r w:rsidR="00830DD4">
              <w:rPr>
                <w:rFonts w:ascii="Arial" w:hAnsi="Arial" w:cs="Arial"/>
                <w:sz w:val="20"/>
                <w:szCs w:val="20"/>
              </w:rPr>
              <w:t xml:space="preserve">at </w:t>
            </w:r>
            <w:r w:rsidRPr="00830DD4">
              <w:rPr>
                <w:rFonts w:ascii="Arial" w:hAnsi="Arial" w:cs="Arial"/>
                <w:sz w:val="20"/>
                <w:szCs w:val="20"/>
              </w:rPr>
              <w:t>2-8</w:t>
            </w:r>
            <w:r w:rsidR="00830DD4">
              <w:rPr>
                <w:rFonts w:ascii="Arial" w:hAnsi="Arial" w:cs="Arial"/>
                <w:sz w:val="20"/>
                <w:szCs w:val="20"/>
              </w:rPr>
              <w:t>°C</w:t>
            </w:r>
            <w:r w:rsidRPr="00830DD4">
              <w:rPr>
                <w:rFonts w:ascii="Arial" w:hAnsi="Arial" w:cs="Arial"/>
                <w:sz w:val="20"/>
                <w:szCs w:val="20"/>
              </w:rPr>
              <w:t xml:space="preserve"> </w:t>
            </w:r>
          </w:p>
          <w:p w:rsidR="00017577" w:rsidRPr="00830DD4" w:rsidRDefault="00017577" w:rsidP="00017577">
            <w:pPr>
              <w:pStyle w:val="Default"/>
              <w:rPr>
                <w:rFonts w:ascii="Arial" w:hAnsi="Arial" w:cs="Arial"/>
                <w:sz w:val="20"/>
                <w:szCs w:val="20"/>
              </w:rPr>
            </w:pPr>
            <w:r w:rsidRPr="00830DD4">
              <w:rPr>
                <w:rFonts w:ascii="Arial" w:hAnsi="Arial" w:cs="Arial"/>
                <w:sz w:val="20"/>
                <w:szCs w:val="20"/>
              </w:rPr>
              <w:tab/>
              <w:t xml:space="preserve">30 days </w:t>
            </w:r>
            <w:r w:rsidR="00830DD4">
              <w:rPr>
                <w:rFonts w:ascii="Arial" w:hAnsi="Arial" w:cs="Arial"/>
                <w:sz w:val="20"/>
                <w:szCs w:val="20"/>
              </w:rPr>
              <w:t xml:space="preserve">frozen at </w:t>
            </w:r>
            <w:r w:rsidRPr="00830DD4">
              <w:rPr>
                <w:rFonts w:ascii="Arial" w:hAnsi="Arial" w:cs="Arial"/>
                <w:sz w:val="20"/>
                <w:szCs w:val="20"/>
              </w:rPr>
              <w:t>-20°</w:t>
            </w:r>
            <w:r w:rsidR="00830DD4">
              <w:rPr>
                <w:rFonts w:ascii="Arial" w:hAnsi="Arial" w:cs="Arial"/>
                <w:sz w:val="20"/>
                <w:szCs w:val="20"/>
              </w:rPr>
              <w:t>C</w:t>
            </w:r>
            <w:r w:rsidRPr="00830DD4">
              <w:rPr>
                <w:rFonts w:ascii="Arial" w:hAnsi="Arial" w:cs="Arial"/>
                <w:sz w:val="20"/>
                <w:szCs w:val="20"/>
              </w:rPr>
              <w:t xml:space="preserve"> </w:t>
            </w:r>
          </w:p>
          <w:p w:rsidR="00017577" w:rsidRPr="00830DD4" w:rsidRDefault="00017577" w:rsidP="00017577">
            <w:pPr>
              <w:pStyle w:val="Default"/>
              <w:rPr>
                <w:rFonts w:ascii="Arial" w:hAnsi="Arial" w:cs="Arial"/>
                <w:sz w:val="20"/>
                <w:szCs w:val="20"/>
              </w:rPr>
            </w:pPr>
          </w:p>
          <w:p w:rsidR="00017577" w:rsidRPr="00830DD4" w:rsidRDefault="00017577" w:rsidP="00017577">
            <w:pPr>
              <w:pStyle w:val="Default"/>
              <w:rPr>
                <w:rFonts w:ascii="Arial" w:hAnsi="Arial" w:cs="Arial"/>
                <w:sz w:val="20"/>
                <w:szCs w:val="20"/>
              </w:rPr>
            </w:pPr>
            <w:r w:rsidRPr="00830DD4">
              <w:rPr>
                <w:rFonts w:ascii="Arial" w:hAnsi="Arial" w:cs="Arial"/>
                <w:b/>
                <w:bCs/>
                <w:sz w:val="20"/>
                <w:szCs w:val="20"/>
              </w:rPr>
              <w:t xml:space="preserve">Processing: </w:t>
            </w:r>
          </w:p>
          <w:p w:rsidR="00735A57" w:rsidRDefault="00024E3E" w:rsidP="00017577">
            <w:pPr>
              <w:pStyle w:val="Default"/>
              <w:rPr>
                <w:rFonts w:ascii="Arial" w:hAnsi="Arial" w:cs="Arial"/>
                <w:sz w:val="20"/>
                <w:szCs w:val="20"/>
              </w:rPr>
            </w:pPr>
            <w:r w:rsidRPr="00830DD4">
              <w:rPr>
                <w:rFonts w:ascii="Arial" w:hAnsi="Arial" w:cs="Arial"/>
                <w:sz w:val="20"/>
                <w:szCs w:val="20"/>
              </w:rPr>
              <w:t>Centrifuge specimen within eight</w:t>
            </w:r>
            <w:r w:rsidR="00017577" w:rsidRPr="00830DD4">
              <w:rPr>
                <w:rFonts w:ascii="Arial" w:hAnsi="Arial" w:cs="Arial"/>
                <w:sz w:val="20"/>
                <w:szCs w:val="20"/>
              </w:rPr>
              <w:t xml:space="preserve"> hour</w:t>
            </w:r>
            <w:r w:rsidR="00CD5276">
              <w:rPr>
                <w:rFonts w:ascii="Arial" w:hAnsi="Arial" w:cs="Arial"/>
                <w:sz w:val="20"/>
                <w:szCs w:val="20"/>
              </w:rPr>
              <w:t>s</w:t>
            </w:r>
            <w:r w:rsidR="00017577" w:rsidRPr="00830DD4">
              <w:rPr>
                <w:rFonts w:ascii="Arial" w:hAnsi="Arial" w:cs="Arial"/>
                <w:sz w:val="20"/>
                <w:szCs w:val="20"/>
              </w:rPr>
              <w:t xml:space="preserve"> </w:t>
            </w:r>
            <w:r w:rsidR="00735A57">
              <w:rPr>
                <w:rFonts w:ascii="Arial" w:hAnsi="Arial" w:cs="Arial"/>
                <w:sz w:val="20"/>
                <w:szCs w:val="20"/>
              </w:rPr>
              <w:t>of collection and separate within 8 hours.  Aliquot serum/</w:t>
            </w:r>
            <w:r w:rsidR="00017577" w:rsidRPr="00830DD4">
              <w:rPr>
                <w:rFonts w:ascii="Arial" w:hAnsi="Arial" w:cs="Arial"/>
                <w:sz w:val="20"/>
                <w:szCs w:val="20"/>
              </w:rPr>
              <w:t>plasma into a</w:t>
            </w:r>
            <w:r w:rsidR="00CD5276">
              <w:rPr>
                <w:rFonts w:ascii="Arial" w:hAnsi="Arial" w:cs="Arial"/>
                <w:sz w:val="20"/>
                <w:szCs w:val="20"/>
              </w:rPr>
              <w:t>n appropriately labeled ARCHITECT Sample Cup, then place on top of an appropriately labeled s</w:t>
            </w:r>
            <w:r w:rsidR="00017577" w:rsidRPr="00830DD4">
              <w:rPr>
                <w:rFonts w:ascii="Arial" w:hAnsi="Arial" w:cs="Arial"/>
                <w:sz w:val="20"/>
                <w:szCs w:val="20"/>
              </w:rPr>
              <w:t>crew-capped round bottom plastic vial (send outs tube</w:t>
            </w:r>
            <w:r w:rsidR="00CD5276">
              <w:rPr>
                <w:rFonts w:ascii="Arial" w:hAnsi="Arial" w:cs="Arial"/>
                <w:sz w:val="20"/>
                <w:szCs w:val="20"/>
              </w:rPr>
              <w:t>).</w:t>
            </w:r>
            <w:r w:rsidR="00735A57">
              <w:rPr>
                <w:rFonts w:ascii="Arial" w:hAnsi="Arial" w:cs="Arial"/>
                <w:sz w:val="20"/>
                <w:szCs w:val="20"/>
              </w:rPr>
              <w:t xml:space="preserve">  </w:t>
            </w:r>
          </w:p>
          <w:p w:rsidR="00017577" w:rsidRPr="00830DD4" w:rsidRDefault="00735A57" w:rsidP="00017577">
            <w:pPr>
              <w:pStyle w:val="Default"/>
              <w:rPr>
                <w:rFonts w:ascii="Arial" w:hAnsi="Arial" w:cs="Arial"/>
                <w:sz w:val="20"/>
                <w:szCs w:val="20"/>
              </w:rPr>
            </w:pPr>
            <w:r w:rsidRPr="00735A57">
              <w:rPr>
                <w:rFonts w:ascii="Arial" w:hAnsi="Arial" w:cs="Arial"/>
                <w:b/>
                <w:sz w:val="20"/>
                <w:szCs w:val="20"/>
              </w:rPr>
              <w:t>Transport</w:t>
            </w:r>
            <w:r>
              <w:rPr>
                <w:rFonts w:ascii="Arial" w:hAnsi="Arial" w:cs="Arial"/>
                <w:sz w:val="20"/>
                <w:szCs w:val="20"/>
              </w:rPr>
              <w:t>: Place in a screw-capped round bottom plastic vial (</w:t>
            </w:r>
            <w:proofErr w:type="spellStart"/>
            <w:r>
              <w:rPr>
                <w:rFonts w:ascii="Arial" w:hAnsi="Arial" w:cs="Arial"/>
                <w:sz w:val="20"/>
                <w:szCs w:val="20"/>
              </w:rPr>
              <w:t>sendouts</w:t>
            </w:r>
            <w:proofErr w:type="spellEnd"/>
            <w:r>
              <w:rPr>
                <w:rFonts w:ascii="Arial" w:hAnsi="Arial" w:cs="Arial"/>
                <w:sz w:val="20"/>
                <w:szCs w:val="20"/>
              </w:rPr>
              <w:t xml:space="preserve"> tube) and ship refrigerated to Minneapolis lab.</w:t>
            </w:r>
          </w:p>
          <w:p w:rsidR="00017577" w:rsidRPr="00830DD4" w:rsidRDefault="00017577" w:rsidP="00017577">
            <w:pPr>
              <w:pStyle w:val="Default"/>
              <w:rPr>
                <w:rFonts w:ascii="Arial" w:hAnsi="Arial" w:cs="Arial"/>
                <w:sz w:val="20"/>
                <w:szCs w:val="20"/>
              </w:rPr>
            </w:pPr>
          </w:p>
          <w:p w:rsidR="00017577" w:rsidRPr="00830DD4" w:rsidRDefault="00017577" w:rsidP="00017577">
            <w:pPr>
              <w:pStyle w:val="Default"/>
              <w:rPr>
                <w:rFonts w:ascii="Arial" w:hAnsi="Arial" w:cs="Arial"/>
                <w:b/>
                <w:sz w:val="20"/>
                <w:szCs w:val="20"/>
              </w:rPr>
            </w:pPr>
            <w:r w:rsidRPr="00830DD4">
              <w:rPr>
                <w:rFonts w:ascii="Arial" w:hAnsi="Arial" w:cs="Arial"/>
                <w:b/>
                <w:sz w:val="20"/>
                <w:szCs w:val="20"/>
              </w:rPr>
              <w:t xml:space="preserve">Rejection Criteria: </w:t>
            </w:r>
          </w:p>
          <w:p w:rsidR="00017577" w:rsidRPr="00830DD4" w:rsidRDefault="00017577" w:rsidP="00017577">
            <w:pPr>
              <w:pStyle w:val="Default"/>
              <w:numPr>
                <w:ilvl w:val="0"/>
                <w:numId w:val="28"/>
              </w:numPr>
              <w:rPr>
                <w:rFonts w:ascii="Arial" w:hAnsi="Arial" w:cs="Arial"/>
                <w:sz w:val="20"/>
                <w:szCs w:val="20"/>
              </w:rPr>
            </w:pPr>
            <w:r w:rsidRPr="00830DD4">
              <w:rPr>
                <w:rFonts w:ascii="Arial" w:hAnsi="Arial" w:cs="Arial"/>
                <w:sz w:val="20"/>
                <w:szCs w:val="20"/>
              </w:rPr>
              <w:t>Specimens n</w:t>
            </w:r>
            <w:r w:rsidR="00024E3E" w:rsidRPr="00830DD4">
              <w:rPr>
                <w:rFonts w:ascii="Arial" w:hAnsi="Arial" w:cs="Arial"/>
                <w:sz w:val="20"/>
                <w:szCs w:val="20"/>
              </w:rPr>
              <w:t xml:space="preserve">ot separated within </w:t>
            </w:r>
            <w:r w:rsidR="00466109" w:rsidRPr="00830DD4">
              <w:rPr>
                <w:rFonts w:ascii="Arial" w:hAnsi="Arial" w:cs="Arial"/>
                <w:sz w:val="20"/>
                <w:szCs w:val="20"/>
              </w:rPr>
              <w:t>eight hour</w:t>
            </w:r>
            <w:r w:rsidR="00830DD4">
              <w:rPr>
                <w:rFonts w:ascii="Arial" w:hAnsi="Arial" w:cs="Arial"/>
                <w:sz w:val="20"/>
                <w:szCs w:val="20"/>
              </w:rPr>
              <w:t>s</w:t>
            </w:r>
            <w:r w:rsidRPr="00830DD4">
              <w:rPr>
                <w:rFonts w:ascii="Arial" w:hAnsi="Arial" w:cs="Arial"/>
                <w:sz w:val="20"/>
                <w:szCs w:val="20"/>
              </w:rPr>
              <w:t xml:space="preserve"> of collection. </w:t>
            </w:r>
          </w:p>
          <w:p w:rsidR="00017577" w:rsidRPr="00830DD4" w:rsidRDefault="00017577" w:rsidP="00017577">
            <w:pPr>
              <w:pStyle w:val="Default"/>
              <w:numPr>
                <w:ilvl w:val="0"/>
                <w:numId w:val="28"/>
              </w:numPr>
              <w:rPr>
                <w:rFonts w:ascii="Arial" w:hAnsi="Arial" w:cs="Arial"/>
                <w:sz w:val="20"/>
                <w:szCs w:val="20"/>
              </w:rPr>
            </w:pPr>
            <w:r w:rsidRPr="00830DD4">
              <w:rPr>
                <w:rFonts w:ascii="Arial" w:hAnsi="Arial" w:cs="Arial"/>
                <w:sz w:val="20"/>
                <w:szCs w:val="20"/>
              </w:rPr>
              <w:t xml:space="preserve">Mislabeled or unlabeled specimen </w:t>
            </w:r>
          </w:p>
          <w:p w:rsidR="008C6EDC" w:rsidRPr="00830DD4" w:rsidRDefault="008C6EDC" w:rsidP="00D735E3">
            <w:pPr>
              <w:pStyle w:val="Default"/>
              <w:ind w:left="720"/>
              <w:rPr>
                <w:rFonts w:ascii="Arial" w:hAnsi="Arial" w:cs="Arial"/>
                <w:sz w:val="20"/>
                <w:szCs w:val="20"/>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B816B4" w:rsidRPr="00830DD4"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rsidRPr="00830DD4">
              <w:tc>
                <w:tcPr>
                  <w:tcW w:w="2857" w:type="dxa"/>
                </w:tcPr>
                <w:p w:rsidR="00B816B4" w:rsidRPr="00830DD4" w:rsidRDefault="00B816B4" w:rsidP="008C6EDC">
                  <w:pPr>
                    <w:pStyle w:val="Reagents"/>
                    <w:rPr>
                      <w:rFonts w:ascii="Arial" w:hAnsi="Arial" w:cs="Arial"/>
                      <w:b/>
                      <w:bCs/>
                    </w:rPr>
                  </w:pPr>
                  <w:r w:rsidRPr="00830DD4">
                    <w:rPr>
                      <w:rFonts w:ascii="Arial" w:hAnsi="Arial" w:cs="Arial"/>
                      <w:b/>
                      <w:bCs/>
                      <w:i/>
                      <w:iCs/>
                    </w:rPr>
                    <w:t>Product Description</w:t>
                  </w:r>
                </w:p>
              </w:tc>
              <w:tc>
                <w:tcPr>
                  <w:tcW w:w="1710" w:type="dxa"/>
                </w:tcPr>
                <w:p w:rsidR="00B816B4" w:rsidRPr="00830DD4" w:rsidRDefault="00B816B4" w:rsidP="008C6EDC">
                  <w:pPr>
                    <w:pStyle w:val="Reagents"/>
                    <w:rPr>
                      <w:rFonts w:ascii="Arial" w:hAnsi="Arial" w:cs="Arial"/>
                      <w:b/>
                      <w:bCs/>
                    </w:rPr>
                  </w:pPr>
                  <w:r w:rsidRPr="00830DD4">
                    <w:rPr>
                      <w:rFonts w:ascii="Arial" w:hAnsi="Arial" w:cs="Arial"/>
                      <w:b/>
                      <w:bCs/>
                      <w:i/>
                      <w:iCs/>
                    </w:rPr>
                    <w:t>Product Code</w:t>
                  </w:r>
                </w:p>
              </w:tc>
              <w:tc>
                <w:tcPr>
                  <w:tcW w:w="4533" w:type="dxa"/>
                  <w:gridSpan w:val="2"/>
                </w:tcPr>
                <w:p w:rsidR="00B816B4" w:rsidRPr="00830DD4" w:rsidRDefault="00B816B4" w:rsidP="008C6EDC">
                  <w:pPr>
                    <w:pStyle w:val="Reagents"/>
                    <w:rPr>
                      <w:rFonts w:ascii="Arial" w:hAnsi="Arial" w:cs="Arial"/>
                      <w:b/>
                      <w:bCs/>
                    </w:rPr>
                  </w:pPr>
                  <w:r w:rsidRPr="00830DD4">
                    <w:rPr>
                      <w:rFonts w:ascii="Arial" w:hAnsi="Arial" w:cs="Arial"/>
                      <w:b/>
                      <w:bCs/>
                      <w:i/>
                      <w:iCs/>
                    </w:rPr>
                    <w:t>Stability</w:t>
                  </w:r>
                </w:p>
              </w:tc>
            </w:tr>
            <w:tr w:rsidR="00B816B4" w:rsidRPr="00830DD4">
              <w:trPr>
                <w:gridAfter w:val="1"/>
                <w:wAfter w:w="393" w:type="dxa"/>
              </w:trPr>
              <w:tc>
                <w:tcPr>
                  <w:tcW w:w="2857" w:type="dxa"/>
                </w:tcPr>
                <w:p w:rsidR="00B816B4" w:rsidRPr="00830DD4" w:rsidRDefault="000F1648" w:rsidP="008C6EDC">
                  <w:pPr>
                    <w:autoSpaceDE w:val="0"/>
                    <w:autoSpaceDN w:val="0"/>
                    <w:adjustRightInd w:val="0"/>
                    <w:rPr>
                      <w:rFonts w:cs="Arial"/>
                      <w:szCs w:val="20"/>
                    </w:rPr>
                  </w:pPr>
                  <w:r w:rsidRPr="00830DD4">
                    <w:rPr>
                      <w:rFonts w:cs="Arial"/>
                      <w:szCs w:val="20"/>
                    </w:rPr>
                    <w:t>ARCHITECT Anti-Tg Reagent</w:t>
                  </w:r>
                </w:p>
              </w:tc>
              <w:tc>
                <w:tcPr>
                  <w:tcW w:w="1710" w:type="dxa"/>
                </w:tcPr>
                <w:p w:rsidR="00B816B4" w:rsidRPr="00830DD4" w:rsidRDefault="00830DD4" w:rsidP="008C6EDC">
                  <w:pPr>
                    <w:pStyle w:val="BodyText"/>
                    <w:tabs>
                      <w:tab w:val="left" w:pos="3240"/>
                    </w:tabs>
                    <w:rPr>
                      <w:rFonts w:cs="Arial"/>
                      <w:szCs w:val="20"/>
                    </w:rPr>
                  </w:pPr>
                  <w:r>
                    <w:rPr>
                      <w:rFonts w:cs="Arial"/>
                      <w:szCs w:val="20"/>
                    </w:rPr>
                    <w:t>02K4625</w:t>
                  </w:r>
                </w:p>
              </w:tc>
              <w:tc>
                <w:tcPr>
                  <w:tcW w:w="4140" w:type="dxa"/>
                  <w:vAlign w:val="center"/>
                </w:tcPr>
                <w:p w:rsidR="00B816B4" w:rsidRPr="00830DD4" w:rsidRDefault="00B816B4" w:rsidP="002265E2">
                  <w:pPr>
                    <w:pStyle w:val="Reagents"/>
                    <w:spacing w:after="80"/>
                    <w:rPr>
                      <w:rFonts w:ascii="Arial" w:hAnsi="Arial" w:cs="Arial"/>
                      <w:bCs/>
                    </w:rPr>
                  </w:pPr>
                  <w:r w:rsidRPr="00830DD4">
                    <w:rPr>
                      <w:rFonts w:ascii="Arial" w:hAnsi="Arial" w:cs="Arial"/>
                      <w:b/>
                      <w:bCs/>
                    </w:rPr>
                    <w:t>Store at:</w:t>
                  </w:r>
                  <w:r w:rsidRPr="00830DD4">
                    <w:rPr>
                      <w:rFonts w:ascii="Arial" w:hAnsi="Arial" w:cs="Arial"/>
                      <w:bCs/>
                    </w:rPr>
                    <w:t xml:space="preserve"> 2 – 8 °C</w:t>
                  </w:r>
                </w:p>
                <w:p w:rsidR="00B816B4" w:rsidRPr="00830DD4" w:rsidRDefault="00B816B4" w:rsidP="002265E2">
                  <w:pPr>
                    <w:pStyle w:val="Reagents"/>
                    <w:spacing w:after="80"/>
                    <w:rPr>
                      <w:rFonts w:ascii="Arial" w:hAnsi="Arial" w:cs="Arial"/>
                      <w:bCs/>
                    </w:rPr>
                  </w:pPr>
                  <w:r w:rsidRPr="00830DD4">
                    <w:rPr>
                      <w:rFonts w:ascii="Arial" w:hAnsi="Arial" w:cs="Arial"/>
                      <w:b/>
                      <w:bCs/>
                    </w:rPr>
                    <w:t>Unopened</w:t>
                  </w:r>
                  <w:r w:rsidR="002265E2" w:rsidRPr="00830DD4">
                    <w:rPr>
                      <w:rFonts w:ascii="Arial" w:hAnsi="Arial" w:cs="Arial"/>
                      <w:b/>
                      <w:bCs/>
                    </w:rPr>
                    <w:t>/Opened</w:t>
                  </w:r>
                  <w:r w:rsidRPr="00830DD4">
                    <w:rPr>
                      <w:rFonts w:ascii="Arial" w:hAnsi="Arial" w:cs="Arial"/>
                      <w:b/>
                      <w:bCs/>
                    </w:rPr>
                    <w:t>:</w:t>
                  </w:r>
                  <w:r w:rsidR="002265E2" w:rsidRPr="00830DD4">
                    <w:rPr>
                      <w:rFonts w:ascii="Arial" w:hAnsi="Arial" w:cs="Arial"/>
                      <w:b/>
                      <w:bCs/>
                    </w:rPr>
                    <w:t xml:space="preserve"> </w:t>
                  </w:r>
                  <w:r w:rsidR="002265E2" w:rsidRPr="00830DD4">
                    <w:rPr>
                      <w:rFonts w:ascii="Arial" w:hAnsi="Arial" w:cs="Arial"/>
                      <w:bCs/>
                    </w:rPr>
                    <w:t>Manufacture</w:t>
                  </w:r>
                  <w:r w:rsidR="0069308E">
                    <w:rPr>
                      <w:rFonts w:ascii="Arial" w:hAnsi="Arial" w:cs="Arial"/>
                      <w:bCs/>
                    </w:rPr>
                    <w:t>r</w:t>
                  </w:r>
                  <w:r w:rsidR="002265E2" w:rsidRPr="00830DD4">
                    <w:rPr>
                      <w:rFonts w:ascii="Arial" w:hAnsi="Arial" w:cs="Arial"/>
                      <w:bCs/>
                    </w:rPr>
                    <w:t xml:space="preserve"> expiration date</w:t>
                  </w:r>
                  <w:r w:rsidRPr="00830DD4">
                    <w:rPr>
                      <w:rFonts w:ascii="Arial" w:hAnsi="Arial" w:cs="Arial"/>
                      <w:bCs/>
                    </w:rPr>
                    <w:t>.</w:t>
                  </w:r>
                </w:p>
                <w:p w:rsidR="00B816B4" w:rsidRPr="00830DD4" w:rsidRDefault="00B816B4" w:rsidP="002265E2">
                  <w:pPr>
                    <w:autoSpaceDE w:val="0"/>
                    <w:autoSpaceDN w:val="0"/>
                    <w:adjustRightInd w:val="0"/>
                    <w:spacing w:after="80"/>
                    <w:rPr>
                      <w:rFonts w:cs="Arial"/>
                      <w:szCs w:val="20"/>
                    </w:rPr>
                  </w:pPr>
                  <w:r w:rsidRPr="00830DD4">
                    <w:rPr>
                      <w:rFonts w:cs="Arial"/>
                      <w:b/>
                      <w:bCs/>
                      <w:szCs w:val="20"/>
                    </w:rPr>
                    <w:t xml:space="preserve">On-board: </w:t>
                  </w:r>
                  <w:r w:rsidR="002265E2" w:rsidRPr="00830DD4">
                    <w:rPr>
                      <w:rFonts w:cs="Arial"/>
                      <w:szCs w:val="20"/>
                    </w:rPr>
                    <w:t>30 Days</w:t>
                  </w:r>
                </w:p>
              </w:tc>
            </w:tr>
            <w:tr w:rsidR="00B816B4" w:rsidRPr="00830DD4">
              <w:trPr>
                <w:gridAfter w:val="1"/>
                <w:wAfter w:w="393" w:type="dxa"/>
              </w:trPr>
              <w:tc>
                <w:tcPr>
                  <w:tcW w:w="2857" w:type="dxa"/>
                </w:tcPr>
                <w:p w:rsidR="00B816B4" w:rsidRPr="00830DD4" w:rsidRDefault="000F1648" w:rsidP="008C6EDC">
                  <w:pPr>
                    <w:pStyle w:val="BodyText"/>
                    <w:rPr>
                      <w:rFonts w:cs="Arial"/>
                      <w:szCs w:val="20"/>
                    </w:rPr>
                  </w:pPr>
                  <w:r w:rsidRPr="00830DD4">
                    <w:rPr>
                      <w:rFonts w:cs="Arial"/>
                      <w:szCs w:val="20"/>
                    </w:rPr>
                    <w:t xml:space="preserve">ARCHITECT Anti-Tg Calibrator </w:t>
                  </w:r>
                </w:p>
              </w:tc>
              <w:tc>
                <w:tcPr>
                  <w:tcW w:w="1710" w:type="dxa"/>
                </w:tcPr>
                <w:p w:rsidR="00B816B4" w:rsidRPr="00830DD4" w:rsidRDefault="00830DD4" w:rsidP="008C6EDC">
                  <w:pPr>
                    <w:pStyle w:val="BodyText"/>
                    <w:rPr>
                      <w:rFonts w:cs="Arial"/>
                      <w:szCs w:val="20"/>
                    </w:rPr>
                  </w:pPr>
                  <w:r>
                    <w:rPr>
                      <w:rFonts w:cs="Arial"/>
                      <w:szCs w:val="20"/>
                    </w:rPr>
                    <w:t>02K4601</w:t>
                  </w:r>
                </w:p>
              </w:tc>
              <w:tc>
                <w:tcPr>
                  <w:tcW w:w="4140" w:type="dxa"/>
                  <w:vAlign w:val="center"/>
                </w:tcPr>
                <w:p w:rsidR="00B816B4" w:rsidRPr="00830DD4" w:rsidRDefault="00260A50" w:rsidP="008C6EDC">
                  <w:pPr>
                    <w:pStyle w:val="BodyText"/>
                    <w:spacing w:after="80"/>
                    <w:jc w:val="both"/>
                    <w:rPr>
                      <w:rFonts w:cs="Arial"/>
                      <w:bCs/>
                      <w:szCs w:val="20"/>
                    </w:rPr>
                  </w:pPr>
                  <w:r w:rsidRPr="00830DD4">
                    <w:rPr>
                      <w:rFonts w:cs="Arial"/>
                      <w:b/>
                      <w:szCs w:val="20"/>
                    </w:rPr>
                    <w:t xml:space="preserve">Store at: </w:t>
                  </w:r>
                  <w:r w:rsidR="0069308E">
                    <w:rPr>
                      <w:rFonts w:cs="Arial"/>
                      <w:szCs w:val="20"/>
                    </w:rPr>
                    <w:t xml:space="preserve"> -10</w:t>
                  </w:r>
                  <w:r w:rsidRPr="00830DD4">
                    <w:rPr>
                      <w:rFonts w:cs="Arial"/>
                      <w:bCs/>
                      <w:szCs w:val="20"/>
                    </w:rPr>
                    <w:t>°C</w:t>
                  </w:r>
                  <w:r w:rsidR="0069308E">
                    <w:rPr>
                      <w:rFonts w:cs="Arial"/>
                      <w:bCs/>
                      <w:szCs w:val="20"/>
                    </w:rPr>
                    <w:t xml:space="preserve"> or colder</w:t>
                  </w:r>
                </w:p>
                <w:p w:rsidR="00260A50" w:rsidRPr="00830DD4" w:rsidRDefault="00260A50" w:rsidP="008C6EDC">
                  <w:pPr>
                    <w:pStyle w:val="BodyText"/>
                    <w:spacing w:after="80"/>
                    <w:jc w:val="both"/>
                    <w:rPr>
                      <w:rFonts w:cs="Arial"/>
                      <w:bCs/>
                      <w:szCs w:val="20"/>
                    </w:rPr>
                  </w:pPr>
                  <w:r w:rsidRPr="00830DD4">
                    <w:rPr>
                      <w:rFonts w:cs="Arial"/>
                      <w:b/>
                      <w:bCs/>
                      <w:szCs w:val="20"/>
                    </w:rPr>
                    <w:t>Unopened</w:t>
                  </w:r>
                  <w:r w:rsidR="00CF7522" w:rsidRPr="00830DD4">
                    <w:rPr>
                      <w:rFonts w:cs="Arial"/>
                      <w:bCs/>
                      <w:szCs w:val="20"/>
                    </w:rPr>
                    <w:t>: Manufacture</w:t>
                  </w:r>
                  <w:r w:rsidR="0069308E">
                    <w:rPr>
                      <w:rFonts w:cs="Arial"/>
                      <w:bCs/>
                      <w:szCs w:val="20"/>
                    </w:rPr>
                    <w:t>r</w:t>
                  </w:r>
                  <w:r w:rsidR="00CF7522" w:rsidRPr="00830DD4">
                    <w:rPr>
                      <w:rFonts w:cs="Arial"/>
                      <w:bCs/>
                      <w:szCs w:val="20"/>
                    </w:rPr>
                    <w:t xml:space="preserve"> ex</w:t>
                  </w:r>
                  <w:r w:rsidRPr="00830DD4">
                    <w:rPr>
                      <w:rFonts w:cs="Arial"/>
                      <w:bCs/>
                      <w:szCs w:val="20"/>
                    </w:rPr>
                    <w:t>piration date.</w:t>
                  </w:r>
                </w:p>
                <w:p w:rsidR="00260A50" w:rsidRPr="00830DD4" w:rsidRDefault="00260A50" w:rsidP="0069308E">
                  <w:pPr>
                    <w:pStyle w:val="BodyText"/>
                    <w:spacing w:after="80"/>
                    <w:jc w:val="both"/>
                    <w:rPr>
                      <w:rFonts w:cs="Arial"/>
                      <w:szCs w:val="20"/>
                    </w:rPr>
                  </w:pPr>
                  <w:r w:rsidRPr="00830DD4">
                    <w:rPr>
                      <w:rFonts w:cs="Arial"/>
                      <w:b/>
                      <w:bCs/>
                      <w:szCs w:val="20"/>
                    </w:rPr>
                    <w:t>Opened</w:t>
                  </w:r>
                  <w:r w:rsidRPr="00830DD4">
                    <w:rPr>
                      <w:rFonts w:cs="Arial"/>
                      <w:bCs/>
                      <w:szCs w:val="20"/>
                    </w:rPr>
                    <w:t xml:space="preserve">: </w:t>
                  </w:r>
                  <w:r w:rsidR="0069308E">
                    <w:rPr>
                      <w:rFonts w:cs="Arial"/>
                      <w:bCs/>
                      <w:szCs w:val="20"/>
                    </w:rPr>
                    <w:t xml:space="preserve">Thaw completely at room temperature for 45-60 minutes.  Mix by gentle inversion 10 times.  Return to </w:t>
                  </w:r>
                  <w:r w:rsidR="0069308E">
                    <w:rPr>
                      <w:rFonts w:cs="Arial"/>
                      <w:bCs/>
                    </w:rPr>
                    <w:t>2–8</w:t>
                  </w:r>
                  <w:r w:rsidR="0069308E" w:rsidRPr="00830DD4">
                    <w:rPr>
                      <w:rFonts w:cs="Arial"/>
                      <w:bCs/>
                    </w:rPr>
                    <w:t>°C</w:t>
                  </w:r>
                  <w:r w:rsidR="0069308E">
                    <w:rPr>
                      <w:rFonts w:cs="Arial"/>
                      <w:bCs/>
                    </w:rPr>
                    <w:t xml:space="preserve"> immediately after use.</w:t>
                  </w:r>
                  <w:r w:rsidR="0069308E">
                    <w:rPr>
                      <w:rFonts w:cs="Arial"/>
                      <w:bCs/>
                      <w:szCs w:val="20"/>
                    </w:rPr>
                    <w:t xml:space="preserve">  Stable for 30 days </w:t>
                  </w:r>
                  <w:r w:rsidR="00CF7522" w:rsidRPr="00830DD4">
                    <w:rPr>
                      <w:rFonts w:cs="Arial"/>
                      <w:bCs/>
                      <w:szCs w:val="20"/>
                    </w:rPr>
                    <w:t xml:space="preserve">when stored and handled as directed. </w:t>
                  </w:r>
                </w:p>
              </w:tc>
            </w:tr>
            <w:tr w:rsidR="002265E2" w:rsidRPr="00830DD4">
              <w:trPr>
                <w:gridAfter w:val="1"/>
                <w:wAfter w:w="393" w:type="dxa"/>
              </w:trPr>
              <w:tc>
                <w:tcPr>
                  <w:tcW w:w="2857" w:type="dxa"/>
                </w:tcPr>
                <w:p w:rsidR="002265E2" w:rsidRPr="00830DD4" w:rsidRDefault="00466109" w:rsidP="008C6EDC">
                  <w:pPr>
                    <w:pStyle w:val="BodyText"/>
                    <w:rPr>
                      <w:rFonts w:cs="Arial"/>
                      <w:szCs w:val="20"/>
                    </w:rPr>
                  </w:pPr>
                  <w:r w:rsidRPr="00830DD4">
                    <w:rPr>
                      <w:rFonts w:cs="Arial"/>
                      <w:szCs w:val="20"/>
                    </w:rPr>
                    <w:t>Multiassay</w:t>
                  </w:r>
                  <w:r w:rsidR="002265E2" w:rsidRPr="00830DD4">
                    <w:rPr>
                      <w:rFonts w:cs="Arial"/>
                      <w:szCs w:val="20"/>
                    </w:rPr>
                    <w:t xml:space="preserve"> Diluent</w:t>
                  </w:r>
                </w:p>
              </w:tc>
              <w:tc>
                <w:tcPr>
                  <w:tcW w:w="1710" w:type="dxa"/>
                </w:tcPr>
                <w:p w:rsidR="002265E2" w:rsidRPr="00830DD4" w:rsidRDefault="00830DD4" w:rsidP="008C6EDC">
                  <w:pPr>
                    <w:pStyle w:val="BodyText"/>
                    <w:rPr>
                      <w:rFonts w:cs="Arial"/>
                      <w:szCs w:val="20"/>
                    </w:rPr>
                  </w:pPr>
                  <w:r>
                    <w:rPr>
                      <w:rFonts w:eastAsia="HelenPro-Regular" w:cs="Arial"/>
                      <w:szCs w:val="20"/>
                    </w:rPr>
                    <w:t>0</w:t>
                  </w:r>
                  <w:r w:rsidR="002265E2" w:rsidRPr="00830DD4">
                    <w:rPr>
                      <w:rFonts w:eastAsia="HelenPro-Regular" w:cs="Arial"/>
                      <w:szCs w:val="20"/>
                    </w:rPr>
                    <w:t>7D82-50</w:t>
                  </w:r>
                </w:p>
              </w:tc>
              <w:tc>
                <w:tcPr>
                  <w:tcW w:w="4140" w:type="dxa"/>
                  <w:vAlign w:val="center"/>
                </w:tcPr>
                <w:p w:rsidR="002265E2" w:rsidRPr="00830DD4" w:rsidRDefault="00E2166F" w:rsidP="008C6EDC">
                  <w:pPr>
                    <w:pStyle w:val="BodyText"/>
                    <w:spacing w:after="80"/>
                    <w:jc w:val="both"/>
                    <w:rPr>
                      <w:rFonts w:cs="Arial"/>
                      <w:szCs w:val="20"/>
                    </w:rPr>
                  </w:pPr>
                  <w:r w:rsidRPr="00830DD4">
                    <w:rPr>
                      <w:rFonts w:cs="Arial"/>
                      <w:szCs w:val="20"/>
                    </w:rPr>
                    <w:t>Refer to Supply Status on Analyzer</w:t>
                  </w:r>
                </w:p>
              </w:tc>
            </w:tr>
            <w:tr w:rsidR="002265E2" w:rsidRPr="00830DD4">
              <w:trPr>
                <w:gridAfter w:val="1"/>
                <w:wAfter w:w="393" w:type="dxa"/>
              </w:trPr>
              <w:tc>
                <w:tcPr>
                  <w:tcW w:w="2857" w:type="dxa"/>
                </w:tcPr>
                <w:p w:rsidR="002265E2" w:rsidRPr="00830DD4" w:rsidRDefault="002265E2" w:rsidP="008C6EDC">
                  <w:pPr>
                    <w:pStyle w:val="BodyText"/>
                    <w:rPr>
                      <w:rFonts w:cs="Arial"/>
                      <w:szCs w:val="20"/>
                    </w:rPr>
                  </w:pPr>
                  <w:r w:rsidRPr="00830DD4">
                    <w:rPr>
                      <w:rFonts w:cs="Arial"/>
                      <w:szCs w:val="20"/>
                    </w:rPr>
                    <w:t>Pre-Trigger Solution</w:t>
                  </w:r>
                </w:p>
              </w:tc>
              <w:tc>
                <w:tcPr>
                  <w:tcW w:w="1710" w:type="dxa"/>
                </w:tcPr>
                <w:p w:rsidR="002265E2" w:rsidRPr="00830DD4" w:rsidRDefault="00DE32D9" w:rsidP="008C6EDC">
                  <w:pPr>
                    <w:pStyle w:val="BodyText"/>
                    <w:rPr>
                      <w:rFonts w:cs="Arial"/>
                      <w:szCs w:val="20"/>
                    </w:rPr>
                  </w:pPr>
                  <w:r w:rsidRPr="00830DD4">
                    <w:rPr>
                      <w:rFonts w:eastAsia="HelenPro-Regular" w:cs="Arial"/>
                      <w:szCs w:val="20"/>
                    </w:rPr>
                    <w:t>06E23-65</w:t>
                  </w:r>
                </w:p>
              </w:tc>
              <w:tc>
                <w:tcPr>
                  <w:tcW w:w="4140" w:type="dxa"/>
                  <w:vAlign w:val="center"/>
                </w:tcPr>
                <w:p w:rsidR="002265E2" w:rsidRPr="00830DD4" w:rsidRDefault="00E2166F" w:rsidP="008C6EDC">
                  <w:pPr>
                    <w:pStyle w:val="BodyText"/>
                    <w:spacing w:after="80"/>
                    <w:jc w:val="both"/>
                    <w:rPr>
                      <w:rFonts w:cs="Arial"/>
                      <w:szCs w:val="20"/>
                    </w:rPr>
                  </w:pPr>
                  <w:r w:rsidRPr="00830DD4">
                    <w:rPr>
                      <w:rFonts w:cs="Arial"/>
                      <w:szCs w:val="20"/>
                    </w:rPr>
                    <w:t>Refer to Supply Status on Analyzer</w:t>
                  </w:r>
                </w:p>
              </w:tc>
            </w:tr>
            <w:tr w:rsidR="002265E2" w:rsidRPr="00830DD4">
              <w:trPr>
                <w:gridAfter w:val="1"/>
                <w:wAfter w:w="393" w:type="dxa"/>
              </w:trPr>
              <w:tc>
                <w:tcPr>
                  <w:tcW w:w="2857" w:type="dxa"/>
                </w:tcPr>
                <w:p w:rsidR="002265E2" w:rsidRPr="00830DD4" w:rsidRDefault="002265E2" w:rsidP="008C6EDC">
                  <w:pPr>
                    <w:pStyle w:val="BodyText"/>
                    <w:rPr>
                      <w:rFonts w:cs="Arial"/>
                      <w:szCs w:val="20"/>
                    </w:rPr>
                  </w:pPr>
                  <w:r w:rsidRPr="00830DD4">
                    <w:rPr>
                      <w:rFonts w:cs="Arial"/>
                      <w:szCs w:val="20"/>
                    </w:rPr>
                    <w:t>Trigger Solution</w:t>
                  </w:r>
                </w:p>
              </w:tc>
              <w:tc>
                <w:tcPr>
                  <w:tcW w:w="1710" w:type="dxa"/>
                </w:tcPr>
                <w:p w:rsidR="002265E2" w:rsidRPr="00830DD4" w:rsidRDefault="00DE32D9" w:rsidP="008C6EDC">
                  <w:pPr>
                    <w:pStyle w:val="BodyText"/>
                    <w:rPr>
                      <w:rFonts w:cs="Arial"/>
                      <w:szCs w:val="20"/>
                    </w:rPr>
                  </w:pPr>
                  <w:r w:rsidRPr="00830DD4">
                    <w:rPr>
                      <w:rFonts w:eastAsia="HelenPro-Regular" w:cs="Arial"/>
                      <w:szCs w:val="20"/>
                    </w:rPr>
                    <w:t>06C55-60</w:t>
                  </w:r>
                </w:p>
              </w:tc>
              <w:tc>
                <w:tcPr>
                  <w:tcW w:w="4140" w:type="dxa"/>
                  <w:vAlign w:val="center"/>
                </w:tcPr>
                <w:p w:rsidR="002265E2" w:rsidRPr="00830DD4" w:rsidRDefault="00E2166F" w:rsidP="008C6EDC">
                  <w:pPr>
                    <w:pStyle w:val="BodyText"/>
                    <w:spacing w:after="80"/>
                    <w:jc w:val="both"/>
                    <w:rPr>
                      <w:rFonts w:cs="Arial"/>
                      <w:szCs w:val="20"/>
                    </w:rPr>
                  </w:pPr>
                  <w:r w:rsidRPr="00830DD4">
                    <w:rPr>
                      <w:rFonts w:cs="Arial"/>
                      <w:szCs w:val="20"/>
                    </w:rPr>
                    <w:t>Refer to Supply Status on Analyzer</w:t>
                  </w:r>
                </w:p>
              </w:tc>
            </w:tr>
            <w:tr w:rsidR="002265E2" w:rsidRPr="00830DD4">
              <w:trPr>
                <w:gridAfter w:val="1"/>
                <w:wAfter w:w="393" w:type="dxa"/>
              </w:trPr>
              <w:tc>
                <w:tcPr>
                  <w:tcW w:w="2857" w:type="dxa"/>
                </w:tcPr>
                <w:p w:rsidR="002265E2" w:rsidRPr="00830DD4" w:rsidRDefault="002265E2" w:rsidP="008C6EDC">
                  <w:pPr>
                    <w:pStyle w:val="BodyText"/>
                    <w:rPr>
                      <w:rFonts w:cs="Arial"/>
                      <w:szCs w:val="20"/>
                    </w:rPr>
                  </w:pPr>
                  <w:r w:rsidRPr="00830DD4">
                    <w:rPr>
                      <w:rFonts w:cs="Arial"/>
                      <w:szCs w:val="20"/>
                    </w:rPr>
                    <w:t>Wash Buffer</w:t>
                  </w:r>
                </w:p>
              </w:tc>
              <w:tc>
                <w:tcPr>
                  <w:tcW w:w="1710" w:type="dxa"/>
                </w:tcPr>
                <w:p w:rsidR="002265E2" w:rsidRPr="00830DD4" w:rsidRDefault="00DE32D9" w:rsidP="008C6EDC">
                  <w:pPr>
                    <w:pStyle w:val="BodyText"/>
                    <w:rPr>
                      <w:rFonts w:cs="Arial"/>
                      <w:szCs w:val="20"/>
                    </w:rPr>
                  </w:pPr>
                  <w:r w:rsidRPr="00830DD4">
                    <w:rPr>
                      <w:rFonts w:eastAsia="HelenPro-Regular" w:cs="Arial"/>
                      <w:szCs w:val="20"/>
                    </w:rPr>
                    <w:t>06C54-58</w:t>
                  </w:r>
                </w:p>
              </w:tc>
              <w:tc>
                <w:tcPr>
                  <w:tcW w:w="4140" w:type="dxa"/>
                  <w:vAlign w:val="center"/>
                </w:tcPr>
                <w:p w:rsidR="002265E2" w:rsidRPr="00830DD4" w:rsidRDefault="00E2166F" w:rsidP="008C6EDC">
                  <w:pPr>
                    <w:pStyle w:val="BodyText"/>
                    <w:spacing w:after="80"/>
                    <w:jc w:val="both"/>
                    <w:rPr>
                      <w:rFonts w:cs="Arial"/>
                      <w:szCs w:val="20"/>
                    </w:rPr>
                  </w:pPr>
                  <w:r w:rsidRPr="00830DD4">
                    <w:rPr>
                      <w:rFonts w:cs="Arial"/>
                      <w:szCs w:val="20"/>
                    </w:rPr>
                    <w:t>Refer to Supply Status on Analyzer</w:t>
                  </w:r>
                </w:p>
              </w:tc>
            </w:tr>
            <w:tr w:rsidR="002265E2" w:rsidRPr="00830DD4">
              <w:trPr>
                <w:gridAfter w:val="1"/>
                <w:wAfter w:w="393" w:type="dxa"/>
              </w:trPr>
              <w:tc>
                <w:tcPr>
                  <w:tcW w:w="2857" w:type="dxa"/>
                </w:tcPr>
                <w:p w:rsidR="002265E2" w:rsidRPr="00830DD4" w:rsidRDefault="00F814F1" w:rsidP="008C6EDC">
                  <w:pPr>
                    <w:pStyle w:val="BodyText"/>
                    <w:rPr>
                      <w:rFonts w:cs="Arial"/>
                      <w:szCs w:val="20"/>
                    </w:rPr>
                  </w:pPr>
                  <w:r w:rsidRPr="00830DD4">
                    <w:rPr>
                      <w:rFonts w:cs="Arial"/>
                      <w:szCs w:val="20"/>
                    </w:rPr>
                    <w:t>Reaction Vessels</w:t>
                  </w:r>
                  <w:r w:rsidR="002265E2" w:rsidRPr="00830DD4">
                    <w:rPr>
                      <w:rFonts w:cs="Arial"/>
                      <w:szCs w:val="20"/>
                    </w:rPr>
                    <w:t xml:space="preserve"> </w:t>
                  </w:r>
                </w:p>
              </w:tc>
              <w:tc>
                <w:tcPr>
                  <w:tcW w:w="1710" w:type="dxa"/>
                </w:tcPr>
                <w:p w:rsidR="002265E2" w:rsidRPr="00830DD4" w:rsidRDefault="00DE32D9" w:rsidP="008C6EDC">
                  <w:pPr>
                    <w:pStyle w:val="BodyText"/>
                    <w:rPr>
                      <w:rFonts w:cs="Arial"/>
                      <w:szCs w:val="20"/>
                    </w:rPr>
                  </w:pPr>
                  <w:r w:rsidRPr="00830DD4">
                    <w:rPr>
                      <w:rFonts w:eastAsia="HelenPro-Regular" w:cs="Arial"/>
                      <w:szCs w:val="20"/>
                    </w:rPr>
                    <w:t>07C15 (-02 or -03)</w:t>
                  </w:r>
                </w:p>
              </w:tc>
              <w:tc>
                <w:tcPr>
                  <w:tcW w:w="4140" w:type="dxa"/>
                  <w:vAlign w:val="center"/>
                </w:tcPr>
                <w:p w:rsidR="002265E2" w:rsidRPr="00830DD4" w:rsidRDefault="002265E2" w:rsidP="008C6EDC">
                  <w:pPr>
                    <w:pStyle w:val="BodyText"/>
                    <w:spacing w:after="80"/>
                    <w:jc w:val="both"/>
                    <w:rPr>
                      <w:rFonts w:cs="Arial"/>
                      <w:szCs w:val="20"/>
                    </w:rPr>
                  </w:pPr>
                  <w:r w:rsidRPr="00830DD4">
                    <w:rPr>
                      <w:rFonts w:cs="Arial"/>
                      <w:szCs w:val="20"/>
                    </w:rPr>
                    <w:t>N/A</w:t>
                  </w:r>
                </w:p>
              </w:tc>
            </w:tr>
          </w:tbl>
          <w:p w:rsidR="00B816B4" w:rsidRPr="00830DD4" w:rsidRDefault="00B816B4" w:rsidP="008C6EDC">
            <w:pPr>
              <w:pStyle w:val="Header"/>
              <w:tabs>
                <w:tab w:val="clear" w:pos="4320"/>
                <w:tab w:val="clear" w:pos="8640"/>
              </w:tabs>
              <w:rPr>
                <w:rFonts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830DD4" w:rsidRDefault="008C6EDC">
            <w:pPr>
              <w:pStyle w:val="Pa13"/>
              <w:rPr>
                <w:rFonts w:ascii="Arial" w:hAnsi="Arial" w:cs="Arial"/>
                <w:color w:val="000000"/>
                <w:sz w:val="20"/>
                <w:szCs w:val="20"/>
              </w:rPr>
            </w:pPr>
          </w:p>
          <w:p w:rsidR="00017577" w:rsidRPr="00830DD4" w:rsidRDefault="00017577" w:rsidP="00017577">
            <w:pPr>
              <w:pStyle w:val="Default"/>
              <w:rPr>
                <w:rFonts w:ascii="Arial" w:hAnsi="Arial" w:cs="Arial"/>
                <w:sz w:val="20"/>
                <w:szCs w:val="20"/>
              </w:rPr>
            </w:pPr>
            <w:r w:rsidRPr="00830DD4">
              <w:rPr>
                <w:rFonts w:ascii="Arial" w:hAnsi="Arial" w:cs="Arial"/>
                <w:sz w:val="20"/>
                <w:szCs w:val="20"/>
              </w:rPr>
              <w:t xml:space="preserve">Follow Children’s Laboratory Safety guidelines when handling patient samples and reagents. </w:t>
            </w:r>
          </w:p>
          <w:p w:rsidR="00CF7522" w:rsidRPr="00830DD4" w:rsidRDefault="00017577" w:rsidP="00017577">
            <w:pPr>
              <w:autoSpaceDE w:val="0"/>
              <w:autoSpaceDN w:val="0"/>
              <w:adjustRightInd w:val="0"/>
              <w:rPr>
                <w:rFonts w:cs="Arial"/>
                <w:szCs w:val="20"/>
              </w:rPr>
            </w:pPr>
            <w:r w:rsidRPr="00830DD4">
              <w:rPr>
                <w:rFonts w:cs="Arial"/>
                <w:szCs w:val="20"/>
              </w:rPr>
              <w:t>Safety data sheets (MSDS/SDS) available on Children’s intranet</w:t>
            </w:r>
            <w:r w:rsidR="00CD5276">
              <w:rPr>
                <w:rFonts w:cs="Arial"/>
                <w:szCs w:val="20"/>
              </w:rPr>
              <w:t>.</w:t>
            </w:r>
            <w:r w:rsidRPr="00830DD4">
              <w:rPr>
                <w:rFonts w:cs="Arial"/>
                <w:szCs w:val="20"/>
              </w:rPr>
              <w:t xml:space="preserve"> </w:t>
            </w:r>
          </w:p>
          <w:p w:rsidR="00017577" w:rsidRPr="00830DD4" w:rsidRDefault="00017577" w:rsidP="00017577">
            <w:pPr>
              <w:autoSpaceDE w:val="0"/>
              <w:autoSpaceDN w:val="0"/>
              <w:adjustRightInd w:val="0"/>
              <w:rPr>
                <w:rFonts w:eastAsia="HelenPro-Regular" w:cs="Arial"/>
                <w:szCs w:val="20"/>
              </w:rPr>
            </w:pP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830DD4"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RPr="00830DD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830DD4" w:rsidRDefault="00B816B4" w:rsidP="008C6EDC">
                  <w:pPr>
                    <w:pStyle w:val="CalVerTable"/>
                    <w:ind w:left="0" w:firstLine="0"/>
                    <w:jc w:val="both"/>
                    <w:rPr>
                      <w:rFonts w:ascii="Arial" w:hAnsi="Arial" w:cs="Arial"/>
                    </w:rPr>
                  </w:pPr>
                  <w:r w:rsidRPr="00830DD4">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830DD4" w:rsidRDefault="00992460" w:rsidP="008C6EDC">
                  <w:pPr>
                    <w:pStyle w:val="CalVerTable"/>
                    <w:ind w:left="0" w:firstLine="0"/>
                    <w:jc w:val="both"/>
                    <w:rPr>
                      <w:rFonts w:ascii="Arial" w:hAnsi="Arial" w:cs="Arial"/>
                    </w:rPr>
                  </w:pPr>
                  <w:r w:rsidRPr="00830DD4">
                    <w:rPr>
                      <w:rFonts w:ascii="Arial" w:hAnsi="Arial" w:cs="Arial"/>
                    </w:rPr>
                    <w:t>0.0-1000</w:t>
                  </w:r>
                  <w:r w:rsidR="0069308E">
                    <w:rPr>
                      <w:rFonts w:ascii="Arial" w:hAnsi="Arial" w:cs="Arial"/>
                    </w:rPr>
                    <w:t>.0</w:t>
                  </w:r>
                  <w:r w:rsidRPr="00830DD4">
                    <w:rPr>
                      <w:rFonts w:ascii="Arial" w:hAnsi="Arial" w:cs="Arial"/>
                    </w:rPr>
                    <w:t xml:space="preserve"> </w:t>
                  </w:r>
                  <w:r w:rsidR="00466109" w:rsidRPr="00830DD4">
                    <w:rPr>
                      <w:rFonts w:ascii="Arial" w:hAnsi="Arial" w:cs="Arial"/>
                    </w:rPr>
                    <w:t>IU</w:t>
                  </w:r>
                  <w:r w:rsidRPr="00830DD4">
                    <w:rPr>
                      <w:rFonts w:ascii="Arial" w:hAnsi="Arial" w:cs="Arial"/>
                    </w:rPr>
                    <w:t>/mL</w:t>
                  </w:r>
                </w:p>
              </w:tc>
            </w:tr>
            <w:tr w:rsidR="00B816B4" w:rsidRPr="00830DD4" w:rsidTr="00BB1890">
              <w:trPr>
                <w:gridAfter w:val="1"/>
                <w:wAfter w:w="509" w:type="dxa"/>
                <w:trHeight w:val="611"/>
              </w:trPr>
              <w:tc>
                <w:tcPr>
                  <w:tcW w:w="2947" w:type="dxa"/>
                  <w:tcBorders>
                    <w:top w:val="single" w:sz="4" w:space="0" w:color="auto"/>
                  </w:tcBorders>
                </w:tcPr>
                <w:p w:rsidR="00B816B4" w:rsidRPr="00830DD4" w:rsidRDefault="00B816B4" w:rsidP="008C6EDC">
                  <w:pPr>
                    <w:pStyle w:val="CalVerTable"/>
                    <w:ind w:left="0" w:firstLine="0"/>
                    <w:jc w:val="both"/>
                    <w:rPr>
                      <w:rFonts w:ascii="Arial" w:hAnsi="Arial" w:cs="Arial"/>
                    </w:rPr>
                  </w:pPr>
                  <w:r w:rsidRPr="00830DD4">
                    <w:rPr>
                      <w:rFonts w:ascii="Arial" w:hAnsi="Arial" w:cs="Arial"/>
                    </w:rPr>
                    <w:t>Reference Material:</w:t>
                  </w:r>
                </w:p>
              </w:tc>
              <w:tc>
                <w:tcPr>
                  <w:tcW w:w="5760" w:type="dxa"/>
                  <w:tcBorders>
                    <w:top w:val="single" w:sz="4" w:space="0" w:color="auto"/>
                  </w:tcBorders>
                  <w:vAlign w:val="center"/>
                </w:tcPr>
                <w:p w:rsidR="00B816B4" w:rsidRPr="0069308E" w:rsidRDefault="0069308E" w:rsidP="00BB1890">
                  <w:pPr>
                    <w:pStyle w:val="CalVerTable"/>
                    <w:ind w:left="0" w:firstLine="0"/>
                    <w:jc w:val="both"/>
                    <w:rPr>
                      <w:rFonts w:ascii="Arial" w:hAnsi="Arial" w:cs="Arial"/>
                    </w:rPr>
                  </w:pPr>
                  <w:r w:rsidRPr="0069308E">
                    <w:rPr>
                      <w:rFonts w:ascii="Arial" w:hAnsi="Arial" w:cs="Arial"/>
                    </w:rPr>
                    <w:t>ARCHITECT Anti-Tg Calibrator</w:t>
                  </w:r>
                </w:p>
              </w:tc>
            </w:tr>
            <w:tr w:rsidR="00B816B4" w:rsidRPr="00830DD4" w:rsidTr="00814EAD">
              <w:trPr>
                <w:gridAfter w:val="1"/>
                <w:wAfter w:w="509" w:type="dxa"/>
                <w:trHeight w:val="521"/>
              </w:trPr>
              <w:tc>
                <w:tcPr>
                  <w:tcW w:w="2947" w:type="dxa"/>
                </w:tcPr>
                <w:p w:rsidR="00B816B4" w:rsidRPr="00830DD4" w:rsidRDefault="00B816B4" w:rsidP="00814EAD">
                  <w:pPr>
                    <w:pStyle w:val="CalVerTable"/>
                    <w:ind w:left="0" w:firstLine="0"/>
                    <w:rPr>
                      <w:rFonts w:ascii="Arial" w:hAnsi="Arial" w:cs="Arial"/>
                    </w:rPr>
                  </w:pPr>
                  <w:r w:rsidRPr="00830DD4">
                    <w:rPr>
                      <w:rFonts w:ascii="Arial" w:hAnsi="Arial" w:cs="Arial"/>
                    </w:rPr>
                    <w:t>Suggested Calibration Levels</w:t>
                  </w:r>
                </w:p>
              </w:tc>
              <w:tc>
                <w:tcPr>
                  <w:tcW w:w="5760" w:type="dxa"/>
                  <w:vAlign w:val="center"/>
                </w:tcPr>
                <w:p w:rsidR="00B816B4" w:rsidRPr="00830DD4" w:rsidRDefault="00FC6715" w:rsidP="008C6EDC">
                  <w:pPr>
                    <w:pStyle w:val="CalVerTable"/>
                    <w:ind w:left="0" w:firstLine="0"/>
                    <w:jc w:val="both"/>
                    <w:rPr>
                      <w:rFonts w:ascii="Arial" w:hAnsi="Arial" w:cs="Arial"/>
                    </w:rPr>
                  </w:pPr>
                  <w:r w:rsidRPr="00830DD4">
                    <w:rPr>
                      <w:rFonts w:ascii="Arial" w:hAnsi="Arial" w:cs="Arial"/>
                    </w:rPr>
                    <w:t>A</w:t>
                  </w:r>
                  <w:r w:rsidR="00260A50" w:rsidRPr="00830DD4">
                    <w:rPr>
                      <w:rFonts w:ascii="Arial" w:hAnsi="Arial" w:cs="Arial"/>
                    </w:rPr>
                    <w:t xml:space="preserve"> </w:t>
                  </w:r>
                  <w:r w:rsidR="0069308E">
                    <w:rPr>
                      <w:rFonts w:ascii="Arial" w:hAnsi="Arial" w:cs="Arial"/>
                    </w:rPr>
                    <w:t>– 0.0</w:t>
                  </w:r>
                </w:p>
                <w:p w:rsidR="00BB1890" w:rsidRPr="00830DD4" w:rsidRDefault="00FC6715" w:rsidP="008C6EDC">
                  <w:pPr>
                    <w:pStyle w:val="CalVerTable"/>
                    <w:ind w:left="0" w:firstLine="0"/>
                    <w:jc w:val="both"/>
                    <w:rPr>
                      <w:rFonts w:ascii="Arial" w:hAnsi="Arial" w:cs="Arial"/>
                    </w:rPr>
                  </w:pPr>
                  <w:r w:rsidRPr="00830DD4">
                    <w:rPr>
                      <w:rFonts w:ascii="Arial" w:hAnsi="Arial" w:cs="Arial"/>
                    </w:rPr>
                    <w:t>B</w:t>
                  </w:r>
                  <w:r w:rsidR="00260A50" w:rsidRPr="00830DD4">
                    <w:rPr>
                      <w:rFonts w:ascii="Arial" w:hAnsi="Arial" w:cs="Arial"/>
                    </w:rPr>
                    <w:t xml:space="preserve"> –</w:t>
                  </w:r>
                  <w:r w:rsidR="0069308E">
                    <w:rPr>
                      <w:rFonts w:ascii="Arial" w:hAnsi="Arial" w:cs="Arial"/>
                    </w:rPr>
                    <w:t xml:space="preserve"> 5.0</w:t>
                  </w:r>
                </w:p>
                <w:p w:rsidR="00BB1890" w:rsidRPr="00830DD4" w:rsidRDefault="00FC6715" w:rsidP="008C6EDC">
                  <w:pPr>
                    <w:pStyle w:val="CalVerTable"/>
                    <w:ind w:left="0" w:firstLine="0"/>
                    <w:jc w:val="both"/>
                    <w:rPr>
                      <w:rFonts w:ascii="Arial" w:hAnsi="Arial" w:cs="Arial"/>
                    </w:rPr>
                  </w:pPr>
                  <w:r w:rsidRPr="00830DD4">
                    <w:rPr>
                      <w:rFonts w:ascii="Arial" w:hAnsi="Arial" w:cs="Arial"/>
                    </w:rPr>
                    <w:t>C</w:t>
                  </w:r>
                  <w:r w:rsidR="00260A50" w:rsidRPr="00830DD4">
                    <w:rPr>
                      <w:rFonts w:ascii="Arial" w:hAnsi="Arial" w:cs="Arial"/>
                    </w:rPr>
                    <w:t xml:space="preserve"> –</w:t>
                  </w:r>
                  <w:r w:rsidR="0069308E">
                    <w:rPr>
                      <w:rFonts w:ascii="Arial" w:hAnsi="Arial" w:cs="Arial"/>
                    </w:rPr>
                    <w:t xml:space="preserve"> 62.5</w:t>
                  </w:r>
                </w:p>
                <w:p w:rsidR="00BB1890" w:rsidRPr="00830DD4" w:rsidRDefault="00FC6715" w:rsidP="008C6EDC">
                  <w:pPr>
                    <w:pStyle w:val="CalVerTable"/>
                    <w:ind w:left="0" w:firstLine="0"/>
                    <w:jc w:val="both"/>
                    <w:rPr>
                      <w:rFonts w:ascii="Arial" w:hAnsi="Arial" w:cs="Arial"/>
                    </w:rPr>
                  </w:pPr>
                  <w:r w:rsidRPr="00830DD4">
                    <w:rPr>
                      <w:rFonts w:ascii="Arial" w:hAnsi="Arial" w:cs="Arial"/>
                    </w:rPr>
                    <w:t>D</w:t>
                  </w:r>
                  <w:r w:rsidR="00260A50" w:rsidRPr="00830DD4">
                    <w:rPr>
                      <w:rFonts w:ascii="Arial" w:hAnsi="Arial" w:cs="Arial"/>
                    </w:rPr>
                    <w:t xml:space="preserve"> – </w:t>
                  </w:r>
                  <w:r w:rsidR="0069308E">
                    <w:rPr>
                      <w:rFonts w:ascii="Arial" w:hAnsi="Arial" w:cs="Arial"/>
                    </w:rPr>
                    <w:t>125.0</w:t>
                  </w:r>
                </w:p>
                <w:p w:rsidR="00FC6715" w:rsidRPr="00830DD4" w:rsidRDefault="00FC6715" w:rsidP="008C6EDC">
                  <w:pPr>
                    <w:pStyle w:val="CalVerTable"/>
                    <w:ind w:left="0" w:firstLine="0"/>
                    <w:jc w:val="both"/>
                    <w:rPr>
                      <w:rFonts w:ascii="Arial" w:hAnsi="Arial" w:cs="Arial"/>
                    </w:rPr>
                  </w:pPr>
                  <w:r w:rsidRPr="00830DD4">
                    <w:rPr>
                      <w:rFonts w:ascii="Arial" w:hAnsi="Arial" w:cs="Arial"/>
                    </w:rPr>
                    <w:t>E</w:t>
                  </w:r>
                  <w:r w:rsidR="00260A50" w:rsidRPr="00830DD4">
                    <w:rPr>
                      <w:rFonts w:ascii="Arial" w:hAnsi="Arial" w:cs="Arial"/>
                    </w:rPr>
                    <w:t xml:space="preserve"> – </w:t>
                  </w:r>
                  <w:r w:rsidR="0069308E">
                    <w:rPr>
                      <w:rFonts w:ascii="Arial" w:hAnsi="Arial" w:cs="Arial"/>
                    </w:rPr>
                    <w:t>500.0</w:t>
                  </w:r>
                </w:p>
                <w:p w:rsidR="00260A50" w:rsidRPr="00830DD4" w:rsidRDefault="00FC6715" w:rsidP="00BB1890">
                  <w:pPr>
                    <w:pStyle w:val="CalVerTable"/>
                    <w:ind w:left="0" w:firstLine="0"/>
                    <w:jc w:val="both"/>
                    <w:rPr>
                      <w:rFonts w:ascii="Arial" w:hAnsi="Arial" w:cs="Arial"/>
                    </w:rPr>
                  </w:pPr>
                  <w:r w:rsidRPr="00830DD4">
                    <w:rPr>
                      <w:rFonts w:ascii="Arial" w:hAnsi="Arial" w:cs="Arial"/>
                    </w:rPr>
                    <w:t>F</w:t>
                  </w:r>
                  <w:r w:rsidR="00260A50" w:rsidRPr="00830DD4">
                    <w:rPr>
                      <w:rFonts w:ascii="Arial" w:hAnsi="Arial" w:cs="Arial"/>
                    </w:rPr>
                    <w:t xml:space="preserve"> </w:t>
                  </w:r>
                  <w:r w:rsidR="0069308E">
                    <w:rPr>
                      <w:rFonts w:ascii="Arial" w:hAnsi="Arial" w:cs="Arial"/>
                    </w:rPr>
                    <w:t>– 1000.0</w:t>
                  </w:r>
                </w:p>
              </w:tc>
            </w:tr>
            <w:tr w:rsidR="00B816B4" w:rsidRPr="00830DD4" w:rsidTr="00814EAD">
              <w:trPr>
                <w:gridAfter w:val="1"/>
                <w:wAfter w:w="509" w:type="dxa"/>
                <w:trHeight w:val="440"/>
              </w:trPr>
              <w:tc>
                <w:tcPr>
                  <w:tcW w:w="2947" w:type="dxa"/>
                </w:tcPr>
                <w:p w:rsidR="00B816B4" w:rsidRPr="00830DD4" w:rsidRDefault="00B816B4" w:rsidP="008C6EDC">
                  <w:pPr>
                    <w:jc w:val="both"/>
                    <w:rPr>
                      <w:rFonts w:cs="Arial"/>
                      <w:szCs w:val="20"/>
                    </w:rPr>
                  </w:pPr>
                  <w:r w:rsidRPr="00830DD4">
                    <w:rPr>
                      <w:rFonts w:cs="Arial"/>
                      <w:szCs w:val="20"/>
                    </w:rPr>
                    <w:t>Verification Scheme:</w:t>
                  </w:r>
                </w:p>
              </w:tc>
              <w:tc>
                <w:tcPr>
                  <w:tcW w:w="5760" w:type="dxa"/>
                  <w:vAlign w:val="center"/>
                </w:tcPr>
                <w:p w:rsidR="00B816B4" w:rsidRPr="00830DD4" w:rsidRDefault="00FC6715" w:rsidP="008C6EDC">
                  <w:pPr>
                    <w:pStyle w:val="CalVerTable"/>
                    <w:ind w:left="0" w:firstLine="0"/>
                    <w:jc w:val="both"/>
                    <w:rPr>
                      <w:rFonts w:ascii="Arial" w:hAnsi="Arial" w:cs="Arial"/>
                    </w:rPr>
                  </w:pPr>
                  <w:r w:rsidRPr="00830DD4">
                    <w:rPr>
                      <w:rFonts w:ascii="Arial" w:hAnsi="Arial" w:cs="Arial"/>
                    </w:rPr>
                    <w:t>n=6</w:t>
                  </w:r>
                </w:p>
              </w:tc>
            </w:tr>
            <w:tr w:rsidR="00B816B4" w:rsidRPr="00830DD4" w:rsidTr="003571BD">
              <w:trPr>
                <w:gridAfter w:val="1"/>
                <w:wAfter w:w="509" w:type="dxa"/>
                <w:trHeight w:val="1169"/>
              </w:trPr>
              <w:tc>
                <w:tcPr>
                  <w:tcW w:w="2947" w:type="dxa"/>
                </w:tcPr>
                <w:p w:rsidR="00B816B4" w:rsidRPr="00830DD4" w:rsidRDefault="00B816B4" w:rsidP="008C6EDC">
                  <w:pPr>
                    <w:jc w:val="both"/>
                    <w:rPr>
                      <w:rFonts w:cs="Arial"/>
                      <w:szCs w:val="20"/>
                    </w:rPr>
                  </w:pPr>
                  <w:r w:rsidRPr="00830DD4">
                    <w:rPr>
                      <w:rFonts w:cs="Arial"/>
                      <w:szCs w:val="20"/>
                    </w:rPr>
                    <w:t>Verification Frequency:</w:t>
                  </w:r>
                </w:p>
              </w:tc>
              <w:tc>
                <w:tcPr>
                  <w:tcW w:w="5760" w:type="dxa"/>
                  <w:vAlign w:val="center"/>
                </w:tcPr>
                <w:p w:rsidR="00B816B4" w:rsidRPr="00830DD4" w:rsidRDefault="00B816B4" w:rsidP="008C6EDC">
                  <w:pPr>
                    <w:pStyle w:val="Pa10"/>
                    <w:numPr>
                      <w:ilvl w:val="0"/>
                      <w:numId w:val="8"/>
                    </w:numPr>
                    <w:jc w:val="both"/>
                    <w:rPr>
                      <w:rFonts w:ascii="Arial" w:hAnsi="Arial" w:cs="Arial"/>
                      <w:color w:val="000000"/>
                      <w:sz w:val="20"/>
                      <w:szCs w:val="20"/>
                    </w:rPr>
                  </w:pPr>
                  <w:r w:rsidRPr="00830DD4">
                    <w:rPr>
                      <w:rFonts w:ascii="Arial" w:hAnsi="Arial" w:cs="Arial"/>
                      <w:color w:val="000000"/>
                      <w:sz w:val="20"/>
                      <w:szCs w:val="20"/>
                    </w:rPr>
                    <w:t xml:space="preserve">For each new lot of reagent </w:t>
                  </w:r>
                </w:p>
                <w:p w:rsidR="00B816B4" w:rsidRPr="00830DD4" w:rsidRDefault="00B816B4" w:rsidP="008C6EDC">
                  <w:pPr>
                    <w:pStyle w:val="Pa10"/>
                    <w:numPr>
                      <w:ilvl w:val="0"/>
                      <w:numId w:val="8"/>
                    </w:numPr>
                    <w:jc w:val="both"/>
                    <w:rPr>
                      <w:rFonts w:ascii="Arial" w:hAnsi="Arial" w:cs="Arial"/>
                      <w:color w:val="000000"/>
                      <w:sz w:val="20"/>
                      <w:szCs w:val="20"/>
                    </w:rPr>
                  </w:pPr>
                  <w:r w:rsidRPr="00830DD4">
                    <w:rPr>
                      <w:rFonts w:ascii="Arial" w:hAnsi="Arial" w:cs="Arial"/>
                      <w:color w:val="000000"/>
                      <w:sz w:val="20"/>
                      <w:szCs w:val="20"/>
                    </w:rPr>
                    <w:t>After major maintenance or service, if indicated by quality control results</w:t>
                  </w:r>
                </w:p>
                <w:p w:rsidR="00B816B4" w:rsidRPr="00830DD4" w:rsidRDefault="00B816B4" w:rsidP="008C6EDC">
                  <w:pPr>
                    <w:pStyle w:val="Pa10"/>
                    <w:numPr>
                      <w:ilvl w:val="0"/>
                      <w:numId w:val="8"/>
                    </w:numPr>
                    <w:jc w:val="both"/>
                    <w:rPr>
                      <w:rFonts w:ascii="Arial" w:hAnsi="Arial" w:cs="Arial"/>
                      <w:color w:val="000000"/>
                      <w:sz w:val="20"/>
                      <w:szCs w:val="20"/>
                    </w:rPr>
                  </w:pPr>
                  <w:r w:rsidRPr="00830DD4">
                    <w:rPr>
                      <w:rFonts w:ascii="Arial" w:hAnsi="Arial" w:cs="Arial"/>
                      <w:color w:val="000000"/>
                      <w:sz w:val="20"/>
                      <w:szCs w:val="20"/>
                    </w:rPr>
                    <w:t>As indicated in laboratory quality control procedures</w:t>
                  </w:r>
                </w:p>
              </w:tc>
            </w:tr>
            <w:tr w:rsidR="00B816B4" w:rsidRPr="00830DD4" w:rsidTr="003571BD">
              <w:trPr>
                <w:gridAfter w:val="1"/>
                <w:wAfter w:w="509" w:type="dxa"/>
                <w:trHeight w:val="989"/>
              </w:trPr>
              <w:tc>
                <w:tcPr>
                  <w:tcW w:w="2947" w:type="dxa"/>
                  <w:tcBorders>
                    <w:bottom w:val="single" w:sz="4" w:space="0" w:color="auto"/>
                  </w:tcBorders>
                </w:tcPr>
                <w:p w:rsidR="00B816B4" w:rsidRPr="00830DD4" w:rsidRDefault="00B816B4" w:rsidP="008C6EDC">
                  <w:pPr>
                    <w:pStyle w:val="CalVerTable"/>
                    <w:ind w:left="0" w:firstLine="0"/>
                    <w:jc w:val="both"/>
                    <w:rPr>
                      <w:rFonts w:ascii="Arial" w:hAnsi="Arial" w:cs="Arial"/>
                    </w:rPr>
                  </w:pPr>
                  <w:r w:rsidRPr="00830DD4">
                    <w:rPr>
                      <w:rFonts w:ascii="Arial" w:hAnsi="Arial" w:cs="Arial"/>
                    </w:rPr>
                    <w:t>AMR</w:t>
                  </w:r>
                </w:p>
              </w:tc>
              <w:tc>
                <w:tcPr>
                  <w:tcW w:w="5760" w:type="dxa"/>
                  <w:tcBorders>
                    <w:bottom w:val="single" w:sz="4" w:space="0" w:color="auto"/>
                  </w:tcBorders>
                  <w:vAlign w:val="center"/>
                </w:tcPr>
                <w:p w:rsidR="00B816B4" w:rsidRPr="00830DD4" w:rsidRDefault="00B816B4" w:rsidP="007F79E4">
                  <w:pPr>
                    <w:jc w:val="both"/>
                    <w:rPr>
                      <w:rFonts w:cs="Arial"/>
                      <w:szCs w:val="20"/>
                    </w:rPr>
                  </w:pPr>
                  <w:r w:rsidRPr="00830DD4">
                    <w:rPr>
                      <w:rFonts w:cs="Arial"/>
                      <w:szCs w:val="20"/>
                    </w:rPr>
                    <w:t xml:space="preserve">Verification of AMR is </w:t>
                  </w:r>
                  <w:r w:rsidR="007F79E4">
                    <w:rPr>
                      <w:rFonts w:cs="Arial"/>
                      <w:szCs w:val="20"/>
                    </w:rPr>
                    <w:t xml:space="preserve">accomplished </w:t>
                  </w:r>
                  <w:r w:rsidR="0069308E">
                    <w:rPr>
                      <w:rFonts w:cs="Arial"/>
                      <w:szCs w:val="20"/>
                    </w:rPr>
                    <w:t>with each calibration at an interval not exceeding every 6 months.</w:t>
                  </w:r>
                </w:p>
              </w:tc>
            </w:tr>
            <w:tr w:rsidR="00B816B4" w:rsidRPr="00830DD4" w:rsidTr="00B816B4">
              <w:tc>
                <w:tcPr>
                  <w:tcW w:w="9216" w:type="dxa"/>
                  <w:gridSpan w:val="3"/>
                  <w:tcBorders>
                    <w:left w:val="nil"/>
                    <w:bottom w:val="nil"/>
                    <w:right w:val="nil"/>
                  </w:tcBorders>
                </w:tcPr>
                <w:p w:rsidR="00B816B4" w:rsidRPr="00830DD4" w:rsidRDefault="00B816B4" w:rsidP="008C6EDC">
                  <w:pPr>
                    <w:rPr>
                      <w:rFonts w:cs="Arial"/>
                      <w:szCs w:val="20"/>
                    </w:rPr>
                  </w:pPr>
                </w:p>
              </w:tc>
            </w:tr>
          </w:tbl>
          <w:p w:rsidR="00B816B4" w:rsidRPr="00830DD4" w:rsidRDefault="00B816B4" w:rsidP="008C6EDC">
            <w:pPr>
              <w:pStyle w:val="Default"/>
              <w:rPr>
                <w:rFonts w:ascii="Arial" w:hAnsi="Arial" w:cs="Arial"/>
                <w:sz w:val="20"/>
                <w:szCs w:val="20"/>
              </w:rPr>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7E48CD" w:rsidRPr="00830DD4" w:rsidRDefault="007E48CD" w:rsidP="007E48CD">
            <w:pPr>
              <w:jc w:val="both"/>
              <w:rPr>
                <w:rFonts w:cs="Arial"/>
                <w:b/>
                <w:bCs/>
                <w:color w:val="5F497A"/>
                <w:szCs w:val="20"/>
              </w:rPr>
            </w:pPr>
            <w:r w:rsidRPr="00830DD4">
              <w:rPr>
                <w:rFonts w:cs="Arial"/>
                <w:color w:val="000000"/>
                <w:szCs w:val="20"/>
              </w:rPr>
              <w:t>Bio-Rad Liquichek Specialty Immunoassay Levels 1,2 and 3</w:t>
            </w:r>
          </w:p>
          <w:p w:rsidR="007E48CD" w:rsidRPr="00830DD4" w:rsidRDefault="007E48CD" w:rsidP="007E48CD">
            <w:pPr>
              <w:autoSpaceDE w:val="0"/>
              <w:autoSpaceDN w:val="0"/>
              <w:adjustRightInd w:val="0"/>
              <w:jc w:val="both"/>
              <w:rPr>
                <w:rFonts w:cs="Arial"/>
                <w:szCs w:val="20"/>
              </w:rPr>
            </w:pPr>
          </w:p>
          <w:p w:rsidR="007E48CD" w:rsidRPr="00830DD4" w:rsidRDefault="007E48CD" w:rsidP="007E48CD">
            <w:pPr>
              <w:autoSpaceDE w:val="0"/>
              <w:autoSpaceDN w:val="0"/>
              <w:adjustRightInd w:val="0"/>
              <w:jc w:val="both"/>
              <w:rPr>
                <w:rFonts w:cs="Arial"/>
                <w:szCs w:val="20"/>
              </w:rPr>
            </w:pPr>
            <w:r w:rsidRPr="00830DD4">
              <w:rPr>
                <w:rFonts w:cs="Arial"/>
                <w:b/>
                <w:bCs/>
                <w:szCs w:val="20"/>
              </w:rPr>
              <w:t xml:space="preserve">Frequency: </w:t>
            </w:r>
            <w:r w:rsidRPr="00830DD4">
              <w:rPr>
                <w:rFonts w:cs="Arial"/>
                <w:szCs w:val="20"/>
              </w:rPr>
              <w:t>Three levels each day of use.</w:t>
            </w:r>
          </w:p>
          <w:p w:rsidR="007E48CD" w:rsidRPr="00830DD4" w:rsidRDefault="007E48CD" w:rsidP="007E48CD">
            <w:pPr>
              <w:autoSpaceDE w:val="0"/>
              <w:autoSpaceDN w:val="0"/>
              <w:adjustRightInd w:val="0"/>
              <w:jc w:val="both"/>
              <w:rPr>
                <w:rFonts w:cs="Arial"/>
                <w:szCs w:val="20"/>
              </w:rPr>
            </w:pPr>
          </w:p>
          <w:p w:rsidR="007E48CD" w:rsidRPr="00830DD4" w:rsidRDefault="007E48CD" w:rsidP="007E48CD">
            <w:pPr>
              <w:autoSpaceDE w:val="0"/>
              <w:autoSpaceDN w:val="0"/>
              <w:adjustRightInd w:val="0"/>
              <w:jc w:val="both"/>
              <w:rPr>
                <w:rFonts w:cs="Arial"/>
                <w:szCs w:val="20"/>
              </w:rPr>
            </w:pPr>
            <w:r w:rsidRPr="00830DD4">
              <w:rPr>
                <w:rFonts w:cs="Arial"/>
                <w:b/>
                <w:bCs/>
                <w:szCs w:val="20"/>
              </w:rPr>
              <w:t xml:space="preserve">Stability: </w:t>
            </w:r>
            <w:r w:rsidRPr="00830DD4">
              <w:rPr>
                <w:rFonts w:cs="Arial"/>
                <w:bCs/>
                <w:szCs w:val="20"/>
              </w:rPr>
              <w:t xml:space="preserve">30 Days at </w:t>
            </w:r>
            <w:r w:rsidRPr="00830DD4">
              <w:rPr>
                <w:rFonts w:cs="Arial"/>
                <w:szCs w:val="20"/>
              </w:rPr>
              <w:t>2-8</w:t>
            </w:r>
            <w:r w:rsidRPr="00830DD4">
              <w:rPr>
                <w:rStyle w:val="tgc"/>
                <w:rFonts w:cs="Arial"/>
                <w:color w:val="222222"/>
                <w:szCs w:val="20"/>
              </w:rPr>
              <w:t>°C.</w:t>
            </w:r>
          </w:p>
          <w:p w:rsidR="007E48CD" w:rsidRPr="00830DD4" w:rsidRDefault="007E48CD" w:rsidP="007E48CD">
            <w:pPr>
              <w:autoSpaceDE w:val="0"/>
              <w:autoSpaceDN w:val="0"/>
              <w:adjustRightInd w:val="0"/>
              <w:jc w:val="both"/>
              <w:rPr>
                <w:rFonts w:cs="Arial"/>
                <w:szCs w:val="20"/>
              </w:rPr>
            </w:pPr>
          </w:p>
          <w:p w:rsidR="007E48CD" w:rsidRPr="00830DD4" w:rsidRDefault="007E48CD" w:rsidP="007E48CD">
            <w:pPr>
              <w:autoSpaceDE w:val="0"/>
              <w:autoSpaceDN w:val="0"/>
              <w:adjustRightInd w:val="0"/>
              <w:jc w:val="both"/>
              <w:rPr>
                <w:rFonts w:cs="Arial"/>
                <w:szCs w:val="20"/>
              </w:rPr>
            </w:pPr>
            <w:r w:rsidRPr="00830DD4">
              <w:rPr>
                <w:rFonts w:cs="Arial"/>
                <w:b/>
                <w:bCs/>
                <w:szCs w:val="20"/>
              </w:rPr>
              <w:t>Preparation</w:t>
            </w:r>
            <w:r w:rsidRPr="00830DD4">
              <w:rPr>
                <w:rFonts w:cs="Arial"/>
                <w:szCs w:val="20"/>
              </w:rPr>
              <w:t>: Allow vials to thaw at room temperature, not more than 1 hour.</w:t>
            </w:r>
            <w:r w:rsidR="007F79E4">
              <w:rPr>
                <w:rFonts w:cs="Arial"/>
                <w:szCs w:val="20"/>
              </w:rPr>
              <w:t xml:space="preserve">  Do not allow QC to stand at room temperature for longer than </w:t>
            </w:r>
            <w:r w:rsidRPr="00830DD4">
              <w:rPr>
                <w:rFonts w:cs="Arial"/>
                <w:szCs w:val="20"/>
              </w:rPr>
              <w:t>20 minutes</w:t>
            </w:r>
            <w:r w:rsidR="007F79E4">
              <w:rPr>
                <w:rFonts w:cs="Arial"/>
                <w:szCs w:val="20"/>
              </w:rPr>
              <w:t xml:space="preserve"> after thaw.</w:t>
            </w:r>
          </w:p>
          <w:p w:rsidR="007E48CD" w:rsidRPr="00830DD4" w:rsidRDefault="007E48CD" w:rsidP="007E48CD">
            <w:pPr>
              <w:autoSpaceDE w:val="0"/>
              <w:autoSpaceDN w:val="0"/>
              <w:adjustRightInd w:val="0"/>
              <w:jc w:val="both"/>
              <w:rPr>
                <w:rFonts w:cs="Arial"/>
                <w:szCs w:val="20"/>
              </w:rPr>
            </w:pPr>
          </w:p>
          <w:p w:rsidR="007E48CD" w:rsidRPr="00830DD4" w:rsidRDefault="007E48CD" w:rsidP="007E48CD">
            <w:pPr>
              <w:autoSpaceDE w:val="0"/>
              <w:autoSpaceDN w:val="0"/>
              <w:adjustRightInd w:val="0"/>
              <w:jc w:val="both"/>
              <w:rPr>
                <w:rFonts w:cs="Arial"/>
                <w:szCs w:val="20"/>
              </w:rPr>
            </w:pPr>
            <w:r w:rsidRPr="00830DD4">
              <w:rPr>
                <w:rFonts w:cs="Arial"/>
                <w:b/>
                <w:bCs/>
                <w:szCs w:val="20"/>
              </w:rPr>
              <w:t>Sunquest Control names:</w:t>
            </w:r>
            <w:r w:rsidRPr="00830DD4">
              <w:rPr>
                <w:rFonts w:cs="Arial"/>
                <w:szCs w:val="20"/>
              </w:rPr>
              <w:t xml:space="preserve"> Level 1 = C-LQSI1, Level 2 = C-LQSI2, Level 3= C-LQSI3</w:t>
            </w:r>
          </w:p>
          <w:p w:rsidR="007E48CD" w:rsidRPr="00830DD4" w:rsidRDefault="007E48CD" w:rsidP="007E48CD">
            <w:pPr>
              <w:jc w:val="both"/>
              <w:rPr>
                <w:rFonts w:cs="Arial"/>
                <w:b/>
                <w:bCs/>
                <w:szCs w:val="20"/>
              </w:rPr>
            </w:pPr>
          </w:p>
          <w:p w:rsidR="007E48CD" w:rsidRPr="00830DD4" w:rsidRDefault="007E48CD" w:rsidP="007E48CD">
            <w:pPr>
              <w:jc w:val="both"/>
              <w:rPr>
                <w:rFonts w:cs="Arial"/>
                <w:szCs w:val="20"/>
              </w:rPr>
            </w:pPr>
            <w:r w:rsidRPr="00830DD4">
              <w:rPr>
                <w:rFonts w:cs="Arial"/>
                <w:b/>
                <w:bCs/>
                <w:szCs w:val="20"/>
              </w:rPr>
              <w:t>Acceptable ranges:</w:t>
            </w:r>
            <w:r w:rsidRPr="00830DD4">
              <w:rPr>
                <w:rFonts w:cs="Arial"/>
                <w:szCs w:val="20"/>
              </w:rPr>
              <w:t xml:space="preserve"> </w:t>
            </w:r>
          </w:p>
          <w:p w:rsidR="007E48CD" w:rsidRPr="00830DD4" w:rsidRDefault="007E48CD" w:rsidP="007E48CD">
            <w:pPr>
              <w:numPr>
                <w:ilvl w:val="0"/>
                <w:numId w:val="16"/>
              </w:numPr>
              <w:autoSpaceDE w:val="0"/>
              <w:autoSpaceDN w:val="0"/>
              <w:adjustRightInd w:val="0"/>
              <w:jc w:val="both"/>
              <w:rPr>
                <w:rFonts w:cs="Arial"/>
                <w:szCs w:val="20"/>
              </w:rPr>
            </w:pPr>
            <w:r w:rsidRPr="00830DD4">
              <w:rPr>
                <w:rFonts w:cs="Arial"/>
                <w:szCs w:val="20"/>
              </w:rPr>
              <w:t>Ranges are current in Sunquest and the instrument. Refer to the Quality Control in Chemistry procedure for QC exception codes.</w:t>
            </w:r>
          </w:p>
          <w:p w:rsidR="007E48CD" w:rsidRPr="00830DD4" w:rsidRDefault="007E48CD" w:rsidP="007E48CD">
            <w:pPr>
              <w:numPr>
                <w:ilvl w:val="0"/>
                <w:numId w:val="16"/>
              </w:numPr>
              <w:autoSpaceDE w:val="0"/>
              <w:autoSpaceDN w:val="0"/>
              <w:adjustRightInd w:val="0"/>
              <w:jc w:val="both"/>
              <w:rPr>
                <w:rFonts w:cs="Arial"/>
                <w:color w:val="000000"/>
                <w:szCs w:val="20"/>
              </w:rPr>
            </w:pPr>
            <w:r w:rsidRPr="00830DD4">
              <w:rPr>
                <w:rFonts w:cs="Arial"/>
                <w:szCs w:val="20"/>
              </w:rPr>
              <w:t>If a control value is outside the confidence interval, the determination must be repeated. If the repeat determination confirms the deviation, a new reference curve should be established.</w:t>
            </w:r>
          </w:p>
          <w:p w:rsidR="007E48CD" w:rsidRPr="00830DD4" w:rsidRDefault="007E48CD" w:rsidP="007E48CD">
            <w:pPr>
              <w:numPr>
                <w:ilvl w:val="0"/>
                <w:numId w:val="16"/>
              </w:numPr>
              <w:autoSpaceDE w:val="0"/>
              <w:autoSpaceDN w:val="0"/>
              <w:adjustRightInd w:val="0"/>
              <w:jc w:val="both"/>
              <w:rPr>
                <w:rFonts w:cs="Arial"/>
                <w:color w:val="000000"/>
                <w:szCs w:val="20"/>
              </w:rPr>
            </w:pPr>
            <w:r w:rsidRPr="00830DD4">
              <w:rPr>
                <w:rFonts w:cs="Arial"/>
                <w:szCs w:val="20"/>
              </w:rPr>
              <w:t>Do not release patient results until the cause of deviation has been identified and corrected.  Document ALL troubleshooting actions in Sunquest or in the Architect i1000SR Instrument Maintenance Log notes under the current day's maintenance log.</w:t>
            </w:r>
          </w:p>
          <w:p w:rsidR="00B816B4" w:rsidRPr="00CD5276" w:rsidRDefault="007E48CD" w:rsidP="007E48CD">
            <w:pPr>
              <w:numPr>
                <w:ilvl w:val="0"/>
                <w:numId w:val="16"/>
              </w:numPr>
              <w:autoSpaceDE w:val="0"/>
              <w:autoSpaceDN w:val="0"/>
              <w:adjustRightInd w:val="0"/>
              <w:jc w:val="both"/>
              <w:rPr>
                <w:rFonts w:cs="Arial"/>
                <w:color w:val="000000"/>
                <w:szCs w:val="20"/>
              </w:rPr>
            </w:pPr>
            <w:r w:rsidRPr="00830DD4">
              <w:rPr>
                <w:rFonts w:cs="Arial"/>
                <w:szCs w:val="20"/>
              </w:rPr>
              <w:t>When a new lot of assayed control is received, validate the manufacturer’s insert range by running the new lot in parallel with the current lot for a recommended 20 days, and confirming that the results obtained are within the stated range.</w:t>
            </w:r>
          </w:p>
        </w:tc>
      </w:tr>
      <w:tr w:rsidR="008C6EDC" w:rsidTr="00992460">
        <w:trPr>
          <w:cantSplit/>
          <w:trHeight w:val="1053"/>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A82A92" w:rsidRPr="00830DD4" w:rsidRDefault="00024E3E" w:rsidP="00024E3E">
            <w:pPr>
              <w:autoSpaceDE w:val="0"/>
              <w:autoSpaceDN w:val="0"/>
              <w:adjustRightInd w:val="0"/>
              <w:rPr>
                <w:rFonts w:cs="Arial"/>
                <w:szCs w:val="20"/>
              </w:rPr>
            </w:pPr>
            <w:r w:rsidRPr="00830DD4">
              <w:rPr>
                <w:rFonts w:cs="Arial"/>
                <w:szCs w:val="20"/>
              </w:rPr>
              <w:t>Tg concentrations &gt;2,000 ng/mL may lead to falsely elevated anti-Tg concentrations</w:t>
            </w:r>
            <w:r w:rsidR="007F79E4">
              <w:rPr>
                <w:rFonts w:cs="Arial"/>
                <w:szCs w:val="20"/>
              </w:rPr>
              <w:t>.</w:t>
            </w:r>
          </w:p>
        </w:tc>
      </w:tr>
      <w:tr w:rsidR="008C6EDC" w:rsidTr="001B002A">
        <w:trPr>
          <w:trHeight w:val="855"/>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lastRenderedPageBreak/>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1F2FF6" w:rsidRPr="00830DD4" w:rsidRDefault="00F505FB" w:rsidP="008C6EDC">
            <w:pPr>
              <w:jc w:val="both"/>
              <w:rPr>
                <w:rFonts w:cs="Arial"/>
                <w:szCs w:val="20"/>
              </w:rPr>
            </w:pPr>
            <w:r w:rsidRPr="00830DD4">
              <w:rPr>
                <w:rFonts w:cs="Arial"/>
                <w:szCs w:val="20"/>
              </w:rPr>
              <w:t>0.0-12.5 IU/mL</w:t>
            </w: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830DD4" w:rsidRDefault="008C6EDC" w:rsidP="008C6EDC">
            <w:pPr>
              <w:rPr>
                <w:rFonts w:cs="Arial"/>
                <w:szCs w:val="20"/>
              </w:rPr>
            </w:pPr>
            <w:r w:rsidRPr="00830DD4">
              <w:rPr>
                <w:rFonts w:cs="Arial"/>
                <w:szCs w:val="20"/>
              </w:rPr>
              <w:t>None specified</w:t>
            </w:r>
          </w:p>
        </w:tc>
      </w:tr>
      <w:tr w:rsidR="008C6EDC" w:rsidTr="00830DD4">
        <w:trPr>
          <w:trHeight w:val="4896"/>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Pr="00830DD4" w:rsidRDefault="008C6EDC">
            <w:pPr>
              <w:rPr>
                <w:rFonts w:cs="Arial"/>
                <w:szCs w:val="20"/>
              </w:rPr>
            </w:pPr>
          </w:p>
          <w:p w:rsidR="0027341A" w:rsidRPr="00830DD4" w:rsidRDefault="007E48CD">
            <w:pPr>
              <w:rPr>
                <w:rFonts w:cs="Arial"/>
                <w:szCs w:val="20"/>
              </w:rPr>
            </w:pPr>
            <w:r w:rsidRPr="00830DD4">
              <w:rPr>
                <w:rFonts w:cs="Arial"/>
                <w:szCs w:val="20"/>
              </w:rPr>
              <w:t>Technical range 3.00-20000 IU/,mL</w:t>
            </w:r>
          </w:p>
          <w:p w:rsidR="001B002A" w:rsidRPr="00830DD4" w:rsidRDefault="001B002A">
            <w:pPr>
              <w:rPr>
                <w:rFonts w:cs="Arial"/>
                <w:szCs w:val="20"/>
              </w:rPr>
            </w:pPr>
          </w:p>
          <w:p w:rsidR="001B002A" w:rsidRPr="00830DD4" w:rsidRDefault="001B002A" w:rsidP="001B002A">
            <w:pPr>
              <w:rPr>
                <w:rFonts w:cs="Arial"/>
                <w:szCs w:val="20"/>
              </w:rPr>
            </w:pPr>
            <w:r w:rsidRPr="00830DD4">
              <w:rPr>
                <w:rFonts w:cs="Arial"/>
                <w:szCs w:val="20"/>
              </w:rPr>
              <w:t>Some specimens may not dilute linearly because of</w:t>
            </w:r>
            <w:r w:rsidR="00C627C6" w:rsidRPr="00830DD4">
              <w:rPr>
                <w:rFonts w:cs="Arial"/>
                <w:szCs w:val="20"/>
              </w:rPr>
              <w:t xml:space="preserve"> </w:t>
            </w:r>
            <w:r w:rsidRPr="00830DD4">
              <w:rPr>
                <w:rFonts w:cs="Arial"/>
                <w:szCs w:val="20"/>
              </w:rPr>
              <w:t>the heterogeneity of the autoantibodies with respect to</w:t>
            </w:r>
            <w:r w:rsidR="00C627C6" w:rsidRPr="00830DD4">
              <w:rPr>
                <w:rFonts w:cs="Arial"/>
                <w:szCs w:val="20"/>
              </w:rPr>
              <w:t xml:space="preserve"> </w:t>
            </w:r>
            <w:r w:rsidRPr="00830DD4">
              <w:rPr>
                <w:rFonts w:cs="Arial"/>
                <w:szCs w:val="20"/>
              </w:rPr>
              <w:t>physiochemical properties</w:t>
            </w:r>
            <w:r w:rsidR="00830DD4" w:rsidRPr="00830DD4">
              <w:rPr>
                <w:rFonts w:cs="Arial"/>
                <w:szCs w:val="20"/>
              </w:rPr>
              <w:t>.</w:t>
            </w:r>
          </w:p>
          <w:p w:rsidR="00830DD4" w:rsidRPr="00830DD4" w:rsidRDefault="00830DD4" w:rsidP="001B002A">
            <w:pPr>
              <w:rPr>
                <w:rFonts w:cs="Arial"/>
                <w:szCs w:val="20"/>
              </w:rPr>
            </w:pPr>
          </w:p>
          <w:p w:rsidR="00830DD4" w:rsidRDefault="00830DD4" w:rsidP="001B002A">
            <w:pPr>
              <w:rPr>
                <w:rFonts w:cs="Arial"/>
                <w:szCs w:val="20"/>
              </w:rPr>
            </w:pPr>
            <w:r w:rsidRPr="00830DD4">
              <w:rPr>
                <w:rFonts w:cs="Arial"/>
                <w:szCs w:val="20"/>
              </w:rPr>
              <w:t xml:space="preserve">Anti-Tg values determined by different methodologies vary significantly and cannot be directly compared with one another. Some patients might show to be antibody-positive by some methods and antibody-negative by others. Comparing anti-Tg antibodies values from different methods might lead to erroneous clinical interpretation.  </w:t>
            </w:r>
          </w:p>
          <w:p w:rsidR="0069308E" w:rsidRDefault="0069308E" w:rsidP="001B002A">
            <w:pPr>
              <w:rPr>
                <w:rFonts w:cs="Arial"/>
                <w:szCs w:val="20"/>
              </w:rPr>
            </w:pPr>
          </w:p>
          <w:p w:rsidR="0069308E" w:rsidRPr="00830DD4" w:rsidRDefault="0069308E" w:rsidP="001B002A">
            <w:pPr>
              <w:rPr>
                <w:rFonts w:cs="Arial"/>
                <w:szCs w:val="20"/>
              </w:rPr>
            </w:pPr>
            <w:r>
              <w:rPr>
                <w:rFonts w:cs="Arial"/>
                <w:szCs w:val="20"/>
              </w:rPr>
              <w:t>When serial samples are being evaluated, the same sample type should be used throughout the study.</w:t>
            </w:r>
          </w:p>
          <w:p w:rsidR="001B002A" w:rsidRPr="00830DD4" w:rsidRDefault="001B002A" w:rsidP="001B002A">
            <w:pPr>
              <w:rPr>
                <w:rFonts w:cs="Arial"/>
                <w:szCs w:val="20"/>
              </w:rPr>
            </w:pPr>
          </w:p>
          <w:p w:rsidR="001B002A" w:rsidRPr="00830DD4" w:rsidRDefault="00C627C6" w:rsidP="00C627C6">
            <w:pPr>
              <w:rPr>
                <w:rFonts w:cs="Arial"/>
                <w:szCs w:val="20"/>
              </w:rPr>
            </w:pPr>
            <w:r w:rsidRPr="00830DD4">
              <w:rPr>
                <w:rFonts w:cs="Arial"/>
                <w:szCs w:val="20"/>
              </w:rPr>
              <w:t xml:space="preserve">Specimens from patients who have received preparations of mouse monoclonal antibodies for diagnosis or therapy may contain human </w:t>
            </w:r>
            <w:r w:rsidR="00466109" w:rsidRPr="00830DD4">
              <w:rPr>
                <w:rFonts w:cs="Arial"/>
                <w:szCs w:val="20"/>
              </w:rPr>
              <w:t>ant mouse</w:t>
            </w:r>
            <w:r w:rsidRPr="00830DD4">
              <w:rPr>
                <w:rFonts w:cs="Arial"/>
                <w:szCs w:val="20"/>
              </w:rPr>
              <w:t xml:space="preserve"> antibodies (HAMA). Such specimens may show either falsely elevated or depressed values when tested with assay kits that employ mouse monoclonal antibodies. Assay results that are not consistent with other clinical observations may require additional information for diagnosis</w:t>
            </w:r>
            <w:r w:rsidR="00830DD4" w:rsidRPr="00830DD4">
              <w:rPr>
                <w:rFonts w:cs="Arial"/>
                <w:szCs w:val="20"/>
              </w:rPr>
              <w:t>.</w:t>
            </w:r>
          </w:p>
          <w:p w:rsidR="00C627C6" w:rsidRPr="00830DD4" w:rsidRDefault="00C627C6" w:rsidP="00C627C6">
            <w:pPr>
              <w:rPr>
                <w:rFonts w:cs="Arial"/>
                <w:szCs w:val="20"/>
              </w:rPr>
            </w:pPr>
          </w:p>
          <w:p w:rsidR="00C627C6" w:rsidRPr="00830DD4" w:rsidRDefault="00C627C6" w:rsidP="00C627C6">
            <w:pPr>
              <w:rPr>
                <w:rFonts w:cs="Arial"/>
                <w:szCs w:val="20"/>
              </w:rPr>
            </w:pPr>
            <w:r w:rsidRPr="00830DD4">
              <w:rPr>
                <w:rFonts w:cs="Arial"/>
                <w:szCs w:val="20"/>
              </w:rPr>
              <w:t>Heterophilic antibodies in human serum can react with reagent immunoglobulins, interfering with in vitro immunoassays. Patients routinely exposed to animals or to animal serum products can</w:t>
            </w:r>
          </w:p>
          <w:p w:rsidR="001B002A" w:rsidRPr="00830DD4" w:rsidRDefault="00C627C6" w:rsidP="001B002A">
            <w:pPr>
              <w:rPr>
                <w:rFonts w:cs="Arial"/>
                <w:szCs w:val="20"/>
              </w:rPr>
            </w:pPr>
            <w:r w:rsidRPr="00830DD4">
              <w:rPr>
                <w:rFonts w:cs="Arial"/>
                <w:szCs w:val="20"/>
              </w:rPr>
              <w:t>be prone to this interference, and anomalous values may be observed. Additional information may be required for diagnosis</w:t>
            </w:r>
            <w:r w:rsidR="00830DD4" w:rsidRPr="00830DD4">
              <w:rPr>
                <w:rFonts w:cs="Arial"/>
                <w:szCs w:val="20"/>
              </w:rPr>
              <w:t>.</w:t>
            </w:r>
          </w:p>
          <w:p w:rsidR="00830DD4" w:rsidRPr="00830DD4" w:rsidRDefault="00830DD4" w:rsidP="00830DD4">
            <w:pPr>
              <w:rPr>
                <w:rFonts w:cs="Arial"/>
                <w:szCs w:val="20"/>
              </w:rPr>
            </w:pPr>
          </w:p>
        </w:tc>
      </w:tr>
      <w:tr w:rsidR="0010369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10369C" w:rsidRDefault="0010369C" w:rsidP="008C6EDC">
            <w:pPr>
              <w:rPr>
                <w:rFonts w:cs="Arial"/>
                <w:b/>
                <w:bCs/>
                <w:color w:val="0000FF"/>
              </w:rPr>
            </w:pPr>
            <w:r>
              <w:rPr>
                <w:rFonts w:cs="Arial"/>
                <w:b/>
                <w:bCs/>
                <w:color w:val="0000FF"/>
              </w:rPr>
              <w:t xml:space="preserve">Dilution </w:t>
            </w:r>
          </w:p>
        </w:tc>
        <w:tc>
          <w:tcPr>
            <w:tcW w:w="8910" w:type="dxa"/>
            <w:tcBorders>
              <w:top w:val="single" w:sz="18" w:space="0" w:color="A6A6A6" w:themeColor="background1" w:themeShade="A6"/>
              <w:bottom w:val="single" w:sz="18" w:space="0" w:color="A6A6A6" w:themeColor="background1" w:themeShade="A6"/>
            </w:tcBorders>
          </w:tcPr>
          <w:p w:rsidR="00C627C6" w:rsidRPr="00830DD4" w:rsidRDefault="00C627C6" w:rsidP="0010369C">
            <w:pPr>
              <w:rPr>
                <w:rFonts w:cs="Arial"/>
                <w:szCs w:val="20"/>
              </w:rPr>
            </w:pPr>
          </w:p>
          <w:p w:rsidR="0010369C" w:rsidRPr="00830DD4" w:rsidRDefault="0010369C" w:rsidP="0010369C">
            <w:pPr>
              <w:rPr>
                <w:rFonts w:cs="Arial"/>
                <w:szCs w:val="20"/>
              </w:rPr>
            </w:pPr>
            <w:r w:rsidRPr="00830DD4">
              <w:rPr>
                <w:rFonts w:cs="Arial"/>
                <w:szCs w:val="20"/>
              </w:rPr>
              <w:t>Specimens with an anti-Tg value exceeding 1000.00 IU/mL are flagged with the code “&gt; 1000.00” and may be diluted using either the Automated Dilution Protocol or the Manual Dilution Procedure.</w:t>
            </w:r>
          </w:p>
          <w:p w:rsidR="0010369C" w:rsidRPr="00830DD4" w:rsidRDefault="0010369C" w:rsidP="0010369C">
            <w:pPr>
              <w:rPr>
                <w:rFonts w:cs="Arial"/>
                <w:b/>
                <w:szCs w:val="20"/>
              </w:rPr>
            </w:pPr>
          </w:p>
          <w:p w:rsidR="001312D6" w:rsidRPr="00830DD4" w:rsidRDefault="0010369C" w:rsidP="0010369C">
            <w:pPr>
              <w:rPr>
                <w:rFonts w:cs="Arial"/>
                <w:b/>
                <w:szCs w:val="20"/>
              </w:rPr>
            </w:pPr>
            <w:r w:rsidRPr="00830DD4">
              <w:rPr>
                <w:rFonts w:cs="Arial"/>
                <w:b/>
                <w:szCs w:val="20"/>
              </w:rPr>
              <w:t xml:space="preserve">Automated Dilution Protocol </w:t>
            </w:r>
          </w:p>
          <w:p w:rsidR="0010369C" w:rsidRPr="00830DD4" w:rsidRDefault="0010369C" w:rsidP="0010369C">
            <w:pPr>
              <w:rPr>
                <w:rFonts w:cs="Arial"/>
                <w:szCs w:val="20"/>
              </w:rPr>
            </w:pPr>
            <w:r w:rsidRPr="00830DD4">
              <w:rPr>
                <w:rFonts w:cs="Arial"/>
                <w:szCs w:val="20"/>
              </w:rPr>
              <w:t>The system performs a 1:10 dilution of the specimen and automatically calculates the concentration of the specimen before dilution and reports the result. Specimens with an anti</w:t>
            </w:r>
            <w:r w:rsidRPr="00830DD4">
              <w:rPr>
                <w:rFonts w:eastAsia="MS Gothic" w:hAnsi="MS Gothic" w:cs="Arial"/>
                <w:szCs w:val="20"/>
              </w:rPr>
              <w:t>‑</w:t>
            </w:r>
            <w:r w:rsidRPr="00830DD4">
              <w:rPr>
                <w:rFonts w:cs="Arial"/>
                <w:szCs w:val="20"/>
              </w:rPr>
              <w:t>Tg value exceeding 10000.00 IU/mL</w:t>
            </w:r>
            <w:r w:rsidR="001549CA" w:rsidRPr="00830DD4">
              <w:rPr>
                <w:rFonts w:cs="Arial"/>
                <w:szCs w:val="20"/>
              </w:rPr>
              <w:t xml:space="preserve"> by automated dilution</w:t>
            </w:r>
            <w:r w:rsidRPr="00830DD4">
              <w:rPr>
                <w:rFonts w:cs="Arial"/>
                <w:szCs w:val="20"/>
              </w:rPr>
              <w:t xml:space="preserve"> are </w:t>
            </w:r>
            <w:r w:rsidR="001549CA" w:rsidRPr="00830DD4">
              <w:rPr>
                <w:rFonts w:cs="Arial"/>
                <w:szCs w:val="20"/>
              </w:rPr>
              <w:t>flagged as</w:t>
            </w:r>
            <w:r w:rsidRPr="00830DD4">
              <w:rPr>
                <w:rFonts w:cs="Arial"/>
                <w:szCs w:val="20"/>
              </w:rPr>
              <w:t xml:space="preserve"> “&gt;10000.</w:t>
            </w:r>
            <w:r w:rsidR="001549CA" w:rsidRPr="00830DD4">
              <w:rPr>
                <w:rFonts w:cs="Arial"/>
                <w:szCs w:val="20"/>
              </w:rPr>
              <w:t>00”. These specimens should be diluted using</w:t>
            </w:r>
            <w:r w:rsidRPr="00830DD4">
              <w:rPr>
                <w:rFonts w:cs="Arial"/>
                <w:szCs w:val="20"/>
              </w:rPr>
              <w:t xml:space="preserve"> the Manual Dilution Procedure.</w:t>
            </w:r>
          </w:p>
          <w:p w:rsidR="0010369C" w:rsidRPr="00830DD4" w:rsidRDefault="0010369C" w:rsidP="0010369C">
            <w:pPr>
              <w:rPr>
                <w:rFonts w:cs="Arial"/>
                <w:szCs w:val="20"/>
              </w:rPr>
            </w:pPr>
          </w:p>
          <w:p w:rsidR="001312D6" w:rsidRPr="00830DD4" w:rsidRDefault="0010369C" w:rsidP="0010369C">
            <w:pPr>
              <w:rPr>
                <w:rFonts w:cs="Arial"/>
                <w:b/>
                <w:szCs w:val="20"/>
              </w:rPr>
            </w:pPr>
            <w:r w:rsidRPr="00830DD4">
              <w:rPr>
                <w:rFonts w:cs="Arial"/>
                <w:b/>
                <w:szCs w:val="20"/>
              </w:rPr>
              <w:t>Manual Dilution Procedure</w:t>
            </w:r>
          </w:p>
          <w:p w:rsidR="001549CA" w:rsidRPr="00830DD4" w:rsidRDefault="001549CA" w:rsidP="001549CA">
            <w:pPr>
              <w:rPr>
                <w:rFonts w:cs="Arial"/>
                <w:szCs w:val="20"/>
              </w:rPr>
            </w:pPr>
            <w:r w:rsidRPr="00830DD4">
              <w:rPr>
                <w:rFonts w:cs="Arial"/>
                <w:szCs w:val="20"/>
              </w:rPr>
              <w:t>Recommended and maximum d</w:t>
            </w:r>
            <w:r w:rsidR="00466109" w:rsidRPr="00830DD4">
              <w:rPr>
                <w:rFonts w:cs="Arial"/>
                <w:szCs w:val="20"/>
              </w:rPr>
              <w:t>ilution</w:t>
            </w:r>
            <w:r w:rsidRPr="00830DD4">
              <w:rPr>
                <w:rFonts w:cs="Arial"/>
                <w:szCs w:val="20"/>
              </w:rPr>
              <w:t xml:space="preserve"> is</w:t>
            </w:r>
            <w:r w:rsidR="0010369C" w:rsidRPr="00830DD4">
              <w:rPr>
                <w:rFonts w:cs="Arial"/>
                <w:szCs w:val="20"/>
              </w:rPr>
              <w:t xml:space="preserve"> 1:20</w:t>
            </w:r>
          </w:p>
          <w:p w:rsidR="001549CA" w:rsidRPr="00830DD4" w:rsidRDefault="001549CA" w:rsidP="001549CA">
            <w:pPr>
              <w:numPr>
                <w:ilvl w:val="0"/>
                <w:numId w:val="34"/>
              </w:numPr>
              <w:rPr>
                <w:rFonts w:cs="Arial"/>
                <w:szCs w:val="20"/>
              </w:rPr>
            </w:pPr>
            <w:r w:rsidRPr="00830DD4">
              <w:rPr>
                <w:rFonts w:cs="Arial"/>
                <w:szCs w:val="20"/>
              </w:rPr>
              <w:t>To ensure integrity of the Anti-Tg calibrator A, place 450 uL in a clean cup.</w:t>
            </w:r>
          </w:p>
          <w:p w:rsidR="0010369C" w:rsidRPr="00830DD4" w:rsidRDefault="001549CA" w:rsidP="001549CA">
            <w:pPr>
              <w:numPr>
                <w:ilvl w:val="0"/>
                <w:numId w:val="34"/>
              </w:numPr>
              <w:rPr>
                <w:rFonts w:cs="Arial"/>
                <w:szCs w:val="20"/>
              </w:rPr>
            </w:pPr>
            <w:r w:rsidRPr="00830DD4">
              <w:rPr>
                <w:rFonts w:cs="Arial"/>
                <w:szCs w:val="20"/>
              </w:rPr>
              <w:t>To make the</w:t>
            </w:r>
            <w:r w:rsidR="00482A76" w:rsidRPr="00830DD4">
              <w:rPr>
                <w:rFonts w:cs="Arial"/>
                <w:szCs w:val="20"/>
              </w:rPr>
              <w:t xml:space="preserve"> 1:20 dilution</w:t>
            </w:r>
            <w:r w:rsidRPr="00830DD4">
              <w:rPr>
                <w:rFonts w:cs="Arial"/>
                <w:szCs w:val="20"/>
              </w:rPr>
              <w:t>, add exactly</w:t>
            </w:r>
            <w:r w:rsidR="00482A76" w:rsidRPr="00830DD4">
              <w:rPr>
                <w:rFonts w:cs="Arial"/>
                <w:szCs w:val="20"/>
              </w:rPr>
              <w:t xml:space="preserve"> 20</w:t>
            </w:r>
            <w:r w:rsidRPr="00830DD4">
              <w:rPr>
                <w:rFonts w:cs="Arial"/>
                <w:szCs w:val="20"/>
              </w:rPr>
              <w:t>.0 uL</w:t>
            </w:r>
            <w:r w:rsidR="00482A76" w:rsidRPr="00830DD4">
              <w:rPr>
                <w:rFonts w:cs="Arial"/>
                <w:szCs w:val="20"/>
              </w:rPr>
              <w:t xml:space="preserve"> patient serum/</w:t>
            </w:r>
            <w:r w:rsidR="00466109" w:rsidRPr="00830DD4">
              <w:rPr>
                <w:rFonts w:cs="Arial"/>
                <w:szCs w:val="20"/>
              </w:rPr>
              <w:t>plasma</w:t>
            </w:r>
            <w:r w:rsidRPr="00830DD4">
              <w:rPr>
                <w:rFonts w:cs="Arial"/>
                <w:szCs w:val="20"/>
              </w:rPr>
              <w:t xml:space="preserve"> to</w:t>
            </w:r>
            <w:r w:rsidR="00482A76" w:rsidRPr="00830DD4">
              <w:rPr>
                <w:rFonts w:cs="Arial"/>
                <w:szCs w:val="20"/>
              </w:rPr>
              <w:t xml:space="preserve"> 380ul </w:t>
            </w:r>
            <w:r w:rsidRPr="00830DD4">
              <w:rPr>
                <w:rFonts w:cs="Arial"/>
                <w:szCs w:val="20"/>
              </w:rPr>
              <w:t xml:space="preserve">ARCHITECT Anti-Tg </w:t>
            </w:r>
            <w:r w:rsidR="00482A76" w:rsidRPr="00830DD4">
              <w:rPr>
                <w:rFonts w:cs="Arial"/>
                <w:szCs w:val="20"/>
              </w:rPr>
              <w:t>Calibrator A</w:t>
            </w:r>
          </w:p>
          <w:p w:rsidR="001549CA" w:rsidRPr="00830DD4" w:rsidRDefault="0010369C" w:rsidP="001549CA">
            <w:pPr>
              <w:numPr>
                <w:ilvl w:val="0"/>
                <w:numId w:val="34"/>
              </w:numPr>
              <w:rPr>
                <w:rFonts w:cs="Arial"/>
                <w:szCs w:val="20"/>
              </w:rPr>
            </w:pPr>
            <w:r w:rsidRPr="00830DD4">
              <w:rPr>
                <w:rFonts w:cs="Arial"/>
                <w:szCs w:val="20"/>
              </w:rPr>
              <w:t>The operator must enter the d</w:t>
            </w:r>
            <w:r w:rsidR="00466109" w:rsidRPr="00830DD4">
              <w:rPr>
                <w:rFonts w:cs="Arial"/>
                <w:szCs w:val="20"/>
              </w:rPr>
              <w:t>ilution factor in the Patient</w:t>
            </w:r>
            <w:r w:rsidRPr="00830DD4">
              <w:rPr>
                <w:rFonts w:cs="Arial"/>
                <w:szCs w:val="20"/>
              </w:rPr>
              <w:t xml:space="preserve"> order screen. The system will use this dilution factor to automatically calculate</w:t>
            </w:r>
            <w:r w:rsidR="00466109" w:rsidRPr="00830DD4">
              <w:rPr>
                <w:rFonts w:cs="Arial"/>
                <w:szCs w:val="20"/>
              </w:rPr>
              <w:t xml:space="preserve"> the dilution result</w:t>
            </w:r>
            <w:r w:rsidRPr="00830DD4">
              <w:rPr>
                <w:rFonts w:cs="Arial"/>
                <w:szCs w:val="20"/>
              </w:rPr>
              <w:t xml:space="preserve">. </w:t>
            </w:r>
            <w:r w:rsidR="001549CA" w:rsidRPr="00830DD4">
              <w:rPr>
                <w:rFonts w:cs="Arial"/>
                <w:szCs w:val="20"/>
              </w:rPr>
              <w:t xml:space="preserve"> </w:t>
            </w:r>
            <w:r w:rsidRPr="00830DD4">
              <w:rPr>
                <w:rFonts w:cs="Arial"/>
                <w:szCs w:val="20"/>
              </w:rPr>
              <w:t xml:space="preserve">For detailed information on ordering dilutions, refer to the </w:t>
            </w:r>
            <w:hyperlink r:id="rId11" w:history="1">
              <w:r w:rsidRPr="00830DD4">
                <w:rPr>
                  <w:rStyle w:val="Hyperlink"/>
                  <w:rFonts w:cs="Arial"/>
                  <w:szCs w:val="20"/>
                </w:rPr>
                <w:t xml:space="preserve">ARCHITECT </w:t>
              </w:r>
              <w:r w:rsidR="001549CA" w:rsidRPr="00830DD4">
                <w:rPr>
                  <w:rStyle w:val="Hyperlink"/>
                  <w:rFonts w:cs="Arial"/>
                  <w:szCs w:val="20"/>
                </w:rPr>
                <w:t xml:space="preserve">System </w:t>
              </w:r>
              <w:r w:rsidRPr="00830DD4">
                <w:rPr>
                  <w:rStyle w:val="Hyperlink"/>
                  <w:rFonts w:cs="Arial"/>
                  <w:szCs w:val="20"/>
                </w:rPr>
                <w:t>Operations Manual</w:t>
              </w:r>
            </w:hyperlink>
            <w:r w:rsidRPr="00830DD4">
              <w:rPr>
                <w:rFonts w:cs="Arial"/>
                <w:szCs w:val="20"/>
              </w:rPr>
              <w:t>, Section 5.</w:t>
            </w:r>
          </w:p>
          <w:p w:rsidR="0010369C" w:rsidRPr="00830DD4" w:rsidRDefault="001312D6" w:rsidP="001549CA">
            <w:pPr>
              <w:numPr>
                <w:ilvl w:val="0"/>
                <w:numId w:val="34"/>
              </w:numPr>
              <w:rPr>
                <w:rFonts w:cs="Arial"/>
                <w:szCs w:val="20"/>
              </w:rPr>
            </w:pPr>
            <w:r w:rsidRPr="00830DD4">
              <w:rPr>
                <w:rFonts w:cs="Arial"/>
                <w:szCs w:val="20"/>
              </w:rPr>
              <w:t xml:space="preserve">Record your </w:t>
            </w:r>
            <w:r w:rsidR="001549CA" w:rsidRPr="00830DD4">
              <w:rPr>
                <w:rFonts w:cs="Arial"/>
                <w:szCs w:val="20"/>
              </w:rPr>
              <w:t>manual dilution o</w:t>
            </w:r>
            <w:r w:rsidRPr="00830DD4">
              <w:rPr>
                <w:rFonts w:cs="Arial"/>
                <w:szCs w:val="20"/>
              </w:rPr>
              <w:t>n the log</w:t>
            </w:r>
          </w:p>
          <w:p w:rsidR="001549CA" w:rsidRPr="00830DD4" w:rsidRDefault="001549CA" w:rsidP="001549CA">
            <w:pPr>
              <w:ind w:left="360"/>
              <w:rPr>
                <w:rFonts w:cs="Arial"/>
                <w:szCs w:val="20"/>
              </w:rPr>
            </w:pPr>
          </w:p>
        </w:tc>
      </w:tr>
      <w:tr w:rsidR="008C6EDC" w:rsidRPr="00466109" w:rsidTr="00D120DB">
        <w:trPr>
          <w:trHeight w:val="1566"/>
          <w:tblHeader/>
        </w:trPr>
        <w:tc>
          <w:tcPr>
            <w:tcW w:w="2160" w:type="dxa"/>
            <w:tcBorders>
              <w:top w:val="single" w:sz="18" w:space="0" w:color="A6A6A6" w:themeColor="background1" w:themeShade="A6"/>
              <w:bottom w:val="single" w:sz="18" w:space="0" w:color="A6A6A6" w:themeColor="background1" w:themeShade="A6"/>
            </w:tcBorders>
          </w:tcPr>
          <w:p w:rsidR="008C6EDC" w:rsidRPr="00466109" w:rsidRDefault="008C6EDC">
            <w:pPr>
              <w:rPr>
                <w:rFonts w:cs="Arial"/>
                <w:b/>
                <w:bCs/>
                <w:color w:val="0000FF"/>
                <w:szCs w:val="20"/>
              </w:rPr>
            </w:pPr>
          </w:p>
          <w:p w:rsidR="008C6EDC" w:rsidRPr="00466109" w:rsidRDefault="008C6EDC" w:rsidP="008C6EDC">
            <w:pPr>
              <w:rPr>
                <w:rFonts w:cs="Arial"/>
                <w:b/>
                <w:bCs/>
                <w:color w:val="0000FF"/>
                <w:szCs w:val="20"/>
              </w:rPr>
            </w:pPr>
            <w:r w:rsidRPr="00466109">
              <w:rPr>
                <w:rFonts w:cs="Arial"/>
                <w:b/>
                <w:bCs/>
                <w:color w:val="0000FF"/>
                <w:szCs w:val="20"/>
              </w:rPr>
              <w:t>Result Reporting</w:t>
            </w:r>
          </w:p>
          <w:p w:rsidR="008C6EDC" w:rsidRPr="00466109" w:rsidRDefault="008C6EDC" w:rsidP="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7E48CD" w:rsidRPr="00830DD4" w:rsidRDefault="007E48CD" w:rsidP="0027341A">
            <w:pPr>
              <w:ind w:left="720"/>
              <w:jc w:val="both"/>
              <w:rPr>
                <w:rFonts w:cs="Arial"/>
                <w:szCs w:val="20"/>
              </w:rPr>
            </w:pPr>
          </w:p>
          <w:p w:rsidR="007E48CD" w:rsidRPr="00830DD4" w:rsidRDefault="007E48CD" w:rsidP="007E48CD">
            <w:pPr>
              <w:numPr>
                <w:ilvl w:val="0"/>
                <w:numId w:val="29"/>
              </w:numPr>
              <w:jc w:val="both"/>
              <w:rPr>
                <w:rFonts w:cs="Arial"/>
                <w:szCs w:val="20"/>
              </w:rPr>
            </w:pPr>
            <w:r w:rsidRPr="00830DD4">
              <w:rPr>
                <w:rFonts w:cs="Arial"/>
                <w:szCs w:val="20"/>
              </w:rPr>
              <w:t xml:space="preserve">Results between </w:t>
            </w:r>
            <w:r w:rsidR="00482A76" w:rsidRPr="00830DD4">
              <w:rPr>
                <w:rFonts w:cs="Arial"/>
                <w:szCs w:val="20"/>
              </w:rPr>
              <w:t xml:space="preserve">3.0 and 1000 </w:t>
            </w:r>
            <w:r w:rsidRPr="00830DD4">
              <w:rPr>
                <w:rFonts w:cs="Arial"/>
                <w:szCs w:val="20"/>
              </w:rPr>
              <w:t>IU/mL withou</w:t>
            </w:r>
            <w:r w:rsidR="001549CA" w:rsidRPr="00830DD4">
              <w:rPr>
                <w:rFonts w:cs="Arial"/>
                <w:szCs w:val="20"/>
              </w:rPr>
              <w:t>t error messages will autofile</w:t>
            </w:r>
            <w:r w:rsidRPr="00830DD4">
              <w:rPr>
                <w:rFonts w:cs="Arial"/>
                <w:szCs w:val="20"/>
              </w:rPr>
              <w:t xml:space="preserve"> </w:t>
            </w:r>
          </w:p>
          <w:p w:rsidR="00830DD4" w:rsidRPr="00830DD4" w:rsidRDefault="00466109" w:rsidP="007E48CD">
            <w:pPr>
              <w:pStyle w:val="Default"/>
              <w:numPr>
                <w:ilvl w:val="0"/>
                <w:numId w:val="29"/>
              </w:numPr>
              <w:jc w:val="both"/>
              <w:rPr>
                <w:rFonts w:ascii="Arial" w:hAnsi="Arial" w:cs="Arial"/>
                <w:sz w:val="20"/>
                <w:szCs w:val="20"/>
              </w:rPr>
            </w:pPr>
            <w:r w:rsidRPr="00830DD4">
              <w:rPr>
                <w:rFonts w:ascii="Arial" w:hAnsi="Arial" w:cs="Arial"/>
                <w:sz w:val="20"/>
                <w:szCs w:val="20"/>
              </w:rPr>
              <w:t>If there is not enough specimen to repeat, report as &gt; 1000 IU/mL</w:t>
            </w:r>
            <w:r w:rsidR="00830DD4" w:rsidRPr="00830DD4">
              <w:rPr>
                <w:rFonts w:ascii="Arial" w:hAnsi="Arial" w:cs="Arial"/>
                <w:sz w:val="20"/>
                <w:szCs w:val="20"/>
              </w:rPr>
              <w:t xml:space="preserve"> and append the code </w:t>
            </w:r>
          </w:p>
          <w:p w:rsidR="007E48CD" w:rsidRPr="00830DD4" w:rsidRDefault="00830DD4" w:rsidP="00830DD4">
            <w:pPr>
              <w:pStyle w:val="Default"/>
              <w:ind w:left="720"/>
              <w:jc w:val="both"/>
              <w:rPr>
                <w:rFonts w:ascii="Arial" w:hAnsi="Arial" w:cs="Arial"/>
                <w:sz w:val="20"/>
                <w:szCs w:val="20"/>
              </w:rPr>
            </w:pPr>
            <w:r w:rsidRPr="00830DD4">
              <w:rPr>
                <w:rFonts w:ascii="Arial" w:hAnsi="Arial" w:cs="Arial"/>
                <w:sz w:val="20"/>
                <w:szCs w:val="20"/>
              </w:rPr>
              <w:t>“-UNQ” (Unable to Quantitate Further)</w:t>
            </w:r>
            <w:r w:rsidR="00466109" w:rsidRPr="00830DD4">
              <w:rPr>
                <w:rFonts w:ascii="Arial" w:hAnsi="Arial" w:cs="Arial"/>
                <w:sz w:val="20"/>
                <w:szCs w:val="20"/>
              </w:rPr>
              <w:t xml:space="preserve">. </w:t>
            </w:r>
            <w:r w:rsidR="001B002A" w:rsidRPr="00830DD4">
              <w:rPr>
                <w:rFonts w:ascii="Arial" w:hAnsi="Arial" w:cs="Arial"/>
                <w:sz w:val="20"/>
                <w:szCs w:val="20"/>
              </w:rPr>
              <w:t>If there is not enough to repeat after the 1:10 dilution report as &gt;10</w:t>
            </w:r>
            <w:r w:rsidR="00B40D8E" w:rsidRPr="00830DD4">
              <w:rPr>
                <w:rFonts w:ascii="Arial" w:hAnsi="Arial" w:cs="Arial"/>
                <w:sz w:val="20"/>
                <w:szCs w:val="20"/>
              </w:rPr>
              <w:t>,</w:t>
            </w:r>
            <w:r w:rsidR="001B002A" w:rsidRPr="00830DD4">
              <w:rPr>
                <w:rFonts w:ascii="Arial" w:hAnsi="Arial" w:cs="Arial"/>
                <w:sz w:val="20"/>
                <w:szCs w:val="20"/>
              </w:rPr>
              <w:t>000 IU/ml</w:t>
            </w:r>
            <w:r w:rsidR="007E48CD" w:rsidRPr="00830DD4">
              <w:rPr>
                <w:rFonts w:ascii="Arial" w:hAnsi="Arial" w:cs="Arial"/>
                <w:sz w:val="20"/>
                <w:szCs w:val="20"/>
              </w:rPr>
              <w:t xml:space="preserve"> and append the code “-UNQ” to the result</w:t>
            </w:r>
            <w:r w:rsidRPr="00830DD4">
              <w:rPr>
                <w:rFonts w:ascii="Arial" w:hAnsi="Arial" w:cs="Arial"/>
                <w:sz w:val="20"/>
                <w:szCs w:val="20"/>
              </w:rPr>
              <w:t>.</w:t>
            </w:r>
            <w:r w:rsidR="007E48CD" w:rsidRPr="00830DD4">
              <w:rPr>
                <w:rFonts w:ascii="Arial" w:hAnsi="Arial" w:cs="Arial"/>
                <w:sz w:val="20"/>
                <w:szCs w:val="20"/>
              </w:rPr>
              <w:t xml:space="preserve"> </w:t>
            </w:r>
          </w:p>
          <w:p w:rsidR="007E48CD" w:rsidRPr="00830DD4" w:rsidRDefault="007E48CD" w:rsidP="007E48CD">
            <w:pPr>
              <w:numPr>
                <w:ilvl w:val="0"/>
                <w:numId w:val="29"/>
              </w:numPr>
              <w:jc w:val="both"/>
              <w:rPr>
                <w:rFonts w:cs="Arial"/>
                <w:szCs w:val="20"/>
              </w:rPr>
            </w:pPr>
            <w:r w:rsidRPr="00830DD4">
              <w:rPr>
                <w:rFonts w:cs="Arial"/>
                <w:szCs w:val="20"/>
              </w:rPr>
              <w:t xml:space="preserve">Result below </w:t>
            </w:r>
            <w:r w:rsidR="00315534" w:rsidRPr="00830DD4">
              <w:rPr>
                <w:rFonts w:cs="Arial"/>
                <w:szCs w:val="20"/>
              </w:rPr>
              <w:t xml:space="preserve">3.0 </w:t>
            </w:r>
            <w:r w:rsidRPr="00830DD4">
              <w:rPr>
                <w:rFonts w:cs="Arial"/>
                <w:szCs w:val="20"/>
              </w:rPr>
              <w:t xml:space="preserve">IU/mL report as &lt; </w:t>
            </w:r>
            <w:r w:rsidR="00315534" w:rsidRPr="00830DD4">
              <w:rPr>
                <w:rFonts w:cs="Arial"/>
                <w:szCs w:val="20"/>
              </w:rPr>
              <w:t>3.0</w:t>
            </w:r>
            <w:r w:rsidR="00466109" w:rsidRPr="00830DD4">
              <w:rPr>
                <w:rFonts w:cs="Arial"/>
                <w:szCs w:val="20"/>
              </w:rPr>
              <w:t xml:space="preserve"> </w:t>
            </w:r>
            <w:r w:rsidRPr="00830DD4">
              <w:rPr>
                <w:rFonts w:cs="Arial"/>
                <w:szCs w:val="20"/>
              </w:rPr>
              <w:t>IU/mL</w:t>
            </w:r>
          </w:p>
          <w:p w:rsidR="007E48CD" w:rsidRPr="00830DD4" w:rsidRDefault="007E48CD" w:rsidP="007E48CD">
            <w:pPr>
              <w:numPr>
                <w:ilvl w:val="0"/>
                <w:numId w:val="29"/>
              </w:numPr>
              <w:rPr>
                <w:rFonts w:cs="Arial"/>
                <w:iCs/>
                <w:szCs w:val="20"/>
              </w:rPr>
            </w:pPr>
            <w:r w:rsidRPr="00830DD4">
              <w:rPr>
                <w:rFonts w:cs="Arial"/>
                <w:iCs/>
                <w:szCs w:val="20"/>
              </w:rPr>
              <w:t xml:space="preserve">Results above </w:t>
            </w:r>
            <w:r w:rsidR="00315534" w:rsidRPr="00830DD4">
              <w:rPr>
                <w:rFonts w:cs="Arial"/>
                <w:szCs w:val="20"/>
              </w:rPr>
              <w:t xml:space="preserve">20000 </w:t>
            </w:r>
            <w:r w:rsidRPr="00830DD4">
              <w:rPr>
                <w:rFonts w:cs="Arial"/>
                <w:szCs w:val="20"/>
              </w:rPr>
              <w:t xml:space="preserve">IU/mL </w:t>
            </w:r>
            <w:r w:rsidRPr="00830DD4">
              <w:rPr>
                <w:rFonts w:cs="Arial"/>
                <w:iCs/>
                <w:szCs w:val="20"/>
              </w:rPr>
              <w:t>report as &gt;</w:t>
            </w:r>
            <w:r w:rsidR="00D73555" w:rsidRPr="00830DD4">
              <w:rPr>
                <w:rFonts w:cs="Arial"/>
                <w:szCs w:val="20"/>
              </w:rPr>
              <w:t xml:space="preserve">20000 </w:t>
            </w:r>
            <w:r w:rsidRPr="00830DD4">
              <w:rPr>
                <w:rFonts w:cs="Arial"/>
                <w:szCs w:val="20"/>
              </w:rPr>
              <w:t>IU/mL</w:t>
            </w:r>
          </w:p>
          <w:p w:rsidR="008C6EDC" w:rsidRPr="00830DD4" w:rsidRDefault="008C6EDC" w:rsidP="0027341A">
            <w:pPr>
              <w:ind w:left="360"/>
              <w:jc w:val="both"/>
              <w:rPr>
                <w:rFonts w:cs="Arial"/>
                <w:szCs w:val="20"/>
              </w:rPr>
            </w:pPr>
          </w:p>
        </w:tc>
      </w:tr>
      <w:tr w:rsidR="008C6EDC" w:rsidRPr="00466109"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Pr="00466109" w:rsidRDefault="008C6EDC" w:rsidP="008C6EDC">
            <w:pPr>
              <w:rPr>
                <w:rFonts w:cs="Arial"/>
                <w:b/>
                <w:bCs/>
                <w:color w:val="0000FF"/>
                <w:szCs w:val="20"/>
              </w:rPr>
            </w:pPr>
          </w:p>
          <w:p w:rsidR="008C6EDC" w:rsidRPr="00466109" w:rsidRDefault="008C6EDC" w:rsidP="008C6EDC">
            <w:pPr>
              <w:rPr>
                <w:rFonts w:cs="Arial"/>
                <w:b/>
                <w:bCs/>
                <w:color w:val="0000FF"/>
                <w:szCs w:val="20"/>
              </w:rPr>
            </w:pPr>
            <w:r w:rsidRPr="00466109">
              <w:rPr>
                <w:rFonts w:cs="Arial"/>
                <w:b/>
                <w:bCs/>
                <w:color w:val="0000FF"/>
                <w:szCs w:val="20"/>
              </w:rPr>
              <w:t>Specimen Storage</w:t>
            </w:r>
          </w:p>
          <w:p w:rsidR="008C6EDC" w:rsidRPr="00466109" w:rsidRDefault="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Pr="00830DD4" w:rsidRDefault="008C6EDC" w:rsidP="008E43B5">
            <w:pPr>
              <w:jc w:val="both"/>
              <w:rPr>
                <w:rFonts w:cs="Arial"/>
                <w:szCs w:val="20"/>
              </w:rPr>
            </w:pPr>
            <w:r w:rsidRPr="00830DD4">
              <w:rPr>
                <w:rFonts w:cs="Arial"/>
                <w:szCs w:val="20"/>
              </w:rPr>
              <w:t>Promptly stopper tested specimen and store upright in specimen rack. Every 8 hours remove specimens to refrigerator/freezer</w:t>
            </w:r>
            <w:r w:rsidR="00466109" w:rsidRPr="00830DD4">
              <w:rPr>
                <w:rFonts w:cs="Arial"/>
                <w:szCs w:val="20"/>
              </w:rPr>
              <w:t xml:space="preserve"> storage. Samples are retained 14</w:t>
            </w:r>
            <w:r w:rsidRPr="00830DD4">
              <w:rPr>
                <w:rFonts w:cs="Arial"/>
                <w:szCs w:val="20"/>
              </w:rPr>
              <w:t xml:space="preserve"> days in specimen storage freezer.</w:t>
            </w:r>
          </w:p>
        </w:tc>
      </w:tr>
      <w:tr w:rsidR="008C6EDC" w:rsidRPr="00466109" w:rsidTr="00466109">
        <w:trPr>
          <w:trHeight w:val="1728"/>
          <w:tblHeader/>
        </w:trPr>
        <w:tc>
          <w:tcPr>
            <w:tcW w:w="2160" w:type="dxa"/>
            <w:tcBorders>
              <w:top w:val="single" w:sz="18" w:space="0" w:color="A6A6A6" w:themeColor="background1" w:themeShade="A6"/>
              <w:bottom w:val="single" w:sz="18" w:space="0" w:color="A6A6A6" w:themeColor="background1" w:themeShade="A6"/>
            </w:tcBorders>
          </w:tcPr>
          <w:p w:rsidR="008C6EDC" w:rsidRPr="00466109" w:rsidRDefault="008C6EDC">
            <w:pPr>
              <w:rPr>
                <w:rFonts w:cs="Arial"/>
                <w:b/>
                <w:bCs/>
                <w:color w:val="0000FF"/>
                <w:szCs w:val="20"/>
              </w:rPr>
            </w:pPr>
          </w:p>
          <w:p w:rsidR="008C6EDC" w:rsidRPr="00466109" w:rsidRDefault="008C6EDC" w:rsidP="008C6EDC">
            <w:pPr>
              <w:rPr>
                <w:rFonts w:cs="Arial"/>
                <w:b/>
                <w:bCs/>
                <w:color w:val="0000FF"/>
                <w:szCs w:val="20"/>
              </w:rPr>
            </w:pPr>
            <w:r w:rsidRPr="00466109">
              <w:rPr>
                <w:rFonts w:cs="Arial"/>
                <w:b/>
                <w:bCs/>
                <w:color w:val="0000FF"/>
                <w:szCs w:val="20"/>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A403A4" w:rsidRPr="00830DD4" w:rsidRDefault="00466109" w:rsidP="008E43B5">
            <w:pPr>
              <w:numPr>
                <w:ilvl w:val="0"/>
                <w:numId w:val="6"/>
              </w:numPr>
              <w:jc w:val="both"/>
              <w:rPr>
                <w:rFonts w:cs="Arial"/>
                <w:szCs w:val="20"/>
              </w:rPr>
            </w:pPr>
            <w:r w:rsidRPr="00830DD4">
              <w:rPr>
                <w:rFonts w:cs="Arial"/>
                <w:szCs w:val="20"/>
              </w:rPr>
              <w:t>Abbott Architect Anti-Tg Calibrator Package Insert Abbott Laboratorie</w:t>
            </w:r>
            <w:r w:rsidR="00A403A4" w:rsidRPr="00830DD4">
              <w:rPr>
                <w:rFonts w:cs="Arial"/>
                <w:szCs w:val="20"/>
              </w:rPr>
              <w:t>s, Abbott Park, IL 60064</w:t>
            </w:r>
            <w:r w:rsidR="0069308E">
              <w:rPr>
                <w:rFonts w:cs="Arial"/>
                <w:szCs w:val="20"/>
              </w:rPr>
              <w:t>. Revised April</w:t>
            </w:r>
            <w:r w:rsidR="00DF4638" w:rsidRPr="00830DD4">
              <w:rPr>
                <w:rFonts w:cs="Arial"/>
                <w:szCs w:val="20"/>
              </w:rPr>
              <w:t xml:space="preserve"> 2015.</w:t>
            </w:r>
          </w:p>
          <w:p w:rsidR="00513F9B" w:rsidRPr="00830DD4" w:rsidRDefault="00B40D8E" w:rsidP="00466109">
            <w:pPr>
              <w:numPr>
                <w:ilvl w:val="0"/>
                <w:numId w:val="6"/>
              </w:numPr>
              <w:jc w:val="both"/>
              <w:rPr>
                <w:rFonts w:cs="Arial"/>
                <w:szCs w:val="20"/>
              </w:rPr>
            </w:pPr>
            <w:r w:rsidRPr="00830DD4">
              <w:rPr>
                <w:rFonts w:cs="Arial"/>
                <w:szCs w:val="20"/>
              </w:rPr>
              <w:t xml:space="preserve">Abbott Architect </w:t>
            </w:r>
            <w:r w:rsidR="00466109" w:rsidRPr="00830DD4">
              <w:rPr>
                <w:rFonts w:cs="Arial"/>
                <w:szCs w:val="20"/>
              </w:rPr>
              <w:t>Anti-Tg Reagent P</w:t>
            </w:r>
            <w:r w:rsidRPr="00830DD4">
              <w:rPr>
                <w:rFonts w:cs="Arial"/>
                <w:szCs w:val="20"/>
              </w:rPr>
              <w:t>ackage</w:t>
            </w:r>
            <w:r w:rsidR="00466109" w:rsidRPr="00830DD4">
              <w:rPr>
                <w:rFonts w:cs="Arial"/>
                <w:szCs w:val="20"/>
              </w:rPr>
              <w:t xml:space="preserve"> Insert Abbott Laboratories</w:t>
            </w:r>
            <w:r w:rsidRPr="00830DD4">
              <w:rPr>
                <w:rFonts w:cs="Arial"/>
                <w:szCs w:val="20"/>
              </w:rPr>
              <w:t>, Abbott Park, IL 60064. Revised February 2015</w:t>
            </w:r>
          </w:p>
          <w:p w:rsidR="00466109" w:rsidRPr="00830DD4" w:rsidRDefault="00466109" w:rsidP="00466109">
            <w:pPr>
              <w:numPr>
                <w:ilvl w:val="0"/>
                <w:numId w:val="6"/>
              </w:numPr>
              <w:jc w:val="both"/>
              <w:rPr>
                <w:rFonts w:cs="Arial"/>
                <w:szCs w:val="20"/>
              </w:rPr>
            </w:pPr>
            <w:hyperlink r:id="rId12" w:history="1">
              <w:r w:rsidRPr="00830DD4">
                <w:rPr>
                  <w:rStyle w:val="Hyperlink"/>
                  <w:rFonts w:cs="Arial"/>
                  <w:szCs w:val="20"/>
                </w:rPr>
                <w:t>CALIPER Reference Intervals</w:t>
              </w:r>
            </w:hyperlink>
            <w:r w:rsidRPr="00830DD4">
              <w:rPr>
                <w:rFonts w:cs="Arial"/>
                <w:szCs w:val="20"/>
              </w:rPr>
              <w:t>, Accessed 4/20/2018</w:t>
            </w:r>
          </w:p>
        </w:tc>
      </w:tr>
      <w:tr w:rsidR="003571BD" w:rsidRPr="00466109"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Pr="00466109" w:rsidRDefault="003571BD">
            <w:pPr>
              <w:rPr>
                <w:rFonts w:cs="Arial"/>
                <w:b/>
                <w:bCs/>
                <w:color w:val="3366FF"/>
                <w:szCs w:val="20"/>
              </w:rPr>
            </w:pPr>
            <w:r w:rsidRPr="00466109">
              <w:rPr>
                <w:rFonts w:cs="Arial"/>
                <w:b/>
                <w:bCs/>
                <w:color w:val="0000FF"/>
                <w:szCs w:val="20"/>
              </w:rPr>
              <w:t>Historical Record</w:t>
            </w:r>
          </w:p>
        </w:tc>
        <w:tc>
          <w:tcPr>
            <w:tcW w:w="8910" w:type="dxa"/>
            <w:tcBorders>
              <w:top w:val="single" w:sz="18" w:space="0" w:color="A6A6A6" w:themeColor="background1" w:themeShade="A6"/>
              <w:left w:val="nil"/>
              <w:bottom w:val="nil"/>
              <w:right w:val="nil"/>
            </w:tcBorders>
          </w:tcPr>
          <w:p w:rsidR="003571BD" w:rsidRPr="00830DD4" w:rsidRDefault="003571BD">
            <w:pPr>
              <w:rPr>
                <w:rFonts w:cs="Arial"/>
                <w:iCs/>
                <w:szCs w:val="20"/>
              </w:rPr>
            </w:pPr>
          </w:p>
          <w:tbl>
            <w:tblPr>
              <w:tblStyle w:val="TableGrid"/>
              <w:tblW w:w="0" w:type="auto"/>
              <w:tblLayout w:type="fixed"/>
              <w:tblLook w:val="04A0"/>
            </w:tblPr>
            <w:tblGrid>
              <w:gridCol w:w="967"/>
              <w:gridCol w:w="2070"/>
              <w:gridCol w:w="1980"/>
              <w:gridCol w:w="3510"/>
            </w:tblGrid>
            <w:tr w:rsidR="003571BD" w:rsidRPr="00830DD4" w:rsidTr="003571BD">
              <w:tc>
                <w:tcPr>
                  <w:tcW w:w="967" w:type="dxa"/>
                </w:tcPr>
                <w:p w:rsidR="003571BD" w:rsidRPr="00830DD4" w:rsidRDefault="003571BD">
                  <w:pPr>
                    <w:rPr>
                      <w:rFonts w:cs="Arial"/>
                      <w:b/>
                      <w:iCs/>
                      <w:szCs w:val="20"/>
                    </w:rPr>
                  </w:pPr>
                  <w:r w:rsidRPr="00830DD4">
                    <w:rPr>
                      <w:rFonts w:cs="Arial"/>
                      <w:b/>
                      <w:iCs/>
                      <w:szCs w:val="20"/>
                    </w:rPr>
                    <w:t>Version</w:t>
                  </w:r>
                </w:p>
              </w:tc>
              <w:tc>
                <w:tcPr>
                  <w:tcW w:w="2070" w:type="dxa"/>
                </w:tcPr>
                <w:p w:rsidR="003571BD" w:rsidRPr="00830DD4" w:rsidRDefault="003571BD">
                  <w:pPr>
                    <w:rPr>
                      <w:rFonts w:cs="Arial"/>
                      <w:b/>
                      <w:iCs/>
                      <w:szCs w:val="20"/>
                    </w:rPr>
                  </w:pPr>
                  <w:r w:rsidRPr="00830DD4">
                    <w:rPr>
                      <w:rFonts w:cs="Arial"/>
                      <w:b/>
                      <w:iCs/>
                      <w:szCs w:val="20"/>
                    </w:rPr>
                    <w:t>Written/Revised By</w:t>
                  </w:r>
                </w:p>
              </w:tc>
              <w:tc>
                <w:tcPr>
                  <w:tcW w:w="1980" w:type="dxa"/>
                </w:tcPr>
                <w:p w:rsidR="003571BD" w:rsidRPr="00830DD4" w:rsidRDefault="003571BD">
                  <w:pPr>
                    <w:rPr>
                      <w:rFonts w:cs="Arial"/>
                      <w:b/>
                      <w:iCs/>
                      <w:szCs w:val="20"/>
                    </w:rPr>
                  </w:pPr>
                  <w:r w:rsidRPr="00830DD4">
                    <w:rPr>
                      <w:rFonts w:cs="Arial"/>
                      <w:b/>
                      <w:iCs/>
                      <w:szCs w:val="20"/>
                    </w:rPr>
                    <w:t>Effective Date</w:t>
                  </w:r>
                </w:p>
              </w:tc>
              <w:tc>
                <w:tcPr>
                  <w:tcW w:w="3510" w:type="dxa"/>
                </w:tcPr>
                <w:p w:rsidR="003571BD" w:rsidRPr="00830DD4" w:rsidRDefault="003571BD">
                  <w:pPr>
                    <w:rPr>
                      <w:rFonts w:cs="Arial"/>
                      <w:b/>
                      <w:iCs/>
                      <w:szCs w:val="20"/>
                    </w:rPr>
                  </w:pPr>
                  <w:r w:rsidRPr="00830DD4">
                    <w:rPr>
                      <w:rFonts w:cs="Arial"/>
                      <w:b/>
                      <w:iCs/>
                      <w:szCs w:val="20"/>
                    </w:rPr>
                    <w:t xml:space="preserve">Summary of </w:t>
                  </w:r>
                  <w:r w:rsidR="00F814F1" w:rsidRPr="00830DD4">
                    <w:rPr>
                      <w:rFonts w:cs="Arial"/>
                      <w:b/>
                      <w:iCs/>
                      <w:szCs w:val="20"/>
                    </w:rPr>
                    <w:t>Revisions</w:t>
                  </w:r>
                </w:p>
              </w:tc>
            </w:tr>
            <w:tr w:rsidR="003571BD" w:rsidRPr="00830DD4" w:rsidTr="003571BD">
              <w:tc>
                <w:tcPr>
                  <w:tcW w:w="967" w:type="dxa"/>
                </w:tcPr>
                <w:p w:rsidR="003571BD" w:rsidRPr="00830DD4" w:rsidRDefault="003571BD">
                  <w:pPr>
                    <w:rPr>
                      <w:rFonts w:cs="Arial"/>
                      <w:iCs/>
                      <w:szCs w:val="20"/>
                    </w:rPr>
                  </w:pPr>
                  <w:r w:rsidRPr="00830DD4">
                    <w:rPr>
                      <w:rFonts w:cs="Arial"/>
                      <w:iCs/>
                      <w:szCs w:val="20"/>
                    </w:rPr>
                    <w:t>1</w:t>
                  </w:r>
                </w:p>
              </w:tc>
              <w:tc>
                <w:tcPr>
                  <w:tcW w:w="2070" w:type="dxa"/>
                </w:tcPr>
                <w:p w:rsidR="003571BD" w:rsidRPr="00830DD4" w:rsidRDefault="00BB1890">
                  <w:pPr>
                    <w:rPr>
                      <w:rFonts w:cs="Arial"/>
                      <w:iCs/>
                      <w:szCs w:val="20"/>
                    </w:rPr>
                  </w:pPr>
                  <w:r w:rsidRPr="00830DD4">
                    <w:rPr>
                      <w:rFonts w:cs="Arial"/>
                      <w:iCs/>
                      <w:szCs w:val="20"/>
                    </w:rPr>
                    <w:t>Stephen Gripentrog</w:t>
                  </w:r>
                  <w:r w:rsidR="00466109" w:rsidRPr="00830DD4">
                    <w:rPr>
                      <w:rFonts w:cs="Arial"/>
                      <w:iCs/>
                      <w:szCs w:val="20"/>
                    </w:rPr>
                    <w:t>/Erin Bartos</w:t>
                  </w:r>
                </w:p>
              </w:tc>
              <w:tc>
                <w:tcPr>
                  <w:tcW w:w="1980" w:type="dxa"/>
                </w:tcPr>
                <w:p w:rsidR="003571BD" w:rsidRPr="00830DD4" w:rsidRDefault="00466109">
                  <w:pPr>
                    <w:rPr>
                      <w:rFonts w:cs="Arial"/>
                      <w:iCs/>
                      <w:szCs w:val="20"/>
                    </w:rPr>
                  </w:pPr>
                  <w:r w:rsidRPr="00830DD4">
                    <w:rPr>
                      <w:rFonts w:cs="Arial"/>
                      <w:iCs/>
                      <w:szCs w:val="20"/>
                    </w:rPr>
                    <w:t>May 15, 2018</w:t>
                  </w:r>
                </w:p>
              </w:tc>
              <w:tc>
                <w:tcPr>
                  <w:tcW w:w="3510" w:type="dxa"/>
                </w:tcPr>
                <w:p w:rsidR="003571BD" w:rsidRPr="00830DD4" w:rsidRDefault="003571BD">
                  <w:pPr>
                    <w:rPr>
                      <w:rFonts w:cs="Arial"/>
                      <w:iCs/>
                      <w:szCs w:val="20"/>
                    </w:rPr>
                  </w:pPr>
                  <w:r w:rsidRPr="00830DD4">
                    <w:rPr>
                      <w:rFonts w:cs="Arial"/>
                      <w:iCs/>
                      <w:szCs w:val="20"/>
                    </w:rPr>
                    <w:t>New Procedure</w:t>
                  </w:r>
                </w:p>
              </w:tc>
            </w:tr>
            <w:tr w:rsidR="003571BD" w:rsidRPr="00830DD4" w:rsidTr="003571BD">
              <w:tc>
                <w:tcPr>
                  <w:tcW w:w="967" w:type="dxa"/>
                </w:tcPr>
                <w:p w:rsidR="003571BD" w:rsidRPr="00830DD4" w:rsidRDefault="003571BD">
                  <w:pPr>
                    <w:rPr>
                      <w:rFonts w:cs="Arial"/>
                      <w:iCs/>
                      <w:szCs w:val="20"/>
                    </w:rPr>
                  </w:pPr>
                </w:p>
              </w:tc>
              <w:tc>
                <w:tcPr>
                  <w:tcW w:w="2070" w:type="dxa"/>
                </w:tcPr>
                <w:p w:rsidR="003571BD" w:rsidRPr="00830DD4" w:rsidRDefault="003571BD">
                  <w:pPr>
                    <w:rPr>
                      <w:rFonts w:cs="Arial"/>
                      <w:iCs/>
                      <w:szCs w:val="20"/>
                    </w:rPr>
                  </w:pPr>
                </w:p>
              </w:tc>
              <w:tc>
                <w:tcPr>
                  <w:tcW w:w="1980" w:type="dxa"/>
                </w:tcPr>
                <w:p w:rsidR="003571BD" w:rsidRPr="00830DD4" w:rsidRDefault="003571BD">
                  <w:pPr>
                    <w:rPr>
                      <w:rFonts w:cs="Arial"/>
                      <w:iCs/>
                      <w:szCs w:val="20"/>
                    </w:rPr>
                  </w:pPr>
                </w:p>
              </w:tc>
              <w:tc>
                <w:tcPr>
                  <w:tcW w:w="3510" w:type="dxa"/>
                </w:tcPr>
                <w:p w:rsidR="003571BD" w:rsidRPr="00830DD4" w:rsidRDefault="003571BD">
                  <w:pPr>
                    <w:rPr>
                      <w:rFonts w:cs="Arial"/>
                      <w:iCs/>
                      <w:szCs w:val="20"/>
                    </w:rPr>
                  </w:pPr>
                </w:p>
              </w:tc>
            </w:tr>
            <w:tr w:rsidR="003571BD" w:rsidRPr="00830DD4" w:rsidTr="003571BD">
              <w:tc>
                <w:tcPr>
                  <w:tcW w:w="967" w:type="dxa"/>
                </w:tcPr>
                <w:p w:rsidR="003571BD" w:rsidRPr="00830DD4" w:rsidRDefault="003571BD">
                  <w:pPr>
                    <w:rPr>
                      <w:rFonts w:cs="Arial"/>
                      <w:iCs/>
                      <w:szCs w:val="20"/>
                    </w:rPr>
                  </w:pPr>
                </w:p>
              </w:tc>
              <w:tc>
                <w:tcPr>
                  <w:tcW w:w="2070" w:type="dxa"/>
                </w:tcPr>
                <w:p w:rsidR="003571BD" w:rsidRPr="00830DD4" w:rsidRDefault="003571BD">
                  <w:pPr>
                    <w:rPr>
                      <w:rFonts w:cs="Arial"/>
                      <w:iCs/>
                      <w:szCs w:val="20"/>
                    </w:rPr>
                  </w:pPr>
                </w:p>
              </w:tc>
              <w:tc>
                <w:tcPr>
                  <w:tcW w:w="1980" w:type="dxa"/>
                </w:tcPr>
                <w:p w:rsidR="003571BD" w:rsidRPr="00830DD4" w:rsidRDefault="003571BD">
                  <w:pPr>
                    <w:rPr>
                      <w:rFonts w:cs="Arial"/>
                      <w:iCs/>
                      <w:szCs w:val="20"/>
                    </w:rPr>
                  </w:pPr>
                </w:p>
              </w:tc>
              <w:tc>
                <w:tcPr>
                  <w:tcW w:w="3510" w:type="dxa"/>
                </w:tcPr>
                <w:p w:rsidR="003571BD" w:rsidRPr="00830DD4" w:rsidRDefault="003571BD">
                  <w:pPr>
                    <w:rPr>
                      <w:rFonts w:cs="Arial"/>
                      <w:iCs/>
                      <w:szCs w:val="20"/>
                    </w:rPr>
                  </w:pPr>
                </w:p>
              </w:tc>
            </w:tr>
          </w:tbl>
          <w:p w:rsidR="003571BD" w:rsidRPr="00830DD4" w:rsidRDefault="003571BD">
            <w:pPr>
              <w:rPr>
                <w:rFonts w:cs="Arial"/>
                <w:iCs/>
                <w:szCs w:val="20"/>
              </w:rPr>
            </w:pPr>
          </w:p>
        </w:tc>
      </w:tr>
    </w:tbl>
    <w:p w:rsidR="008C6EDC" w:rsidRPr="00466109" w:rsidRDefault="008C6EDC">
      <w:pPr>
        <w:rPr>
          <w:rFonts w:cs="Arial"/>
          <w:szCs w:val="20"/>
        </w:rPr>
      </w:pPr>
    </w:p>
    <w:sectPr w:rsidR="008C6EDC" w:rsidRPr="00466109" w:rsidSect="00287C41">
      <w:headerReference w:type="default" r:id="rId13"/>
      <w:footerReference w:type="default" r:id="rId14"/>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76" w:rsidRDefault="00CD5276">
      <w:r>
        <w:separator/>
      </w:r>
    </w:p>
  </w:endnote>
  <w:endnote w:type="continuationSeparator" w:id="0">
    <w:p w:rsidR="00CD5276" w:rsidRDefault="00CD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76" w:rsidRPr="001A774F" w:rsidRDefault="00CD5276"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735A57">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735A57">
      <w:rPr>
        <w:noProof/>
        <w:sz w:val="18"/>
      </w:rPr>
      <w:t>5</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76" w:rsidRDefault="00CD5276">
      <w:r>
        <w:separator/>
      </w:r>
    </w:p>
  </w:footnote>
  <w:footnote w:type="continuationSeparator" w:id="0">
    <w:p w:rsidR="00CD5276" w:rsidRDefault="00CD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76" w:rsidRDefault="00CD5276">
    <w:pPr>
      <w:ind w:left="-1260" w:right="-1260"/>
      <w:rPr>
        <w:rFonts w:cs="Arial"/>
        <w:sz w:val="18"/>
      </w:rPr>
    </w:pPr>
    <w:r w:rsidRPr="00D24A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 wrapcoords="-121 0 -121 21221 21600 21221 21600 0 -121 0">
          <v:imagedata r:id="rId1" o:title="Childrens_MN_2015_logo_2c_RGB_800x257"/>
          <w10:wrap type="tight"/>
        </v:shape>
      </w:pict>
    </w:r>
    <w:r>
      <w:rPr>
        <w:rFonts w:cs="Arial"/>
        <w:sz w:val="18"/>
      </w:rPr>
      <w:t>CH 6.802 Thyroglobulin Antibody (Anti-Tg)</w:t>
    </w:r>
  </w:p>
  <w:p w:rsidR="00CD5276" w:rsidRDefault="00CD5276">
    <w:pPr>
      <w:ind w:left="-1260" w:right="-1260"/>
      <w:rPr>
        <w:rFonts w:cs="Arial"/>
        <w:sz w:val="18"/>
      </w:rPr>
    </w:pPr>
    <w:r>
      <w:rPr>
        <w:rFonts w:cs="Arial"/>
        <w:sz w:val="18"/>
      </w:rPr>
      <w:t>Version 1</w:t>
    </w:r>
  </w:p>
  <w:p w:rsidR="00CD5276" w:rsidRDefault="00CD5276">
    <w:pPr>
      <w:ind w:left="-1260" w:right="-1260"/>
      <w:rPr>
        <w:rFonts w:cs="Arial"/>
        <w:sz w:val="18"/>
      </w:rPr>
    </w:pPr>
    <w:r>
      <w:rPr>
        <w:rFonts w:cs="Arial"/>
        <w:sz w:val="18"/>
      </w:rPr>
      <w:t>Effective Date: May 15, 2018</w:t>
    </w:r>
  </w:p>
  <w:p w:rsidR="00CD5276" w:rsidRDefault="00CD5276">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473471"/>
    <w:multiLevelType w:val="hybridMultilevel"/>
    <w:tmpl w:val="64EE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AF070D"/>
    <w:multiLevelType w:val="hybridMultilevel"/>
    <w:tmpl w:val="E4542D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33EAB"/>
    <w:multiLevelType w:val="hybridMultilevel"/>
    <w:tmpl w:val="B60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B45338"/>
    <w:multiLevelType w:val="hybridMultilevel"/>
    <w:tmpl w:val="BBF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B0F645C"/>
    <w:multiLevelType w:val="hybridMultilevel"/>
    <w:tmpl w:val="F2FC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01859"/>
    <w:multiLevelType w:val="hybridMultilevel"/>
    <w:tmpl w:val="7550F504"/>
    <w:lvl w:ilvl="0" w:tplc="294805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20"/>
  </w:num>
  <w:num w:numId="4">
    <w:abstractNumId w:val="4"/>
  </w:num>
  <w:num w:numId="5">
    <w:abstractNumId w:val="13"/>
  </w:num>
  <w:num w:numId="6">
    <w:abstractNumId w:val="11"/>
  </w:num>
  <w:num w:numId="7">
    <w:abstractNumId w:val="16"/>
  </w:num>
  <w:num w:numId="8">
    <w:abstractNumId w:val="29"/>
  </w:num>
  <w:num w:numId="9">
    <w:abstractNumId w:val="10"/>
  </w:num>
  <w:num w:numId="10">
    <w:abstractNumId w:val="1"/>
  </w:num>
  <w:num w:numId="11">
    <w:abstractNumId w:val="33"/>
  </w:num>
  <w:num w:numId="12">
    <w:abstractNumId w:val="27"/>
  </w:num>
  <w:num w:numId="13">
    <w:abstractNumId w:val="3"/>
  </w:num>
  <w:num w:numId="14">
    <w:abstractNumId w:val="8"/>
  </w:num>
  <w:num w:numId="15">
    <w:abstractNumId w:val="7"/>
  </w:num>
  <w:num w:numId="16">
    <w:abstractNumId w:val="14"/>
  </w:num>
  <w:num w:numId="17">
    <w:abstractNumId w:val="6"/>
  </w:num>
  <w:num w:numId="18">
    <w:abstractNumId w:val="5"/>
  </w:num>
  <w:num w:numId="19">
    <w:abstractNumId w:val="23"/>
  </w:num>
  <w:num w:numId="20">
    <w:abstractNumId w:val="28"/>
  </w:num>
  <w:num w:numId="21">
    <w:abstractNumId w:val="30"/>
  </w:num>
  <w:num w:numId="22">
    <w:abstractNumId w:val="25"/>
  </w:num>
  <w:num w:numId="23">
    <w:abstractNumId w:val="0"/>
  </w:num>
  <w:num w:numId="24">
    <w:abstractNumId w:val="18"/>
  </w:num>
  <w:num w:numId="25">
    <w:abstractNumId w:val="26"/>
  </w:num>
  <w:num w:numId="26">
    <w:abstractNumId w:val="21"/>
  </w:num>
  <w:num w:numId="27">
    <w:abstractNumId w:val="12"/>
  </w:num>
  <w:num w:numId="28">
    <w:abstractNumId w:val="19"/>
  </w:num>
  <w:num w:numId="29">
    <w:abstractNumId w:val="32"/>
  </w:num>
  <w:num w:numId="30">
    <w:abstractNumId w:val="22"/>
  </w:num>
  <w:num w:numId="31">
    <w:abstractNumId w:val="31"/>
  </w:num>
  <w:num w:numId="32">
    <w:abstractNumId w:val="17"/>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17577"/>
    <w:rsid w:val="00024E3E"/>
    <w:rsid w:val="0004669D"/>
    <w:rsid w:val="000625DB"/>
    <w:rsid w:val="0009335B"/>
    <w:rsid w:val="000B2C7F"/>
    <w:rsid w:val="000F1648"/>
    <w:rsid w:val="0010369C"/>
    <w:rsid w:val="001312D6"/>
    <w:rsid w:val="00143FF4"/>
    <w:rsid w:val="001549CA"/>
    <w:rsid w:val="001B002A"/>
    <w:rsid w:val="001B00EE"/>
    <w:rsid w:val="001B1C87"/>
    <w:rsid w:val="001E2DF4"/>
    <w:rsid w:val="001F2FF6"/>
    <w:rsid w:val="002265E2"/>
    <w:rsid w:val="00253C63"/>
    <w:rsid w:val="00260A50"/>
    <w:rsid w:val="0027341A"/>
    <w:rsid w:val="00287C41"/>
    <w:rsid w:val="00290820"/>
    <w:rsid w:val="002935E5"/>
    <w:rsid w:val="0029711F"/>
    <w:rsid w:val="002A65EF"/>
    <w:rsid w:val="002D50CB"/>
    <w:rsid w:val="002F385E"/>
    <w:rsid w:val="00315534"/>
    <w:rsid w:val="003571BD"/>
    <w:rsid w:val="003E293C"/>
    <w:rsid w:val="0041684C"/>
    <w:rsid w:val="00466109"/>
    <w:rsid w:val="00482A76"/>
    <w:rsid w:val="004E0EEF"/>
    <w:rsid w:val="00513F9B"/>
    <w:rsid w:val="00542D1B"/>
    <w:rsid w:val="005516E7"/>
    <w:rsid w:val="005A610F"/>
    <w:rsid w:val="005E30BC"/>
    <w:rsid w:val="00612121"/>
    <w:rsid w:val="00620F63"/>
    <w:rsid w:val="0069308E"/>
    <w:rsid w:val="00707507"/>
    <w:rsid w:val="00712847"/>
    <w:rsid w:val="00735A57"/>
    <w:rsid w:val="007E48CD"/>
    <w:rsid w:val="007F79E4"/>
    <w:rsid w:val="00814EAD"/>
    <w:rsid w:val="008168BB"/>
    <w:rsid w:val="00830DD4"/>
    <w:rsid w:val="0083747A"/>
    <w:rsid w:val="008C6EDC"/>
    <w:rsid w:val="008E43B5"/>
    <w:rsid w:val="00992460"/>
    <w:rsid w:val="009945A2"/>
    <w:rsid w:val="009F5B34"/>
    <w:rsid w:val="00A072CE"/>
    <w:rsid w:val="00A403A4"/>
    <w:rsid w:val="00A52AF8"/>
    <w:rsid w:val="00A82A92"/>
    <w:rsid w:val="00B00AD4"/>
    <w:rsid w:val="00B269BD"/>
    <w:rsid w:val="00B40D8E"/>
    <w:rsid w:val="00B816B4"/>
    <w:rsid w:val="00BB1890"/>
    <w:rsid w:val="00C0536C"/>
    <w:rsid w:val="00C627C6"/>
    <w:rsid w:val="00C765A3"/>
    <w:rsid w:val="00CB5CEF"/>
    <w:rsid w:val="00CD5276"/>
    <w:rsid w:val="00CF7522"/>
    <w:rsid w:val="00D0201D"/>
    <w:rsid w:val="00D120DB"/>
    <w:rsid w:val="00D24A10"/>
    <w:rsid w:val="00D6200B"/>
    <w:rsid w:val="00D73555"/>
    <w:rsid w:val="00D735E3"/>
    <w:rsid w:val="00DA7E2D"/>
    <w:rsid w:val="00DE32D9"/>
    <w:rsid w:val="00DF4638"/>
    <w:rsid w:val="00E2166F"/>
    <w:rsid w:val="00E63CB7"/>
    <w:rsid w:val="00E655A8"/>
    <w:rsid w:val="00EC2601"/>
    <w:rsid w:val="00F505FB"/>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12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3.ccb.sickkids.ca/caliper/calipe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hem/operator/abbott-architect-operations-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3.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1476</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10253</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cp:lastModifiedBy>CE155076</cp:lastModifiedBy>
  <cp:revision>14</cp:revision>
  <cp:lastPrinted>2011-06-16T20:36:00Z</cp:lastPrinted>
  <dcterms:created xsi:type="dcterms:W3CDTF">2018-03-23T15:09:00Z</dcterms:created>
  <dcterms:modified xsi:type="dcterms:W3CDTF">2018-05-10T15:53:00Z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