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8910"/>
      </w:tblGrid>
      <w:tr w:rsidR="008C6EDC" w:rsidTr="00D120DB">
        <w:trPr>
          <w:cantSplit/>
          <w:tblHeader/>
        </w:trPr>
        <w:tc>
          <w:tcPr>
            <w:tcW w:w="11070" w:type="dxa"/>
            <w:gridSpan w:val="2"/>
            <w:tcBorders>
              <w:bottom w:val="single" w:sz="18" w:space="0" w:color="A6A6A6" w:themeColor="background1" w:themeShade="A6"/>
            </w:tcBorders>
          </w:tcPr>
          <w:p w:rsidR="008C6EDC" w:rsidRDefault="001A4719">
            <w:pPr>
              <w:pStyle w:val="Header"/>
              <w:tabs>
                <w:tab w:val="clear" w:pos="4320"/>
                <w:tab w:val="clear" w:pos="8640"/>
                <w:tab w:val="left" w:pos="11520"/>
              </w:tabs>
              <w:jc w:val="both"/>
              <w:rPr>
                <w:rFonts w:cs="Arial"/>
                <w:b/>
                <w:bCs/>
                <w:color w:val="0000FF"/>
                <w:sz w:val="36"/>
              </w:rPr>
            </w:pPr>
            <w:r>
              <w:rPr>
                <w:rFonts w:cs="Arial"/>
                <w:b/>
                <w:bCs/>
                <w:color w:val="0000FF"/>
                <w:sz w:val="36"/>
              </w:rPr>
              <w:t>Thyroperoxidase Antibody</w:t>
            </w:r>
            <w:r w:rsidR="00641AD5">
              <w:rPr>
                <w:rFonts w:cs="Arial"/>
                <w:b/>
                <w:bCs/>
                <w:color w:val="0000FF"/>
                <w:sz w:val="36"/>
              </w:rPr>
              <w:t xml:space="preserve"> </w:t>
            </w:r>
            <w:r>
              <w:rPr>
                <w:rFonts w:cs="Arial"/>
                <w:b/>
                <w:bCs/>
                <w:color w:val="0000FF"/>
                <w:sz w:val="36"/>
              </w:rPr>
              <w:t>(</w:t>
            </w:r>
            <w:r w:rsidR="00641AD5">
              <w:rPr>
                <w:rFonts w:cs="Arial"/>
                <w:b/>
                <w:bCs/>
                <w:color w:val="0000FF"/>
                <w:sz w:val="36"/>
              </w:rPr>
              <w:t>Anti-TPO</w:t>
            </w:r>
            <w:r>
              <w:rPr>
                <w:rFonts w:cs="Arial"/>
                <w:b/>
                <w:bCs/>
                <w:color w:val="0000FF"/>
                <w:sz w:val="36"/>
              </w:rPr>
              <w:t>)</w:t>
            </w:r>
          </w:p>
          <w:p w:rsidR="008C6EDC" w:rsidRDefault="008C6EDC">
            <w:pPr>
              <w:pStyle w:val="Header"/>
              <w:tabs>
                <w:tab w:val="clear" w:pos="4320"/>
                <w:tab w:val="clear" w:pos="8640"/>
                <w:tab w:val="left" w:pos="11520"/>
              </w:tabs>
              <w:jc w:val="both"/>
              <w:rPr>
                <w:rFonts w:cs="Arial"/>
                <w:color w:val="0000FF"/>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641AD5" w:rsidRDefault="002F385E" w:rsidP="00641AD5">
            <w:pPr>
              <w:pStyle w:val="Header"/>
              <w:tabs>
                <w:tab w:val="clear" w:pos="4320"/>
                <w:tab w:val="clear" w:pos="8640"/>
                <w:tab w:val="left" w:pos="11520"/>
              </w:tabs>
              <w:jc w:val="both"/>
              <w:rPr>
                <w:rFonts w:cs="Arial"/>
                <w:b/>
                <w:bCs/>
                <w:color w:val="0000FF"/>
                <w:sz w:val="36"/>
              </w:rPr>
            </w:pPr>
            <w:r>
              <w:rPr>
                <w:rFonts w:cs="Arial"/>
              </w:rPr>
              <w:t xml:space="preserve">This procedure provides instructions for performing </w:t>
            </w:r>
            <w:r w:rsidR="001A4719">
              <w:rPr>
                <w:rFonts w:cs="Arial"/>
                <w:bCs/>
                <w:szCs w:val="20"/>
              </w:rPr>
              <w:t>THYROPEROXIDASE ANTIBODY</w:t>
            </w:r>
          </w:p>
          <w:p w:rsidR="008C6EDC" w:rsidRPr="008634BF" w:rsidRDefault="002F385E" w:rsidP="008C6EDC">
            <w:pPr>
              <w:jc w:val="both"/>
              <w:rPr>
                <w:rFonts w:cs="Arial"/>
                <w:szCs w:val="20"/>
              </w:rPr>
            </w:pPr>
            <w:r>
              <w:rPr>
                <w:rFonts w:cs="Arial"/>
              </w:rPr>
              <w:t>on the Abbott Architect</w:t>
            </w:r>
            <w:r w:rsidR="001A4719">
              <w:rPr>
                <w:rFonts w:cs="Arial"/>
              </w:rPr>
              <w:t xml:space="preserve"> i1000SR.</w:t>
            </w:r>
          </w:p>
          <w:p w:rsidR="008C6EDC" w:rsidRPr="008634BF" w:rsidRDefault="008C6EDC" w:rsidP="00D0201D">
            <w:pPr>
              <w:autoSpaceDE w:val="0"/>
              <w:autoSpaceDN w:val="0"/>
              <w:adjustRightInd w:val="0"/>
              <w:jc w:val="both"/>
              <w:rPr>
                <w:rFonts w:cs="Arial"/>
                <w:szCs w:val="20"/>
              </w:rPr>
            </w:pPr>
          </w:p>
        </w:tc>
      </w:tr>
      <w:tr w:rsidR="008C6EDC"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1B1C87" w:rsidP="00253C63">
            <w:pPr>
              <w:autoSpaceDE w:val="0"/>
              <w:autoSpaceDN w:val="0"/>
              <w:adjustRightInd w:val="0"/>
              <w:jc w:val="both"/>
              <w:rPr>
                <w:rFonts w:cs="Arial"/>
                <w:szCs w:val="20"/>
              </w:rPr>
            </w:pPr>
            <w:r>
              <w:rPr>
                <w:rFonts w:cs="Arial"/>
                <w:szCs w:val="15"/>
              </w:rPr>
              <w:t xml:space="preserve">This procedure applies to all personnel responsible for performing testing on the </w:t>
            </w:r>
            <w:r>
              <w:rPr>
                <w:rFonts w:cs="Arial"/>
                <w:szCs w:val="20"/>
              </w:rPr>
              <w:t>Abbott Architect</w:t>
            </w:r>
            <w:r w:rsidR="001A4719">
              <w:rPr>
                <w:rFonts w:cs="Arial"/>
                <w:szCs w:val="20"/>
              </w:rPr>
              <w:t xml:space="preserve"> i1000SR</w:t>
            </w:r>
            <w:r>
              <w:rPr>
                <w:rFonts w:cs="Arial"/>
                <w:szCs w:val="20"/>
              </w:rPr>
              <w:t>.</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2F385E">
            <w:pPr>
              <w:autoSpaceDE w:val="0"/>
              <w:autoSpaceDN w:val="0"/>
              <w:adjustRightInd w:val="0"/>
              <w:rPr>
                <w:rFonts w:eastAsia="HelenPro-Regular"/>
              </w:rPr>
            </w:pPr>
          </w:p>
          <w:p w:rsidR="001B1C87" w:rsidRDefault="00641AD5" w:rsidP="00641AD5">
            <w:pPr>
              <w:autoSpaceDE w:val="0"/>
              <w:autoSpaceDN w:val="0"/>
              <w:adjustRightInd w:val="0"/>
              <w:rPr>
                <w:rFonts w:eastAsia="HelenPro-Regular" w:cs="Arial"/>
                <w:szCs w:val="20"/>
              </w:rPr>
            </w:pPr>
            <w:r w:rsidRPr="00C22112">
              <w:rPr>
                <w:rFonts w:eastAsia="HelenPro-Regular"/>
              </w:rPr>
              <w:t>The ARCHITECT Anti-TPO assay is a two-step i</w:t>
            </w:r>
            <w:r>
              <w:rPr>
                <w:rFonts w:eastAsia="HelenPro-Regular"/>
              </w:rPr>
              <w:t xml:space="preserve">mmunoassay for the quantitative </w:t>
            </w:r>
            <w:r w:rsidRPr="00C22112">
              <w:rPr>
                <w:rFonts w:eastAsia="HelenPro-Regular"/>
              </w:rPr>
              <w:t>determination of anti-TPO in human serum and plasma using CMIA technology</w:t>
            </w:r>
            <w:r>
              <w:rPr>
                <w:rFonts w:eastAsia="HelenPro-Regular"/>
              </w:rPr>
              <w:t xml:space="preserve"> </w:t>
            </w:r>
            <w:r w:rsidRPr="00C22112">
              <w:rPr>
                <w:rFonts w:eastAsia="HelenPro-Regular"/>
              </w:rPr>
              <w:t>with flexible assay protocols, referred to as Chemiflex.</w:t>
            </w:r>
            <w:r>
              <w:rPr>
                <w:rFonts w:eastAsia="HelenPro-Regular"/>
              </w:rPr>
              <w:t xml:space="preserve"> </w:t>
            </w:r>
            <w:r w:rsidRPr="00C22112">
              <w:rPr>
                <w:rFonts w:eastAsia="HelenPro-Regular"/>
              </w:rPr>
              <w:t>In the first step, sample, assay diluent and TPO coated paramagnetic</w:t>
            </w:r>
            <w:r>
              <w:rPr>
                <w:rFonts w:eastAsia="HelenPro-Regular"/>
              </w:rPr>
              <w:t xml:space="preserve"> </w:t>
            </w:r>
            <w:r w:rsidRPr="00C22112">
              <w:rPr>
                <w:rFonts w:eastAsia="HelenPro-Regular"/>
              </w:rPr>
              <w:t>microparticles are combined and incubated. Anti-TPO present in the</w:t>
            </w:r>
            <w:r>
              <w:rPr>
                <w:rFonts w:eastAsia="HelenPro-Regular"/>
              </w:rPr>
              <w:t xml:space="preserve"> </w:t>
            </w:r>
            <w:r w:rsidRPr="00C22112">
              <w:rPr>
                <w:rFonts w:eastAsia="HelenPro-Regular"/>
              </w:rPr>
              <w:t>sample binds to the TPO coated microparticles. After washing, anti-human</w:t>
            </w:r>
            <w:r>
              <w:rPr>
                <w:rFonts w:eastAsia="HelenPro-Regular"/>
              </w:rPr>
              <w:t xml:space="preserve"> </w:t>
            </w:r>
            <w:r w:rsidRPr="00C22112">
              <w:rPr>
                <w:rFonts w:eastAsia="HelenPro-Regular"/>
              </w:rPr>
              <w:t>IgG acridinium-labeled conjugate is added in the second step. Following</w:t>
            </w:r>
            <w:r>
              <w:rPr>
                <w:rFonts w:eastAsia="HelenPro-Regular"/>
              </w:rPr>
              <w:t xml:space="preserve"> </w:t>
            </w:r>
            <w:r w:rsidRPr="00C22112">
              <w:rPr>
                <w:rFonts w:eastAsia="HelenPro-Regular"/>
              </w:rPr>
              <w:t>another incubation cycle, pre-trigger and trigger solutions are added to the</w:t>
            </w:r>
            <w:r>
              <w:rPr>
                <w:rFonts w:eastAsia="HelenPro-Regular"/>
              </w:rPr>
              <w:t xml:space="preserve"> </w:t>
            </w:r>
            <w:r w:rsidRPr="00C22112">
              <w:rPr>
                <w:rFonts w:eastAsia="HelenPro-Regular"/>
              </w:rPr>
              <w:t>reaction mixture. The resulting chemiluminescent reaction is measured as</w:t>
            </w:r>
            <w:r>
              <w:rPr>
                <w:rFonts w:eastAsia="HelenPro-Regular"/>
              </w:rPr>
              <w:t xml:space="preserve"> </w:t>
            </w:r>
            <w:r w:rsidRPr="00C22112">
              <w:rPr>
                <w:rFonts w:eastAsia="HelenPro-Regular"/>
              </w:rPr>
              <w:t>relative light units (RLUs). A direct relationship exists between the amount of</w:t>
            </w:r>
            <w:r>
              <w:rPr>
                <w:rFonts w:eastAsia="HelenPro-Regular"/>
              </w:rPr>
              <w:t xml:space="preserve"> </w:t>
            </w:r>
            <w:r w:rsidRPr="00C22112">
              <w:rPr>
                <w:rFonts w:eastAsia="HelenPro-Regular"/>
              </w:rPr>
              <w:t xml:space="preserve">anti-TPO in the sample and the RLUs detected by the </w:t>
            </w:r>
            <w:r w:rsidR="0011399A" w:rsidRPr="00C22112">
              <w:rPr>
                <w:rFonts w:eastAsia="HelenPro-Regular"/>
              </w:rPr>
              <w:t>ARCHITECT System</w:t>
            </w:r>
            <w:r>
              <w:rPr>
                <w:rFonts w:eastAsia="HelenPro-Regular"/>
              </w:rPr>
              <w:t xml:space="preserve"> </w:t>
            </w:r>
            <w:r w:rsidRPr="00C22112">
              <w:rPr>
                <w:rFonts w:eastAsia="HelenPro-Regular"/>
              </w:rPr>
              <w:t>optics.</w:t>
            </w:r>
          </w:p>
          <w:p w:rsidR="00641AD5" w:rsidRPr="00253C63" w:rsidRDefault="00641AD5" w:rsidP="00641AD5">
            <w:pPr>
              <w:autoSpaceDE w:val="0"/>
              <w:autoSpaceDN w:val="0"/>
              <w:adjustRightInd w:val="0"/>
              <w:rPr>
                <w:rFonts w:eastAsia="HelenPro-Regular" w:cs="Arial"/>
                <w:szCs w:val="20"/>
              </w:rPr>
            </w:pPr>
          </w:p>
        </w:tc>
      </w:tr>
      <w:tr w:rsidR="008C6EDC" w:rsidTr="00641AD5">
        <w:trPr>
          <w:trHeight w:val="6498"/>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D0201D">
            <w:pPr>
              <w:autoSpaceDE w:val="0"/>
              <w:autoSpaceDN w:val="0"/>
              <w:adjustRightInd w:val="0"/>
              <w:rPr>
                <w:rFonts w:cs="Arial"/>
                <w:szCs w:val="15"/>
              </w:rPr>
            </w:pPr>
          </w:p>
          <w:p w:rsidR="005415A7" w:rsidRDefault="00641AD5" w:rsidP="00641AD5">
            <w:pPr>
              <w:autoSpaceDE w:val="0"/>
              <w:autoSpaceDN w:val="0"/>
              <w:adjustRightInd w:val="0"/>
              <w:rPr>
                <w:rFonts w:eastAsia="HelenPro-Regular"/>
              </w:rPr>
            </w:pPr>
            <w:r w:rsidRPr="00C22112">
              <w:rPr>
                <w:rFonts w:eastAsia="HelenPro-Regular"/>
              </w:rPr>
              <w:t xml:space="preserve">It was first demonstrated by Trotter </w:t>
            </w:r>
            <w:r w:rsidRPr="00C22112">
              <w:rPr>
                <w:rFonts w:eastAsia="HelenPro-Regular"/>
                <w:i/>
                <w:iCs/>
              </w:rPr>
              <w:t xml:space="preserve">et al. </w:t>
            </w:r>
            <w:r w:rsidRPr="00C22112">
              <w:rPr>
                <w:rFonts w:eastAsia="HelenPro-Regular"/>
              </w:rPr>
              <w:t>in 1957 and subsequently by Roitt and</w:t>
            </w:r>
            <w:r>
              <w:rPr>
                <w:rFonts w:eastAsia="HelenPro-Regular"/>
              </w:rPr>
              <w:t xml:space="preserve"> </w:t>
            </w:r>
            <w:r w:rsidRPr="00C22112">
              <w:rPr>
                <w:rFonts w:eastAsia="HelenPro-Regular"/>
              </w:rPr>
              <w:t>Doniach in 1958 that many patients with Hashimoto’s thyroiditis had detectable</w:t>
            </w:r>
            <w:r>
              <w:rPr>
                <w:rFonts w:eastAsia="HelenPro-Regular"/>
              </w:rPr>
              <w:t xml:space="preserve"> </w:t>
            </w:r>
            <w:r w:rsidRPr="00C22112">
              <w:rPr>
                <w:rFonts w:eastAsia="HelenPro-Regular"/>
              </w:rPr>
              <w:t>autoantibodies in their blood directed at a thyroid antigen distinct from thyroglobulin.</w:t>
            </w:r>
            <w:r>
              <w:rPr>
                <w:rFonts w:eastAsia="HelenPro-Regular"/>
              </w:rPr>
              <w:t xml:space="preserve"> </w:t>
            </w:r>
            <w:r w:rsidR="005415A7">
              <w:rPr>
                <w:rFonts w:eastAsia="HelenPro-Regular"/>
              </w:rPr>
              <w:t xml:space="preserve"> </w:t>
            </w:r>
            <w:r w:rsidRPr="00C22112">
              <w:rPr>
                <w:rFonts w:eastAsia="HelenPro-Regular"/>
              </w:rPr>
              <w:t>This antigen was termed thyroid microsomal and it has since been demonstrated</w:t>
            </w:r>
            <w:r>
              <w:rPr>
                <w:rFonts w:eastAsia="HelenPro-Regular"/>
              </w:rPr>
              <w:t xml:space="preserve"> </w:t>
            </w:r>
            <w:r w:rsidRPr="00C22112">
              <w:rPr>
                <w:rFonts w:eastAsia="HelenPro-Regular"/>
              </w:rPr>
              <w:t>that most if not all anti-thyroid microsomal autoantibodies recognize thyroid peroxidase</w:t>
            </w:r>
            <w:r>
              <w:rPr>
                <w:rFonts w:eastAsia="HelenPro-Regular"/>
              </w:rPr>
              <w:t xml:space="preserve"> </w:t>
            </w:r>
            <w:r w:rsidRPr="00C22112">
              <w:rPr>
                <w:rFonts w:eastAsia="HelenPro-Regular"/>
              </w:rPr>
              <w:t>(TPO).</w:t>
            </w:r>
            <w:r>
              <w:rPr>
                <w:rFonts w:eastAsia="HelenPro-Regular"/>
              </w:rPr>
              <w:t xml:space="preserve">  </w:t>
            </w:r>
          </w:p>
          <w:p w:rsidR="00F674C3" w:rsidRDefault="00F674C3" w:rsidP="00641AD5">
            <w:pPr>
              <w:autoSpaceDE w:val="0"/>
              <w:autoSpaceDN w:val="0"/>
              <w:adjustRightInd w:val="0"/>
              <w:rPr>
                <w:rFonts w:eastAsia="HelenPro-Regular"/>
              </w:rPr>
            </w:pPr>
          </w:p>
          <w:p w:rsidR="005415A7" w:rsidRDefault="00641AD5" w:rsidP="00641AD5">
            <w:pPr>
              <w:autoSpaceDE w:val="0"/>
              <w:autoSpaceDN w:val="0"/>
              <w:adjustRightInd w:val="0"/>
              <w:rPr>
                <w:rFonts w:eastAsia="HelenPro-Regular"/>
              </w:rPr>
            </w:pPr>
            <w:r w:rsidRPr="00C22112">
              <w:rPr>
                <w:rFonts w:eastAsia="HelenPro-Regular"/>
              </w:rPr>
              <w:t>TPO is a membrane-bound glycoprotein enz</w:t>
            </w:r>
            <w:r>
              <w:rPr>
                <w:rFonts w:eastAsia="HelenPro-Regular"/>
              </w:rPr>
              <w:t xml:space="preserve">yme with an approximate mass of </w:t>
            </w:r>
            <w:r w:rsidRPr="00C22112">
              <w:rPr>
                <w:rFonts w:eastAsia="HelenPro-Regular"/>
              </w:rPr>
              <w:t xml:space="preserve">107kD. </w:t>
            </w:r>
            <w:r w:rsidR="005415A7">
              <w:rPr>
                <w:rFonts w:eastAsia="HelenPro-Regular"/>
              </w:rPr>
              <w:t xml:space="preserve"> </w:t>
            </w:r>
            <w:r w:rsidRPr="00C22112">
              <w:rPr>
                <w:rFonts w:eastAsia="HelenPro-Regular"/>
              </w:rPr>
              <w:t xml:space="preserve">The </w:t>
            </w:r>
            <w:r w:rsidRPr="00C22112">
              <w:rPr>
                <w:rFonts w:eastAsia="HelenPro-Regular"/>
                <w:i/>
                <w:iCs/>
              </w:rPr>
              <w:t xml:space="preserve">in vivo </w:t>
            </w:r>
            <w:r w:rsidRPr="00C22112">
              <w:rPr>
                <w:rFonts w:eastAsia="HelenPro-Regular"/>
              </w:rPr>
              <w:t>function is the iodination of tyrosine in the synthesis of T3 and</w:t>
            </w:r>
            <w:r>
              <w:rPr>
                <w:rFonts w:eastAsia="HelenPro-Regular"/>
              </w:rPr>
              <w:t xml:space="preserve"> </w:t>
            </w:r>
            <w:r w:rsidRPr="00C22112">
              <w:rPr>
                <w:rFonts w:eastAsia="HelenPro-Regular"/>
              </w:rPr>
              <w:t>T4.</w:t>
            </w:r>
            <w:r w:rsidR="005415A7">
              <w:rPr>
                <w:rFonts w:eastAsia="HelenPro-Regular"/>
              </w:rPr>
              <w:t xml:space="preserve"> </w:t>
            </w:r>
            <w:r w:rsidRPr="00C22112">
              <w:rPr>
                <w:rFonts w:eastAsia="HelenPro-Regular"/>
              </w:rPr>
              <w:t xml:space="preserve"> Autoimmune reactivity to TPO is believed to be polyclonal and heterogeneous</w:t>
            </w:r>
            <w:r>
              <w:rPr>
                <w:rFonts w:eastAsia="HelenPro-Regular"/>
              </w:rPr>
              <w:t xml:space="preserve"> </w:t>
            </w:r>
            <w:r w:rsidRPr="00C22112">
              <w:rPr>
                <w:rFonts w:eastAsia="HelenPro-Regular"/>
              </w:rPr>
              <w:t>in nature with a minimum of six antigenic determinants being recognized, comprising</w:t>
            </w:r>
            <w:r>
              <w:rPr>
                <w:rFonts w:eastAsia="HelenPro-Regular"/>
              </w:rPr>
              <w:t xml:space="preserve"> </w:t>
            </w:r>
            <w:r w:rsidRPr="00C22112">
              <w:rPr>
                <w:rFonts w:eastAsia="HelenPro-Regular"/>
              </w:rPr>
              <w:t xml:space="preserve">both conformational and linear epitopes. </w:t>
            </w:r>
            <w:r w:rsidR="005415A7">
              <w:rPr>
                <w:rFonts w:eastAsia="HelenPro-Regular"/>
              </w:rPr>
              <w:t xml:space="preserve"> </w:t>
            </w:r>
            <w:r w:rsidRPr="00C22112">
              <w:rPr>
                <w:rFonts w:eastAsia="HelenPro-Regular"/>
              </w:rPr>
              <w:t>In addition, the proportion of each</w:t>
            </w:r>
            <w:r>
              <w:rPr>
                <w:rFonts w:eastAsia="HelenPro-Regular"/>
              </w:rPr>
              <w:t xml:space="preserve"> </w:t>
            </w:r>
            <w:r w:rsidRPr="00C22112">
              <w:rPr>
                <w:rFonts w:eastAsia="HelenPro-Regular"/>
              </w:rPr>
              <w:t>immunoglobulin class (G or M) or subclass (G1 – G4) as well as their affinity varies</w:t>
            </w:r>
            <w:r>
              <w:rPr>
                <w:rFonts w:eastAsia="HelenPro-Regular"/>
              </w:rPr>
              <w:t xml:space="preserve"> </w:t>
            </w:r>
            <w:r w:rsidRPr="00C22112">
              <w:rPr>
                <w:rFonts w:eastAsia="HelenPro-Regular"/>
              </w:rPr>
              <w:t xml:space="preserve">widely from patient to patient. </w:t>
            </w:r>
            <w:r w:rsidR="005415A7">
              <w:rPr>
                <w:rFonts w:eastAsia="HelenPro-Regular"/>
              </w:rPr>
              <w:t xml:space="preserve"> </w:t>
            </w:r>
            <w:r w:rsidRPr="00C22112">
              <w:rPr>
                <w:rFonts w:eastAsia="HelenPro-Regular"/>
              </w:rPr>
              <w:t>Unlike autoantibodies to thyroglobulin (anti-Tg),</w:t>
            </w:r>
            <w:r>
              <w:rPr>
                <w:rFonts w:eastAsia="HelenPro-Regular"/>
              </w:rPr>
              <w:t xml:space="preserve"> </w:t>
            </w:r>
            <w:r w:rsidRPr="00C22112">
              <w:rPr>
                <w:rFonts w:eastAsia="HelenPro-Regular"/>
              </w:rPr>
              <w:t>autoantibodies to TPO fix complement, are potentially deleterious and may have a</w:t>
            </w:r>
            <w:r>
              <w:rPr>
                <w:rFonts w:eastAsia="HelenPro-Regular"/>
              </w:rPr>
              <w:t xml:space="preserve"> </w:t>
            </w:r>
            <w:r w:rsidRPr="00C22112">
              <w:rPr>
                <w:rFonts w:eastAsia="HelenPro-Regular"/>
              </w:rPr>
              <w:t>pathogenic role in (destructive) autoimmune thyroid disease.</w:t>
            </w:r>
            <w:r w:rsidR="005415A7">
              <w:rPr>
                <w:rFonts w:eastAsia="HelenPro-Regular"/>
              </w:rPr>
              <w:t xml:space="preserve"> </w:t>
            </w:r>
            <w:r w:rsidRPr="00C22112">
              <w:rPr>
                <w:rFonts w:eastAsia="HelenPro-Regular"/>
              </w:rPr>
              <w:t xml:space="preserve"> Anti-TPO antibodies</w:t>
            </w:r>
            <w:r>
              <w:rPr>
                <w:rFonts w:eastAsia="HelenPro-Regular"/>
              </w:rPr>
              <w:t xml:space="preserve"> </w:t>
            </w:r>
            <w:r w:rsidRPr="00C22112">
              <w:rPr>
                <w:rFonts w:eastAsia="HelenPro-Regular"/>
              </w:rPr>
              <w:t>are found often in conjunction with anti-Tg in the majority of cases of Hashimoto’s</w:t>
            </w:r>
            <w:r>
              <w:rPr>
                <w:rFonts w:eastAsia="HelenPro-Regular"/>
              </w:rPr>
              <w:t xml:space="preserve"> </w:t>
            </w:r>
            <w:r w:rsidRPr="00C22112">
              <w:rPr>
                <w:rFonts w:eastAsia="HelenPro-Regular"/>
              </w:rPr>
              <w:t xml:space="preserve">thyroiditis, Primary Myxedema, and Graves’ disease. </w:t>
            </w:r>
          </w:p>
          <w:p w:rsidR="00F674C3" w:rsidRDefault="00F674C3" w:rsidP="00641AD5">
            <w:pPr>
              <w:autoSpaceDE w:val="0"/>
              <w:autoSpaceDN w:val="0"/>
              <w:adjustRightInd w:val="0"/>
              <w:rPr>
                <w:rFonts w:eastAsia="HelenPro-Regular"/>
              </w:rPr>
            </w:pPr>
          </w:p>
          <w:p w:rsidR="001B1C87" w:rsidRDefault="00641AD5" w:rsidP="00D0201D">
            <w:pPr>
              <w:autoSpaceDE w:val="0"/>
              <w:autoSpaceDN w:val="0"/>
              <w:adjustRightInd w:val="0"/>
              <w:rPr>
                <w:rFonts w:eastAsia="HelenPro-Regular"/>
              </w:rPr>
            </w:pPr>
            <w:r w:rsidRPr="00C22112">
              <w:rPr>
                <w:rFonts w:eastAsia="HelenPro-Regular"/>
              </w:rPr>
              <w:t>The relationship of autoimmune</w:t>
            </w:r>
            <w:r>
              <w:rPr>
                <w:rFonts w:eastAsia="HelenPro-Regular"/>
              </w:rPr>
              <w:t xml:space="preserve"> </w:t>
            </w:r>
            <w:r w:rsidRPr="00C22112">
              <w:rPr>
                <w:rFonts w:eastAsia="HelenPro-Regular"/>
              </w:rPr>
              <w:t>thyroid disease to pregnancy has been the subject of considerable interest with the</w:t>
            </w:r>
            <w:r>
              <w:rPr>
                <w:rFonts w:eastAsia="HelenPro-Regular"/>
              </w:rPr>
              <w:t xml:space="preserve"> </w:t>
            </w:r>
            <w:r w:rsidRPr="00C22112">
              <w:rPr>
                <w:rFonts w:eastAsia="HelenPro-Regular"/>
              </w:rPr>
              <w:t>recognition of the postpartum thyroid disease syndromes. Anti-TPO antibodies are</w:t>
            </w:r>
            <w:r>
              <w:rPr>
                <w:rFonts w:eastAsia="HelenPro-Regular"/>
              </w:rPr>
              <w:t xml:space="preserve"> </w:t>
            </w:r>
            <w:r w:rsidRPr="00C22112">
              <w:rPr>
                <w:rFonts w:eastAsia="HelenPro-Regular"/>
              </w:rPr>
              <w:t>demonstrable in most cases of postpartum thyroiditis and it has been found that</w:t>
            </w:r>
            <w:r>
              <w:rPr>
                <w:rFonts w:eastAsia="HelenPro-Regular"/>
              </w:rPr>
              <w:t xml:space="preserve"> </w:t>
            </w:r>
            <w:r w:rsidRPr="00C22112">
              <w:rPr>
                <w:rFonts w:eastAsia="HelenPro-Regular"/>
              </w:rPr>
              <w:t>the presence of autoantibody in early pregnancy was associated with a high risk of</w:t>
            </w:r>
            <w:r>
              <w:rPr>
                <w:rFonts w:eastAsia="HelenPro-Regular"/>
              </w:rPr>
              <w:t xml:space="preserve"> </w:t>
            </w:r>
            <w:r w:rsidRPr="00C22112">
              <w:rPr>
                <w:rFonts w:eastAsia="HelenPro-Regular"/>
              </w:rPr>
              <w:t>asymptomatic postpartum hypothyroidism.</w:t>
            </w:r>
            <w:r>
              <w:rPr>
                <w:rFonts w:eastAsia="HelenPro-Regular"/>
              </w:rPr>
              <w:t xml:space="preserve">  </w:t>
            </w:r>
            <w:r w:rsidRPr="00C22112">
              <w:rPr>
                <w:rFonts w:eastAsia="HelenPro-Regular"/>
              </w:rPr>
              <w:t>It is common to find anti-TPO antibodies in t</w:t>
            </w:r>
            <w:r>
              <w:rPr>
                <w:rFonts w:eastAsia="HelenPro-Regular"/>
              </w:rPr>
              <w:t xml:space="preserve">he absence of autoantibodies to </w:t>
            </w:r>
            <w:r w:rsidRPr="00C22112">
              <w:rPr>
                <w:rFonts w:eastAsia="HelenPro-Regular"/>
              </w:rPr>
              <w:t>thyroglobulin, particularly in patients with small goitres and up to 64% of cases of</w:t>
            </w:r>
            <w:r>
              <w:rPr>
                <w:rFonts w:eastAsia="HelenPro-Regular"/>
              </w:rPr>
              <w:t xml:space="preserve"> </w:t>
            </w:r>
            <w:r w:rsidRPr="00C22112">
              <w:rPr>
                <w:rFonts w:eastAsia="HelenPro-Regular"/>
              </w:rPr>
              <w:t>autoimmune hypothyroidism have been reported to be associated with anti-TPO</w:t>
            </w:r>
            <w:r>
              <w:rPr>
                <w:rFonts w:eastAsia="HelenPro-Regular"/>
              </w:rPr>
              <w:t xml:space="preserve"> </w:t>
            </w:r>
            <w:r w:rsidRPr="00C22112">
              <w:rPr>
                <w:rFonts w:eastAsia="HelenPro-Regular"/>
              </w:rPr>
              <w:t>antibodies alone.</w:t>
            </w:r>
            <w:r w:rsidR="005415A7">
              <w:rPr>
                <w:rFonts w:eastAsia="HelenPro-Regular"/>
              </w:rPr>
              <w:t xml:space="preserve"> </w:t>
            </w:r>
            <w:r w:rsidRPr="00C22112">
              <w:rPr>
                <w:rFonts w:eastAsia="HelenPro-Regular"/>
              </w:rPr>
              <w:t xml:space="preserve"> In addition, anti-TPO antibodies are frequently found in patients</w:t>
            </w:r>
            <w:r>
              <w:rPr>
                <w:rFonts w:eastAsia="HelenPro-Regular"/>
              </w:rPr>
              <w:t xml:space="preserve"> </w:t>
            </w:r>
            <w:r w:rsidRPr="00C22112">
              <w:rPr>
                <w:rFonts w:eastAsia="HelenPro-Regular"/>
              </w:rPr>
              <w:t>with other autoimmune diseases such as Rheumatoid Arthritis, Addison’s Disease</w:t>
            </w:r>
            <w:r>
              <w:rPr>
                <w:rFonts w:eastAsia="HelenPro-Regular"/>
              </w:rPr>
              <w:t xml:space="preserve"> </w:t>
            </w:r>
            <w:r w:rsidRPr="00C22112">
              <w:rPr>
                <w:rFonts w:eastAsia="HelenPro-Regular"/>
              </w:rPr>
              <w:t xml:space="preserve">and Type I Diabetes. </w:t>
            </w:r>
            <w:r w:rsidR="005415A7">
              <w:rPr>
                <w:rFonts w:eastAsia="HelenPro-Regular"/>
              </w:rPr>
              <w:t xml:space="preserve"> </w:t>
            </w:r>
            <w:r w:rsidRPr="00C22112">
              <w:rPr>
                <w:rFonts w:eastAsia="HelenPro-Regular"/>
              </w:rPr>
              <w:t>They are also detectable at low levels in up to 20% of</w:t>
            </w:r>
            <w:r>
              <w:rPr>
                <w:rFonts w:eastAsia="HelenPro-Regular"/>
              </w:rPr>
              <w:t xml:space="preserve"> </w:t>
            </w:r>
            <w:r w:rsidRPr="00C22112">
              <w:rPr>
                <w:rFonts w:eastAsia="HelenPro-Regular"/>
              </w:rPr>
              <w:t>asymptomatic individuals, particularly the elderly, and more often in women than</w:t>
            </w:r>
            <w:r>
              <w:rPr>
                <w:rFonts w:eastAsia="HelenPro-Regular"/>
              </w:rPr>
              <w:t xml:space="preserve"> </w:t>
            </w:r>
            <w:r w:rsidRPr="00C22112">
              <w:rPr>
                <w:rFonts w:eastAsia="HelenPro-Regular"/>
              </w:rPr>
              <w:t>in men, although the clinical significance of these autoantibodies is unclear.</w:t>
            </w:r>
          </w:p>
          <w:p w:rsidR="005415A7" w:rsidRPr="005415A7" w:rsidRDefault="005415A7" w:rsidP="00D0201D">
            <w:pPr>
              <w:autoSpaceDE w:val="0"/>
              <w:autoSpaceDN w:val="0"/>
              <w:adjustRightInd w:val="0"/>
              <w:rPr>
                <w:rFonts w:eastAsia="HelenPro-Regular"/>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sidR="001B1C87">
              <w:rPr>
                <w:b/>
                <w:bCs/>
              </w:rPr>
              <w:t>Abbott Architect</w:t>
            </w:r>
            <w:r w:rsidR="001A4719">
              <w:rPr>
                <w:b/>
                <w:bCs/>
              </w:rPr>
              <w:t xml:space="preserve"> i1000SR</w:t>
            </w:r>
          </w:p>
          <w:p w:rsidR="008C6EDC" w:rsidRDefault="001A4719" w:rsidP="008C6EDC">
            <w:pPr>
              <w:pStyle w:val="Header"/>
              <w:tabs>
                <w:tab w:val="clear" w:pos="4320"/>
                <w:tab w:val="clear" w:pos="8640"/>
              </w:tabs>
              <w:spacing w:line="360" w:lineRule="auto"/>
              <w:jc w:val="both"/>
              <w:rPr>
                <w:rFonts w:cs="Arial"/>
              </w:rPr>
            </w:pPr>
            <w:r>
              <w:rPr>
                <w:bCs/>
              </w:rPr>
              <w:t>Backup Method</w:t>
            </w:r>
            <w:r w:rsidR="008C6EDC" w:rsidRPr="00B1018B">
              <w:rPr>
                <w:b/>
                <w:bCs/>
              </w:rPr>
              <w:t xml:space="preserve">: </w:t>
            </w:r>
            <w:r w:rsidR="001B1C87" w:rsidRPr="00F674C3">
              <w:rPr>
                <w:bCs/>
              </w:rPr>
              <w:t>Mayo Medical La</w:t>
            </w:r>
            <w:r w:rsidR="00F674C3" w:rsidRPr="00F674C3">
              <w:rPr>
                <w:bCs/>
              </w:rPr>
              <w:t>b</w:t>
            </w:r>
            <w:r w:rsidR="001B1C87" w:rsidRPr="00F674C3">
              <w:rPr>
                <w:bCs/>
              </w:rPr>
              <w:t>oratories</w:t>
            </w:r>
          </w:p>
          <w:p w:rsidR="008C6EDC" w:rsidRDefault="008C6EDC" w:rsidP="008C6EDC">
            <w:pPr>
              <w:pStyle w:val="Header"/>
              <w:tabs>
                <w:tab w:val="clear" w:pos="4320"/>
                <w:tab w:val="clear" w:pos="8640"/>
              </w:tabs>
              <w:jc w:val="both"/>
              <w:rPr>
                <w:rFonts w:cs="Arial"/>
                <w:szCs w:val="15"/>
              </w:rPr>
            </w:pPr>
          </w:p>
        </w:tc>
      </w:tr>
      <w:tr w:rsidR="00B816B4"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lastRenderedPageBreak/>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641AD5" w:rsidP="00641AD5">
            <w:pPr>
              <w:rPr>
                <w:rFonts w:cs="Arial"/>
                <w:szCs w:val="15"/>
              </w:rPr>
            </w:pPr>
            <w:r>
              <w:rPr>
                <w:rFonts w:cs="Arial"/>
                <w:szCs w:val="15"/>
              </w:rPr>
              <w:t>ATPO</w:t>
            </w:r>
          </w:p>
        </w:tc>
      </w:tr>
      <w:tr w:rsidR="008C6EDC"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1A4719" w:rsidRDefault="00F674C3" w:rsidP="00FC6715">
            <w:pPr>
              <w:pStyle w:val="Header"/>
              <w:tabs>
                <w:tab w:val="clear" w:pos="4320"/>
                <w:tab w:val="clear" w:pos="8640"/>
              </w:tabs>
              <w:rPr>
                <w:rFonts w:cs="Arial"/>
              </w:rPr>
            </w:pPr>
            <w:r>
              <w:rPr>
                <w:rFonts w:cs="Arial"/>
                <w:b/>
              </w:rPr>
              <w:t xml:space="preserve">Preferred </w:t>
            </w:r>
            <w:r w:rsidR="00D0201D">
              <w:rPr>
                <w:rFonts w:cs="Arial"/>
                <w:b/>
              </w:rPr>
              <w:t>Sample type:</w:t>
            </w:r>
            <w:r>
              <w:rPr>
                <w:rFonts w:cs="Arial"/>
              </w:rPr>
              <w:t xml:space="preserve"> Serum/SST</w:t>
            </w:r>
            <w:r w:rsidR="00641AD5">
              <w:rPr>
                <w:rFonts w:cs="Arial"/>
              </w:rPr>
              <w:t xml:space="preserve"> </w:t>
            </w:r>
            <w:r w:rsidR="00DA7E2D">
              <w:rPr>
                <w:rFonts w:cs="Arial"/>
              </w:rPr>
              <w:t xml:space="preserve"> </w:t>
            </w:r>
          </w:p>
          <w:p w:rsidR="008C6EDC" w:rsidRPr="00DA7E2D" w:rsidRDefault="0011399A" w:rsidP="00FC6715">
            <w:pPr>
              <w:pStyle w:val="Header"/>
              <w:tabs>
                <w:tab w:val="clear" w:pos="4320"/>
                <w:tab w:val="clear" w:pos="8640"/>
              </w:tabs>
              <w:rPr>
                <w:rFonts w:cs="Arial"/>
              </w:rPr>
            </w:pPr>
            <w:r>
              <w:rPr>
                <w:rFonts w:cs="Arial"/>
              </w:rPr>
              <w:t>Also acceptable: Lithium Heparin, Sodium Heparin</w:t>
            </w:r>
            <w:r w:rsidR="00DA7E2D">
              <w:rPr>
                <w:rFonts w:cs="Arial"/>
              </w:rPr>
              <w:t xml:space="preserve">, </w:t>
            </w:r>
            <w:r w:rsidR="00641AD5">
              <w:rPr>
                <w:rFonts w:cs="Arial"/>
              </w:rPr>
              <w:t xml:space="preserve">or </w:t>
            </w:r>
            <w:r>
              <w:rPr>
                <w:rFonts w:cs="Arial"/>
              </w:rPr>
              <w:t>EDTA</w:t>
            </w:r>
          </w:p>
          <w:p w:rsidR="008C6EDC" w:rsidRDefault="008C6EDC" w:rsidP="00FC6715">
            <w:pPr>
              <w:rPr>
                <w:rFonts w:cs="Arial"/>
              </w:rPr>
            </w:pPr>
          </w:p>
          <w:p w:rsidR="00F674C3" w:rsidRDefault="00F674C3" w:rsidP="00FC6715">
            <w:pPr>
              <w:pStyle w:val="Header"/>
              <w:tabs>
                <w:tab w:val="clear" w:pos="4320"/>
                <w:tab w:val="clear" w:pos="8640"/>
              </w:tabs>
              <w:rPr>
                <w:rFonts w:cs="Arial"/>
                <w:b/>
                <w:bCs/>
              </w:rPr>
            </w:pPr>
            <w:r>
              <w:rPr>
                <w:rFonts w:cs="Arial"/>
                <w:b/>
                <w:bCs/>
              </w:rPr>
              <w:t xml:space="preserve">Sample Draw Volume: </w:t>
            </w:r>
            <w:r w:rsidRPr="0011399A">
              <w:rPr>
                <w:rFonts w:cs="Arial"/>
                <w:bCs/>
              </w:rPr>
              <w:t>1.2 mL whole blood</w:t>
            </w:r>
          </w:p>
          <w:p w:rsidR="00D03C6F" w:rsidRDefault="00D03C6F" w:rsidP="00FC6715">
            <w:pPr>
              <w:pStyle w:val="Header"/>
              <w:tabs>
                <w:tab w:val="clear" w:pos="4320"/>
                <w:tab w:val="clear" w:pos="8640"/>
              </w:tabs>
              <w:rPr>
                <w:rFonts w:cs="Arial"/>
                <w:b/>
                <w:bCs/>
              </w:rPr>
            </w:pPr>
          </w:p>
          <w:p w:rsidR="008C6EDC" w:rsidRDefault="008C6EDC" w:rsidP="00FC6715">
            <w:pPr>
              <w:pStyle w:val="Header"/>
              <w:tabs>
                <w:tab w:val="clear" w:pos="4320"/>
                <w:tab w:val="clear" w:pos="8640"/>
              </w:tabs>
              <w:rPr>
                <w:rFonts w:cs="Arial"/>
              </w:rPr>
            </w:pPr>
            <w:r>
              <w:rPr>
                <w:rFonts w:cs="Arial"/>
                <w:b/>
                <w:bCs/>
              </w:rPr>
              <w:t>Minimum</w:t>
            </w:r>
            <w:r w:rsidR="00F674C3">
              <w:rPr>
                <w:rFonts w:cs="Arial"/>
                <w:b/>
                <w:bCs/>
              </w:rPr>
              <w:t xml:space="preserve"> processed sample</w:t>
            </w:r>
            <w:r w:rsidR="00641AD5">
              <w:rPr>
                <w:rFonts w:cs="Arial"/>
                <w:b/>
                <w:bCs/>
              </w:rPr>
              <w:t xml:space="preserve"> </w:t>
            </w:r>
            <w:r>
              <w:rPr>
                <w:rFonts w:cs="Arial"/>
                <w:b/>
                <w:bCs/>
              </w:rPr>
              <w:t>volume:</w:t>
            </w:r>
            <w:r>
              <w:rPr>
                <w:rFonts w:cs="Arial"/>
              </w:rPr>
              <w:t xml:space="preserve"> </w:t>
            </w:r>
            <w:r w:rsidR="00641AD5">
              <w:rPr>
                <w:rFonts w:cs="Arial"/>
              </w:rPr>
              <w:t xml:space="preserve">150 </w:t>
            </w:r>
            <w:r w:rsidR="00DA7E2D" w:rsidRPr="009F5F31">
              <w:rPr>
                <w:rFonts w:cs="Arial"/>
                <w:szCs w:val="20"/>
              </w:rPr>
              <w:t>µL</w:t>
            </w:r>
            <w:r w:rsidR="00DA7E2D">
              <w:rPr>
                <w:rFonts w:cs="Arial"/>
                <w:szCs w:val="20"/>
              </w:rPr>
              <w:t xml:space="preserve"> of serum or plasma</w:t>
            </w:r>
          </w:p>
          <w:p w:rsidR="008C6EDC" w:rsidRDefault="008C6EDC" w:rsidP="00FC6715">
            <w:pPr>
              <w:rPr>
                <w:rFonts w:cs="Arial"/>
              </w:rPr>
            </w:pPr>
          </w:p>
          <w:p w:rsidR="00641AD5" w:rsidRPr="00641AD5" w:rsidRDefault="008C6EDC" w:rsidP="00641AD5">
            <w:pPr>
              <w:autoSpaceDE w:val="0"/>
              <w:autoSpaceDN w:val="0"/>
              <w:adjustRightInd w:val="0"/>
              <w:rPr>
                <w:rFonts w:eastAsia="HelenPro-Regular" w:cs="Arial"/>
                <w:szCs w:val="20"/>
              </w:rPr>
            </w:pPr>
            <w:r>
              <w:rPr>
                <w:rFonts w:cs="Arial"/>
                <w:b/>
                <w:bCs/>
              </w:rPr>
              <w:t>Stability:</w:t>
            </w:r>
            <w:r>
              <w:rPr>
                <w:rFonts w:cs="Arial"/>
              </w:rPr>
              <w:t xml:space="preserve"> </w:t>
            </w:r>
            <w:r w:rsidR="00641AD5">
              <w:rPr>
                <w:rFonts w:cs="Arial"/>
              </w:rPr>
              <w:t>8 hours at room temperature, 72 hour</w:t>
            </w:r>
            <w:r w:rsidR="00DA7E2D">
              <w:rPr>
                <w:rFonts w:cs="Arial"/>
              </w:rPr>
              <w:t xml:space="preserve">s </w:t>
            </w:r>
            <w:r w:rsidR="00DA7E2D">
              <w:rPr>
                <w:rFonts w:eastAsia="HelenPro-Regular"/>
              </w:rPr>
              <w:t>at 2-8°C,</w:t>
            </w:r>
            <w:r w:rsidR="00641AD5">
              <w:rPr>
                <w:rFonts w:eastAsia="HelenPro-Bold"/>
                <w:bCs/>
              </w:rPr>
              <w:t xml:space="preserve"> 30 days at</w:t>
            </w:r>
            <w:r w:rsidR="00DA7E2D" w:rsidRPr="008036AC">
              <w:rPr>
                <w:rFonts w:eastAsia="HelenPro-Regular"/>
              </w:rPr>
              <w:t xml:space="preserve"> -20°C or</w:t>
            </w:r>
            <w:r w:rsidR="00DA7E2D">
              <w:rPr>
                <w:rFonts w:eastAsia="HelenPro-Regular"/>
              </w:rPr>
              <w:t xml:space="preserve"> </w:t>
            </w:r>
            <w:r w:rsidR="00DA7E2D" w:rsidRPr="008036AC">
              <w:rPr>
                <w:rFonts w:eastAsia="HelenPro-Regular"/>
              </w:rPr>
              <w:t>colder.</w:t>
            </w:r>
            <w:r w:rsidR="00DA7E2D">
              <w:rPr>
                <w:rFonts w:eastAsia="HelenPro-Regular"/>
              </w:rPr>
              <w:t xml:space="preserve">  Avoid more than 5 freeze/thaw cycles.</w:t>
            </w:r>
            <w:r w:rsidR="00641AD5">
              <w:rPr>
                <w:rFonts w:eastAsia="HelenPro-Regular"/>
              </w:rPr>
              <w:t xml:space="preserve">  </w:t>
            </w:r>
            <w:r w:rsidR="00641AD5" w:rsidRPr="00641AD5">
              <w:rPr>
                <w:rFonts w:eastAsia="HelenPro-Regular" w:cs="Arial"/>
                <w:szCs w:val="20"/>
              </w:rPr>
              <w:t>If testing will be delayed for more than 8 hours, remove serum or</w:t>
            </w:r>
          </w:p>
          <w:p w:rsidR="008C6EDC" w:rsidRDefault="00641AD5" w:rsidP="00641AD5">
            <w:pPr>
              <w:autoSpaceDE w:val="0"/>
              <w:autoSpaceDN w:val="0"/>
              <w:adjustRightInd w:val="0"/>
              <w:rPr>
                <w:rFonts w:eastAsia="HelenPro-Regular" w:cs="Arial"/>
                <w:szCs w:val="20"/>
              </w:rPr>
            </w:pPr>
            <w:r w:rsidRPr="00641AD5">
              <w:rPr>
                <w:rFonts w:eastAsia="HelenPro-Regular" w:cs="Arial"/>
                <w:szCs w:val="20"/>
              </w:rPr>
              <w:t>plasma from the serum or plasma separator, red blood cells or clot.</w:t>
            </w:r>
          </w:p>
          <w:p w:rsidR="00D03C6F" w:rsidRDefault="00D03C6F" w:rsidP="00641AD5">
            <w:pPr>
              <w:autoSpaceDE w:val="0"/>
              <w:autoSpaceDN w:val="0"/>
              <w:adjustRightInd w:val="0"/>
              <w:rPr>
                <w:rFonts w:eastAsia="HelenPro-Regular" w:cs="Arial"/>
                <w:b/>
                <w:szCs w:val="20"/>
              </w:rPr>
            </w:pPr>
          </w:p>
          <w:p w:rsidR="00D03C6F" w:rsidRPr="00D03C6F" w:rsidRDefault="00D03C6F" w:rsidP="00641AD5">
            <w:pPr>
              <w:autoSpaceDE w:val="0"/>
              <w:autoSpaceDN w:val="0"/>
              <w:adjustRightInd w:val="0"/>
              <w:rPr>
                <w:rFonts w:eastAsia="HelenPro-Bold" w:cs="Arial"/>
                <w:bCs/>
                <w:szCs w:val="20"/>
              </w:rPr>
            </w:pPr>
            <w:r>
              <w:rPr>
                <w:rFonts w:eastAsia="HelenPro-Regular" w:cs="Arial"/>
                <w:b/>
                <w:szCs w:val="20"/>
              </w:rPr>
              <w:t xml:space="preserve">Transport: </w:t>
            </w:r>
            <w:r>
              <w:rPr>
                <w:rFonts w:eastAsia="HelenPro-Regular" w:cs="Arial"/>
                <w:szCs w:val="20"/>
              </w:rPr>
              <w:t xml:space="preserve">Ship refrigerated </w:t>
            </w:r>
            <w:r>
              <w:rPr>
                <w:rFonts w:eastAsia="HelenPro-Regular"/>
              </w:rPr>
              <w:t>2-8°C to Minneapolis lab.</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w:t>
            </w:r>
            <w:r w:rsidR="001A4719">
              <w:rPr>
                <w:rFonts w:cs="Arial"/>
              </w:rPr>
              <w:t>/mislabeled</w:t>
            </w:r>
            <w:r w:rsidR="00CF7522">
              <w:rPr>
                <w:rFonts w:cs="Arial"/>
              </w:rPr>
              <w:t xml:space="preserve"> specimens, incorrect sample type</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9F5F31" w:rsidRDefault="00CF7522" w:rsidP="00FC6715">
            <w:pPr>
              <w:numPr>
                <w:ilvl w:val="0"/>
                <w:numId w:val="14"/>
              </w:numPr>
              <w:rPr>
                <w:rFonts w:cs="Arial"/>
                <w:szCs w:val="20"/>
              </w:rPr>
            </w:pPr>
            <w:r>
              <w:rPr>
                <w:rFonts w:cs="Arial"/>
                <w:szCs w:val="20"/>
              </w:rPr>
              <w:t>Serum</w:t>
            </w:r>
            <w:r w:rsidR="008C6EDC" w:rsidRPr="009F5F31">
              <w:rPr>
                <w:rFonts w:cs="Arial"/>
                <w:szCs w:val="20"/>
              </w:rPr>
              <w:t xml:space="preserve"> specimens should be centrifuged following complete clot formation, according to Specimen Processing procedures prior to analysis.</w:t>
            </w:r>
            <w:r>
              <w:rPr>
                <w:rFonts w:cs="Arial"/>
                <w:szCs w:val="20"/>
              </w:rPr>
              <w:t xml:space="preserve">  Plasma specimens can be centrifuged immediately </w:t>
            </w:r>
          </w:p>
          <w:p w:rsidR="008C6EDC" w:rsidRDefault="008C6EDC" w:rsidP="00FC6715">
            <w:pPr>
              <w:numPr>
                <w:ilvl w:val="0"/>
                <w:numId w:val="14"/>
              </w:numPr>
              <w:autoSpaceDE w:val="0"/>
              <w:autoSpaceDN w:val="0"/>
              <w:adjustRightInd w:val="0"/>
              <w:rPr>
                <w:rFonts w:cs="Arial"/>
                <w:szCs w:val="20"/>
              </w:rPr>
            </w:pPr>
            <w:r w:rsidRPr="009F5F31">
              <w:rPr>
                <w:rFonts w:cs="Arial"/>
                <w:szCs w:val="20"/>
              </w:rPr>
              <w:t>Serum or plasma should be physically separated from cells as soon as possible with a maximum limit of two hours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8C6EDC" w:rsidRDefault="008C6EDC" w:rsidP="00FC6715">
            <w:pPr>
              <w:autoSpaceDE w:val="0"/>
              <w:autoSpaceDN w:val="0"/>
              <w:adjustRightInd w:val="0"/>
              <w:rPr>
                <w:rFonts w:cs="Arial"/>
              </w:rPr>
            </w:pPr>
          </w:p>
        </w:tc>
      </w:tr>
      <w:tr w:rsidR="00B816B4" w:rsidTr="00D120DB">
        <w:trPr>
          <w:trHeight w:val="5417"/>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tc>
                <w:tcPr>
                  <w:tcW w:w="2857"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71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533"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trPr>
                <w:gridAfter w:val="1"/>
                <w:wAfter w:w="393" w:type="dxa"/>
              </w:trPr>
              <w:tc>
                <w:tcPr>
                  <w:tcW w:w="2857" w:type="dxa"/>
                </w:tcPr>
                <w:p w:rsidR="00B816B4" w:rsidRPr="006A36C8" w:rsidRDefault="00CF7522" w:rsidP="008C6EDC">
                  <w:pPr>
                    <w:autoSpaceDE w:val="0"/>
                    <w:autoSpaceDN w:val="0"/>
                    <w:adjustRightInd w:val="0"/>
                    <w:rPr>
                      <w:rFonts w:cs="Arial"/>
                      <w:szCs w:val="20"/>
                    </w:rPr>
                  </w:pPr>
                  <w:r>
                    <w:rPr>
                      <w:rFonts w:cs="Arial"/>
                      <w:szCs w:val="20"/>
                    </w:rPr>
                    <w:t>A</w:t>
                  </w:r>
                  <w:r w:rsidR="00CE6348">
                    <w:rPr>
                      <w:rFonts w:cs="Arial"/>
                      <w:szCs w:val="20"/>
                    </w:rPr>
                    <w:t>nti-TPO</w:t>
                  </w:r>
                  <w:r>
                    <w:rPr>
                      <w:rFonts w:cs="Arial"/>
                      <w:szCs w:val="20"/>
                    </w:rPr>
                    <w:t xml:space="preserve"> Reagent</w:t>
                  </w:r>
                </w:p>
                <w:p w:rsidR="00B816B4" w:rsidRPr="006A36C8" w:rsidRDefault="00B816B4" w:rsidP="008C6EDC">
                  <w:pPr>
                    <w:autoSpaceDE w:val="0"/>
                    <w:autoSpaceDN w:val="0"/>
                    <w:adjustRightInd w:val="0"/>
                    <w:rPr>
                      <w:rFonts w:cs="Arial"/>
                      <w:szCs w:val="20"/>
                    </w:rPr>
                  </w:pPr>
                </w:p>
              </w:tc>
              <w:tc>
                <w:tcPr>
                  <w:tcW w:w="1710" w:type="dxa"/>
                </w:tcPr>
                <w:p w:rsidR="00B816B4" w:rsidRPr="006A36C8" w:rsidRDefault="001A4719" w:rsidP="008C6EDC">
                  <w:pPr>
                    <w:pStyle w:val="BodyText"/>
                    <w:tabs>
                      <w:tab w:val="left" w:pos="3240"/>
                    </w:tabs>
                    <w:rPr>
                      <w:rFonts w:cs="Arial"/>
                      <w:szCs w:val="20"/>
                    </w:rPr>
                  </w:pPr>
                  <w:r>
                    <w:rPr>
                      <w:rFonts w:cs="Arial"/>
                      <w:szCs w:val="20"/>
                    </w:rPr>
                    <w:t>0</w:t>
                  </w:r>
                  <w:r w:rsidR="00CE6348">
                    <w:rPr>
                      <w:rFonts w:cs="Arial"/>
                      <w:szCs w:val="20"/>
                    </w:rPr>
                    <w:t>2K47</w:t>
                  </w:r>
                  <w:r>
                    <w:rPr>
                      <w:rFonts w:cs="Arial"/>
                      <w:szCs w:val="20"/>
                    </w:rPr>
                    <w:t>-27</w:t>
                  </w:r>
                </w:p>
              </w:tc>
              <w:tc>
                <w:tcPr>
                  <w:tcW w:w="4140" w:type="dxa"/>
                  <w:vAlign w:val="center"/>
                </w:tcPr>
                <w:p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rsidR="00B816B4" w:rsidRPr="00214007" w:rsidRDefault="00B816B4" w:rsidP="002265E2">
                  <w:pPr>
                    <w:pStyle w:val="Reagents"/>
                    <w:spacing w:after="80"/>
                    <w:rPr>
                      <w:rFonts w:ascii="Arial" w:hAnsi="Arial" w:cs="Arial"/>
                      <w:bCs/>
                    </w:rPr>
                  </w:pPr>
                  <w:r w:rsidRPr="00214007">
                    <w:rPr>
                      <w:rFonts w:ascii="Arial" w:hAnsi="Arial" w:cs="Arial"/>
                      <w:b/>
                      <w:bCs/>
                    </w:rPr>
                    <w:t>Unopened</w:t>
                  </w:r>
                  <w:r w:rsidR="002265E2">
                    <w:rPr>
                      <w:rFonts w:ascii="Arial" w:hAnsi="Arial" w:cs="Arial"/>
                      <w:b/>
                      <w:bCs/>
                    </w:rPr>
                    <w:t>/Opened</w:t>
                  </w:r>
                  <w:r w:rsidRPr="00214007">
                    <w:rPr>
                      <w:rFonts w:ascii="Arial" w:hAnsi="Arial" w:cs="Arial"/>
                      <w:b/>
                      <w:bCs/>
                    </w:rPr>
                    <w:t>:</w:t>
                  </w:r>
                  <w:r w:rsidR="002265E2">
                    <w:rPr>
                      <w:rFonts w:ascii="Arial" w:hAnsi="Arial" w:cs="Arial"/>
                      <w:b/>
                      <w:bCs/>
                    </w:rPr>
                    <w:t xml:space="preserve"> </w:t>
                  </w:r>
                  <w:r w:rsidR="002265E2">
                    <w:rPr>
                      <w:rFonts w:ascii="Arial" w:hAnsi="Arial" w:cs="Arial"/>
                      <w:bCs/>
                    </w:rPr>
                    <w:t>Manufacture</w:t>
                  </w:r>
                  <w:r w:rsidR="00BC1B7A">
                    <w:rPr>
                      <w:rFonts w:ascii="Arial" w:hAnsi="Arial" w:cs="Arial"/>
                      <w:bCs/>
                    </w:rPr>
                    <w:t>r</w:t>
                  </w:r>
                  <w:r w:rsidR="002265E2">
                    <w:rPr>
                      <w:rFonts w:ascii="Arial" w:hAnsi="Arial" w:cs="Arial"/>
                      <w:bCs/>
                    </w:rPr>
                    <w:t xml:space="preserve"> expiration date</w:t>
                  </w:r>
                  <w:r w:rsidRPr="00214007">
                    <w:rPr>
                      <w:rFonts w:ascii="Arial" w:hAnsi="Arial" w:cs="Arial"/>
                      <w:bCs/>
                    </w:rPr>
                    <w:t>.</w:t>
                  </w:r>
                </w:p>
                <w:p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2265E2">
                    <w:rPr>
                      <w:rFonts w:cs="Arial"/>
                      <w:szCs w:val="20"/>
                    </w:rPr>
                    <w:t>30 Days</w:t>
                  </w:r>
                </w:p>
              </w:tc>
            </w:tr>
            <w:tr w:rsidR="00B816B4" w:rsidRPr="007B2A3E">
              <w:trPr>
                <w:gridAfter w:val="1"/>
                <w:wAfter w:w="393" w:type="dxa"/>
              </w:trPr>
              <w:tc>
                <w:tcPr>
                  <w:tcW w:w="2857" w:type="dxa"/>
                </w:tcPr>
                <w:p w:rsidR="00B816B4" w:rsidRPr="006A36C8" w:rsidRDefault="00CE6348" w:rsidP="008C6EDC">
                  <w:pPr>
                    <w:pStyle w:val="BodyText"/>
                    <w:rPr>
                      <w:rFonts w:cs="Arial"/>
                      <w:szCs w:val="20"/>
                    </w:rPr>
                  </w:pPr>
                  <w:r>
                    <w:rPr>
                      <w:rFonts w:cs="Arial"/>
                      <w:szCs w:val="20"/>
                    </w:rPr>
                    <w:t>Anti-TPO</w:t>
                  </w:r>
                  <w:r w:rsidR="00CF7522">
                    <w:rPr>
                      <w:rFonts w:cs="Arial"/>
                      <w:szCs w:val="20"/>
                    </w:rPr>
                    <w:t xml:space="preserve"> Calibrator</w:t>
                  </w:r>
                </w:p>
              </w:tc>
              <w:tc>
                <w:tcPr>
                  <w:tcW w:w="1710" w:type="dxa"/>
                </w:tcPr>
                <w:p w:rsidR="00B816B4" w:rsidRPr="006A36C8" w:rsidRDefault="001A4719" w:rsidP="008C6EDC">
                  <w:pPr>
                    <w:pStyle w:val="BodyText"/>
                    <w:rPr>
                      <w:rFonts w:cs="Arial"/>
                      <w:szCs w:val="20"/>
                    </w:rPr>
                  </w:pPr>
                  <w:r>
                    <w:rPr>
                      <w:rFonts w:cs="Arial"/>
                      <w:szCs w:val="20"/>
                    </w:rPr>
                    <w:t>0</w:t>
                  </w:r>
                  <w:r w:rsidR="00CE6348">
                    <w:rPr>
                      <w:rFonts w:cs="Arial"/>
                      <w:szCs w:val="20"/>
                    </w:rPr>
                    <w:t>2K47-01</w:t>
                  </w:r>
                </w:p>
              </w:tc>
              <w:tc>
                <w:tcPr>
                  <w:tcW w:w="4140" w:type="dxa"/>
                  <w:vAlign w:val="center"/>
                </w:tcPr>
                <w:p w:rsidR="00B816B4" w:rsidRDefault="00260A50" w:rsidP="008C6EDC">
                  <w:pPr>
                    <w:pStyle w:val="BodyText"/>
                    <w:spacing w:after="80"/>
                    <w:jc w:val="both"/>
                    <w:rPr>
                      <w:rFonts w:cs="Arial"/>
                      <w:bCs/>
                    </w:rPr>
                  </w:pPr>
                  <w:r>
                    <w:rPr>
                      <w:rFonts w:cs="Arial"/>
                      <w:b/>
                      <w:szCs w:val="20"/>
                    </w:rPr>
                    <w:t xml:space="preserve">Store at: </w:t>
                  </w:r>
                  <w:r w:rsidR="00CF7522">
                    <w:rPr>
                      <w:rFonts w:cs="Arial"/>
                      <w:szCs w:val="20"/>
                    </w:rPr>
                    <w:t xml:space="preserve"> </w:t>
                  </w:r>
                  <w:r w:rsidR="00CE6348">
                    <w:rPr>
                      <w:rFonts w:cs="Arial"/>
                      <w:szCs w:val="20"/>
                    </w:rPr>
                    <w:t>-20</w:t>
                  </w:r>
                  <w:r w:rsidRPr="00214007">
                    <w:rPr>
                      <w:rFonts w:cs="Arial"/>
                      <w:bCs/>
                    </w:rPr>
                    <w:t>°C</w:t>
                  </w:r>
                  <w:r w:rsidR="00CE6348">
                    <w:rPr>
                      <w:rFonts w:cs="Arial"/>
                      <w:bCs/>
                    </w:rPr>
                    <w:t xml:space="preserve"> (Allow to thaw for 45-60 minutes)</w:t>
                  </w:r>
                </w:p>
                <w:p w:rsidR="00260A50" w:rsidRDefault="00260A50" w:rsidP="008C6EDC">
                  <w:pPr>
                    <w:pStyle w:val="BodyText"/>
                    <w:spacing w:after="80"/>
                    <w:jc w:val="both"/>
                    <w:rPr>
                      <w:rFonts w:cs="Arial"/>
                      <w:bCs/>
                    </w:rPr>
                  </w:pPr>
                  <w:r w:rsidRPr="00260A50">
                    <w:rPr>
                      <w:rFonts w:cs="Arial"/>
                      <w:b/>
                      <w:bCs/>
                    </w:rPr>
                    <w:t>Unopened</w:t>
                  </w:r>
                  <w:r w:rsidR="00CF7522">
                    <w:rPr>
                      <w:rFonts w:cs="Arial"/>
                      <w:bCs/>
                    </w:rPr>
                    <w:t>: Manufacture</w:t>
                  </w:r>
                  <w:r w:rsidR="00BC1B7A">
                    <w:rPr>
                      <w:rFonts w:cs="Arial"/>
                      <w:bCs/>
                    </w:rPr>
                    <w:t>r</w:t>
                  </w:r>
                  <w:r w:rsidR="00CF7522">
                    <w:rPr>
                      <w:rFonts w:cs="Arial"/>
                      <w:bCs/>
                    </w:rPr>
                    <w:t xml:space="preserve"> ex</w:t>
                  </w:r>
                  <w:r>
                    <w:rPr>
                      <w:rFonts w:cs="Arial"/>
                      <w:bCs/>
                    </w:rPr>
                    <w:t>piration date.</w:t>
                  </w:r>
                </w:p>
                <w:p w:rsidR="00260A50" w:rsidRPr="00260A50" w:rsidRDefault="00260A50" w:rsidP="00CE6348">
                  <w:pPr>
                    <w:pStyle w:val="BodyText"/>
                    <w:spacing w:after="80"/>
                    <w:jc w:val="both"/>
                    <w:rPr>
                      <w:rFonts w:cs="Arial"/>
                      <w:szCs w:val="20"/>
                    </w:rPr>
                  </w:pPr>
                  <w:r w:rsidRPr="00260A50">
                    <w:rPr>
                      <w:rFonts w:cs="Arial"/>
                      <w:b/>
                      <w:bCs/>
                    </w:rPr>
                    <w:t>Opened</w:t>
                  </w:r>
                  <w:r>
                    <w:rPr>
                      <w:rFonts w:cs="Arial"/>
                      <w:bCs/>
                    </w:rPr>
                    <w:t xml:space="preserve">: Store at </w:t>
                  </w:r>
                  <w:r w:rsidR="00CE6348">
                    <w:rPr>
                      <w:rFonts w:cs="Arial"/>
                      <w:bCs/>
                    </w:rPr>
                    <w:t>2-8</w:t>
                  </w:r>
                  <w:r w:rsidRPr="00214007">
                    <w:rPr>
                      <w:rFonts w:cs="Arial"/>
                      <w:bCs/>
                    </w:rPr>
                    <w:t>°C</w:t>
                  </w:r>
                  <w:r w:rsidR="00CE6348">
                    <w:rPr>
                      <w:rFonts w:cs="Arial"/>
                      <w:bCs/>
                    </w:rPr>
                    <w:t>,</w:t>
                  </w:r>
                  <w:r w:rsidR="00CF7522">
                    <w:rPr>
                      <w:rFonts w:cs="Arial"/>
                      <w:bCs/>
                    </w:rPr>
                    <w:t xml:space="preserve"> </w:t>
                  </w:r>
                  <w:r w:rsidR="00384760">
                    <w:rPr>
                      <w:rFonts w:cs="Arial"/>
                      <w:bCs/>
                    </w:rPr>
                    <w:t>stable for 30 days after thaw.</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Pre-Trigger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06E23-65</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06C55-60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Wash Buffer</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06C54-58</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F814F1" w:rsidP="008C6EDC">
                  <w:pPr>
                    <w:pStyle w:val="BodyText"/>
                    <w:rPr>
                      <w:rFonts w:cs="Arial"/>
                      <w:szCs w:val="20"/>
                    </w:rPr>
                  </w:pPr>
                  <w:r>
                    <w:rPr>
                      <w:rFonts w:cs="Arial"/>
                      <w:szCs w:val="20"/>
                    </w:rPr>
                    <w:t>Reaction Vessels</w:t>
                  </w:r>
                  <w:r w:rsidR="002265E2">
                    <w:rPr>
                      <w:rFonts w:cs="Arial"/>
                      <w:szCs w:val="20"/>
                    </w:rPr>
                    <w:t xml:space="preserve"> </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07C15 (-02 or -03)</w:t>
                  </w:r>
                </w:p>
              </w:tc>
              <w:tc>
                <w:tcPr>
                  <w:tcW w:w="4140" w:type="dxa"/>
                  <w:vAlign w:val="center"/>
                </w:tcPr>
                <w:p w:rsidR="002265E2" w:rsidRPr="007B2A3E" w:rsidRDefault="002265E2" w:rsidP="008C6EDC">
                  <w:pPr>
                    <w:pStyle w:val="BodyText"/>
                    <w:spacing w:after="80"/>
                    <w:jc w:val="both"/>
                    <w:rPr>
                      <w:rFonts w:cs="Arial"/>
                      <w:szCs w:val="20"/>
                    </w:rPr>
                  </w:pPr>
                  <w:r>
                    <w:rPr>
                      <w:rFonts w:cs="Arial"/>
                      <w:szCs w:val="20"/>
                    </w:rPr>
                    <w:t>N/A</w:t>
                  </w:r>
                </w:p>
              </w:tc>
            </w:tr>
          </w:tbl>
          <w:p w:rsidR="00B816B4" w:rsidRDefault="00B816B4" w:rsidP="008C6EDC">
            <w:pPr>
              <w:pStyle w:val="Header"/>
              <w:tabs>
                <w:tab w:val="clear" w:pos="4320"/>
                <w:tab w:val="clear" w:pos="8640"/>
              </w:tabs>
              <w:rPr>
                <w:rFonts w:cs="Arial"/>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Pr="00344328" w:rsidRDefault="008C6EDC">
            <w:pPr>
              <w:rPr>
                <w:rFonts w:cs="Arial"/>
                <w:b/>
                <w:bCs/>
                <w:color w:val="0000FF"/>
                <w:highlight w:val="yellow"/>
              </w:rPr>
            </w:pPr>
          </w:p>
          <w:p w:rsidR="008C6EDC" w:rsidRPr="00344328" w:rsidRDefault="008C6EDC">
            <w:pPr>
              <w:rPr>
                <w:rFonts w:cs="Arial"/>
                <w:b/>
                <w:bCs/>
                <w:color w:val="0000FF"/>
                <w:highlight w:val="yellow"/>
              </w:rPr>
            </w:pPr>
            <w:r w:rsidRPr="0011399A">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344328" w:rsidRDefault="008C6EDC">
            <w:pPr>
              <w:pStyle w:val="Pa13"/>
              <w:rPr>
                <w:rFonts w:ascii="Arial" w:hAnsi="Arial" w:cs="Arial"/>
                <w:color w:val="000000"/>
                <w:sz w:val="20"/>
                <w:szCs w:val="15"/>
                <w:highlight w:val="yellow"/>
              </w:rPr>
            </w:pPr>
          </w:p>
          <w:p w:rsidR="008C6EDC" w:rsidRPr="0011399A" w:rsidRDefault="00384760" w:rsidP="00384760">
            <w:pPr>
              <w:autoSpaceDE w:val="0"/>
              <w:autoSpaceDN w:val="0"/>
              <w:adjustRightInd w:val="0"/>
              <w:rPr>
                <w:rFonts w:ascii="HelenPro-Regular" w:eastAsia="HelenPro-Regular" w:hAnsi="Times New Roman" w:cs="HelenPro-Regular"/>
                <w:sz w:val="17"/>
                <w:szCs w:val="17"/>
              </w:rPr>
            </w:pPr>
            <w:r w:rsidRPr="0011399A">
              <w:rPr>
                <w:rFonts w:eastAsia="HelenPro-Regular" w:cs="Arial"/>
                <w:szCs w:val="20"/>
              </w:rPr>
              <w:t>Contains potassium ferricyanide</w:t>
            </w:r>
            <w:r w:rsidR="00A072CE" w:rsidRPr="0011399A">
              <w:rPr>
                <w:rFonts w:eastAsia="HelenPro-Regular" w:cs="Arial"/>
                <w:szCs w:val="20"/>
              </w:rPr>
              <w:t>.</w:t>
            </w:r>
            <w:r w:rsidRPr="0011399A">
              <w:rPr>
                <w:rFonts w:eastAsia="HelenPro-Regular" w:cs="Arial"/>
                <w:szCs w:val="20"/>
              </w:rPr>
              <w:t xml:space="preserve"> Wear protective gloves, protective clothing and use eye protection</w:t>
            </w:r>
            <w:r w:rsidRPr="0011399A">
              <w:rPr>
                <w:rFonts w:ascii="HelenPro-Regular" w:eastAsia="HelenPro-Regular" w:hAnsi="Times New Roman" w:cs="HelenPro-Regular"/>
                <w:sz w:val="17"/>
                <w:szCs w:val="17"/>
              </w:rPr>
              <w:t>.</w:t>
            </w:r>
            <w:r w:rsidR="00A072CE" w:rsidRPr="0011399A">
              <w:rPr>
                <w:rFonts w:cs="Arial"/>
                <w:szCs w:val="20"/>
              </w:rPr>
              <w:t xml:space="preserve">  </w:t>
            </w:r>
            <w:r w:rsidRPr="0011399A">
              <w:rPr>
                <w:rFonts w:cs="Arial"/>
                <w:szCs w:val="20"/>
              </w:rPr>
              <w:t xml:space="preserve">If exposed or concerned, get medical attention.  </w:t>
            </w:r>
            <w:r w:rsidR="0011399A">
              <w:rPr>
                <w:rFonts w:cs="Arial"/>
                <w:szCs w:val="20"/>
              </w:rPr>
              <w:t xml:space="preserve">If reagent bottle is used up (no tests remaining,) the bottles may be discarded in regular trash, otherwise, </w:t>
            </w:r>
            <w:r w:rsidR="0011399A">
              <w:rPr>
                <w:rFonts w:eastAsia="HelenPro-Regular" w:cs="Arial"/>
                <w:szCs w:val="20"/>
              </w:rPr>
              <w:t>r</w:t>
            </w:r>
            <w:r w:rsidR="00CF7522" w:rsidRPr="0011399A">
              <w:rPr>
                <w:rFonts w:eastAsia="HelenPro-Regular" w:cs="Arial"/>
                <w:szCs w:val="20"/>
              </w:rPr>
              <w:t>ecap and d</w:t>
            </w:r>
            <w:r w:rsidR="00A072CE" w:rsidRPr="0011399A">
              <w:rPr>
                <w:rFonts w:eastAsia="HelenPro-Regular" w:cs="Arial"/>
                <w:szCs w:val="20"/>
              </w:rPr>
              <w:t>ispose of in</w:t>
            </w:r>
            <w:r w:rsidR="0011399A">
              <w:rPr>
                <w:rFonts w:eastAsia="HelenPro-Regular" w:cs="Arial"/>
                <w:szCs w:val="20"/>
              </w:rPr>
              <w:t xml:space="preserve"> the</w:t>
            </w:r>
            <w:r w:rsidR="00A072CE" w:rsidRPr="0011399A">
              <w:rPr>
                <w:rFonts w:eastAsia="HelenPro-Regular" w:cs="Arial"/>
                <w:szCs w:val="20"/>
              </w:rPr>
              <w:t xml:space="preserve"> appropriate Hazardous Waste Container.</w:t>
            </w:r>
            <w:r w:rsidR="0011399A">
              <w:rPr>
                <w:rFonts w:eastAsia="HelenPro-Regular" w:cs="Arial"/>
                <w:szCs w:val="20"/>
              </w:rPr>
              <w:t xml:space="preserve">  </w:t>
            </w:r>
          </w:p>
          <w:p w:rsidR="00CF7522" w:rsidRPr="00344328" w:rsidRDefault="00CF7522" w:rsidP="00CF7522">
            <w:pPr>
              <w:autoSpaceDE w:val="0"/>
              <w:autoSpaceDN w:val="0"/>
              <w:adjustRightInd w:val="0"/>
              <w:rPr>
                <w:rFonts w:eastAsia="HelenPro-Regular" w:cs="Arial"/>
                <w:szCs w:val="20"/>
                <w:highlight w:val="yellow"/>
              </w:rPr>
            </w:pPr>
          </w:p>
        </w:tc>
      </w:tr>
      <w:tr w:rsidR="00B816B4" w:rsidTr="00D120DB">
        <w:trPr>
          <w:trHeight w:val="5520"/>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384760" w:rsidP="008C6EDC">
                  <w:pPr>
                    <w:pStyle w:val="CalVerTable"/>
                    <w:ind w:left="0" w:firstLine="0"/>
                    <w:jc w:val="both"/>
                    <w:rPr>
                      <w:rFonts w:ascii="Arial" w:hAnsi="Arial" w:cs="Arial"/>
                    </w:rPr>
                  </w:pPr>
                  <w:r>
                    <w:rPr>
                      <w:rFonts w:ascii="Arial" w:eastAsia="HelenPro-Regular" w:hAnsi="Arial" w:cs="Arial"/>
                    </w:rPr>
                    <w:t>3.0-1000.0 IU/mL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E14C48" w:rsidRDefault="00384760" w:rsidP="008C6EDC">
                  <w:pPr>
                    <w:pStyle w:val="CalVerTable"/>
                    <w:ind w:left="0" w:firstLine="0"/>
                    <w:jc w:val="both"/>
                    <w:rPr>
                      <w:rFonts w:ascii="Arial" w:hAnsi="Arial" w:cs="Arial"/>
                    </w:rPr>
                  </w:pPr>
                  <w:r>
                    <w:rPr>
                      <w:rFonts w:ascii="Arial" w:hAnsi="Arial" w:cs="Arial"/>
                    </w:rPr>
                    <w:t xml:space="preserve">Anti-TPO Calibrator </w:t>
                  </w:r>
                  <w:r w:rsidR="00F57A6B">
                    <w:rPr>
                      <w:rFonts w:ascii="Arial" w:hAnsi="Arial" w:cs="Arial"/>
                    </w:rPr>
                    <w:t>0</w:t>
                  </w:r>
                  <w:r w:rsidRPr="00384760">
                    <w:rPr>
                      <w:rFonts w:ascii="Arial" w:hAnsi="Arial" w:cs="Arial"/>
                    </w:rPr>
                    <w:t>2K47-01</w:t>
                  </w: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260A50">
                    <w:rPr>
                      <w:rFonts w:ascii="Arial" w:hAnsi="Arial" w:cs="Arial"/>
                    </w:rPr>
                    <w:t xml:space="preserve"> – 0.0 </w:t>
                  </w:r>
                  <w:r w:rsidR="00384760">
                    <w:rPr>
                      <w:rFonts w:ascii="Arial" w:hAnsi="Arial" w:cs="Arial"/>
                    </w:rPr>
                    <w:t>IU/mL</w:t>
                  </w:r>
                </w:p>
                <w:p w:rsidR="00260A50" w:rsidRDefault="00FC6715" w:rsidP="008C6EDC">
                  <w:pPr>
                    <w:pStyle w:val="CalVerTable"/>
                    <w:ind w:left="0" w:firstLine="0"/>
                    <w:jc w:val="both"/>
                    <w:rPr>
                      <w:rFonts w:ascii="Arial" w:hAnsi="Arial" w:cs="Arial"/>
                    </w:rPr>
                  </w:pPr>
                  <w:r>
                    <w:rPr>
                      <w:rFonts w:ascii="Arial" w:hAnsi="Arial" w:cs="Arial"/>
                    </w:rPr>
                    <w:t>B</w:t>
                  </w:r>
                  <w:r w:rsidR="00260A50">
                    <w:rPr>
                      <w:rFonts w:ascii="Arial" w:hAnsi="Arial" w:cs="Arial"/>
                    </w:rPr>
                    <w:t xml:space="preserve"> – </w:t>
                  </w:r>
                  <w:r w:rsidR="00384760">
                    <w:rPr>
                      <w:rFonts w:ascii="Arial" w:hAnsi="Arial" w:cs="Arial"/>
                    </w:rPr>
                    <w:t>5.0 IU</w:t>
                  </w:r>
                  <w:r w:rsidR="00260A50">
                    <w:rPr>
                      <w:rFonts w:ascii="Arial" w:hAnsi="Arial" w:cs="Arial"/>
                    </w:rPr>
                    <w:t>/mL</w:t>
                  </w:r>
                </w:p>
                <w:p w:rsidR="00FC6715" w:rsidRDefault="00FC6715" w:rsidP="008C6EDC">
                  <w:pPr>
                    <w:pStyle w:val="CalVerTable"/>
                    <w:ind w:left="0" w:firstLine="0"/>
                    <w:jc w:val="both"/>
                    <w:rPr>
                      <w:rFonts w:ascii="Arial" w:hAnsi="Arial" w:cs="Arial"/>
                    </w:rPr>
                  </w:pPr>
                  <w:r>
                    <w:rPr>
                      <w:rFonts w:ascii="Arial" w:hAnsi="Arial" w:cs="Arial"/>
                    </w:rPr>
                    <w:t>C</w:t>
                  </w:r>
                  <w:r w:rsidR="00260A50">
                    <w:rPr>
                      <w:rFonts w:ascii="Arial" w:hAnsi="Arial" w:cs="Arial"/>
                    </w:rPr>
                    <w:t xml:space="preserve"> – </w:t>
                  </w:r>
                  <w:r w:rsidR="00384760">
                    <w:rPr>
                      <w:rFonts w:ascii="Arial" w:hAnsi="Arial" w:cs="Arial"/>
                    </w:rPr>
                    <w:t>20.0 IU</w:t>
                  </w:r>
                  <w:r w:rsidR="00260A50">
                    <w:rPr>
                      <w:rFonts w:ascii="Arial" w:hAnsi="Arial" w:cs="Arial"/>
                    </w:rPr>
                    <w:t>/mL</w:t>
                  </w:r>
                </w:p>
                <w:p w:rsidR="00FC6715" w:rsidRDefault="00FC6715" w:rsidP="008C6EDC">
                  <w:pPr>
                    <w:pStyle w:val="CalVerTable"/>
                    <w:ind w:left="0" w:firstLine="0"/>
                    <w:jc w:val="both"/>
                    <w:rPr>
                      <w:rFonts w:ascii="Arial" w:hAnsi="Arial" w:cs="Arial"/>
                    </w:rPr>
                  </w:pPr>
                  <w:r>
                    <w:rPr>
                      <w:rFonts w:ascii="Arial" w:hAnsi="Arial" w:cs="Arial"/>
                    </w:rPr>
                    <w:t>D</w:t>
                  </w:r>
                  <w:r w:rsidR="00260A50">
                    <w:rPr>
                      <w:rFonts w:ascii="Arial" w:hAnsi="Arial" w:cs="Arial"/>
                    </w:rPr>
                    <w:t xml:space="preserve"> – </w:t>
                  </w:r>
                  <w:r w:rsidR="00384760">
                    <w:rPr>
                      <w:rFonts w:ascii="Arial" w:hAnsi="Arial" w:cs="Arial"/>
                    </w:rPr>
                    <w:t>62.5 IU</w:t>
                  </w:r>
                  <w:r w:rsidR="00260A50">
                    <w:rPr>
                      <w:rFonts w:ascii="Arial" w:hAnsi="Arial" w:cs="Arial"/>
                    </w:rPr>
                    <w:t>/mL</w:t>
                  </w:r>
                </w:p>
                <w:p w:rsidR="00FC6715" w:rsidRDefault="00FC6715" w:rsidP="008C6EDC">
                  <w:pPr>
                    <w:pStyle w:val="CalVerTable"/>
                    <w:ind w:left="0" w:firstLine="0"/>
                    <w:jc w:val="both"/>
                    <w:rPr>
                      <w:rFonts w:ascii="Arial" w:hAnsi="Arial" w:cs="Arial"/>
                    </w:rPr>
                  </w:pPr>
                  <w:r>
                    <w:rPr>
                      <w:rFonts w:ascii="Arial" w:hAnsi="Arial" w:cs="Arial"/>
                    </w:rPr>
                    <w:t>E</w:t>
                  </w:r>
                  <w:r w:rsidR="00260A50">
                    <w:rPr>
                      <w:rFonts w:ascii="Arial" w:hAnsi="Arial" w:cs="Arial"/>
                    </w:rPr>
                    <w:t xml:space="preserve"> – </w:t>
                  </w:r>
                  <w:r w:rsidR="00384760">
                    <w:rPr>
                      <w:rFonts w:ascii="Arial" w:hAnsi="Arial" w:cs="Arial"/>
                    </w:rPr>
                    <w:t>250.0 IU</w:t>
                  </w:r>
                  <w:r w:rsidR="00260A50">
                    <w:rPr>
                      <w:rFonts w:ascii="Arial" w:hAnsi="Arial" w:cs="Arial"/>
                    </w:rPr>
                    <w:t>/mL</w:t>
                  </w:r>
                </w:p>
                <w:p w:rsidR="00260A50" w:rsidRPr="00E14C48" w:rsidRDefault="00FC6715" w:rsidP="00384760">
                  <w:pPr>
                    <w:pStyle w:val="CalVerTable"/>
                    <w:ind w:left="0" w:firstLine="0"/>
                    <w:jc w:val="both"/>
                    <w:rPr>
                      <w:rFonts w:ascii="Arial" w:hAnsi="Arial" w:cs="Arial"/>
                    </w:rPr>
                  </w:pPr>
                  <w:r>
                    <w:rPr>
                      <w:rFonts w:ascii="Arial" w:hAnsi="Arial" w:cs="Arial"/>
                    </w:rPr>
                    <w:t>F</w:t>
                  </w:r>
                  <w:r w:rsidR="00260A50">
                    <w:rPr>
                      <w:rFonts w:ascii="Arial" w:hAnsi="Arial" w:cs="Arial"/>
                    </w:rPr>
                    <w:t xml:space="preserve"> – </w:t>
                  </w:r>
                  <w:r w:rsidR="00384760">
                    <w:rPr>
                      <w:rFonts w:ascii="Arial" w:hAnsi="Arial" w:cs="Arial"/>
                    </w:rPr>
                    <w:t>1000.0 IU</w:t>
                  </w:r>
                  <w:r w:rsidR="00260A50">
                    <w:rPr>
                      <w:rFonts w:ascii="Arial" w:hAnsi="Arial" w:cs="Arial"/>
                    </w:rPr>
                    <w:t>/mL</w:t>
                  </w:r>
                </w:p>
              </w:tc>
            </w:tr>
            <w:tr w:rsidR="00B816B4" w:rsidTr="00814EAD">
              <w:trPr>
                <w:gridAfter w:val="1"/>
                <w:wAfter w:w="509" w:type="dxa"/>
                <w:trHeight w:val="440"/>
              </w:trPr>
              <w:tc>
                <w:tcPr>
                  <w:tcW w:w="2947" w:type="dxa"/>
                </w:tcPr>
                <w:p w:rsidR="00B816B4" w:rsidRPr="00E14C48" w:rsidRDefault="00B816B4" w:rsidP="008C6EDC">
                  <w:pPr>
                    <w:jc w:val="both"/>
                    <w:rPr>
                      <w:rFonts w:cs="Arial"/>
                      <w:szCs w:val="20"/>
                    </w:rPr>
                  </w:pPr>
                  <w:r w:rsidRPr="00E14C48">
                    <w:rPr>
                      <w:rFonts w:cs="Arial"/>
                      <w:szCs w:val="20"/>
                    </w:rPr>
                    <w:t>Verification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n=6</w:t>
                  </w:r>
                </w:p>
              </w:tc>
            </w:tr>
            <w:tr w:rsidR="00B816B4" w:rsidTr="003571BD">
              <w:trPr>
                <w:gridAfter w:val="1"/>
                <w:wAfter w:w="509" w:type="dxa"/>
                <w:trHeight w:val="1169"/>
              </w:trPr>
              <w:tc>
                <w:tcPr>
                  <w:tcW w:w="2947" w:type="dxa"/>
                </w:tcPr>
                <w:p w:rsidR="00B816B4" w:rsidRPr="00E14C48" w:rsidRDefault="00B816B4" w:rsidP="008C6EDC">
                  <w:pPr>
                    <w:jc w:val="both"/>
                    <w:rPr>
                      <w:rFonts w:cs="Arial"/>
                      <w:szCs w:val="20"/>
                    </w:rPr>
                  </w:pPr>
                  <w:r w:rsidRPr="00E14C48">
                    <w:rPr>
                      <w:rFonts w:cs="Arial"/>
                      <w:szCs w:val="20"/>
                    </w:rPr>
                    <w:t>Verification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B816B4" w:rsidRPr="00E14C48" w:rsidRDefault="00B816B4" w:rsidP="008C6EDC">
                  <w:pPr>
                    <w:jc w:val="both"/>
                    <w:rPr>
                      <w:rFonts w:cs="Arial"/>
                      <w:szCs w:val="20"/>
                    </w:rPr>
                  </w:pPr>
                  <w:r w:rsidRPr="00E14C48">
                    <w:rPr>
                      <w:rFonts w:cs="Arial"/>
                      <w:szCs w:val="20"/>
                    </w:rPr>
                    <w:t>Verification of AMR is accomplished with each calibration.</w:t>
                  </w:r>
                </w:p>
                <w:p w:rsidR="00B816B4" w:rsidRPr="003571BD" w:rsidRDefault="00B816B4" w:rsidP="003571BD">
                  <w:pPr>
                    <w:numPr>
                      <w:ilvl w:val="0"/>
                      <w:numId w:val="15"/>
                    </w:numPr>
                    <w:jc w:val="both"/>
                    <w:rPr>
                      <w:rFonts w:cs="Arial"/>
                      <w:szCs w:val="20"/>
                    </w:rPr>
                  </w:pPr>
                  <w:r w:rsidRPr="00E14C48">
                    <w:rPr>
                      <w:rFonts w:cs="Arial"/>
                      <w:szCs w:val="20"/>
                    </w:rPr>
                    <w:t>Cal Verification and AMR verification are performed at least once every six (6) months.</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D120DB">
        <w:trPr>
          <w:cantSplit/>
          <w:trHeight w:val="590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11399A" w:rsidP="0027772A">
            <w:pPr>
              <w:jc w:val="both"/>
              <w:rPr>
                <w:rFonts w:cs="Arial"/>
                <w:color w:val="000000"/>
                <w:szCs w:val="20"/>
              </w:rPr>
            </w:pPr>
            <w:r>
              <w:rPr>
                <w:rFonts w:cs="Arial"/>
                <w:color w:val="000000"/>
                <w:szCs w:val="20"/>
              </w:rPr>
              <w:t>Bio-Rad</w:t>
            </w:r>
            <w:r w:rsidR="003571BD">
              <w:rPr>
                <w:rFonts w:cs="Arial"/>
                <w:color w:val="000000"/>
                <w:szCs w:val="20"/>
              </w:rPr>
              <w:t xml:space="preserve"> </w:t>
            </w:r>
            <w:r w:rsidR="0027772A">
              <w:rPr>
                <w:rFonts w:cs="Arial"/>
                <w:color w:val="000000"/>
                <w:szCs w:val="20"/>
              </w:rPr>
              <w:t xml:space="preserve">Liquichek </w:t>
            </w:r>
            <w:r>
              <w:rPr>
                <w:rFonts w:cs="Arial"/>
                <w:color w:val="000000"/>
                <w:szCs w:val="20"/>
              </w:rPr>
              <w:t>Specialty</w:t>
            </w:r>
            <w:r w:rsidR="0027772A">
              <w:rPr>
                <w:rFonts w:cs="Arial"/>
                <w:color w:val="000000"/>
                <w:szCs w:val="20"/>
              </w:rPr>
              <w:t xml:space="preserve"> Immunoassay Control, Level 1, 2 and 3.</w:t>
            </w:r>
          </w:p>
          <w:p w:rsidR="0027772A" w:rsidRPr="0027772A" w:rsidRDefault="0027772A" w:rsidP="0027772A">
            <w:pPr>
              <w:jc w:val="both"/>
              <w:rPr>
                <w:rFonts w:cs="Arial"/>
                <w:color w:val="000000"/>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3571BD">
              <w:rPr>
                <w:rFonts w:cs="Arial"/>
                <w:szCs w:val="20"/>
              </w:rPr>
              <w:t>Three levels each day of use.</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 xml:space="preserve">: </w:t>
            </w:r>
            <w:r w:rsidR="0027772A">
              <w:rPr>
                <w:rFonts w:cs="Arial"/>
                <w:bCs/>
                <w:szCs w:val="20"/>
              </w:rPr>
              <w:t xml:space="preserve">30 Days at </w:t>
            </w:r>
            <w:r w:rsidR="0027772A">
              <w:rPr>
                <w:rFonts w:cs="Arial"/>
                <w:szCs w:val="20"/>
              </w:rPr>
              <w:t>2-8</w:t>
            </w:r>
            <w:r w:rsidR="00A82A92" w:rsidRPr="00A11958">
              <w:rPr>
                <w:rStyle w:val="tgc"/>
                <w:rFonts w:cs="Arial"/>
                <w:color w:val="222222"/>
                <w:szCs w:val="20"/>
              </w:rPr>
              <w:t>°C</w:t>
            </w:r>
            <w:r w:rsidR="00A82A92">
              <w:rPr>
                <w:rStyle w:val="tgc"/>
                <w:rFonts w:cs="Arial"/>
                <w:color w:val="222222"/>
                <w:szCs w:val="20"/>
              </w:rPr>
              <w:t>.</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Preparation</w:t>
            </w:r>
            <w:r>
              <w:rPr>
                <w:rFonts w:cs="Arial"/>
                <w:szCs w:val="20"/>
              </w:rPr>
              <w:t xml:space="preserve">: </w:t>
            </w:r>
            <w:r w:rsidR="0027772A">
              <w:rPr>
                <w:rFonts w:cs="Arial"/>
                <w:szCs w:val="20"/>
              </w:rPr>
              <w:t>Allow controls to thaw at room temperature</w:t>
            </w:r>
            <w:r w:rsidR="003571BD">
              <w:rPr>
                <w:rFonts w:cs="Arial"/>
                <w:szCs w:val="20"/>
              </w:rPr>
              <w:t>.</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A82A92">
              <w:rPr>
                <w:rFonts w:cs="Arial"/>
                <w:szCs w:val="20"/>
              </w:rPr>
              <w:t xml:space="preserve"> Level 1 = C-L</w:t>
            </w:r>
            <w:r w:rsidR="0027772A">
              <w:rPr>
                <w:rFonts w:cs="Arial"/>
                <w:szCs w:val="20"/>
              </w:rPr>
              <w:t>Q</w:t>
            </w:r>
            <w:r w:rsidR="00A82A92">
              <w:rPr>
                <w:rFonts w:cs="Arial"/>
                <w:szCs w:val="20"/>
              </w:rPr>
              <w:t>SI1</w:t>
            </w:r>
            <w:r>
              <w:rPr>
                <w:rFonts w:cs="Arial"/>
                <w:szCs w:val="20"/>
              </w:rPr>
              <w:t>, Level 2 = C-</w:t>
            </w:r>
            <w:r w:rsidR="0027772A">
              <w:rPr>
                <w:rFonts w:cs="Arial"/>
                <w:szCs w:val="20"/>
              </w:rPr>
              <w:t>LQSI2, Level 3= C-LQ</w:t>
            </w:r>
            <w:r w:rsidR="00A82A92">
              <w:rPr>
                <w:rFonts w:cs="Arial"/>
                <w:szCs w:val="20"/>
              </w:rPr>
              <w:t>SI3</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Pr="00CE16FB" w:rsidRDefault="00B816B4" w:rsidP="008C6EDC">
            <w:pPr>
              <w:numPr>
                <w:ilvl w:val="0"/>
                <w:numId w:val="16"/>
              </w:numPr>
              <w:jc w:val="both"/>
              <w:rPr>
                <w:rFonts w:cs="Arial"/>
              </w:rPr>
            </w:pPr>
            <w:r>
              <w:rPr>
                <w:rFonts w:cs="Arial"/>
                <w:szCs w:val="20"/>
              </w:rPr>
              <w:t xml:space="preserve">When a new lot of unassayed control is received, verify new ranges by running the new lot in parallel with the current lot 30 times, and calculate a new range using the method mean </w:t>
            </w:r>
            <w:r>
              <w:rPr>
                <w:rFonts w:cs="Arial"/>
                <w:szCs w:val="20"/>
              </w:rPr>
              <w:sym w:font="Symbol" w:char="F0B1"/>
            </w:r>
            <w:r>
              <w:rPr>
                <w:rFonts w:cs="Arial"/>
                <w:szCs w:val="20"/>
              </w:rPr>
              <w:t xml:space="preserve"> 3 SD. </w:t>
            </w:r>
            <w:r>
              <w:rPr>
                <w:rFonts w:cs="Arial"/>
              </w:rPr>
              <w:t>Ranges are current in Sunquest and the instrument. Refer to the Quality Control Procedure for QC exception codes.</w:t>
            </w:r>
          </w:p>
        </w:tc>
      </w:tr>
      <w:tr w:rsidR="008C6EDC" w:rsidTr="00D120DB">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BA5BA7" w:rsidRDefault="00BA5BA7" w:rsidP="0027772A">
            <w:pPr>
              <w:autoSpaceDE w:val="0"/>
              <w:autoSpaceDN w:val="0"/>
              <w:adjustRightInd w:val="0"/>
              <w:rPr>
                <w:rFonts w:eastAsia="HelenPro-Bold"/>
                <w:b/>
                <w:bCs/>
              </w:rPr>
            </w:pPr>
          </w:p>
          <w:p w:rsidR="0027772A" w:rsidRPr="00C22112" w:rsidRDefault="0027772A" w:rsidP="0027772A">
            <w:pPr>
              <w:autoSpaceDE w:val="0"/>
              <w:autoSpaceDN w:val="0"/>
              <w:adjustRightInd w:val="0"/>
              <w:rPr>
                <w:rFonts w:eastAsia="HelenPro-Regular"/>
              </w:rPr>
            </w:pPr>
            <w:r w:rsidRPr="00C22112">
              <w:rPr>
                <w:rFonts w:eastAsia="HelenPro-Bold"/>
                <w:b/>
                <w:bCs/>
              </w:rPr>
              <w:t xml:space="preserve">• </w:t>
            </w:r>
            <w:r w:rsidRPr="00C22112">
              <w:rPr>
                <w:rFonts w:eastAsia="HelenPro-Regular"/>
              </w:rPr>
              <w:t xml:space="preserve">Specimens from patients who have received preparations of mouse monoclonal antibodies for diagnosis or therapy may contain human </w:t>
            </w:r>
            <w:r w:rsidR="0011399A" w:rsidRPr="00C22112">
              <w:rPr>
                <w:rFonts w:eastAsia="HelenPro-Regular"/>
              </w:rPr>
              <w:t>anti</w:t>
            </w:r>
            <w:r w:rsidR="0011399A">
              <w:rPr>
                <w:rFonts w:eastAsia="HelenPro-Regular"/>
              </w:rPr>
              <w:t>-</w:t>
            </w:r>
            <w:r w:rsidR="0011399A" w:rsidRPr="00C22112">
              <w:rPr>
                <w:rFonts w:eastAsia="HelenPro-Regular"/>
              </w:rPr>
              <w:t>mouse</w:t>
            </w:r>
            <w:r w:rsidRPr="00C22112">
              <w:rPr>
                <w:rFonts w:eastAsia="HelenPro-Regular"/>
              </w:rPr>
              <w:t xml:space="preserve"> antibodies (HAMA). Such specimens may show either falsely elevated or depressed values when tested with assay kits that employ mouse monoclonal antibodies.</w:t>
            </w:r>
          </w:p>
          <w:p w:rsidR="0027772A" w:rsidRPr="00C22112" w:rsidRDefault="0027772A" w:rsidP="0027772A">
            <w:pPr>
              <w:autoSpaceDE w:val="0"/>
              <w:autoSpaceDN w:val="0"/>
              <w:adjustRightInd w:val="0"/>
              <w:rPr>
                <w:rFonts w:eastAsia="HelenPro-Regular"/>
              </w:rPr>
            </w:pPr>
            <w:r w:rsidRPr="00C22112">
              <w:rPr>
                <w:rFonts w:eastAsia="HelenPro-Bold"/>
                <w:b/>
                <w:bCs/>
              </w:rPr>
              <w:t xml:space="preserve">• </w:t>
            </w:r>
            <w:r w:rsidRPr="00C22112">
              <w:rPr>
                <w:rFonts w:eastAsia="HelenPro-Regular"/>
              </w:rPr>
              <w:t xml:space="preserve">Heterophilic antibodies in human serum can react with reagent immunoglobulins, interfering with </w:t>
            </w:r>
            <w:r w:rsidRPr="00C22112">
              <w:rPr>
                <w:rFonts w:eastAsia="HelenPro-Bold"/>
                <w:i/>
                <w:iCs/>
              </w:rPr>
              <w:t xml:space="preserve">in vitro </w:t>
            </w:r>
            <w:r w:rsidRPr="00C22112">
              <w:rPr>
                <w:rFonts w:eastAsia="HelenPro-Regular"/>
              </w:rPr>
              <w:t>immunoassays. Patients routinely exposed to animals or to animal serum products can be prone to this interference, and anomalous values may be observed. Additional information may be required for diagnosis</w:t>
            </w:r>
            <w:r w:rsidR="008910E9">
              <w:rPr>
                <w:rFonts w:eastAsia="HelenPro-Regular"/>
              </w:rPr>
              <w:t>.</w:t>
            </w:r>
          </w:p>
          <w:p w:rsidR="00A82A92" w:rsidRPr="00E63CB7" w:rsidRDefault="00A82A92" w:rsidP="0027772A">
            <w:pPr>
              <w:pStyle w:val="Default"/>
              <w:jc w:val="both"/>
              <w:rPr>
                <w:rFonts w:ascii="Arial" w:hAnsi="Arial" w:cs="Arial"/>
                <w:color w:val="auto"/>
                <w:sz w:val="20"/>
                <w:szCs w:val="20"/>
              </w:rPr>
            </w:pPr>
          </w:p>
        </w:tc>
      </w:tr>
      <w:tr w:rsidR="008C6EDC" w:rsidTr="00036554">
        <w:trPr>
          <w:trHeight w:val="819"/>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t>Reference Range</w:t>
            </w:r>
          </w:p>
        </w:tc>
        <w:tc>
          <w:tcPr>
            <w:tcW w:w="8910" w:type="dxa"/>
            <w:tcBorders>
              <w:top w:val="single" w:sz="18" w:space="0" w:color="A6A6A6" w:themeColor="background1" w:themeShade="A6"/>
              <w:bottom w:val="single" w:sz="18" w:space="0" w:color="A6A6A6" w:themeColor="background1" w:themeShade="A6"/>
            </w:tcBorders>
            <w:vAlign w:val="center"/>
          </w:tcPr>
          <w:p w:rsidR="001F2FF6" w:rsidRPr="00036554" w:rsidRDefault="001D4168" w:rsidP="00036554">
            <w:pPr>
              <w:rPr>
                <w:rFonts w:cs="Arial"/>
                <w:bCs/>
              </w:rPr>
            </w:pPr>
            <w:r w:rsidRPr="001D4168">
              <w:rPr>
                <w:rFonts w:cs="Arial"/>
                <w:bCs/>
              </w:rPr>
              <w:t>0.0-8.9 IU/mL</w:t>
            </w:r>
          </w:p>
        </w:tc>
      </w:tr>
      <w:tr w:rsidR="008C6EDC"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D120DB">
        <w:trPr>
          <w:trHeight w:val="593"/>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036554" w:rsidRPr="00C22112" w:rsidRDefault="00036554" w:rsidP="00036554">
            <w:pPr>
              <w:numPr>
                <w:ilvl w:val="0"/>
                <w:numId w:val="31"/>
              </w:numPr>
              <w:autoSpaceDE w:val="0"/>
              <w:autoSpaceDN w:val="0"/>
              <w:adjustRightInd w:val="0"/>
              <w:rPr>
                <w:rFonts w:eastAsia="HelenPro-Regular"/>
              </w:rPr>
            </w:pPr>
            <w:r w:rsidRPr="00C22112">
              <w:rPr>
                <w:rFonts w:eastAsia="HelenPro-Regular"/>
              </w:rPr>
              <w:t>Antibody measurement represents on</w:t>
            </w:r>
            <w:r>
              <w:rPr>
                <w:rFonts w:eastAsia="HelenPro-Regular"/>
              </w:rPr>
              <w:t xml:space="preserve">e parameter in a multi-criteria </w:t>
            </w:r>
            <w:r w:rsidRPr="00C22112">
              <w:rPr>
                <w:rFonts w:eastAsia="HelenPro-Regular"/>
              </w:rPr>
              <w:t>diagnostic process. When making a diagnosis of thyroid disease, a</w:t>
            </w:r>
            <w:r>
              <w:rPr>
                <w:rFonts w:eastAsia="HelenPro-Regular"/>
              </w:rPr>
              <w:t xml:space="preserve"> </w:t>
            </w:r>
            <w:r w:rsidRPr="00C22112">
              <w:rPr>
                <w:rFonts w:eastAsia="HelenPro-Regular"/>
              </w:rPr>
              <w:t>combination of test methods should be used in conjunction with clinical</w:t>
            </w:r>
            <w:r>
              <w:rPr>
                <w:rFonts w:eastAsia="HelenPro-Regular"/>
              </w:rPr>
              <w:t xml:space="preserve"> </w:t>
            </w:r>
            <w:r w:rsidRPr="00C22112">
              <w:rPr>
                <w:rFonts w:eastAsia="HelenPro-Regular"/>
              </w:rPr>
              <w:t>symptoms.</w:t>
            </w:r>
          </w:p>
          <w:p w:rsidR="00036554" w:rsidRPr="00C22112" w:rsidRDefault="00036554" w:rsidP="00036554">
            <w:pPr>
              <w:numPr>
                <w:ilvl w:val="0"/>
                <w:numId w:val="31"/>
              </w:numPr>
              <w:autoSpaceDE w:val="0"/>
              <w:autoSpaceDN w:val="0"/>
              <w:adjustRightInd w:val="0"/>
              <w:rPr>
                <w:rFonts w:eastAsia="HelenPro-Regular"/>
              </w:rPr>
            </w:pPr>
            <w:r w:rsidRPr="00C22112">
              <w:rPr>
                <w:rFonts w:eastAsia="HelenPro-Regular"/>
              </w:rPr>
              <w:t>About 20% of asymptomatic spec</w:t>
            </w:r>
            <w:r>
              <w:rPr>
                <w:rFonts w:eastAsia="HelenPro-Regular"/>
              </w:rPr>
              <w:t xml:space="preserve">imens may present with anti-TPO </w:t>
            </w:r>
            <w:r w:rsidRPr="00C22112">
              <w:rPr>
                <w:rFonts w:eastAsia="HelenPro-Regular"/>
              </w:rPr>
              <w:t>autoantibodies reflecting the prevalence in apparently healthy populations.</w:t>
            </w:r>
            <w:r>
              <w:rPr>
                <w:rFonts w:eastAsia="HelenPro-Regular"/>
              </w:rPr>
              <w:t xml:space="preserve"> </w:t>
            </w:r>
            <w:r w:rsidRPr="00C22112">
              <w:rPr>
                <w:rFonts w:eastAsia="HelenPro-Regular"/>
              </w:rPr>
              <w:t>The prevalence of anti-TPO may also depend on age, gender, and</w:t>
            </w:r>
            <w:r>
              <w:rPr>
                <w:rFonts w:eastAsia="HelenPro-Regular"/>
              </w:rPr>
              <w:t xml:space="preserve"> </w:t>
            </w:r>
            <w:r w:rsidRPr="00C22112">
              <w:rPr>
                <w:rFonts w:eastAsia="HelenPro-Regular"/>
              </w:rPr>
              <w:t>geographic region of the selected population.</w:t>
            </w:r>
          </w:p>
          <w:p w:rsidR="00036554" w:rsidRPr="00C22112" w:rsidRDefault="00036554" w:rsidP="00036554">
            <w:pPr>
              <w:numPr>
                <w:ilvl w:val="0"/>
                <w:numId w:val="31"/>
              </w:numPr>
              <w:autoSpaceDE w:val="0"/>
              <w:autoSpaceDN w:val="0"/>
              <w:adjustRightInd w:val="0"/>
              <w:rPr>
                <w:rFonts w:eastAsia="HelenPro-Regular"/>
              </w:rPr>
            </w:pPr>
            <w:r w:rsidRPr="00C22112">
              <w:rPr>
                <w:rFonts w:eastAsia="HelenPro-Regular"/>
              </w:rPr>
              <w:t xml:space="preserve">Some specimens may not dilute linearly </w:t>
            </w:r>
            <w:r>
              <w:rPr>
                <w:rFonts w:eastAsia="HelenPro-Regular"/>
              </w:rPr>
              <w:t xml:space="preserve">because of the heterogeneity of </w:t>
            </w:r>
            <w:r w:rsidRPr="00C22112">
              <w:rPr>
                <w:rFonts w:eastAsia="HelenPro-Regular"/>
              </w:rPr>
              <w:t>the autoantibodies with respect to physiochemical properties.</w:t>
            </w:r>
          </w:p>
          <w:p w:rsidR="00036554" w:rsidRPr="00C22112" w:rsidRDefault="00036554" w:rsidP="00036554">
            <w:pPr>
              <w:numPr>
                <w:ilvl w:val="0"/>
                <w:numId w:val="31"/>
              </w:numPr>
              <w:autoSpaceDE w:val="0"/>
              <w:autoSpaceDN w:val="0"/>
              <w:adjustRightInd w:val="0"/>
              <w:rPr>
                <w:rFonts w:eastAsia="HelenPro-Regular"/>
              </w:rPr>
            </w:pPr>
            <w:r w:rsidRPr="00C22112">
              <w:rPr>
                <w:rFonts w:eastAsia="HelenPro-Regular"/>
              </w:rPr>
              <w:t>Assay results that are not consistent with other clinical observations may require additional information for diagnosis.</w:t>
            </w:r>
          </w:p>
          <w:p w:rsidR="008C6EDC" w:rsidRDefault="008C6EDC" w:rsidP="00036554">
            <w:pPr>
              <w:numPr>
                <w:ilvl w:val="0"/>
                <w:numId w:val="31"/>
              </w:num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8C6EDC" w:rsidRDefault="008C6EDC">
            <w:pPr>
              <w:rPr>
                <w:rFonts w:cs="Arial"/>
              </w:rPr>
            </w:pPr>
          </w:p>
        </w:tc>
      </w:tr>
      <w:tr w:rsidR="000C0932" w:rsidTr="00F57A6B">
        <w:trPr>
          <w:trHeight w:val="4653"/>
          <w:tblHeader/>
        </w:trPr>
        <w:tc>
          <w:tcPr>
            <w:tcW w:w="2160" w:type="dxa"/>
            <w:tcBorders>
              <w:top w:val="single" w:sz="18" w:space="0" w:color="A6A6A6" w:themeColor="background1" w:themeShade="A6"/>
              <w:bottom w:val="single" w:sz="18" w:space="0" w:color="A6A6A6" w:themeColor="background1" w:themeShade="A6"/>
            </w:tcBorders>
          </w:tcPr>
          <w:p w:rsidR="000C0932" w:rsidRDefault="000C0932" w:rsidP="008C6EDC">
            <w:pPr>
              <w:rPr>
                <w:rFonts w:cs="Arial"/>
                <w:b/>
                <w:bCs/>
                <w:color w:val="0000FF"/>
              </w:rPr>
            </w:pPr>
          </w:p>
          <w:p w:rsidR="000C0932" w:rsidRDefault="000C0932" w:rsidP="008C6EDC">
            <w:pPr>
              <w:rPr>
                <w:rFonts w:cs="Arial"/>
                <w:b/>
                <w:bCs/>
                <w:color w:val="0000FF"/>
              </w:rPr>
            </w:pPr>
            <w:r>
              <w:rPr>
                <w:rFonts w:cs="Arial"/>
                <w:b/>
                <w:bCs/>
                <w:color w:val="0000FF"/>
              </w:rPr>
              <w:t>Dilutions</w:t>
            </w:r>
          </w:p>
          <w:p w:rsidR="000C0932" w:rsidRDefault="000C0932"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0C0932" w:rsidRDefault="000C0932" w:rsidP="000C0932">
            <w:pPr>
              <w:rPr>
                <w:rFonts w:cs="Arial"/>
              </w:rPr>
            </w:pPr>
          </w:p>
          <w:p w:rsidR="000C0932" w:rsidRPr="00315534" w:rsidRDefault="00036554" w:rsidP="000C0932">
            <w:pPr>
              <w:rPr>
                <w:rFonts w:cs="Arial"/>
              </w:rPr>
            </w:pPr>
            <w:r>
              <w:rPr>
                <w:rFonts w:cs="Arial"/>
              </w:rPr>
              <w:t>Specimens with an A</w:t>
            </w:r>
            <w:r w:rsidR="000C0932" w:rsidRPr="00315534">
              <w:rPr>
                <w:rFonts w:cs="Arial"/>
              </w:rPr>
              <w:t>nti-</w:t>
            </w:r>
            <w:r w:rsidR="000C0932">
              <w:rPr>
                <w:rFonts w:cs="Arial"/>
              </w:rPr>
              <w:t>TPO</w:t>
            </w:r>
            <w:r w:rsidR="000C0932" w:rsidRPr="00315534">
              <w:rPr>
                <w:rFonts w:cs="Arial"/>
              </w:rPr>
              <w:t xml:space="preserve"> value exceeding 1000.00 IU/mL are</w:t>
            </w:r>
            <w:r w:rsidR="000C0932">
              <w:rPr>
                <w:rFonts w:cs="Arial"/>
              </w:rPr>
              <w:t xml:space="preserve"> </w:t>
            </w:r>
            <w:r w:rsidR="00F57A6B">
              <w:rPr>
                <w:rFonts w:cs="Arial"/>
              </w:rPr>
              <w:t>flagged “&gt;</w:t>
            </w:r>
            <w:r>
              <w:rPr>
                <w:rFonts w:cs="Arial"/>
              </w:rPr>
              <w:t>1000.00” and should be diluted using the</w:t>
            </w:r>
            <w:r w:rsidR="000C0932" w:rsidRPr="00315534">
              <w:rPr>
                <w:rFonts w:cs="Arial"/>
              </w:rPr>
              <w:t xml:space="preserve"> Automated Dilution Protocol </w:t>
            </w:r>
            <w:r>
              <w:rPr>
                <w:rFonts w:cs="Arial"/>
              </w:rPr>
              <w:t>and/</w:t>
            </w:r>
            <w:r w:rsidR="000C0932" w:rsidRPr="00315534">
              <w:rPr>
                <w:rFonts w:cs="Arial"/>
              </w:rPr>
              <w:t>or the Manual Dilution Procedure.</w:t>
            </w:r>
          </w:p>
          <w:p w:rsidR="000C0932" w:rsidRPr="001312D6" w:rsidRDefault="000C0932" w:rsidP="000C0932">
            <w:pPr>
              <w:rPr>
                <w:rFonts w:cs="Arial"/>
                <w:b/>
              </w:rPr>
            </w:pPr>
          </w:p>
          <w:p w:rsidR="000C0932" w:rsidRPr="001312D6" w:rsidRDefault="000C0932" w:rsidP="000C0932">
            <w:pPr>
              <w:rPr>
                <w:rFonts w:cs="Arial"/>
                <w:b/>
              </w:rPr>
            </w:pPr>
            <w:r w:rsidRPr="001312D6">
              <w:rPr>
                <w:rFonts w:cs="Arial"/>
                <w:b/>
              </w:rPr>
              <w:t xml:space="preserve">Automated Dilution Protocol </w:t>
            </w:r>
          </w:p>
          <w:p w:rsidR="000C0932" w:rsidRDefault="000C0932" w:rsidP="000C0932">
            <w:pPr>
              <w:rPr>
                <w:rFonts w:cs="Arial"/>
              </w:rPr>
            </w:pPr>
            <w:r>
              <w:rPr>
                <w:rFonts w:cs="Arial"/>
              </w:rPr>
              <w:t>The system performs a 1:2</w:t>
            </w:r>
            <w:r w:rsidRPr="00315534">
              <w:rPr>
                <w:rFonts w:cs="Arial"/>
              </w:rPr>
              <w:t xml:space="preserve"> dilution of the specimen and</w:t>
            </w:r>
            <w:r>
              <w:rPr>
                <w:rFonts w:cs="Arial"/>
              </w:rPr>
              <w:t xml:space="preserve"> </w:t>
            </w:r>
            <w:r w:rsidRPr="00315534">
              <w:rPr>
                <w:rFonts w:cs="Arial"/>
              </w:rPr>
              <w:t>automatically calculates the concentration of the specimen before</w:t>
            </w:r>
            <w:r>
              <w:rPr>
                <w:rFonts w:cs="Arial"/>
              </w:rPr>
              <w:t xml:space="preserve"> </w:t>
            </w:r>
            <w:r w:rsidRPr="00315534">
              <w:rPr>
                <w:rFonts w:cs="Arial"/>
              </w:rPr>
              <w:t>dilution and reports the result.</w:t>
            </w:r>
            <w:r>
              <w:rPr>
                <w:rFonts w:cs="Arial"/>
              </w:rPr>
              <w:t xml:space="preserve"> </w:t>
            </w:r>
            <w:r w:rsidRPr="00315534">
              <w:rPr>
                <w:rFonts w:cs="Arial"/>
              </w:rPr>
              <w:t>Specimens with an anti</w:t>
            </w:r>
            <w:r w:rsidRPr="00315534">
              <w:rPr>
                <w:rFonts w:ascii="MS Gothic" w:eastAsia="MS Gothic" w:hAnsi="MS Gothic" w:cs="Arial" w:hint="eastAsia"/>
              </w:rPr>
              <w:t>‑</w:t>
            </w:r>
            <w:r w:rsidRPr="00315534">
              <w:rPr>
                <w:rFonts w:cs="Arial"/>
              </w:rPr>
              <w:t>T</w:t>
            </w:r>
            <w:r>
              <w:rPr>
                <w:rFonts w:cs="Arial"/>
              </w:rPr>
              <w:t>PO</w:t>
            </w:r>
            <w:r w:rsidRPr="00315534">
              <w:rPr>
                <w:rFonts w:cs="Arial"/>
              </w:rPr>
              <w:t xml:space="preserve"> va</w:t>
            </w:r>
            <w:r>
              <w:rPr>
                <w:rFonts w:cs="Arial"/>
              </w:rPr>
              <w:t>lue exceeding 2000</w:t>
            </w:r>
            <w:r w:rsidRPr="00315534">
              <w:rPr>
                <w:rFonts w:cs="Arial"/>
              </w:rPr>
              <w:t xml:space="preserve"> IU/mL are</w:t>
            </w:r>
            <w:r>
              <w:rPr>
                <w:rFonts w:cs="Arial"/>
              </w:rPr>
              <w:t xml:space="preserve"> flagged with the code “&gt; 2</w:t>
            </w:r>
            <w:r w:rsidRPr="00315534">
              <w:rPr>
                <w:rFonts w:cs="Arial"/>
              </w:rPr>
              <w:t>000.00” when run using the Automated</w:t>
            </w:r>
            <w:r>
              <w:rPr>
                <w:rFonts w:cs="Arial"/>
              </w:rPr>
              <w:t xml:space="preserve"> </w:t>
            </w:r>
            <w:r w:rsidRPr="00315534">
              <w:rPr>
                <w:rFonts w:cs="Arial"/>
              </w:rPr>
              <w:t xml:space="preserve">Dilution Protocol. These specimens </w:t>
            </w:r>
            <w:r w:rsidR="00036554">
              <w:rPr>
                <w:rFonts w:cs="Arial"/>
              </w:rPr>
              <w:t>should be</w:t>
            </w:r>
            <w:r w:rsidRPr="00315534">
              <w:rPr>
                <w:rFonts w:cs="Arial"/>
              </w:rPr>
              <w:t xml:space="preserve"> diluted by the</w:t>
            </w:r>
            <w:r>
              <w:rPr>
                <w:rFonts w:cs="Arial"/>
              </w:rPr>
              <w:t xml:space="preserve"> </w:t>
            </w:r>
            <w:r w:rsidRPr="00315534">
              <w:rPr>
                <w:rFonts w:cs="Arial"/>
              </w:rPr>
              <w:t>Manual Dilution Procedure.</w:t>
            </w:r>
          </w:p>
          <w:p w:rsidR="000C0932" w:rsidRPr="00315534" w:rsidRDefault="000C0932" w:rsidP="000C0932">
            <w:pPr>
              <w:rPr>
                <w:rFonts w:cs="Arial"/>
              </w:rPr>
            </w:pPr>
          </w:p>
          <w:p w:rsidR="00BC1B7A" w:rsidRPr="00830DD4" w:rsidRDefault="00BC1B7A" w:rsidP="00BC1B7A">
            <w:pPr>
              <w:rPr>
                <w:rFonts w:cs="Arial"/>
                <w:b/>
                <w:szCs w:val="20"/>
              </w:rPr>
            </w:pPr>
            <w:r w:rsidRPr="00830DD4">
              <w:rPr>
                <w:rFonts w:cs="Arial"/>
                <w:b/>
                <w:szCs w:val="20"/>
              </w:rPr>
              <w:t>Manual Dilution Procedure</w:t>
            </w:r>
          </w:p>
          <w:p w:rsidR="00BC1B7A" w:rsidRPr="00830DD4" w:rsidRDefault="00BC1B7A" w:rsidP="00BC1B7A">
            <w:pPr>
              <w:rPr>
                <w:rFonts w:cs="Arial"/>
                <w:szCs w:val="20"/>
              </w:rPr>
            </w:pPr>
            <w:r w:rsidRPr="00830DD4">
              <w:rPr>
                <w:rFonts w:cs="Arial"/>
                <w:szCs w:val="20"/>
              </w:rPr>
              <w:t>Recommended and maximum dilution is 1:20</w:t>
            </w:r>
          </w:p>
          <w:p w:rsidR="00BC1B7A" w:rsidRPr="00830DD4" w:rsidRDefault="00BC1B7A" w:rsidP="00BC1B7A">
            <w:pPr>
              <w:numPr>
                <w:ilvl w:val="0"/>
                <w:numId w:val="30"/>
              </w:numPr>
              <w:rPr>
                <w:rFonts w:cs="Arial"/>
                <w:szCs w:val="20"/>
              </w:rPr>
            </w:pPr>
            <w:r w:rsidRPr="00830DD4">
              <w:rPr>
                <w:rFonts w:cs="Arial"/>
                <w:szCs w:val="20"/>
              </w:rPr>
              <w:t>To</w:t>
            </w:r>
            <w:r>
              <w:rPr>
                <w:rFonts w:cs="Arial"/>
                <w:szCs w:val="20"/>
              </w:rPr>
              <w:t xml:space="preserve"> maintain integrity of the Anti-TPO C</w:t>
            </w:r>
            <w:r w:rsidRPr="00830DD4">
              <w:rPr>
                <w:rFonts w:cs="Arial"/>
                <w:szCs w:val="20"/>
              </w:rPr>
              <w:t>alibrator A, place 450 uL in a clean cup.</w:t>
            </w:r>
          </w:p>
          <w:p w:rsidR="00BC1B7A" w:rsidRPr="00830DD4" w:rsidRDefault="00BC1B7A" w:rsidP="00BC1B7A">
            <w:pPr>
              <w:numPr>
                <w:ilvl w:val="0"/>
                <w:numId w:val="30"/>
              </w:numPr>
              <w:rPr>
                <w:rFonts w:cs="Arial"/>
                <w:szCs w:val="20"/>
              </w:rPr>
            </w:pPr>
            <w:r w:rsidRPr="00830DD4">
              <w:rPr>
                <w:rFonts w:cs="Arial"/>
                <w:szCs w:val="20"/>
              </w:rPr>
              <w:t>To make the 1:20 dilution, add exactly 20.0 uL patient serum/plasma to</w:t>
            </w:r>
            <w:r>
              <w:rPr>
                <w:rFonts w:cs="Arial"/>
                <w:szCs w:val="20"/>
              </w:rPr>
              <w:t xml:space="preserve"> 380.0 uL</w:t>
            </w:r>
            <w:r w:rsidRPr="00830DD4">
              <w:rPr>
                <w:rFonts w:cs="Arial"/>
                <w:szCs w:val="20"/>
              </w:rPr>
              <w:t xml:space="preserve"> </w:t>
            </w:r>
            <w:r w:rsidR="00036554">
              <w:rPr>
                <w:rFonts w:cs="Arial"/>
                <w:szCs w:val="20"/>
              </w:rPr>
              <w:t>ARCHITECT Anti-TPO</w:t>
            </w:r>
            <w:r w:rsidRPr="00830DD4">
              <w:rPr>
                <w:rFonts w:cs="Arial"/>
                <w:szCs w:val="20"/>
              </w:rPr>
              <w:t xml:space="preserve"> Calibrator A</w:t>
            </w:r>
            <w:r>
              <w:rPr>
                <w:rFonts w:cs="Arial"/>
                <w:szCs w:val="20"/>
              </w:rPr>
              <w:t xml:space="preserve"> and mix well, avoiding bubbles.</w:t>
            </w:r>
          </w:p>
          <w:p w:rsidR="00BC1B7A" w:rsidRPr="00830DD4" w:rsidRDefault="00BC1B7A" w:rsidP="00BC1B7A">
            <w:pPr>
              <w:numPr>
                <w:ilvl w:val="0"/>
                <w:numId w:val="30"/>
              </w:numPr>
              <w:rPr>
                <w:rFonts w:cs="Arial"/>
                <w:szCs w:val="20"/>
              </w:rPr>
            </w:pPr>
            <w:r w:rsidRPr="00830DD4">
              <w:rPr>
                <w:rFonts w:cs="Arial"/>
                <w:szCs w:val="20"/>
              </w:rPr>
              <w:t xml:space="preserve">The operator must enter the dilution factor in the Patient order screen. The system will use this dilution factor to automatically calculate the dilution result.  For detailed information on ordering dilutions, refer to the </w:t>
            </w:r>
            <w:hyperlink r:id="rId11" w:history="1">
              <w:r w:rsidRPr="00830DD4">
                <w:rPr>
                  <w:rStyle w:val="Hyperlink"/>
                  <w:rFonts w:cs="Arial"/>
                  <w:szCs w:val="20"/>
                </w:rPr>
                <w:t>ARCHITECT System Operations Manual</w:t>
              </w:r>
            </w:hyperlink>
            <w:r w:rsidRPr="00830DD4">
              <w:rPr>
                <w:rFonts w:cs="Arial"/>
                <w:szCs w:val="20"/>
              </w:rPr>
              <w:t>, Section 5.</w:t>
            </w:r>
          </w:p>
          <w:p w:rsidR="00BC1B7A" w:rsidRDefault="00BC1B7A" w:rsidP="00BC1B7A">
            <w:pPr>
              <w:numPr>
                <w:ilvl w:val="0"/>
                <w:numId w:val="30"/>
              </w:numPr>
              <w:rPr>
                <w:rFonts w:cs="Arial"/>
                <w:szCs w:val="20"/>
              </w:rPr>
            </w:pPr>
            <w:r>
              <w:rPr>
                <w:rFonts w:cs="Arial"/>
                <w:szCs w:val="20"/>
              </w:rPr>
              <w:t xml:space="preserve">Record </w:t>
            </w:r>
            <w:r w:rsidRPr="00830DD4">
              <w:rPr>
                <w:rFonts w:cs="Arial"/>
                <w:szCs w:val="20"/>
              </w:rPr>
              <w:t xml:space="preserve">manual dilution on the </w:t>
            </w:r>
            <w:r>
              <w:rPr>
                <w:rFonts w:cs="Arial"/>
                <w:szCs w:val="20"/>
              </w:rPr>
              <w:t xml:space="preserve">dilution </w:t>
            </w:r>
            <w:r w:rsidRPr="00830DD4">
              <w:rPr>
                <w:rFonts w:cs="Arial"/>
                <w:szCs w:val="20"/>
              </w:rPr>
              <w:t>log</w:t>
            </w:r>
          </w:p>
          <w:p w:rsidR="00036554" w:rsidRDefault="00036554" w:rsidP="00036554">
            <w:pPr>
              <w:rPr>
                <w:rFonts w:cs="Arial"/>
                <w:szCs w:val="20"/>
              </w:rPr>
            </w:pPr>
          </w:p>
          <w:p w:rsidR="00036554" w:rsidRPr="00830DD4" w:rsidRDefault="00036554" w:rsidP="00036554">
            <w:pPr>
              <w:rPr>
                <w:rFonts w:cs="Arial"/>
                <w:szCs w:val="20"/>
              </w:rPr>
            </w:pPr>
            <w:r>
              <w:rPr>
                <w:rFonts w:cs="Arial"/>
                <w:szCs w:val="20"/>
              </w:rPr>
              <w:t>If at any point the sample is insufficient to complete dilution testing, append the “-UNQ” (Unable to Quantitate Further) code to the appropriate “&gt;” test result in Sunquest.</w:t>
            </w:r>
          </w:p>
          <w:p w:rsidR="001D4168" w:rsidRDefault="001D4168" w:rsidP="001D4168">
            <w:pPr>
              <w:rPr>
                <w:rFonts w:cs="Arial"/>
              </w:rPr>
            </w:pPr>
          </w:p>
          <w:p w:rsidR="001D4168" w:rsidRDefault="001D4168" w:rsidP="001D4168">
            <w:pPr>
              <w:rPr>
                <w:rFonts w:cs="Arial"/>
              </w:rPr>
            </w:pPr>
          </w:p>
        </w:tc>
      </w:tr>
      <w:tr w:rsidR="000C0932" w:rsidTr="00D120DB">
        <w:trPr>
          <w:trHeight w:val="1566"/>
          <w:tblHeader/>
        </w:trPr>
        <w:tc>
          <w:tcPr>
            <w:tcW w:w="2160" w:type="dxa"/>
            <w:tcBorders>
              <w:top w:val="single" w:sz="18" w:space="0" w:color="A6A6A6" w:themeColor="background1" w:themeShade="A6"/>
              <w:bottom w:val="single" w:sz="18" w:space="0" w:color="A6A6A6" w:themeColor="background1" w:themeShade="A6"/>
            </w:tcBorders>
          </w:tcPr>
          <w:p w:rsidR="000C0932" w:rsidRDefault="000C0932">
            <w:pPr>
              <w:rPr>
                <w:rFonts w:cs="Arial"/>
                <w:b/>
                <w:bCs/>
                <w:color w:val="0000FF"/>
              </w:rPr>
            </w:pPr>
          </w:p>
          <w:p w:rsidR="00F57A6B" w:rsidRDefault="00F57A6B" w:rsidP="008C6EDC">
            <w:pPr>
              <w:rPr>
                <w:rFonts w:cs="Arial"/>
                <w:b/>
                <w:bCs/>
                <w:color w:val="0000FF"/>
              </w:rPr>
            </w:pPr>
          </w:p>
          <w:p w:rsidR="000C0932" w:rsidRDefault="000C0932" w:rsidP="008C6EDC">
            <w:pPr>
              <w:rPr>
                <w:rFonts w:cs="Arial"/>
                <w:b/>
                <w:bCs/>
                <w:color w:val="0000FF"/>
              </w:rPr>
            </w:pPr>
            <w:r>
              <w:rPr>
                <w:rFonts w:cs="Arial"/>
                <w:b/>
                <w:bCs/>
                <w:color w:val="0000FF"/>
              </w:rPr>
              <w:t>Result Reporting</w:t>
            </w:r>
          </w:p>
          <w:p w:rsidR="000C0932" w:rsidRDefault="000C0932"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F57A6B" w:rsidRDefault="00F57A6B" w:rsidP="00F57A6B">
            <w:pPr>
              <w:pStyle w:val="Header"/>
              <w:tabs>
                <w:tab w:val="clear" w:pos="4320"/>
                <w:tab w:val="clear" w:pos="8640"/>
              </w:tabs>
              <w:ind w:left="720"/>
              <w:jc w:val="both"/>
              <w:rPr>
                <w:rFonts w:cs="Arial"/>
              </w:rPr>
            </w:pPr>
          </w:p>
          <w:p w:rsidR="000C0932" w:rsidRDefault="000C0932" w:rsidP="000C0932">
            <w:pPr>
              <w:pStyle w:val="Header"/>
              <w:numPr>
                <w:ilvl w:val="0"/>
                <w:numId w:val="28"/>
              </w:numPr>
              <w:tabs>
                <w:tab w:val="clear" w:pos="4320"/>
                <w:tab w:val="clear" w:pos="8640"/>
              </w:tabs>
              <w:jc w:val="both"/>
              <w:rPr>
                <w:rFonts w:cs="Arial"/>
              </w:rPr>
            </w:pPr>
            <w:r w:rsidRPr="000C0932">
              <w:rPr>
                <w:rFonts w:cs="Arial"/>
              </w:rPr>
              <w:t xml:space="preserve">Results between 3-1000 </w:t>
            </w:r>
            <w:r>
              <w:rPr>
                <w:rFonts w:cs="Arial"/>
              </w:rPr>
              <w:t xml:space="preserve">IU/mL will autofile. </w:t>
            </w:r>
          </w:p>
          <w:p w:rsidR="000C0932" w:rsidRDefault="000C0932" w:rsidP="000C0932">
            <w:pPr>
              <w:pStyle w:val="Header"/>
              <w:numPr>
                <w:ilvl w:val="0"/>
                <w:numId w:val="28"/>
              </w:numPr>
              <w:tabs>
                <w:tab w:val="clear" w:pos="4320"/>
                <w:tab w:val="clear" w:pos="8640"/>
              </w:tabs>
              <w:jc w:val="both"/>
              <w:rPr>
                <w:rFonts w:cs="Arial"/>
              </w:rPr>
            </w:pPr>
            <w:r>
              <w:rPr>
                <w:rFonts w:cs="Arial"/>
              </w:rPr>
              <w:t>Results &lt;</w:t>
            </w:r>
            <w:r w:rsidRPr="000C0932">
              <w:rPr>
                <w:rFonts w:cs="Arial"/>
              </w:rPr>
              <w:t>3</w:t>
            </w:r>
            <w:r>
              <w:rPr>
                <w:rFonts w:cs="Arial"/>
              </w:rPr>
              <w:t xml:space="preserve"> IU/mL will be</w:t>
            </w:r>
            <w:r w:rsidRPr="000C0932">
              <w:rPr>
                <w:rFonts w:cs="Arial"/>
              </w:rPr>
              <w:t xml:space="preserve"> report</w:t>
            </w:r>
            <w:r>
              <w:rPr>
                <w:rFonts w:cs="Arial"/>
              </w:rPr>
              <w:t>ed</w:t>
            </w:r>
            <w:r w:rsidRPr="000C0932">
              <w:rPr>
                <w:rFonts w:cs="Arial"/>
              </w:rPr>
              <w:t xml:space="preserve"> as &lt;3.0 </w:t>
            </w:r>
            <w:r>
              <w:rPr>
                <w:rFonts w:cs="Arial"/>
              </w:rPr>
              <w:t>IU/mL rather than the numerical value.</w:t>
            </w:r>
          </w:p>
          <w:p w:rsidR="001D4168" w:rsidRDefault="000C0932" w:rsidP="001D4168">
            <w:pPr>
              <w:pStyle w:val="Header"/>
              <w:numPr>
                <w:ilvl w:val="0"/>
                <w:numId w:val="28"/>
              </w:numPr>
              <w:tabs>
                <w:tab w:val="clear" w:pos="4320"/>
                <w:tab w:val="clear" w:pos="8640"/>
              </w:tabs>
              <w:jc w:val="both"/>
              <w:rPr>
                <w:rFonts w:cs="Arial"/>
              </w:rPr>
            </w:pPr>
            <w:r>
              <w:rPr>
                <w:rFonts w:cs="Arial"/>
              </w:rPr>
              <w:t xml:space="preserve">Results &gt;9.0 IU/mL </w:t>
            </w:r>
            <w:r w:rsidRPr="000C0932">
              <w:rPr>
                <w:rFonts w:cs="Arial"/>
              </w:rPr>
              <w:t xml:space="preserve">should </w:t>
            </w:r>
            <w:r w:rsidR="001D4168">
              <w:rPr>
                <w:rFonts w:cs="Arial"/>
              </w:rPr>
              <w:t>have above reference range flag in Sunquest.</w:t>
            </w:r>
          </w:p>
          <w:p w:rsidR="001D4168" w:rsidRDefault="000C0932" w:rsidP="001D4168">
            <w:pPr>
              <w:pStyle w:val="Header"/>
              <w:numPr>
                <w:ilvl w:val="0"/>
                <w:numId w:val="28"/>
              </w:numPr>
              <w:tabs>
                <w:tab w:val="clear" w:pos="4320"/>
                <w:tab w:val="clear" w:pos="8640"/>
              </w:tabs>
              <w:jc w:val="both"/>
              <w:rPr>
                <w:rFonts w:cs="Arial"/>
              </w:rPr>
            </w:pPr>
            <w:r w:rsidRPr="001D4168">
              <w:rPr>
                <w:rFonts w:cs="Arial"/>
              </w:rPr>
              <w:t xml:space="preserve">Results &gt;1000 </w:t>
            </w:r>
            <w:r w:rsidR="001D4168">
              <w:rPr>
                <w:rFonts w:cs="Arial"/>
              </w:rPr>
              <w:t xml:space="preserve">IU/mL </w:t>
            </w:r>
            <w:r w:rsidRPr="001D4168">
              <w:rPr>
                <w:rFonts w:cs="Arial"/>
              </w:rPr>
              <w:t xml:space="preserve">will </w:t>
            </w:r>
            <w:r w:rsidR="0011399A" w:rsidRPr="001D4168">
              <w:rPr>
                <w:rFonts w:cs="Arial"/>
              </w:rPr>
              <w:t xml:space="preserve">trigger </w:t>
            </w:r>
            <w:r w:rsidR="0011399A">
              <w:rPr>
                <w:rFonts w:cs="Arial"/>
              </w:rPr>
              <w:t>an</w:t>
            </w:r>
            <w:r w:rsidR="001D4168">
              <w:rPr>
                <w:rFonts w:cs="Arial"/>
              </w:rPr>
              <w:t xml:space="preserve"> </w:t>
            </w:r>
            <w:r w:rsidRPr="001D4168">
              <w:rPr>
                <w:rFonts w:cs="Arial"/>
              </w:rPr>
              <w:t xml:space="preserve">autodilution </w:t>
            </w:r>
            <w:r w:rsidR="0011399A" w:rsidRPr="001D4168">
              <w:rPr>
                <w:rFonts w:cs="Arial"/>
              </w:rPr>
              <w:t xml:space="preserve">on </w:t>
            </w:r>
            <w:r w:rsidR="0011399A">
              <w:rPr>
                <w:rFonts w:cs="Arial"/>
              </w:rPr>
              <w:t>the</w:t>
            </w:r>
            <w:r w:rsidR="001D4168">
              <w:rPr>
                <w:rFonts w:cs="Arial"/>
              </w:rPr>
              <w:t xml:space="preserve"> </w:t>
            </w:r>
            <w:r w:rsidRPr="001D4168">
              <w:rPr>
                <w:rFonts w:cs="Arial"/>
              </w:rPr>
              <w:t xml:space="preserve">Architect.  </w:t>
            </w:r>
          </w:p>
          <w:p w:rsidR="001D4168" w:rsidRDefault="000C0932" w:rsidP="001D4168">
            <w:pPr>
              <w:pStyle w:val="Header"/>
              <w:numPr>
                <w:ilvl w:val="0"/>
                <w:numId w:val="28"/>
              </w:numPr>
              <w:tabs>
                <w:tab w:val="clear" w:pos="4320"/>
                <w:tab w:val="clear" w:pos="8640"/>
              </w:tabs>
              <w:jc w:val="both"/>
              <w:rPr>
                <w:rFonts w:cs="Arial"/>
              </w:rPr>
            </w:pPr>
            <w:r w:rsidRPr="001D4168">
              <w:rPr>
                <w:rFonts w:cs="Arial"/>
              </w:rPr>
              <w:t xml:space="preserve">Results &gt;2000 </w:t>
            </w:r>
            <w:r w:rsidR="001D4168">
              <w:rPr>
                <w:rFonts w:cs="Arial"/>
              </w:rPr>
              <w:t xml:space="preserve">IU/mL </w:t>
            </w:r>
            <w:r w:rsidRPr="001D4168">
              <w:rPr>
                <w:rFonts w:cs="Arial"/>
              </w:rPr>
              <w:t xml:space="preserve">will be manually diluted </w:t>
            </w:r>
            <w:r w:rsidR="001D4168">
              <w:rPr>
                <w:rFonts w:cs="Arial"/>
              </w:rPr>
              <w:t>using the Manual Dilution Procedure.</w:t>
            </w:r>
          </w:p>
          <w:p w:rsidR="000C0932" w:rsidRPr="001D4168" w:rsidRDefault="000C0932" w:rsidP="001D4168">
            <w:pPr>
              <w:pStyle w:val="Header"/>
              <w:numPr>
                <w:ilvl w:val="0"/>
                <w:numId w:val="28"/>
              </w:numPr>
              <w:tabs>
                <w:tab w:val="clear" w:pos="4320"/>
                <w:tab w:val="clear" w:pos="8640"/>
              </w:tabs>
              <w:jc w:val="both"/>
              <w:rPr>
                <w:rFonts w:cs="Arial"/>
              </w:rPr>
            </w:pPr>
            <w:r w:rsidRPr="001D4168">
              <w:rPr>
                <w:rFonts w:cs="Arial"/>
              </w:rPr>
              <w:t xml:space="preserve">Results &gt;20000 </w:t>
            </w:r>
            <w:r w:rsidR="001D4168">
              <w:rPr>
                <w:rFonts w:cs="Arial"/>
              </w:rPr>
              <w:t>IU/mL should be reported as &gt;20,000 IU/mL rather than the numerical value.</w:t>
            </w:r>
          </w:p>
          <w:p w:rsidR="000C0932" w:rsidRPr="00B00AD4" w:rsidRDefault="000C0932" w:rsidP="003A17CC">
            <w:pPr>
              <w:jc w:val="both"/>
              <w:rPr>
                <w:rFonts w:cs="Arial"/>
              </w:rPr>
            </w:pPr>
          </w:p>
        </w:tc>
      </w:tr>
      <w:tr w:rsidR="000C0932" w:rsidTr="00D120DB">
        <w:trPr>
          <w:trHeight w:val="1160"/>
          <w:tblHeader/>
        </w:trPr>
        <w:tc>
          <w:tcPr>
            <w:tcW w:w="2160" w:type="dxa"/>
            <w:tcBorders>
              <w:top w:val="single" w:sz="18" w:space="0" w:color="A6A6A6" w:themeColor="background1" w:themeShade="A6"/>
              <w:bottom w:val="single" w:sz="18" w:space="0" w:color="A6A6A6" w:themeColor="background1" w:themeShade="A6"/>
            </w:tcBorders>
          </w:tcPr>
          <w:p w:rsidR="000C0932" w:rsidRDefault="000C0932" w:rsidP="008C6EDC">
            <w:pPr>
              <w:rPr>
                <w:rFonts w:cs="Arial"/>
                <w:b/>
                <w:bCs/>
                <w:color w:val="0000FF"/>
              </w:rPr>
            </w:pPr>
          </w:p>
          <w:p w:rsidR="000C0932" w:rsidRDefault="000C0932" w:rsidP="008C6EDC">
            <w:pPr>
              <w:rPr>
                <w:rFonts w:cs="Arial"/>
                <w:b/>
                <w:bCs/>
                <w:color w:val="0000FF"/>
              </w:rPr>
            </w:pPr>
            <w:r>
              <w:rPr>
                <w:rFonts w:cs="Arial"/>
                <w:b/>
                <w:bCs/>
                <w:color w:val="0000FF"/>
              </w:rPr>
              <w:t>Specimen Storage</w:t>
            </w:r>
          </w:p>
          <w:p w:rsidR="000C0932" w:rsidRDefault="000C0932">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0C0932" w:rsidRDefault="000C0932" w:rsidP="008E43B5">
            <w:pPr>
              <w:jc w:val="both"/>
              <w:rPr>
                <w:rFonts w:cs="Arial"/>
              </w:rPr>
            </w:pPr>
            <w:r>
              <w:rPr>
                <w:rFonts w:cs="Arial"/>
              </w:rPr>
              <w:t>Promptly stopper tested specimen and store upright in specimen rack. Every 8 hours remove specimens to refrigerator/freezer storage. Samples are retained 14 days in specimen storage freezer.</w:t>
            </w:r>
          </w:p>
        </w:tc>
      </w:tr>
      <w:tr w:rsidR="000C0932" w:rsidTr="00F74B4F">
        <w:trPr>
          <w:trHeight w:val="2385"/>
          <w:tblHeader/>
        </w:trPr>
        <w:tc>
          <w:tcPr>
            <w:tcW w:w="2160" w:type="dxa"/>
            <w:tcBorders>
              <w:top w:val="single" w:sz="18" w:space="0" w:color="A6A6A6" w:themeColor="background1" w:themeShade="A6"/>
              <w:bottom w:val="single" w:sz="18" w:space="0" w:color="A6A6A6" w:themeColor="background1" w:themeShade="A6"/>
            </w:tcBorders>
          </w:tcPr>
          <w:p w:rsidR="000C0932" w:rsidRDefault="000C0932">
            <w:pPr>
              <w:rPr>
                <w:rFonts w:cs="Arial"/>
                <w:b/>
                <w:bCs/>
                <w:color w:val="0000FF"/>
              </w:rPr>
            </w:pPr>
          </w:p>
          <w:p w:rsidR="000C0932" w:rsidRDefault="000C0932"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0C0932" w:rsidRDefault="000C0932" w:rsidP="008E43B5">
            <w:pPr>
              <w:numPr>
                <w:ilvl w:val="0"/>
                <w:numId w:val="6"/>
              </w:numPr>
              <w:jc w:val="both"/>
              <w:rPr>
                <w:rFonts w:cs="Arial"/>
              </w:rPr>
            </w:pPr>
            <w:r>
              <w:rPr>
                <w:rFonts w:cs="Arial"/>
              </w:rPr>
              <w:t>Ab</w:t>
            </w:r>
            <w:r w:rsidR="001A4719">
              <w:rPr>
                <w:rFonts w:cs="Arial"/>
              </w:rPr>
              <w:t>bott Architect Anti-TPO Reagent Package insert</w:t>
            </w:r>
            <w:r>
              <w:rPr>
                <w:rFonts w:cs="Arial"/>
              </w:rPr>
              <w:t xml:space="preserve"> Abbott Laboratories, Abbott Park, IL, 60064. Revised Date </w:t>
            </w:r>
            <w:r w:rsidR="001A4719">
              <w:rPr>
                <w:rFonts w:cs="Arial"/>
              </w:rPr>
              <w:t>Febr</w:t>
            </w:r>
            <w:r w:rsidR="00F74B4F">
              <w:rPr>
                <w:rFonts w:cs="Arial"/>
              </w:rPr>
              <w:t>u</w:t>
            </w:r>
            <w:r w:rsidR="001A4719">
              <w:rPr>
                <w:rFonts w:cs="Arial"/>
              </w:rPr>
              <w:t>a</w:t>
            </w:r>
            <w:r w:rsidR="00F74B4F">
              <w:rPr>
                <w:rFonts w:cs="Arial"/>
              </w:rPr>
              <w:t>ry 2015.</w:t>
            </w:r>
          </w:p>
          <w:p w:rsidR="000C0932" w:rsidRPr="00F74B4F" w:rsidRDefault="000C0932" w:rsidP="00F74B4F">
            <w:pPr>
              <w:numPr>
                <w:ilvl w:val="0"/>
                <w:numId w:val="6"/>
              </w:numPr>
              <w:jc w:val="both"/>
              <w:rPr>
                <w:rFonts w:cs="Arial"/>
              </w:rPr>
            </w:pPr>
            <w:r>
              <w:rPr>
                <w:rFonts w:cs="Arial"/>
              </w:rPr>
              <w:t>Abbott A</w:t>
            </w:r>
            <w:r w:rsidR="001A4719">
              <w:rPr>
                <w:rFonts w:cs="Arial"/>
              </w:rPr>
              <w:t>rchitect Anti-TPO Calibrator Package insert, Abbott Laboratori</w:t>
            </w:r>
            <w:r>
              <w:rPr>
                <w:rFonts w:cs="Arial"/>
              </w:rPr>
              <w:t>es,</w:t>
            </w:r>
            <w:r w:rsidR="00F74B4F">
              <w:rPr>
                <w:rFonts w:cs="Arial"/>
              </w:rPr>
              <w:t xml:space="preserve"> Abbott Park, IL 60064. Revised April</w:t>
            </w:r>
            <w:r w:rsidRPr="00F74B4F">
              <w:rPr>
                <w:rFonts w:cs="Arial"/>
              </w:rPr>
              <w:t xml:space="preserve"> 2015.</w:t>
            </w:r>
          </w:p>
          <w:p w:rsidR="00F74B4F" w:rsidRDefault="000C0932" w:rsidP="00F74B4F">
            <w:pPr>
              <w:numPr>
                <w:ilvl w:val="0"/>
                <w:numId w:val="6"/>
              </w:numPr>
              <w:jc w:val="both"/>
              <w:rPr>
                <w:rFonts w:cs="Arial"/>
              </w:rPr>
            </w:pPr>
            <w:r>
              <w:rPr>
                <w:rFonts w:cs="Arial"/>
              </w:rPr>
              <w:t xml:space="preserve">Abbott Architect </w:t>
            </w:r>
            <w:r w:rsidR="001A4719">
              <w:rPr>
                <w:rFonts w:cs="Arial"/>
              </w:rPr>
              <w:t xml:space="preserve">Anti-TPO </w:t>
            </w:r>
            <w:r>
              <w:rPr>
                <w:rFonts w:cs="Arial"/>
              </w:rPr>
              <w:t xml:space="preserve">Safety Data Sheet, Abbott </w:t>
            </w:r>
            <w:r w:rsidR="0011399A">
              <w:rPr>
                <w:rFonts w:cs="Arial"/>
              </w:rPr>
              <w:t>Diagnostics</w:t>
            </w:r>
            <w:r>
              <w:rPr>
                <w:rFonts w:cs="Arial"/>
              </w:rPr>
              <w:t xml:space="preserve">, Abbott Park, IL 60064. Revised </w:t>
            </w:r>
            <w:r w:rsidR="00F74B4F">
              <w:rPr>
                <w:rFonts w:cs="Arial"/>
              </w:rPr>
              <w:t>July 30, 2015.</w:t>
            </w:r>
          </w:p>
          <w:p w:rsidR="000C0932" w:rsidRPr="001A4719" w:rsidRDefault="00F74B4F" w:rsidP="00F74B4F">
            <w:pPr>
              <w:numPr>
                <w:ilvl w:val="0"/>
                <w:numId w:val="6"/>
              </w:numPr>
              <w:jc w:val="both"/>
              <w:rPr>
                <w:rFonts w:cs="Arial"/>
              </w:rPr>
            </w:pPr>
            <w:r w:rsidRPr="00F74B4F">
              <w:rPr>
                <w:szCs w:val="20"/>
              </w:rPr>
              <w:t xml:space="preserve">Bio-Rad Liquichek Specialty Immunoassay Control Product Insert, Bio-Rad Laboratories, Irvine, CA 92618 September 2017. </w:t>
            </w:r>
          </w:p>
          <w:p w:rsidR="001A4719" w:rsidRPr="00F74B4F" w:rsidRDefault="0044141B" w:rsidP="00F74B4F">
            <w:pPr>
              <w:numPr>
                <w:ilvl w:val="0"/>
                <w:numId w:val="6"/>
              </w:numPr>
              <w:jc w:val="both"/>
              <w:rPr>
                <w:rFonts w:cs="Arial"/>
              </w:rPr>
            </w:pPr>
            <w:hyperlink r:id="rId12" w:history="1">
              <w:r w:rsidR="001A4719" w:rsidRPr="001A4719">
                <w:rPr>
                  <w:rStyle w:val="Hyperlink"/>
                  <w:szCs w:val="20"/>
                </w:rPr>
                <w:t>CALIPER Reference Range Studies</w:t>
              </w:r>
            </w:hyperlink>
            <w:r w:rsidR="001A4719">
              <w:rPr>
                <w:szCs w:val="20"/>
              </w:rPr>
              <w:t>, Accessed 4/20/2018</w:t>
            </w:r>
          </w:p>
        </w:tc>
      </w:tr>
      <w:tr w:rsidR="000C0932" w:rsidTr="00D120DB">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0C0932" w:rsidRDefault="000C0932">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rsidR="000C0932" w:rsidRDefault="000C0932">
            <w:pPr>
              <w:rPr>
                <w:rFonts w:cs="Arial"/>
                <w:iCs/>
              </w:rPr>
            </w:pPr>
          </w:p>
          <w:tbl>
            <w:tblPr>
              <w:tblStyle w:val="TableGrid"/>
              <w:tblW w:w="0" w:type="auto"/>
              <w:tblLayout w:type="fixed"/>
              <w:tblLook w:val="04A0"/>
            </w:tblPr>
            <w:tblGrid>
              <w:gridCol w:w="967"/>
              <w:gridCol w:w="2070"/>
              <w:gridCol w:w="1980"/>
              <w:gridCol w:w="3510"/>
            </w:tblGrid>
            <w:tr w:rsidR="000C0932" w:rsidTr="003571BD">
              <w:tc>
                <w:tcPr>
                  <w:tcW w:w="967" w:type="dxa"/>
                </w:tcPr>
                <w:p w:rsidR="000C0932" w:rsidRPr="003571BD" w:rsidRDefault="000C0932">
                  <w:pPr>
                    <w:rPr>
                      <w:rFonts w:cs="Arial"/>
                      <w:b/>
                      <w:iCs/>
                    </w:rPr>
                  </w:pPr>
                  <w:r w:rsidRPr="003571BD">
                    <w:rPr>
                      <w:rFonts w:cs="Arial"/>
                      <w:b/>
                      <w:iCs/>
                    </w:rPr>
                    <w:t>Version</w:t>
                  </w:r>
                </w:p>
              </w:tc>
              <w:tc>
                <w:tcPr>
                  <w:tcW w:w="2070" w:type="dxa"/>
                </w:tcPr>
                <w:p w:rsidR="000C0932" w:rsidRPr="003571BD" w:rsidRDefault="000C0932">
                  <w:pPr>
                    <w:rPr>
                      <w:rFonts w:cs="Arial"/>
                      <w:b/>
                      <w:iCs/>
                    </w:rPr>
                  </w:pPr>
                  <w:r w:rsidRPr="003571BD">
                    <w:rPr>
                      <w:rFonts w:cs="Arial"/>
                      <w:b/>
                      <w:iCs/>
                    </w:rPr>
                    <w:t>Written/Revised By</w:t>
                  </w:r>
                </w:p>
              </w:tc>
              <w:tc>
                <w:tcPr>
                  <w:tcW w:w="1980" w:type="dxa"/>
                </w:tcPr>
                <w:p w:rsidR="000C0932" w:rsidRPr="003571BD" w:rsidRDefault="000C0932">
                  <w:pPr>
                    <w:rPr>
                      <w:rFonts w:cs="Arial"/>
                      <w:b/>
                      <w:iCs/>
                    </w:rPr>
                  </w:pPr>
                  <w:r w:rsidRPr="003571BD">
                    <w:rPr>
                      <w:rFonts w:cs="Arial"/>
                      <w:b/>
                      <w:iCs/>
                    </w:rPr>
                    <w:t>Effective Date</w:t>
                  </w:r>
                </w:p>
              </w:tc>
              <w:tc>
                <w:tcPr>
                  <w:tcW w:w="3510" w:type="dxa"/>
                </w:tcPr>
                <w:p w:rsidR="000C0932" w:rsidRPr="003571BD" w:rsidRDefault="000C0932">
                  <w:pPr>
                    <w:rPr>
                      <w:rFonts w:cs="Arial"/>
                      <w:b/>
                      <w:iCs/>
                    </w:rPr>
                  </w:pPr>
                  <w:r w:rsidRPr="003571BD">
                    <w:rPr>
                      <w:rFonts w:cs="Arial"/>
                      <w:b/>
                      <w:iCs/>
                    </w:rPr>
                    <w:t xml:space="preserve">Summary of </w:t>
                  </w:r>
                  <w:r>
                    <w:rPr>
                      <w:rFonts w:cs="Arial"/>
                      <w:b/>
                      <w:iCs/>
                    </w:rPr>
                    <w:t>Revisions</w:t>
                  </w:r>
                </w:p>
              </w:tc>
            </w:tr>
            <w:tr w:rsidR="000C0932" w:rsidTr="003571BD">
              <w:tc>
                <w:tcPr>
                  <w:tcW w:w="967" w:type="dxa"/>
                </w:tcPr>
                <w:p w:rsidR="000C0932" w:rsidRDefault="000C0932">
                  <w:pPr>
                    <w:rPr>
                      <w:rFonts w:cs="Arial"/>
                      <w:iCs/>
                    </w:rPr>
                  </w:pPr>
                  <w:r>
                    <w:rPr>
                      <w:rFonts w:cs="Arial"/>
                      <w:iCs/>
                    </w:rPr>
                    <w:t>1</w:t>
                  </w:r>
                </w:p>
              </w:tc>
              <w:tc>
                <w:tcPr>
                  <w:tcW w:w="2070" w:type="dxa"/>
                </w:tcPr>
                <w:p w:rsidR="000C0932" w:rsidRDefault="000C0932">
                  <w:pPr>
                    <w:rPr>
                      <w:rFonts w:cs="Arial"/>
                      <w:iCs/>
                    </w:rPr>
                  </w:pPr>
                  <w:r>
                    <w:rPr>
                      <w:rFonts w:cs="Arial"/>
                      <w:iCs/>
                    </w:rPr>
                    <w:t>Kelsi Brown</w:t>
                  </w:r>
                  <w:r w:rsidR="001A4719">
                    <w:rPr>
                      <w:rFonts w:cs="Arial"/>
                      <w:iCs/>
                    </w:rPr>
                    <w:t>/ Erin Bartos</w:t>
                  </w:r>
                </w:p>
              </w:tc>
              <w:tc>
                <w:tcPr>
                  <w:tcW w:w="1980" w:type="dxa"/>
                </w:tcPr>
                <w:p w:rsidR="000C0932" w:rsidRDefault="001A4719">
                  <w:pPr>
                    <w:rPr>
                      <w:rFonts w:cs="Arial"/>
                      <w:iCs/>
                    </w:rPr>
                  </w:pPr>
                  <w:r>
                    <w:rPr>
                      <w:rFonts w:cs="Arial"/>
                      <w:iCs/>
                    </w:rPr>
                    <w:t>May 15, 2018</w:t>
                  </w:r>
                </w:p>
              </w:tc>
              <w:tc>
                <w:tcPr>
                  <w:tcW w:w="3510" w:type="dxa"/>
                </w:tcPr>
                <w:p w:rsidR="000C0932" w:rsidRDefault="000C0932">
                  <w:pPr>
                    <w:rPr>
                      <w:rFonts w:cs="Arial"/>
                      <w:iCs/>
                    </w:rPr>
                  </w:pPr>
                  <w:r>
                    <w:rPr>
                      <w:rFonts w:cs="Arial"/>
                      <w:iCs/>
                    </w:rPr>
                    <w:t>New Procedure</w:t>
                  </w:r>
                </w:p>
              </w:tc>
            </w:tr>
            <w:tr w:rsidR="000C0932" w:rsidTr="003571BD">
              <w:tc>
                <w:tcPr>
                  <w:tcW w:w="967" w:type="dxa"/>
                </w:tcPr>
                <w:p w:rsidR="000C0932" w:rsidRDefault="000C0932">
                  <w:pPr>
                    <w:rPr>
                      <w:rFonts w:cs="Arial"/>
                      <w:iCs/>
                    </w:rPr>
                  </w:pPr>
                </w:p>
              </w:tc>
              <w:tc>
                <w:tcPr>
                  <w:tcW w:w="2070" w:type="dxa"/>
                </w:tcPr>
                <w:p w:rsidR="000C0932" w:rsidRDefault="000C0932">
                  <w:pPr>
                    <w:rPr>
                      <w:rFonts w:cs="Arial"/>
                      <w:iCs/>
                    </w:rPr>
                  </w:pPr>
                </w:p>
              </w:tc>
              <w:tc>
                <w:tcPr>
                  <w:tcW w:w="1980" w:type="dxa"/>
                </w:tcPr>
                <w:p w:rsidR="000C0932" w:rsidRDefault="000C0932">
                  <w:pPr>
                    <w:rPr>
                      <w:rFonts w:cs="Arial"/>
                      <w:iCs/>
                    </w:rPr>
                  </w:pPr>
                </w:p>
              </w:tc>
              <w:tc>
                <w:tcPr>
                  <w:tcW w:w="3510" w:type="dxa"/>
                </w:tcPr>
                <w:p w:rsidR="000C0932" w:rsidRDefault="000C0932">
                  <w:pPr>
                    <w:rPr>
                      <w:rFonts w:cs="Arial"/>
                      <w:iCs/>
                    </w:rPr>
                  </w:pPr>
                </w:p>
              </w:tc>
            </w:tr>
            <w:tr w:rsidR="000C0932" w:rsidTr="003571BD">
              <w:tc>
                <w:tcPr>
                  <w:tcW w:w="967" w:type="dxa"/>
                </w:tcPr>
                <w:p w:rsidR="000C0932" w:rsidRDefault="000C0932">
                  <w:pPr>
                    <w:rPr>
                      <w:rFonts w:cs="Arial"/>
                      <w:iCs/>
                    </w:rPr>
                  </w:pPr>
                </w:p>
              </w:tc>
              <w:tc>
                <w:tcPr>
                  <w:tcW w:w="2070" w:type="dxa"/>
                </w:tcPr>
                <w:p w:rsidR="000C0932" w:rsidRDefault="000C0932">
                  <w:pPr>
                    <w:rPr>
                      <w:rFonts w:cs="Arial"/>
                      <w:iCs/>
                    </w:rPr>
                  </w:pPr>
                </w:p>
              </w:tc>
              <w:tc>
                <w:tcPr>
                  <w:tcW w:w="1980" w:type="dxa"/>
                </w:tcPr>
                <w:p w:rsidR="000C0932" w:rsidRDefault="000C0932">
                  <w:pPr>
                    <w:rPr>
                      <w:rFonts w:cs="Arial"/>
                      <w:iCs/>
                    </w:rPr>
                  </w:pPr>
                </w:p>
              </w:tc>
              <w:tc>
                <w:tcPr>
                  <w:tcW w:w="3510" w:type="dxa"/>
                </w:tcPr>
                <w:p w:rsidR="000C0932" w:rsidRDefault="000C0932">
                  <w:pPr>
                    <w:rPr>
                      <w:rFonts w:cs="Arial"/>
                      <w:iCs/>
                    </w:rPr>
                  </w:pPr>
                </w:p>
              </w:tc>
            </w:tr>
          </w:tbl>
          <w:p w:rsidR="000C0932" w:rsidRDefault="000C0932">
            <w:pPr>
              <w:rPr>
                <w:rFonts w:cs="Arial"/>
                <w:iCs/>
              </w:rPr>
            </w:pPr>
          </w:p>
        </w:tc>
      </w:tr>
    </w:tbl>
    <w:p w:rsidR="008C6EDC" w:rsidRDefault="008C6EDC"/>
    <w:sectPr w:rsidR="008C6EDC" w:rsidSect="00287C41">
      <w:headerReference w:type="default" r:id="rId13"/>
      <w:footerReference w:type="default" r:id="rId14"/>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4C3" w:rsidRDefault="00F674C3">
      <w:r>
        <w:separator/>
      </w:r>
    </w:p>
  </w:endnote>
  <w:endnote w:type="continuationSeparator" w:id="0">
    <w:p w:rsidR="00F674C3" w:rsidRDefault="00F6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C3" w:rsidRPr="001A774F" w:rsidRDefault="00F674C3"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sidR="0044141B">
      <w:rPr>
        <w:sz w:val="18"/>
      </w:rPr>
      <w:fldChar w:fldCharType="begin"/>
    </w:r>
    <w:r>
      <w:rPr>
        <w:sz w:val="18"/>
      </w:rPr>
      <w:instrText xml:space="preserve"> PAGE </w:instrText>
    </w:r>
    <w:r w:rsidR="0044141B">
      <w:rPr>
        <w:sz w:val="18"/>
      </w:rPr>
      <w:fldChar w:fldCharType="separate"/>
    </w:r>
    <w:r w:rsidR="00D03C6F">
      <w:rPr>
        <w:noProof/>
        <w:sz w:val="18"/>
      </w:rPr>
      <w:t>1</w:t>
    </w:r>
    <w:r w:rsidR="0044141B">
      <w:rPr>
        <w:sz w:val="18"/>
      </w:rPr>
      <w:fldChar w:fldCharType="end"/>
    </w:r>
    <w:r>
      <w:rPr>
        <w:sz w:val="18"/>
      </w:rPr>
      <w:t xml:space="preserve"> of </w:t>
    </w:r>
    <w:r w:rsidR="0044141B">
      <w:rPr>
        <w:sz w:val="18"/>
      </w:rPr>
      <w:fldChar w:fldCharType="begin"/>
    </w:r>
    <w:r>
      <w:rPr>
        <w:sz w:val="18"/>
      </w:rPr>
      <w:instrText xml:space="preserve"> NUMPAGES </w:instrText>
    </w:r>
    <w:r w:rsidR="0044141B">
      <w:rPr>
        <w:sz w:val="18"/>
      </w:rPr>
      <w:fldChar w:fldCharType="separate"/>
    </w:r>
    <w:r w:rsidR="00D03C6F">
      <w:rPr>
        <w:noProof/>
        <w:sz w:val="18"/>
      </w:rPr>
      <w:t>5</w:t>
    </w:r>
    <w:r w:rsidR="0044141B">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4C3" w:rsidRDefault="00F674C3">
      <w:r>
        <w:separator/>
      </w:r>
    </w:p>
  </w:footnote>
  <w:footnote w:type="continuationSeparator" w:id="0">
    <w:p w:rsidR="00F674C3" w:rsidRDefault="00F6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C3" w:rsidRDefault="0044141B">
    <w:pPr>
      <w:ind w:left="-1260" w:right="-1260"/>
      <w:rPr>
        <w:rFonts w:cs="Arial"/>
        <w:sz w:val="18"/>
      </w:rPr>
    </w:pPr>
    <w:r w:rsidRPr="004414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 wrapcoords="-121 0 -121 21221 21600 21221 21600 0 -121 0">
          <v:imagedata r:id="rId1" o:title="Childrens_MN_2015_logo_2c_RGB_800x257"/>
          <w10:wrap type="tight"/>
        </v:shape>
      </w:pict>
    </w:r>
    <w:r w:rsidR="00F674C3">
      <w:rPr>
        <w:rFonts w:cs="Arial"/>
        <w:sz w:val="18"/>
      </w:rPr>
      <w:t>CH 6.804 Anti-TPO</w:t>
    </w:r>
  </w:p>
  <w:p w:rsidR="00F674C3" w:rsidRDefault="00F674C3">
    <w:pPr>
      <w:ind w:left="-1260" w:right="-1260"/>
      <w:rPr>
        <w:rFonts w:cs="Arial"/>
        <w:sz w:val="18"/>
      </w:rPr>
    </w:pPr>
    <w:r>
      <w:rPr>
        <w:rFonts w:cs="Arial"/>
        <w:sz w:val="18"/>
      </w:rPr>
      <w:t>Version 1</w:t>
    </w:r>
  </w:p>
  <w:p w:rsidR="00F674C3" w:rsidRDefault="00F674C3" w:rsidP="0041516A">
    <w:pPr>
      <w:ind w:left="-1260" w:right="-1260"/>
      <w:rPr>
        <w:rFonts w:cs="Arial"/>
        <w:sz w:val="18"/>
      </w:rPr>
    </w:pPr>
    <w:r>
      <w:rPr>
        <w:rFonts w:cs="Arial"/>
        <w:sz w:val="18"/>
      </w:rPr>
      <w:t>Effective Date: May 15, 2018</w:t>
    </w:r>
  </w:p>
  <w:p w:rsidR="00F674C3" w:rsidRDefault="00F674C3">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04237A"/>
    <w:multiLevelType w:val="hybridMultilevel"/>
    <w:tmpl w:val="C8B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473471"/>
    <w:multiLevelType w:val="hybridMultilevel"/>
    <w:tmpl w:val="64EE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45338"/>
    <w:multiLevelType w:val="hybridMultilevel"/>
    <w:tmpl w:val="BBF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51497D"/>
    <w:multiLevelType w:val="hybridMultilevel"/>
    <w:tmpl w:val="02AE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19"/>
  </w:num>
  <w:num w:numId="4">
    <w:abstractNumId w:val="5"/>
  </w:num>
  <w:num w:numId="5">
    <w:abstractNumId w:val="14"/>
  </w:num>
  <w:num w:numId="6">
    <w:abstractNumId w:val="12"/>
  </w:num>
  <w:num w:numId="7">
    <w:abstractNumId w:val="17"/>
  </w:num>
  <w:num w:numId="8">
    <w:abstractNumId w:val="27"/>
  </w:num>
  <w:num w:numId="9">
    <w:abstractNumId w:val="11"/>
  </w:num>
  <w:num w:numId="10">
    <w:abstractNumId w:val="1"/>
  </w:num>
  <w:num w:numId="11">
    <w:abstractNumId w:val="30"/>
  </w:num>
  <w:num w:numId="12">
    <w:abstractNumId w:val="25"/>
  </w:num>
  <w:num w:numId="13">
    <w:abstractNumId w:val="4"/>
  </w:num>
  <w:num w:numId="14">
    <w:abstractNumId w:val="9"/>
  </w:num>
  <w:num w:numId="15">
    <w:abstractNumId w:val="8"/>
  </w:num>
  <w:num w:numId="16">
    <w:abstractNumId w:val="15"/>
  </w:num>
  <w:num w:numId="17">
    <w:abstractNumId w:val="7"/>
  </w:num>
  <w:num w:numId="18">
    <w:abstractNumId w:val="6"/>
  </w:num>
  <w:num w:numId="19">
    <w:abstractNumId w:val="22"/>
  </w:num>
  <w:num w:numId="20">
    <w:abstractNumId w:val="26"/>
  </w:num>
  <w:num w:numId="21">
    <w:abstractNumId w:val="28"/>
  </w:num>
  <w:num w:numId="22">
    <w:abstractNumId w:val="23"/>
  </w:num>
  <w:num w:numId="23">
    <w:abstractNumId w:val="0"/>
  </w:num>
  <w:num w:numId="24">
    <w:abstractNumId w:val="18"/>
  </w:num>
  <w:num w:numId="25">
    <w:abstractNumId w:val="24"/>
  </w:num>
  <w:num w:numId="26">
    <w:abstractNumId w:val="20"/>
  </w:num>
  <w:num w:numId="27">
    <w:abstractNumId w:val="13"/>
  </w:num>
  <w:num w:numId="28">
    <w:abstractNumId w:val="29"/>
  </w:num>
  <w:num w:numId="29">
    <w:abstractNumId w:val="21"/>
  </w:num>
  <w:num w:numId="30">
    <w:abstractNumId w:val="16"/>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36554"/>
    <w:rsid w:val="0004669D"/>
    <w:rsid w:val="000625DB"/>
    <w:rsid w:val="0007582B"/>
    <w:rsid w:val="0009335B"/>
    <w:rsid w:val="000C0932"/>
    <w:rsid w:val="0011399A"/>
    <w:rsid w:val="00143FF4"/>
    <w:rsid w:val="001A0FFE"/>
    <w:rsid w:val="001A4719"/>
    <w:rsid w:val="001B1C87"/>
    <w:rsid w:val="001D4168"/>
    <w:rsid w:val="001E2DF4"/>
    <w:rsid w:val="001F2FF6"/>
    <w:rsid w:val="002265E2"/>
    <w:rsid w:val="00253C63"/>
    <w:rsid w:val="00260A50"/>
    <w:rsid w:val="0027772A"/>
    <w:rsid w:val="00287C41"/>
    <w:rsid w:val="0029711F"/>
    <w:rsid w:val="002A65EF"/>
    <w:rsid w:val="002D50CB"/>
    <w:rsid w:val="002F385E"/>
    <w:rsid w:val="00344328"/>
    <w:rsid w:val="003571BD"/>
    <w:rsid w:val="00384760"/>
    <w:rsid w:val="003A17CC"/>
    <w:rsid w:val="0041516A"/>
    <w:rsid w:val="0044141B"/>
    <w:rsid w:val="00513F9B"/>
    <w:rsid w:val="005415A7"/>
    <w:rsid w:val="00542D1B"/>
    <w:rsid w:val="005516E7"/>
    <w:rsid w:val="005A610F"/>
    <w:rsid w:val="005C3F41"/>
    <w:rsid w:val="00633DEE"/>
    <w:rsid w:val="00641AD5"/>
    <w:rsid w:val="00707507"/>
    <w:rsid w:val="00712847"/>
    <w:rsid w:val="00814EAD"/>
    <w:rsid w:val="008168BB"/>
    <w:rsid w:val="0083747A"/>
    <w:rsid w:val="008910E9"/>
    <w:rsid w:val="008C6EDC"/>
    <w:rsid w:val="008E43B5"/>
    <w:rsid w:val="009945A2"/>
    <w:rsid w:val="009F5B34"/>
    <w:rsid w:val="00A072CE"/>
    <w:rsid w:val="00A403A4"/>
    <w:rsid w:val="00A52AF8"/>
    <w:rsid w:val="00A82A92"/>
    <w:rsid w:val="00B00AD4"/>
    <w:rsid w:val="00B816B4"/>
    <w:rsid w:val="00BA5BA7"/>
    <w:rsid w:val="00BC1B7A"/>
    <w:rsid w:val="00C0536C"/>
    <w:rsid w:val="00CE6348"/>
    <w:rsid w:val="00CF7522"/>
    <w:rsid w:val="00D0201D"/>
    <w:rsid w:val="00D03C6F"/>
    <w:rsid w:val="00D120DB"/>
    <w:rsid w:val="00D222BD"/>
    <w:rsid w:val="00D6200B"/>
    <w:rsid w:val="00DA7E2D"/>
    <w:rsid w:val="00DE32D9"/>
    <w:rsid w:val="00DF4638"/>
    <w:rsid w:val="00E2166F"/>
    <w:rsid w:val="00E63CB7"/>
    <w:rsid w:val="00F17E2D"/>
    <w:rsid w:val="00F57A6B"/>
    <w:rsid w:val="00F674C3"/>
    <w:rsid w:val="00F74B4F"/>
    <w:rsid w:val="00F814F1"/>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3.ccb.sickkids.ca/caliper/caliperlog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hem/operator/abbott-architect-operations-manua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3.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1753</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12057</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cp:lastModifiedBy>CE155076</cp:lastModifiedBy>
  <cp:revision>12</cp:revision>
  <cp:lastPrinted>2011-06-16T20:36:00Z</cp:lastPrinted>
  <dcterms:created xsi:type="dcterms:W3CDTF">2018-03-23T15:09:00Z</dcterms:created>
  <dcterms:modified xsi:type="dcterms:W3CDTF">2018-05-10T16:47:00Z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