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2"/>
        <w:gridCol w:w="1442"/>
        <w:gridCol w:w="906"/>
        <w:gridCol w:w="1796"/>
        <w:gridCol w:w="364"/>
        <w:gridCol w:w="8"/>
        <w:gridCol w:w="1431"/>
        <w:gridCol w:w="901"/>
        <w:gridCol w:w="2528"/>
        <w:gridCol w:w="2696"/>
        <w:gridCol w:w="2696"/>
      </w:tblGrid>
      <w:tr w:rsidR="00C40263">
        <w:trPr>
          <w:gridAfter w:val="2"/>
          <w:wAfter w:w="5392" w:type="dxa"/>
          <w:cantSplit/>
        </w:trPr>
        <w:tc>
          <w:tcPr>
            <w:tcW w:w="111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40263" w:rsidRDefault="005E0254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ESBL Confirmation by Disk Diffusion</w:t>
            </w:r>
          </w:p>
          <w:p w:rsidR="00C40263" w:rsidRDefault="00C40263">
            <w:pPr>
              <w:pStyle w:val="Custom"/>
            </w:pPr>
          </w:p>
        </w:tc>
      </w:tr>
      <w:tr w:rsidR="00927AD8" w:rsidTr="00927AD8">
        <w:trPr>
          <w:gridAfter w:val="2"/>
          <w:wAfter w:w="5392" w:type="dxa"/>
          <w:trHeight w:val="692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 w:rsidP="001B309C">
            <w:pPr>
              <w:pStyle w:val="TableText"/>
              <w:tabs>
                <w:tab w:val="left" w:pos="3382"/>
              </w:tabs>
              <w:autoSpaceDE/>
              <w:autoSpaceDN/>
              <w:rPr>
                <w:rFonts w:ascii="Arial" w:hAnsi="Arial" w:cs="Arial"/>
                <w:iCs/>
              </w:rPr>
            </w:pPr>
          </w:p>
          <w:p w:rsidR="00927AD8" w:rsidRPr="00927AD8" w:rsidRDefault="00055951" w:rsidP="00F415FA">
            <w:pPr>
              <w:pStyle w:val="TableText"/>
              <w:tabs>
                <w:tab w:val="left" w:pos="3382"/>
              </w:tabs>
              <w:autoSpaceDE/>
              <w:autoSpaceDN/>
              <w:rPr>
                <w:rFonts w:ascii="Arial" w:hAnsi="Arial" w:cs="Arial"/>
                <w:iCs/>
              </w:rPr>
            </w:pPr>
            <w:r w:rsidRPr="00C520E6">
              <w:rPr>
                <w:rFonts w:ascii="Arial" w:hAnsi="Arial" w:cs="Arial"/>
                <w:szCs w:val="20"/>
              </w:rPr>
              <w:t xml:space="preserve">This procedure provides instruction for </w:t>
            </w:r>
            <w:r w:rsidR="00181112">
              <w:rPr>
                <w:rFonts w:ascii="Arial" w:hAnsi="Arial" w:cs="Arial"/>
                <w:szCs w:val="20"/>
              </w:rPr>
              <w:t xml:space="preserve">the </w:t>
            </w:r>
            <w:r w:rsidR="00980619">
              <w:rPr>
                <w:rFonts w:ascii="Arial" w:hAnsi="Arial" w:cs="Arial"/>
                <w:szCs w:val="20"/>
              </w:rPr>
              <w:t>ESBL confirmation test</w:t>
            </w:r>
            <w:r w:rsidR="005E0254">
              <w:rPr>
                <w:rFonts w:ascii="Arial" w:hAnsi="Arial" w:cs="Arial"/>
                <w:szCs w:val="20"/>
              </w:rPr>
              <w:t xml:space="preserve"> by disk diffusion.</w:t>
            </w:r>
          </w:p>
        </w:tc>
      </w:tr>
      <w:tr w:rsidR="004C10C8">
        <w:trPr>
          <w:gridAfter w:val="2"/>
          <w:wAfter w:w="5392" w:type="dxa"/>
          <w:trHeight w:val="33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4C10C8" w:rsidRDefault="004C10C8" w:rsidP="004C10C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Principal</w:t>
            </w:r>
          </w:p>
          <w:p w:rsidR="004C10C8" w:rsidRDefault="004C10C8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254" w:rsidRDefault="005E0254" w:rsidP="005E025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E0254" w:rsidRPr="005E0254" w:rsidRDefault="005E0254" w:rsidP="005E025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E0254">
              <w:rPr>
                <w:rFonts w:ascii="Arial" w:hAnsi="Arial" w:cs="Arial"/>
                <w:sz w:val="20"/>
                <w:szCs w:val="20"/>
              </w:rPr>
              <w:t>Extended-spectrum beta-</w:t>
            </w:r>
            <w:proofErr w:type="spellStart"/>
            <w:r w:rsidRPr="005E0254">
              <w:rPr>
                <w:rFonts w:ascii="Arial" w:hAnsi="Arial" w:cs="Arial"/>
                <w:sz w:val="20"/>
                <w:szCs w:val="20"/>
              </w:rPr>
              <w:t>lactamases</w:t>
            </w:r>
            <w:proofErr w:type="spellEnd"/>
            <w:r w:rsidRPr="005E0254">
              <w:rPr>
                <w:rFonts w:ascii="Arial" w:hAnsi="Arial" w:cs="Arial"/>
                <w:sz w:val="20"/>
                <w:szCs w:val="20"/>
              </w:rPr>
              <w:t xml:space="preserve"> (ESBLs)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254">
              <w:rPr>
                <w:rFonts w:ascii="Arial" w:hAnsi="Arial" w:cs="Arial"/>
                <w:sz w:val="20"/>
                <w:szCs w:val="20"/>
              </w:rPr>
              <w:t>are enzymes that hydrolyze or inactivate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254">
              <w:rPr>
                <w:rFonts w:ascii="Arial" w:hAnsi="Arial" w:cs="Arial"/>
                <w:sz w:val="20"/>
                <w:szCs w:val="20"/>
              </w:rPr>
              <w:t xml:space="preserve">extended-spectrum </w:t>
            </w:r>
            <w:proofErr w:type="spellStart"/>
            <w:r w:rsidRPr="005E0254">
              <w:rPr>
                <w:rFonts w:ascii="Arial" w:hAnsi="Arial" w:cs="Arial"/>
                <w:sz w:val="20"/>
                <w:szCs w:val="20"/>
              </w:rPr>
              <w:t>cephalosporins</w:t>
            </w:r>
            <w:proofErr w:type="spellEnd"/>
            <w:r w:rsidRPr="005E025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E0254">
              <w:rPr>
                <w:rFonts w:ascii="Arial" w:hAnsi="Arial" w:cs="Arial"/>
                <w:sz w:val="20"/>
                <w:szCs w:val="20"/>
              </w:rPr>
              <w:t>aztreonam</w:t>
            </w:r>
            <w:proofErr w:type="spellEnd"/>
            <w:r w:rsidRPr="005E025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254">
              <w:rPr>
                <w:rFonts w:ascii="Arial" w:hAnsi="Arial" w:cs="Arial"/>
                <w:sz w:val="20"/>
                <w:szCs w:val="20"/>
              </w:rPr>
              <w:t xml:space="preserve">and expanded-spectrum </w:t>
            </w:r>
            <w:proofErr w:type="spellStart"/>
            <w:r w:rsidRPr="005E0254">
              <w:rPr>
                <w:rFonts w:ascii="Arial" w:hAnsi="Arial" w:cs="Arial"/>
                <w:sz w:val="20"/>
                <w:szCs w:val="20"/>
              </w:rPr>
              <w:t>penicillins</w:t>
            </w:r>
            <w:proofErr w:type="spellEnd"/>
            <w:r w:rsidRPr="005E025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254">
              <w:rPr>
                <w:rFonts w:ascii="Arial" w:hAnsi="Arial" w:cs="Arial"/>
                <w:sz w:val="20"/>
                <w:szCs w:val="20"/>
              </w:rPr>
              <w:t>ESBL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254">
              <w:rPr>
                <w:rFonts w:ascii="Arial" w:hAnsi="Arial" w:cs="Arial"/>
                <w:sz w:val="20"/>
                <w:szCs w:val="20"/>
              </w:rPr>
              <w:t>activity is blocked by beta-</w:t>
            </w:r>
            <w:proofErr w:type="spellStart"/>
            <w:r w:rsidRPr="005E0254">
              <w:rPr>
                <w:rFonts w:ascii="Arial" w:hAnsi="Arial" w:cs="Arial"/>
                <w:sz w:val="20"/>
                <w:szCs w:val="20"/>
              </w:rPr>
              <w:t>lactamase</w:t>
            </w:r>
            <w:proofErr w:type="spellEnd"/>
            <w:r w:rsidRPr="005E0254">
              <w:rPr>
                <w:rFonts w:ascii="Arial" w:hAnsi="Arial" w:cs="Arial"/>
                <w:sz w:val="20"/>
                <w:szCs w:val="20"/>
              </w:rPr>
              <w:t xml:space="preserve"> inhibitors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254">
              <w:rPr>
                <w:rFonts w:ascii="Arial" w:hAnsi="Arial" w:cs="Arial"/>
                <w:sz w:val="20"/>
                <w:szCs w:val="20"/>
              </w:rPr>
              <w:t xml:space="preserve">such as </w:t>
            </w:r>
            <w:proofErr w:type="spellStart"/>
            <w:r w:rsidRPr="005E0254">
              <w:rPr>
                <w:rFonts w:ascii="Arial" w:hAnsi="Arial" w:cs="Arial"/>
                <w:sz w:val="20"/>
                <w:szCs w:val="20"/>
              </w:rPr>
              <w:t>clavulanic</w:t>
            </w:r>
            <w:proofErr w:type="spellEnd"/>
            <w:r w:rsidRPr="005E0254">
              <w:rPr>
                <w:rFonts w:ascii="Arial" w:hAnsi="Arial" w:cs="Arial"/>
                <w:sz w:val="20"/>
                <w:szCs w:val="20"/>
              </w:rPr>
              <w:t xml:space="preserve"> acid, and laboratory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254">
              <w:rPr>
                <w:rFonts w:ascii="Arial" w:hAnsi="Arial" w:cs="Arial"/>
                <w:sz w:val="20"/>
                <w:szCs w:val="20"/>
              </w:rPr>
              <w:t>tests for confirming ESBL-producing</w:t>
            </w:r>
          </w:p>
          <w:p w:rsidR="005E0254" w:rsidRDefault="005E0254" w:rsidP="005E025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E0254">
              <w:rPr>
                <w:rFonts w:ascii="Arial" w:hAnsi="Arial" w:cs="Arial"/>
                <w:sz w:val="20"/>
                <w:szCs w:val="20"/>
              </w:rPr>
              <w:t>bacteria</w:t>
            </w:r>
            <w:proofErr w:type="gramEnd"/>
            <w:r w:rsidRPr="005E0254">
              <w:rPr>
                <w:rFonts w:ascii="Arial" w:hAnsi="Arial" w:cs="Arial"/>
                <w:sz w:val="20"/>
                <w:szCs w:val="20"/>
              </w:rPr>
              <w:t xml:space="preserve"> are based on this property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E0254" w:rsidRPr="005E0254" w:rsidRDefault="005E0254" w:rsidP="005E025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E0254" w:rsidRPr="005E0254" w:rsidRDefault="005E0254" w:rsidP="005E025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E0254">
              <w:rPr>
                <w:rFonts w:ascii="Arial" w:hAnsi="Arial" w:cs="Arial"/>
                <w:sz w:val="20"/>
                <w:szCs w:val="20"/>
              </w:rPr>
              <w:t>The confirmatory disk diffusion test for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254">
              <w:rPr>
                <w:rFonts w:ascii="Arial" w:hAnsi="Arial" w:cs="Arial"/>
                <w:sz w:val="20"/>
                <w:szCs w:val="20"/>
              </w:rPr>
              <w:t>ESB</w:t>
            </w:r>
            <w:r>
              <w:rPr>
                <w:rFonts w:ascii="Arial" w:hAnsi="Arial" w:cs="Arial"/>
                <w:sz w:val="20"/>
                <w:szCs w:val="20"/>
              </w:rPr>
              <w:t xml:space="preserve">Ls requires four disk tests: </w:t>
            </w:r>
            <w:r w:rsidRPr="005E02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0254">
              <w:rPr>
                <w:rFonts w:ascii="Arial" w:hAnsi="Arial" w:cs="Arial"/>
                <w:sz w:val="20"/>
                <w:szCs w:val="20"/>
              </w:rPr>
              <w:t>ceftazidime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254">
              <w:rPr>
                <w:rFonts w:ascii="Arial" w:hAnsi="Arial" w:cs="Arial"/>
                <w:sz w:val="20"/>
                <w:szCs w:val="20"/>
              </w:rPr>
              <w:t xml:space="preserve">alone,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cefotaxime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alone, </w:t>
            </w:r>
            <w:proofErr w:type="spellStart"/>
            <w:r w:rsidRPr="005E0254">
              <w:rPr>
                <w:rFonts w:ascii="Arial" w:hAnsi="Arial" w:cs="Arial"/>
                <w:sz w:val="20"/>
                <w:szCs w:val="20"/>
              </w:rPr>
              <w:t>ceftazidime</w:t>
            </w:r>
            <w:proofErr w:type="spellEnd"/>
            <w:r w:rsidRPr="005E0254">
              <w:rPr>
                <w:rFonts w:ascii="Arial" w:hAnsi="Arial" w:cs="Arial"/>
                <w:sz w:val="20"/>
                <w:szCs w:val="20"/>
              </w:rPr>
              <w:t xml:space="preserve"> plus </w:t>
            </w:r>
            <w:proofErr w:type="spellStart"/>
            <w:r w:rsidRPr="005E0254">
              <w:rPr>
                <w:rFonts w:ascii="Arial" w:hAnsi="Arial" w:cs="Arial"/>
                <w:sz w:val="20"/>
                <w:szCs w:val="20"/>
              </w:rPr>
              <w:t>clavulanic</w:t>
            </w:r>
            <w:proofErr w:type="spellEnd"/>
            <w:r w:rsidRPr="005E0254">
              <w:rPr>
                <w:rFonts w:ascii="Arial" w:hAnsi="Arial" w:cs="Arial"/>
                <w:sz w:val="20"/>
                <w:szCs w:val="20"/>
              </w:rPr>
              <w:t xml:space="preserve"> acid, and </w:t>
            </w:r>
            <w:proofErr w:type="spellStart"/>
            <w:r w:rsidRPr="005E0254">
              <w:rPr>
                <w:rFonts w:ascii="Arial" w:hAnsi="Arial" w:cs="Arial"/>
                <w:sz w:val="20"/>
                <w:szCs w:val="20"/>
              </w:rPr>
              <w:t>cefotaxime</w:t>
            </w:r>
            <w:proofErr w:type="spellEnd"/>
            <w:r w:rsidRPr="005E0254">
              <w:rPr>
                <w:rFonts w:ascii="Arial" w:hAnsi="Arial" w:cs="Arial"/>
                <w:sz w:val="20"/>
                <w:szCs w:val="20"/>
              </w:rPr>
              <w:t xml:space="preserve"> plus </w:t>
            </w:r>
            <w:proofErr w:type="spellStart"/>
            <w:r w:rsidRPr="005E0254">
              <w:rPr>
                <w:rFonts w:ascii="Arial" w:hAnsi="Arial" w:cs="Arial"/>
                <w:sz w:val="20"/>
                <w:szCs w:val="20"/>
              </w:rPr>
              <w:t>clavulanic</w:t>
            </w:r>
            <w:proofErr w:type="spellEnd"/>
            <w:r w:rsidRPr="005E0254">
              <w:rPr>
                <w:rFonts w:ascii="Arial" w:hAnsi="Arial" w:cs="Arial"/>
                <w:sz w:val="20"/>
                <w:szCs w:val="20"/>
              </w:rPr>
              <w:t xml:space="preserve"> acid. If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254">
              <w:rPr>
                <w:rFonts w:ascii="Arial" w:hAnsi="Arial" w:cs="Arial"/>
                <w:sz w:val="20"/>
                <w:szCs w:val="20"/>
              </w:rPr>
              <w:t xml:space="preserve">zone diameter of either </w:t>
            </w:r>
            <w:proofErr w:type="spellStart"/>
            <w:r w:rsidRPr="005E0254">
              <w:rPr>
                <w:rFonts w:ascii="Arial" w:hAnsi="Arial" w:cs="Arial"/>
                <w:sz w:val="20"/>
                <w:szCs w:val="20"/>
              </w:rPr>
              <w:t>ceftazidime</w:t>
            </w:r>
            <w:proofErr w:type="spellEnd"/>
            <w:r w:rsidRPr="005E0254">
              <w:rPr>
                <w:rFonts w:ascii="Arial" w:hAnsi="Arial" w:cs="Arial"/>
                <w:sz w:val="20"/>
                <w:szCs w:val="20"/>
              </w:rPr>
              <w:t xml:space="preserve"> or </w:t>
            </w:r>
            <w:proofErr w:type="spellStart"/>
            <w:r w:rsidRPr="005E0254">
              <w:rPr>
                <w:rFonts w:ascii="Arial" w:hAnsi="Arial" w:cs="Arial"/>
                <w:sz w:val="20"/>
                <w:szCs w:val="20"/>
              </w:rPr>
              <w:t>cefotaxime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254">
              <w:rPr>
                <w:rFonts w:ascii="Arial" w:hAnsi="Arial" w:cs="Arial"/>
                <w:sz w:val="20"/>
                <w:szCs w:val="20"/>
              </w:rPr>
              <w:t xml:space="preserve">(or both) in the presence of </w:t>
            </w:r>
            <w:proofErr w:type="spellStart"/>
            <w:r w:rsidRPr="005E0254">
              <w:rPr>
                <w:rFonts w:ascii="Arial" w:hAnsi="Arial" w:cs="Arial"/>
                <w:sz w:val="20"/>
                <w:szCs w:val="20"/>
              </w:rPr>
              <w:t>clavulanic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254">
              <w:rPr>
                <w:rFonts w:ascii="Arial" w:hAnsi="Arial" w:cs="Arial"/>
                <w:sz w:val="20"/>
                <w:szCs w:val="20"/>
              </w:rPr>
              <w:t>acid is ≥5 mm larger than the zone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254">
              <w:rPr>
                <w:rFonts w:ascii="Arial" w:hAnsi="Arial" w:cs="Arial"/>
                <w:sz w:val="20"/>
                <w:szCs w:val="20"/>
              </w:rPr>
              <w:t>diameter of the respective agent alone,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254">
              <w:rPr>
                <w:rFonts w:ascii="Arial" w:hAnsi="Arial" w:cs="Arial"/>
                <w:sz w:val="20"/>
                <w:szCs w:val="20"/>
              </w:rPr>
              <w:t>test is considered positive for ESBL production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E0254" w:rsidRPr="005E0254" w:rsidRDefault="005E0254" w:rsidP="005E025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AD8">
        <w:trPr>
          <w:gridAfter w:val="2"/>
          <w:wAfter w:w="5392" w:type="dxa"/>
          <w:trHeight w:val="33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  <w:p w:rsidR="00927AD8" w:rsidRDefault="004C10C8" w:rsidP="004C10C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Policy Statements</w:t>
            </w:r>
          </w:p>
          <w:p w:rsidR="004C10C8" w:rsidRPr="00927AD8" w:rsidRDefault="004C10C8" w:rsidP="004C10C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 w:rsidP="00927AD8">
            <w:pPr>
              <w:rPr>
                <w:rFonts w:ascii="Arial" w:hAnsi="Arial" w:cs="Arial"/>
                <w:sz w:val="20"/>
              </w:rPr>
            </w:pPr>
          </w:p>
          <w:p w:rsidR="00927AD8" w:rsidRDefault="004C10C8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This procedure applies to </w:t>
            </w:r>
            <w:r w:rsidRPr="00210D6D">
              <w:rPr>
                <w:rFonts w:ascii="Arial" w:hAnsi="Arial"/>
                <w:sz w:val="20"/>
                <w:szCs w:val="20"/>
              </w:rPr>
              <w:t>Microbiologists who perform antimicrobial susceptibility testing</w:t>
            </w:r>
          </w:p>
          <w:p w:rsidR="00927AD8" w:rsidRDefault="00927AD8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Test Code</w:t>
            </w:r>
          </w:p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27AD8" w:rsidRDefault="00980619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ESBL</w:t>
            </w:r>
          </w:p>
        </w:tc>
      </w:tr>
      <w:tr w:rsidR="00927AD8" w:rsidTr="009806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left w:val="nil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927AD8" w:rsidTr="009806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80619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QC Strains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Supplies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Equipment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Media</w:t>
            </w:r>
          </w:p>
        </w:tc>
      </w:tr>
      <w:tr w:rsidR="00927AD8" w:rsidTr="009806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trHeight w:val="530"/>
        </w:trPr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19" w:rsidRDefault="00980619" w:rsidP="00980619">
            <w:pPr>
              <w:numPr>
                <w:ilvl w:val="0"/>
                <w:numId w:val="19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i/>
                <w:sz w:val="20"/>
                <w:szCs w:val="20"/>
              </w:rPr>
              <w:t>--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E. coli </w:t>
            </w:r>
            <w:r w:rsidRPr="00F30058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ATCC</w:t>
            </w:r>
            <w:r>
              <w:rPr>
                <w:rFonts w:ascii="Arial" w:hAnsi="Arial" w:cs="Arial"/>
                <w:sz w:val="20"/>
                <w:szCs w:val="20"/>
              </w:rPr>
              <w:t>®</w:t>
            </w:r>
            <w:r>
              <w:rPr>
                <w:rFonts w:ascii="Arial" w:hAnsi="Arial"/>
                <w:sz w:val="20"/>
                <w:szCs w:val="20"/>
              </w:rPr>
              <w:t xml:space="preserve"> 25922</w:t>
            </w:r>
          </w:p>
          <w:p w:rsidR="00980619" w:rsidRPr="00980619" w:rsidRDefault="00980619" w:rsidP="00980619">
            <w:pPr>
              <w:jc w:val="left"/>
              <w:rPr>
                <w:rFonts w:ascii="Arial" w:hAnsi="Arial"/>
                <w:sz w:val="20"/>
              </w:rPr>
            </w:pPr>
          </w:p>
          <w:p w:rsidR="00980619" w:rsidRPr="00980619" w:rsidRDefault="00980619" w:rsidP="00980619">
            <w:pPr>
              <w:numPr>
                <w:ilvl w:val="0"/>
                <w:numId w:val="18"/>
              </w:numPr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Klebsiella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 xml:space="preserve"> pneumoniae</w:t>
            </w:r>
            <w:r w:rsidRPr="00F30058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F30058">
              <w:rPr>
                <w:rFonts w:ascii="Arial" w:hAnsi="Arial"/>
                <w:sz w:val="20"/>
                <w:szCs w:val="20"/>
              </w:rPr>
              <w:t>ATCC</w:t>
            </w:r>
            <w:r>
              <w:rPr>
                <w:rFonts w:ascii="Arial" w:hAnsi="Arial" w:cs="Arial"/>
                <w:sz w:val="20"/>
                <w:szCs w:val="20"/>
              </w:rPr>
              <w:t>®</w:t>
            </w:r>
            <w:r w:rsidRPr="00F30058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700603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19" w:rsidRPr="00EB610B" w:rsidRDefault="00980619" w:rsidP="00773924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EB610B">
              <w:rPr>
                <w:rFonts w:ascii="Arial" w:hAnsi="Arial"/>
                <w:sz w:val="20"/>
                <w:szCs w:val="20"/>
              </w:rPr>
              <w:t>Sterile cotton tip swabs</w:t>
            </w:r>
          </w:p>
          <w:p w:rsidR="00980619" w:rsidRPr="00EB610B" w:rsidRDefault="00980619" w:rsidP="00773924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610B">
              <w:rPr>
                <w:rFonts w:ascii="Arial" w:hAnsi="Arial" w:cs="Arial"/>
                <w:bCs/>
                <w:sz w:val="20"/>
                <w:szCs w:val="20"/>
              </w:rPr>
              <w:t>12 x 75 polystyrene tubes</w:t>
            </w:r>
          </w:p>
          <w:p w:rsidR="00927AD8" w:rsidRDefault="00927AD8" w:rsidP="00980619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19" w:rsidRDefault="00980619" w:rsidP="0098061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ESBL Disk dispenser with ESBL Disks</w:t>
            </w:r>
          </w:p>
          <w:p w:rsidR="00980619" w:rsidRDefault="00980619" w:rsidP="00980619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--CTX 30mcg</w:t>
            </w:r>
          </w:p>
          <w:p w:rsidR="00980619" w:rsidRDefault="00980619" w:rsidP="00980619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980619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--CTX/CLA </w:t>
            </w:r>
            <w:r w:rsidRPr="00980619">
              <w:rPr>
                <w:rFonts w:ascii="Arial" w:hAnsi="Arial"/>
                <w:sz w:val="20"/>
                <w:szCs w:val="20"/>
              </w:rPr>
              <w:t>30/10</w:t>
            </w:r>
            <w:r>
              <w:rPr>
                <w:rFonts w:ascii="Arial" w:hAnsi="Arial"/>
                <w:sz w:val="20"/>
                <w:szCs w:val="20"/>
              </w:rPr>
              <w:t xml:space="preserve"> mcg</w:t>
            </w:r>
          </w:p>
          <w:p w:rsidR="00980619" w:rsidRDefault="00980619" w:rsidP="00980619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980619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--CAZ 30mcg</w:t>
            </w:r>
          </w:p>
          <w:p w:rsidR="004C10C8" w:rsidRDefault="00980619" w:rsidP="00980619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980619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--CAZ/CLA 30/10 </w:t>
            </w:r>
            <w:r w:rsidRPr="00980619">
              <w:rPr>
                <w:rFonts w:ascii="Arial" w:hAnsi="Arial"/>
                <w:sz w:val="20"/>
                <w:szCs w:val="20"/>
              </w:rPr>
              <w:t>mcg</w:t>
            </w:r>
          </w:p>
          <w:p w:rsidR="00773924" w:rsidRDefault="00773924" w:rsidP="00980619">
            <w:pPr>
              <w:jc w:val="left"/>
              <w:rPr>
                <w:rFonts w:ascii="Arial" w:hAnsi="Arial"/>
                <w:sz w:val="20"/>
              </w:rPr>
            </w:pPr>
            <w:proofErr w:type="spellStart"/>
            <w:r w:rsidRPr="00EB610B">
              <w:rPr>
                <w:rFonts w:ascii="Arial" w:hAnsi="Arial" w:cs="Arial"/>
                <w:sz w:val="20"/>
                <w:szCs w:val="20"/>
              </w:rPr>
              <w:t>DensiCHEK</w:t>
            </w:r>
            <w:proofErr w:type="spellEnd"/>
            <w:r w:rsidRPr="00EB610B">
              <w:rPr>
                <w:rFonts w:ascii="Arial" w:hAnsi="Arial" w:cs="Arial"/>
                <w:sz w:val="20"/>
                <w:szCs w:val="20"/>
              </w:rPr>
              <w:t xml:space="preserve"> Plus® (Vitek)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19" w:rsidRPr="00D4237F" w:rsidRDefault="00980619" w:rsidP="00980619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D4237F">
              <w:rPr>
                <w:rFonts w:ascii="Arial" w:hAnsi="Arial" w:cs="Arial"/>
                <w:sz w:val="20"/>
                <w:szCs w:val="20"/>
              </w:rPr>
              <w:t>Agar plates: store at 2-8ºC.</w:t>
            </w:r>
          </w:p>
          <w:p w:rsidR="00980619" w:rsidRDefault="00980619" w:rsidP="00980619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  <w:r w:rsidRPr="00D4237F">
              <w:rPr>
                <w:rFonts w:ascii="Arial" w:hAnsi="Arial" w:cs="Arial"/>
                <w:sz w:val="20"/>
                <w:szCs w:val="20"/>
              </w:rPr>
              <w:t>Mueller-Hinton agar (MH)</w:t>
            </w:r>
          </w:p>
          <w:p w:rsidR="00980619" w:rsidRDefault="00980619" w:rsidP="00980619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--Mini MH  </w:t>
            </w:r>
          </w:p>
          <w:p w:rsidR="00980619" w:rsidRPr="00980619" w:rsidRDefault="00980619" w:rsidP="00980619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Saline-0.45-0.9%</w:t>
            </w:r>
          </w:p>
        </w:tc>
      </w:tr>
      <w:tr w:rsidR="00927AD8">
        <w:trPr>
          <w:gridAfter w:val="2"/>
          <w:wAfter w:w="5392" w:type="dxa"/>
          <w:trHeight w:val="341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pStyle w:val="Custom2"/>
            </w:pPr>
          </w:p>
          <w:p w:rsidR="00927AD8" w:rsidRDefault="002F2A95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Specimen</w:t>
            </w: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  <w:p w:rsidR="002F2A95" w:rsidRPr="00773924" w:rsidRDefault="00980619" w:rsidP="00980619">
            <w:pPr>
              <w:numPr>
                <w:ilvl w:val="0"/>
                <w:numId w:val="17"/>
              </w:numPr>
              <w:jc w:val="left"/>
              <w:rPr>
                <w:rFonts w:ascii="Arial" w:hAnsi="Arial"/>
                <w:sz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Prepare inoculum from 4 or 5 isolated coloni</w:t>
            </w:r>
            <w:r>
              <w:rPr>
                <w:rFonts w:ascii="Arial" w:hAnsi="Arial"/>
                <w:sz w:val="20"/>
                <w:szCs w:val="20"/>
              </w:rPr>
              <w:t xml:space="preserve">es of similar colony morphology using </w:t>
            </w:r>
            <w:r w:rsidRPr="00F30058">
              <w:rPr>
                <w:rFonts w:ascii="Arial" w:hAnsi="Arial"/>
                <w:sz w:val="20"/>
                <w:szCs w:val="20"/>
              </w:rPr>
              <w:t>colonies grown overnight on nonselective medium (e.g. SB or CHOC).</w:t>
            </w:r>
          </w:p>
          <w:p w:rsidR="00773924" w:rsidRPr="00980619" w:rsidRDefault="00773924" w:rsidP="00773924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  <w:p w:rsidR="00980619" w:rsidRDefault="00980619" w:rsidP="00980619">
            <w:pPr>
              <w:numPr>
                <w:ilvl w:val="0"/>
                <w:numId w:val="17"/>
              </w:numPr>
              <w:jc w:val="left"/>
              <w:rPr>
                <w:rFonts w:ascii="Arial" w:hAnsi="Arial"/>
                <w:sz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 xml:space="preserve">Subculture </w:t>
            </w:r>
            <w:r>
              <w:rPr>
                <w:rFonts w:ascii="Arial" w:hAnsi="Arial"/>
                <w:sz w:val="20"/>
                <w:szCs w:val="20"/>
              </w:rPr>
              <w:t xml:space="preserve">QC </w:t>
            </w:r>
            <w:r w:rsidRPr="00F30058">
              <w:rPr>
                <w:rFonts w:ascii="Arial" w:hAnsi="Arial"/>
                <w:sz w:val="20"/>
                <w:szCs w:val="20"/>
              </w:rPr>
              <w:t>stock, frozen, or lyophilized isolates 2 times prior to testing.</w:t>
            </w:r>
          </w:p>
          <w:p w:rsidR="002F2A95" w:rsidRDefault="002F2A9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927AD8" w:rsidRDefault="00927AD8">
            <w:pPr>
              <w:rPr>
                <w:rFonts w:ascii="Arial" w:hAnsi="Arial" w:cs="Arial"/>
                <w:sz w:val="20"/>
              </w:rPr>
            </w:pPr>
          </w:p>
          <w:p w:rsidR="00927AD8" w:rsidRDefault="00927AD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Microbiologists/virologists are subject to occupational risks associated with specimen handling. Refer to the safety policies located in the safety section of the </w:t>
            </w:r>
            <w:r>
              <w:rPr>
                <w:rFonts w:ascii="Arial" w:hAnsi="Arial" w:cs="Arial"/>
                <w:i/>
                <w:sz w:val="20"/>
                <w:u w:val="single"/>
              </w:rPr>
              <w:t>Microbiology Procedure Manual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and the </w:t>
            </w:r>
            <w:r>
              <w:rPr>
                <w:rFonts w:ascii="Arial" w:hAnsi="Arial" w:cs="Arial"/>
                <w:i/>
                <w:sz w:val="20"/>
                <w:u w:val="single"/>
              </w:rPr>
              <w:t>Virology Procedure Manual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  <w:p w:rsidR="00927AD8" w:rsidRPr="00181112" w:rsidRDefault="007543D6" w:rsidP="00181112">
            <w:pPr>
              <w:numPr>
                <w:ilvl w:val="0"/>
                <w:numId w:val="34"/>
              </w:numPr>
              <w:rPr>
                <w:rFonts w:ascii="Arial" w:hAnsi="Arial" w:cs="Arial"/>
                <w:sz w:val="20"/>
              </w:rPr>
            </w:pPr>
            <w:hyperlink r:id="rId7" w:history="1">
              <w:r w:rsidR="00927AD8" w:rsidRPr="00181112">
                <w:rPr>
                  <w:rStyle w:val="Hyperlink"/>
                  <w:rFonts w:ascii="Arial" w:hAnsi="Arial" w:cs="Arial"/>
                  <w:sz w:val="20"/>
                </w:rPr>
                <w:t>Biohazard Containment</w:t>
              </w:r>
            </w:hyperlink>
          </w:p>
          <w:p w:rsidR="00927AD8" w:rsidRPr="00181112" w:rsidRDefault="007543D6" w:rsidP="00181112">
            <w:pPr>
              <w:numPr>
                <w:ilvl w:val="0"/>
                <w:numId w:val="34"/>
              </w:numPr>
              <w:rPr>
                <w:rFonts w:ascii="Arial" w:hAnsi="Arial" w:cs="Arial"/>
                <w:sz w:val="20"/>
              </w:rPr>
            </w:pPr>
            <w:hyperlink r:id="rId8" w:history="1">
              <w:r w:rsidR="00927AD8" w:rsidRPr="00181112">
                <w:rPr>
                  <w:rStyle w:val="Hyperlink"/>
                  <w:rFonts w:ascii="Arial" w:hAnsi="Arial" w:cs="Arial"/>
                  <w:sz w:val="20"/>
                </w:rPr>
                <w:t>Safety in the Microbiology/Virology Laboratory</w:t>
              </w:r>
            </w:hyperlink>
          </w:p>
          <w:p w:rsidR="00927AD8" w:rsidRPr="00181112" w:rsidRDefault="007543D6" w:rsidP="00181112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  <w:hyperlink r:id="rId9" w:history="1">
              <w:proofErr w:type="spellStart"/>
              <w:r w:rsidR="00927AD8" w:rsidRPr="00181112">
                <w:rPr>
                  <w:rStyle w:val="Hyperlink"/>
                  <w:rFonts w:ascii="Arial" w:hAnsi="Arial" w:cs="Arial"/>
                  <w:sz w:val="20"/>
                </w:rPr>
                <w:t>Biohazardous</w:t>
              </w:r>
              <w:proofErr w:type="spellEnd"/>
              <w:r w:rsidR="00927AD8" w:rsidRPr="00181112">
                <w:rPr>
                  <w:rStyle w:val="Hyperlink"/>
                  <w:rFonts w:ascii="Arial" w:hAnsi="Arial" w:cs="Arial"/>
                  <w:sz w:val="20"/>
                </w:rPr>
                <w:t xml:space="preserve"> Spills</w:t>
              </w:r>
            </w:hyperlink>
          </w:p>
          <w:p w:rsidR="00927AD8" w:rsidRDefault="00927AD8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927A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Quality Control</w:t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927AD8" w:rsidRPr="00773924" w:rsidRDefault="00773924" w:rsidP="00F415FA">
            <w:pPr>
              <w:numPr>
                <w:ilvl w:val="0"/>
                <w:numId w:val="1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szCs w:val="20"/>
              </w:rPr>
              <w:t>ESBL QC is done on each day of use.</w:t>
            </w:r>
          </w:p>
          <w:p w:rsidR="00773924" w:rsidRDefault="00773924" w:rsidP="00F415FA">
            <w:pPr>
              <w:numPr>
                <w:ilvl w:val="0"/>
                <w:numId w:val="10"/>
              </w:numPr>
              <w:jc w:val="left"/>
              <w:rPr>
                <w:rFonts w:ascii="Arial" w:hAnsi="Arial"/>
                <w:sz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If there is a QC failure, document observation, notify supervisor and proceed with corrective action.  Do not report patient results until the problem is resolved.</w:t>
            </w:r>
          </w:p>
        </w:tc>
      </w:tr>
      <w:tr w:rsidR="00927AD8"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A9657C" w:rsidRDefault="00A9657C" w:rsidP="00A9657C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773924" w:rsidRDefault="00773924" w:rsidP="00A9657C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773924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 xml:space="preserve">Out of Control Results due to </w:t>
            </w: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t>obvious error</w:t>
            </w: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2A95" w:rsidRDefault="002F2A95">
            <w:pPr>
              <w:rPr>
                <w:rFonts w:ascii="Arial" w:hAnsi="Arial"/>
                <w:sz w:val="20"/>
              </w:rPr>
            </w:pPr>
          </w:p>
          <w:p w:rsidR="00773924" w:rsidRDefault="00773924" w:rsidP="00773924">
            <w:pPr>
              <w:numPr>
                <w:ilvl w:val="0"/>
                <w:numId w:val="21"/>
              </w:numPr>
              <w:rPr>
                <w:rFonts w:ascii="Arial" w:hAnsi="Arial"/>
                <w:sz w:val="20"/>
              </w:rPr>
            </w:pPr>
            <w:r w:rsidRPr="00773924">
              <w:rPr>
                <w:rFonts w:ascii="Arial" w:hAnsi="Arial"/>
                <w:sz w:val="20"/>
                <w:szCs w:val="20"/>
              </w:rPr>
              <w:t>Document the reason and retest the strain on the day</w:t>
            </w:r>
          </w:p>
          <w:p w:rsidR="00773924" w:rsidRPr="00773924" w:rsidRDefault="00773924" w:rsidP="00773924">
            <w:pPr>
              <w:numPr>
                <w:ilvl w:val="0"/>
                <w:numId w:val="21"/>
              </w:numPr>
              <w:rPr>
                <w:rFonts w:ascii="Arial" w:hAnsi="Arial"/>
                <w:sz w:val="20"/>
              </w:rPr>
            </w:pPr>
            <w:r w:rsidRPr="00773924">
              <w:rPr>
                <w:rFonts w:ascii="Arial" w:hAnsi="Arial"/>
                <w:sz w:val="20"/>
                <w:szCs w:val="20"/>
              </w:rPr>
              <w:t>If the repeated result is within range, no further corrective action is necessary.</w:t>
            </w:r>
          </w:p>
          <w:p w:rsidR="00773924" w:rsidRPr="00773924" w:rsidRDefault="00773924" w:rsidP="00773924">
            <w:pPr>
              <w:numPr>
                <w:ilvl w:val="0"/>
                <w:numId w:val="21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Examples of obvious error include: </w:t>
            </w:r>
            <w:r w:rsidRPr="00773924">
              <w:rPr>
                <w:rFonts w:ascii="Arial" w:hAnsi="Arial"/>
                <w:sz w:val="20"/>
                <w:szCs w:val="20"/>
              </w:rPr>
              <w:t>Use of wrong disk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773924">
              <w:rPr>
                <w:rFonts w:ascii="Arial" w:hAnsi="Arial"/>
                <w:sz w:val="20"/>
                <w:szCs w:val="20"/>
              </w:rPr>
              <w:t>Use of wrong control strain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773924">
              <w:rPr>
                <w:rFonts w:ascii="Arial" w:hAnsi="Arial"/>
                <w:sz w:val="20"/>
                <w:szCs w:val="20"/>
              </w:rPr>
              <w:lastRenderedPageBreak/>
              <w:t>Contamination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773924">
              <w:rPr>
                <w:rFonts w:ascii="Arial" w:hAnsi="Arial"/>
                <w:sz w:val="20"/>
                <w:szCs w:val="20"/>
              </w:rPr>
              <w:t>Wrong incubation temperature or conditions</w:t>
            </w:r>
            <w:r>
              <w:rPr>
                <w:rFonts w:ascii="Arial" w:hAnsi="Arial"/>
                <w:sz w:val="20"/>
              </w:rPr>
              <w:t>.</w:t>
            </w:r>
          </w:p>
          <w:p w:rsidR="00773924" w:rsidRDefault="00773924">
            <w:pPr>
              <w:rPr>
                <w:rFonts w:ascii="Arial" w:hAnsi="Arial"/>
                <w:sz w:val="20"/>
              </w:rPr>
            </w:pPr>
          </w:p>
        </w:tc>
      </w:tr>
      <w:tr w:rsidR="00773924"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773924" w:rsidRDefault="00773924" w:rsidP="00A9657C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773924" w:rsidRDefault="00773924" w:rsidP="00A9657C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773924" w:rsidRDefault="00773924" w:rsidP="00A9657C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Out of Control Results not due to obvious error</w:t>
            </w: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3924" w:rsidRDefault="00773924" w:rsidP="00696855">
            <w:pPr>
              <w:numPr>
                <w:ilvl w:val="0"/>
                <w:numId w:val="26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Investigate possible procedural problems: Correct zone measurements</w:t>
            </w:r>
            <w:r w:rsidR="00696855">
              <w:rPr>
                <w:rFonts w:ascii="Arial" w:hAnsi="Arial"/>
                <w:sz w:val="20"/>
                <w:szCs w:val="20"/>
              </w:rPr>
              <w:t xml:space="preserve">, </w:t>
            </w:r>
            <w:r w:rsidRPr="00696855">
              <w:rPr>
                <w:rFonts w:ascii="Arial" w:hAnsi="Arial"/>
                <w:sz w:val="20"/>
                <w:szCs w:val="20"/>
              </w:rPr>
              <w:t>Standardization of the inoculum</w:t>
            </w:r>
            <w:r w:rsidR="00696855">
              <w:rPr>
                <w:rFonts w:ascii="Arial" w:hAnsi="Arial"/>
                <w:sz w:val="20"/>
                <w:szCs w:val="20"/>
              </w:rPr>
              <w:t xml:space="preserve">, </w:t>
            </w:r>
            <w:r w:rsidRPr="00696855">
              <w:rPr>
                <w:rFonts w:ascii="Arial" w:hAnsi="Arial"/>
                <w:sz w:val="20"/>
                <w:szCs w:val="20"/>
              </w:rPr>
              <w:t>Storage and expiration dates of the disks</w:t>
            </w:r>
            <w:r w:rsidR="00696855">
              <w:rPr>
                <w:rFonts w:ascii="Arial" w:hAnsi="Arial"/>
                <w:sz w:val="20"/>
                <w:szCs w:val="20"/>
              </w:rPr>
              <w:t xml:space="preserve">, </w:t>
            </w:r>
            <w:r w:rsidRPr="00696855">
              <w:rPr>
                <w:rFonts w:ascii="Arial" w:hAnsi="Arial"/>
                <w:sz w:val="20"/>
                <w:szCs w:val="20"/>
              </w:rPr>
              <w:t>Incubation conditions</w:t>
            </w:r>
            <w:r w:rsidR="00696855">
              <w:rPr>
                <w:rFonts w:ascii="Arial" w:hAnsi="Arial"/>
                <w:sz w:val="20"/>
                <w:szCs w:val="20"/>
              </w:rPr>
              <w:t xml:space="preserve">, </w:t>
            </w:r>
            <w:r w:rsidRPr="00696855">
              <w:rPr>
                <w:rFonts w:ascii="Arial" w:hAnsi="Arial"/>
                <w:sz w:val="20"/>
                <w:szCs w:val="20"/>
              </w:rPr>
              <w:t>Control strain was not contaminated</w:t>
            </w:r>
            <w:r w:rsidR="00696855">
              <w:rPr>
                <w:rFonts w:ascii="Arial" w:hAnsi="Arial"/>
                <w:sz w:val="20"/>
                <w:szCs w:val="20"/>
              </w:rPr>
              <w:t xml:space="preserve">, </w:t>
            </w:r>
            <w:r w:rsidRPr="00696855">
              <w:rPr>
                <w:rFonts w:ascii="Arial" w:hAnsi="Arial"/>
                <w:sz w:val="20"/>
                <w:szCs w:val="20"/>
              </w:rPr>
              <w:t>Control organism was more than 24 h old</w:t>
            </w:r>
            <w:r w:rsidR="00696855">
              <w:rPr>
                <w:rFonts w:ascii="Arial" w:hAnsi="Arial"/>
                <w:sz w:val="20"/>
                <w:szCs w:val="20"/>
              </w:rPr>
              <w:t>.</w:t>
            </w:r>
          </w:p>
          <w:p w:rsidR="00696855" w:rsidRDefault="00696855" w:rsidP="00696855">
            <w:pPr>
              <w:numPr>
                <w:ilvl w:val="0"/>
                <w:numId w:val="26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Perform alternate test method until the problem is resolved.</w:t>
            </w:r>
          </w:p>
          <w:p w:rsidR="00696855" w:rsidRDefault="00696855" w:rsidP="00696855">
            <w:pPr>
              <w:numPr>
                <w:ilvl w:val="0"/>
                <w:numId w:val="26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Suppress the results for the individual antimicrobial agent.</w:t>
            </w:r>
          </w:p>
          <w:p w:rsidR="00696855" w:rsidRDefault="00696855" w:rsidP="00696855">
            <w:pPr>
              <w:numPr>
                <w:ilvl w:val="0"/>
                <w:numId w:val="26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Test the antimicrobial agent for 5 consecutive days. Record all results.</w:t>
            </w:r>
          </w:p>
          <w:p w:rsidR="00696855" w:rsidRDefault="00696855" w:rsidP="00696855">
            <w:pPr>
              <w:numPr>
                <w:ilvl w:val="0"/>
                <w:numId w:val="26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If all 5 zone diameters are within range, no additional corrective action is necessary.</w:t>
            </w:r>
          </w:p>
          <w:p w:rsidR="00696855" w:rsidRDefault="00696855" w:rsidP="00696855">
            <w:pPr>
              <w:numPr>
                <w:ilvl w:val="0"/>
                <w:numId w:val="26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If the problem is not resolved (1 or more diameters out of range), daily QC testing must be done until the problem is resolved.</w:t>
            </w:r>
          </w:p>
          <w:p w:rsidR="00696855" w:rsidRDefault="00696855" w:rsidP="00696855">
            <w:pPr>
              <w:numPr>
                <w:ilvl w:val="0"/>
                <w:numId w:val="26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It may be necessary to obtain a new QC organism either from the frozen stock or from BD.</w:t>
            </w:r>
          </w:p>
          <w:p w:rsidR="00696855" w:rsidRPr="00696855" w:rsidRDefault="00696855" w:rsidP="00696855">
            <w:pPr>
              <w:numPr>
                <w:ilvl w:val="0"/>
                <w:numId w:val="26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Call BD technical service at 1-800-638-8663 if it may be a manufacturer problem.</w:t>
            </w:r>
          </w:p>
          <w:p w:rsidR="00773924" w:rsidRDefault="00773924">
            <w:pPr>
              <w:rPr>
                <w:rFonts w:ascii="Arial" w:hAnsi="Arial"/>
                <w:sz w:val="20"/>
              </w:rPr>
            </w:pPr>
          </w:p>
        </w:tc>
      </w:tr>
      <w:tr w:rsidR="00927AD8">
        <w:trPr>
          <w:gridAfter w:val="2"/>
          <w:wAfter w:w="5392" w:type="dxa"/>
          <w:trHeight w:val="2582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696855" w:rsidRDefault="00696855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696855" w:rsidRDefault="00696855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696855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 xml:space="preserve">ESBL </w:t>
            </w:r>
            <w:r w:rsidR="002F2A95"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254" w:rsidRPr="005E0254" w:rsidRDefault="00696855" w:rsidP="005E0254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07214C">
              <w:rPr>
                <w:rFonts w:ascii="Arial" w:hAnsi="Arial"/>
                <w:sz w:val="20"/>
                <w:szCs w:val="20"/>
              </w:rPr>
              <w:t>Bring plates and dispensers to RT before use.  ESBL dispenser (stored frozen) should equilibrate to RT for at least an hour.</w:t>
            </w:r>
          </w:p>
          <w:p w:rsidR="005E0254" w:rsidRPr="005E0254" w:rsidRDefault="00696855" w:rsidP="005E0254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07214C">
              <w:rPr>
                <w:rFonts w:ascii="Arial" w:hAnsi="Arial"/>
                <w:sz w:val="20"/>
                <w:szCs w:val="20"/>
              </w:rPr>
              <w:t>Pick isolated colonies from 18-24 h growth on non-selective media (SB or CHOC)</w:t>
            </w:r>
          </w:p>
          <w:p w:rsidR="00696855" w:rsidRPr="00181112" w:rsidRDefault="00696855" w:rsidP="008A35A9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07214C">
              <w:rPr>
                <w:rFonts w:ascii="Arial" w:hAnsi="Arial"/>
                <w:sz w:val="20"/>
                <w:szCs w:val="20"/>
              </w:rPr>
              <w:t>Make a direct suspension</w:t>
            </w:r>
            <w:r>
              <w:rPr>
                <w:rFonts w:ascii="Arial" w:hAnsi="Arial"/>
                <w:sz w:val="20"/>
                <w:szCs w:val="20"/>
              </w:rPr>
              <w:t xml:space="preserve"> in 3ml</w:t>
            </w:r>
            <w:r w:rsidRPr="0007214C">
              <w:rPr>
                <w:rFonts w:ascii="Arial" w:hAnsi="Arial"/>
                <w:sz w:val="20"/>
                <w:szCs w:val="20"/>
              </w:rPr>
              <w:t xml:space="preserve"> saline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181112">
              <w:rPr>
                <w:rFonts w:ascii="Arial" w:hAnsi="Arial"/>
                <w:sz w:val="20"/>
                <w:szCs w:val="20"/>
              </w:rPr>
              <w:t xml:space="preserve">and </w:t>
            </w:r>
            <w:r>
              <w:rPr>
                <w:rFonts w:ascii="Arial" w:hAnsi="Arial"/>
                <w:sz w:val="20"/>
                <w:szCs w:val="20"/>
              </w:rPr>
              <w:t>u</w:t>
            </w:r>
            <w:r w:rsidRPr="0007214C">
              <w:rPr>
                <w:rFonts w:ascii="Arial" w:hAnsi="Arial"/>
                <w:sz w:val="20"/>
                <w:szCs w:val="20"/>
              </w:rPr>
              <w:t xml:space="preserve">sing the Vitek </w:t>
            </w:r>
            <w:proofErr w:type="spellStart"/>
            <w:r w:rsidRPr="0007214C">
              <w:rPr>
                <w:rFonts w:ascii="Arial" w:hAnsi="Arial"/>
                <w:sz w:val="20"/>
                <w:szCs w:val="20"/>
              </w:rPr>
              <w:t>DensiCHEK</w:t>
            </w:r>
            <w:proofErr w:type="spellEnd"/>
            <w:r w:rsidRPr="0007214C">
              <w:rPr>
                <w:rFonts w:ascii="Arial" w:hAnsi="Arial"/>
                <w:sz w:val="20"/>
                <w:szCs w:val="20"/>
              </w:rPr>
              <w:t xml:space="preserve"> Plus</w:t>
            </w:r>
            <w:r w:rsidRPr="0007214C">
              <w:rPr>
                <w:rFonts w:ascii="Arial" w:hAnsi="Arial" w:cs="Arial"/>
                <w:sz w:val="20"/>
                <w:szCs w:val="20"/>
              </w:rPr>
              <w:t>®</w:t>
            </w:r>
            <w:r w:rsidRPr="0007214C">
              <w:rPr>
                <w:rFonts w:ascii="Arial" w:hAnsi="Arial"/>
                <w:sz w:val="20"/>
                <w:szCs w:val="20"/>
              </w:rPr>
              <w:t>, obtain a reading of 0.5 - 0.55, (</w:t>
            </w:r>
            <w:r w:rsidRPr="0007214C">
              <w:rPr>
                <w:rFonts w:ascii="Arial" w:hAnsi="Arial"/>
                <w:b/>
                <w:sz w:val="20"/>
                <w:szCs w:val="20"/>
              </w:rPr>
              <w:t>not</w:t>
            </w:r>
            <w:r w:rsidRPr="0007214C">
              <w:rPr>
                <w:rFonts w:ascii="Arial" w:hAnsi="Arial"/>
                <w:sz w:val="20"/>
                <w:szCs w:val="20"/>
              </w:rPr>
              <w:t xml:space="preserve"> up to 0.62 as for Vitek methods).</w:t>
            </w:r>
          </w:p>
          <w:p w:rsidR="00181112" w:rsidRDefault="00181112" w:rsidP="00181112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07214C">
              <w:rPr>
                <w:rFonts w:ascii="Arial" w:hAnsi="Arial"/>
                <w:sz w:val="20"/>
                <w:szCs w:val="20"/>
              </w:rPr>
              <w:t>Use the adjusted inoculum suspension to inoculate AST test plate within 15 minutes.</w:t>
            </w:r>
          </w:p>
          <w:p w:rsidR="00696855" w:rsidRPr="00181112" w:rsidRDefault="00696855" w:rsidP="00181112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181112">
              <w:rPr>
                <w:rFonts w:ascii="Arial" w:hAnsi="Arial"/>
                <w:sz w:val="20"/>
                <w:szCs w:val="20"/>
              </w:rPr>
              <w:t>Dip sterile swab into the suspension. Rotate swab against the wall of the tube above the liquid to remove excess inoculum.</w:t>
            </w:r>
          </w:p>
          <w:p w:rsidR="00696855" w:rsidRPr="00696855" w:rsidRDefault="00696855" w:rsidP="008A35A9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07214C">
              <w:rPr>
                <w:rFonts w:ascii="Arial" w:hAnsi="Arial"/>
                <w:sz w:val="20"/>
                <w:szCs w:val="20"/>
              </w:rPr>
              <w:t xml:space="preserve">Inoculate the dried surface of the MH plate.  First streak of swab should go down the middle of the plate.  </w:t>
            </w:r>
          </w:p>
          <w:p w:rsidR="008E0C2E" w:rsidRPr="00696855" w:rsidRDefault="00696855" w:rsidP="008A35A9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696855">
              <w:rPr>
                <w:rFonts w:ascii="Arial" w:hAnsi="Arial"/>
                <w:sz w:val="20"/>
                <w:szCs w:val="20"/>
              </w:rPr>
              <w:t>Repeat this procedure 3 times, rotating the plate approximately 60º between streaking    to ensure even distribution. Avoid hitting the sides of the plate to prevent aerosols.</w:t>
            </w:r>
          </w:p>
          <w:p w:rsidR="00696855" w:rsidRPr="0089505C" w:rsidRDefault="00696855" w:rsidP="008A35A9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szCs w:val="20"/>
              </w:rPr>
              <w:t>R</w:t>
            </w:r>
            <w:r w:rsidRPr="00696855">
              <w:rPr>
                <w:rFonts w:ascii="Arial" w:hAnsi="Arial"/>
                <w:sz w:val="20"/>
                <w:szCs w:val="20"/>
              </w:rPr>
              <w:t>un the swab around the rim of the agar to remove excess moisture.</w:t>
            </w:r>
          </w:p>
          <w:p w:rsidR="0089505C" w:rsidRPr="0089505C" w:rsidRDefault="0089505C" w:rsidP="0089505C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07214C">
              <w:rPr>
                <w:rFonts w:ascii="Arial" w:hAnsi="Arial"/>
                <w:sz w:val="20"/>
                <w:szCs w:val="20"/>
              </w:rPr>
              <w:t xml:space="preserve">Allow plate to stand 3-5 minutes, (no more than 15) before applying the disks.  </w:t>
            </w:r>
          </w:p>
          <w:p w:rsidR="00696855" w:rsidRPr="00696855" w:rsidRDefault="00696855" w:rsidP="008A35A9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07214C">
              <w:rPr>
                <w:rFonts w:ascii="Arial" w:hAnsi="Arial"/>
                <w:sz w:val="20"/>
                <w:szCs w:val="20"/>
              </w:rPr>
              <w:t>Apply the disks using the self-tamping dispenser. Because some of the drug diffuses almost instantaneously, do not relocate disks once they have made contact with the plate.</w:t>
            </w:r>
          </w:p>
          <w:p w:rsidR="00696855" w:rsidRPr="00696855" w:rsidRDefault="00696855" w:rsidP="008A35A9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07214C">
              <w:rPr>
                <w:rFonts w:ascii="Arial" w:hAnsi="Arial"/>
                <w:sz w:val="20"/>
                <w:szCs w:val="20"/>
              </w:rPr>
              <w:t>Invert plates and incubate within 15 minutes after the disks are applied.</w:t>
            </w:r>
          </w:p>
          <w:p w:rsidR="00696855" w:rsidRPr="00826E8B" w:rsidRDefault="00696855" w:rsidP="008A35A9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8C1148">
              <w:rPr>
                <w:rFonts w:ascii="Arial" w:hAnsi="Arial" w:cs="Arial"/>
                <w:sz w:val="20"/>
                <w:szCs w:val="20"/>
              </w:rPr>
              <w:t xml:space="preserve">Incubate 35ºC, </w:t>
            </w:r>
            <w:r>
              <w:rPr>
                <w:rFonts w:ascii="Arial" w:hAnsi="Arial" w:cs="Arial"/>
                <w:sz w:val="20"/>
                <w:szCs w:val="20"/>
              </w:rPr>
              <w:t>16-</w:t>
            </w:r>
            <w:r w:rsidRPr="008C1148">
              <w:rPr>
                <w:rFonts w:ascii="Arial" w:hAnsi="Arial" w:cs="Arial"/>
                <w:sz w:val="20"/>
                <w:szCs w:val="20"/>
              </w:rPr>
              <w:t xml:space="preserve">18 hr, </w:t>
            </w: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8C1148">
              <w:rPr>
                <w:rFonts w:ascii="Arial" w:hAnsi="Arial" w:cs="Arial"/>
                <w:sz w:val="20"/>
                <w:szCs w:val="20"/>
              </w:rPr>
              <w:t>ambient air.</w:t>
            </w:r>
          </w:p>
          <w:p w:rsidR="00826E8B" w:rsidRPr="00696855" w:rsidRDefault="00826E8B" w:rsidP="008A35A9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Freeze positive isolates for further studies.</w:t>
            </w:r>
          </w:p>
        </w:tc>
      </w:tr>
      <w:tr w:rsidR="00927AD8">
        <w:trPr>
          <w:gridAfter w:val="2"/>
          <w:wAfter w:w="5392" w:type="dxa"/>
          <w:trHeight w:val="541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br w:type="page"/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Interpr</w:t>
            </w:r>
            <w:r w:rsidR="006A1117">
              <w:rPr>
                <w:rFonts w:ascii="Arial" w:hAnsi="Arial"/>
                <w:b/>
                <w:color w:val="0000FF"/>
                <w:sz w:val="20"/>
              </w:rPr>
              <w:t>etation/ Results</w:t>
            </w: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  <w:p w:rsidR="00696855" w:rsidRDefault="0089505C" w:rsidP="006A1117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  <w:tab w:val="left" w:pos="720"/>
                <w:tab w:val="center" w:pos="1440"/>
              </w:tabs>
              <w:rPr>
                <w:rFonts w:ascii="Arial" w:hAnsi="Arial"/>
                <w:sz w:val="20"/>
                <w:szCs w:val="20"/>
              </w:rPr>
            </w:pPr>
            <w:r w:rsidRPr="0089505C">
              <w:rPr>
                <w:rFonts w:ascii="Arial" w:hAnsi="Arial"/>
                <w:b/>
                <w:sz w:val="20"/>
                <w:szCs w:val="20"/>
              </w:rPr>
              <w:t>Positive for ESBL production</w:t>
            </w:r>
            <w:r w:rsidRPr="0089505C">
              <w:rPr>
                <w:rFonts w:ascii="Arial" w:hAnsi="Arial"/>
                <w:sz w:val="20"/>
                <w:szCs w:val="20"/>
              </w:rPr>
              <w:t>: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89505C">
              <w:rPr>
                <w:rFonts w:ascii="Arial" w:hAnsi="Arial"/>
                <w:sz w:val="20"/>
                <w:szCs w:val="20"/>
              </w:rPr>
              <w:t>a</w:t>
            </w:r>
            <w:r w:rsidR="00696855" w:rsidRPr="0089505C">
              <w:rPr>
                <w:rFonts w:ascii="Arial" w:hAnsi="Arial"/>
                <w:sz w:val="20"/>
                <w:szCs w:val="20"/>
              </w:rPr>
              <w:t xml:space="preserve"> ≥ 5 mm increase</w:t>
            </w:r>
            <w:r w:rsidR="00696855" w:rsidRPr="005B344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696855" w:rsidRPr="00147414">
              <w:rPr>
                <w:rFonts w:ascii="Arial" w:hAnsi="Arial"/>
                <w:sz w:val="20"/>
                <w:szCs w:val="20"/>
              </w:rPr>
              <w:t xml:space="preserve">in a zone diameter for either CTX/CLA or CAZ/CLA vs. CTX or </w:t>
            </w:r>
            <w:r>
              <w:rPr>
                <w:rFonts w:ascii="Arial" w:hAnsi="Arial"/>
                <w:sz w:val="20"/>
                <w:szCs w:val="20"/>
              </w:rPr>
              <w:t>CAZ alone.</w:t>
            </w:r>
            <w:r w:rsidR="006A1117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89505C" w:rsidRDefault="0089505C" w:rsidP="0089505C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  <w:tab w:val="left" w:pos="720"/>
                <w:tab w:val="center" w:pos="1440"/>
              </w:tabs>
              <w:rPr>
                <w:rFonts w:ascii="Arial" w:hAnsi="Arial"/>
                <w:sz w:val="20"/>
                <w:szCs w:val="20"/>
              </w:rPr>
            </w:pPr>
            <w:r w:rsidRPr="0089505C">
              <w:rPr>
                <w:rFonts w:ascii="Arial" w:hAnsi="Arial"/>
                <w:b/>
                <w:sz w:val="20"/>
                <w:szCs w:val="20"/>
              </w:rPr>
              <w:t xml:space="preserve">Negative for </w:t>
            </w:r>
            <w:proofErr w:type="spellStart"/>
            <w:r w:rsidRPr="0089505C">
              <w:rPr>
                <w:rFonts w:ascii="Arial" w:hAnsi="Arial"/>
                <w:b/>
                <w:sz w:val="20"/>
                <w:szCs w:val="20"/>
              </w:rPr>
              <w:t>ESBl</w:t>
            </w:r>
            <w:proofErr w:type="spellEnd"/>
            <w:r w:rsidRPr="0089505C">
              <w:rPr>
                <w:rFonts w:ascii="Arial" w:hAnsi="Arial"/>
                <w:b/>
                <w:sz w:val="20"/>
                <w:szCs w:val="20"/>
              </w:rPr>
              <w:t xml:space="preserve"> production:</w:t>
            </w:r>
            <w:r>
              <w:rPr>
                <w:rFonts w:ascii="Arial" w:hAnsi="Arial"/>
                <w:sz w:val="20"/>
                <w:szCs w:val="20"/>
              </w:rPr>
              <w:t xml:space="preserve"> a</w:t>
            </w:r>
            <w:r w:rsidR="006A1117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&lt;</w:t>
            </w:r>
            <w:r w:rsidR="006A1117" w:rsidRPr="00B2472C"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="006A11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1117" w:rsidRPr="00B2472C">
              <w:rPr>
                <w:rFonts w:ascii="Arial" w:hAnsi="Arial" w:cs="Arial"/>
                <w:sz w:val="20"/>
                <w:szCs w:val="20"/>
              </w:rPr>
              <w:t>mm</w:t>
            </w:r>
            <w:r w:rsidR="006A1117">
              <w:rPr>
                <w:rFonts w:ascii="Arial" w:hAnsi="Arial" w:cs="Arial"/>
                <w:sz w:val="20"/>
                <w:szCs w:val="20"/>
              </w:rPr>
              <w:t xml:space="preserve"> increase </w:t>
            </w:r>
            <w:r w:rsidR="006A1117" w:rsidRPr="00147414">
              <w:rPr>
                <w:rFonts w:ascii="Arial" w:hAnsi="Arial"/>
                <w:sz w:val="20"/>
                <w:szCs w:val="20"/>
              </w:rPr>
              <w:t>in a zone diameter for eith</w:t>
            </w:r>
            <w:r w:rsidR="006A1117">
              <w:rPr>
                <w:rFonts w:ascii="Arial" w:hAnsi="Arial"/>
                <w:sz w:val="20"/>
                <w:szCs w:val="20"/>
              </w:rPr>
              <w:t>er CTX/CLA or CAZ/CLA vs.</w:t>
            </w:r>
            <w:r>
              <w:rPr>
                <w:rFonts w:ascii="Arial" w:hAnsi="Arial"/>
                <w:sz w:val="20"/>
                <w:szCs w:val="20"/>
              </w:rPr>
              <w:t xml:space="preserve"> CTX or CAZ alone.</w:t>
            </w:r>
          </w:p>
          <w:p w:rsidR="0089505C" w:rsidRPr="0089505C" w:rsidRDefault="0089505C" w:rsidP="0089505C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  <w:tab w:val="left" w:pos="720"/>
                <w:tab w:val="center" w:pos="1440"/>
              </w:tabs>
              <w:rPr>
                <w:rFonts w:ascii="Arial" w:hAnsi="Arial"/>
                <w:sz w:val="20"/>
                <w:szCs w:val="20"/>
              </w:rPr>
            </w:pPr>
            <w:r w:rsidRPr="0089505C">
              <w:rPr>
                <w:rFonts w:ascii="Arial" w:hAnsi="Arial" w:cs="Arial"/>
                <w:b/>
                <w:sz w:val="20"/>
                <w:szCs w:val="20"/>
              </w:rPr>
              <w:t>Indeterminate for ESBL production</w:t>
            </w:r>
            <w:r w:rsidRPr="0089505C">
              <w:rPr>
                <w:rFonts w:ascii="Arial" w:hAnsi="Arial" w:cs="Arial"/>
                <w:sz w:val="20"/>
                <w:szCs w:val="20"/>
              </w:rPr>
              <w:t>: a decrease in the zone diameter for</w:t>
            </w:r>
          </w:p>
          <w:p w:rsidR="0089505C" w:rsidRPr="0089505C" w:rsidRDefault="0089505C" w:rsidP="0089505C">
            <w:pPr>
              <w:autoSpaceDE w:val="0"/>
              <w:autoSpaceDN w:val="0"/>
              <w:adjustRightInd w:val="0"/>
              <w:ind w:firstLine="71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either CAZ or CTX</w:t>
            </w:r>
            <w:r w:rsidRPr="0089505C">
              <w:rPr>
                <w:rFonts w:ascii="Arial" w:hAnsi="Arial" w:cs="Arial"/>
                <w:sz w:val="20"/>
                <w:szCs w:val="20"/>
              </w:rPr>
              <w:t xml:space="preserve"> tested in combination with </w:t>
            </w:r>
            <w:proofErr w:type="spellStart"/>
            <w:r w:rsidRPr="0089505C">
              <w:rPr>
                <w:rFonts w:ascii="Arial" w:hAnsi="Arial" w:cs="Arial"/>
                <w:sz w:val="20"/>
                <w:szCs w:val="20"/>
              </w:rPr>
              <w:t>clavulanic</w:t>
            </w:r>
            <w:proofErr w:type="spellEnd"/>
          </w:p>
          <w:p w:rsidR="0089505C" w:rsidRPr="0089505C" w:rsidRDefault="0089505C" w:rsidP="0089505C">
            <w:pPr>
              <w:autoSpaceDE w:val="0"/>
              <w:autoSpaceDN w:val="0"/>
              <w:adjustRightInd w:val="0"/>
              <w:ind w:firstLine="7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9505C">
              <w:rPr>
                <w:rFonts w:ascii="Arial" w:hAnsi="Arial" w:cs="Arial"/>
                <w:sz w:val="20"/>
                <w:szCs w:val="20"/>
              </w:rPr>
              <w:t>acid versus its zone diameter when tested alone; or, no change in the disk</w:t>
            </w:r>
          </w:p>
          <w:p w:rsidR="0089505C" w:rsidRPr="0089505C" w:rsidRDefault="0089505C" w:rsidP="0089505C">
            <w:pPr>
              <w:pStyle w:val="Header"/>
              <w:tabs>
                <w:tab w:val="clear" w:pos="4320"/>
                <w:tab w:val="clear" w:pos="8640"/>
                <w:tab w:val="left" w:pos="720"/>
                <w:tab w:val="center" w:pos="1440"/>
              </w:tabs>
              <w:ind w:firstLine="71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9505C">
              <w:rPr>
                <w:rFonts w:ascii="Arial" w:hAnsi="Arial" w:cs="Arial"/>
                <w:sz w:val="20"/>
                <w:szCs w:val="20"/>
              </w:rPr>
              <w:t>zones</w:t>
            </w:r>
            <w:proofErr w:type="gramEnd"/>
            <w:r w:rsidRPr="0089505C">
              <w:rPr>
                <w:rFonts w:ascii="Arial" w:hAnsi="Arial" w:cs="Arial"/>
                <w:sz w:val="20"/>
                <w:szCs w:val="20"/>
              </w:rPr>
              <w:t xml:space="preserve"> with the addition of </w:t>
            </w:r>
            <w:proofErr w:type="spellStart"/>
            <w:r w:rsidRPr="0089505C">
              <w:rPr>
                <w:rFonts w:ascii="Arial" w:hAnsi="Arial" w:cs="Arial"/>
                <w:sz w:val="20"/>
                <w:szCs w:val="20"/>
              </w:rPr>
              <w:t>clavulanic</w:t>
            </w:r>
            <w:proofErr w:type="spellEnd"/>
            <w:r w:rsidRPr="0089505C">
              <w:rPr>
                <w:rFonts w:ascii="Arial" w:hAnsi="Arial" w:cs="Arial"/>
                <w:sz w:val="20"/>
                <w:szCs w:val="20"/>
              </w:rPr>
              <w:t xml:space="preserve"> acid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96855" w:rsidRDefault="00696855" w:rsidP="00A9657C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  <w:p w:rsidR="00696855" w:rsidRDefault="00696855" w:rsidP="00A9657C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  <w:p w:rsidR="00696855" w:rsidRDefault="005E0254" w:rsidP="00A9657C">
            <w:pPr>
              <w:pStyle w:val="TableText"/>
              <w:autoSpaceDE/>
              <w:autoSpaceDN/>
              <w:rPr>
                <w:rFonts w:ascii="Arial" w:hAnsi="Arial"/>
              </w:rPr>
            </w:pPr>
            <w:r w:rsidRPr="007543D6">
              <w:rPr>
                <w:rFonts w:ascii="Arial" w:hAnsi="Arial" w:cs="Arial"/>
                <w:color w:val="0000FF"/>
                <w:sz w:val="27"/>
                <w:szCs w:val="27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href="/imgres?q=esbl+testing&amp;um=1&amp;hl=en&amp;safe=active&amp;sa=X&amp;biw=1152&amp;bih=700&amp;tbas=0&amp;tbm=isch&amp;tbnid=znkivVMyvHoCjM:&amp;imgrefurl=http://jcm.asm.org/cgi/content/full/48/4/1019&amp;docid=jcFaee2mVCZvOM&amp;w=190&amp;h=200&amp;ei=gZksTqeHMqjNsQKNrsypCw&amp;zoom=1" style="width:118.5pt;height:120pt" o:button="t">
                  <v:imagedata r:id="rId10" r:href="rId11"/>
                </v:shape>
              </w:pict>
            </w:r>
          </w:p>
          <w:p w:rsidR="00696855" w:rsidRDefault="00696855" w:rsidP="00A9657C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</w:tc>
      </w:tr>
      <w:tr w:rsidR="00927AD8"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Limitations</w:t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  <w:p w:rsidR="00CA4B38" w:rsidRPr="00CA4B38" w:rsidRDefault="00CA4B38" w:rsidP="00CA4B38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4B38">
              <w:rPr>
                <w:rFonts w:ascii="Arial" w:hAnsi="Arial" w:cs="Arial"/>
                <w:sz w:val="20"/>
                <w:szCs w:val="20"/>
              </w:rPr>
              <w:t>Indeterminate results: Indeterminate results on ESBL tests may indicate the</w:t>
            </w:r>
          </w:p>
          <w:p w:rsidR="00CA4B38" w:rsidRPr="00CA4B38" w:rsidRDefault="00CA4B38" w:rsidP="00CA4B38">
            <w:pPr>
              <w:autoSpaceDE w:val="0"/>
              <w:autoSpaceDN w:val="0"/>
              <w:adjustRightInd w:val="0"/>
              <w:ind w:firstLine="7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4B38">
              <w:rPr>
                <w:rFonts w:ascii="Arial" w:hAnsi="Arial" w:cs="Arial"/>
                <w:sz w:val="20"/>
                <w:szCs w:val="20"/>
              </w:rPr>
              <w:t>presence of a resistance mechanism other than or in addition to an ESBL, such</w:t>
            </w:r>
          </w:p>
          <w:p w:rsidR="00CA4B38" w:rsidRDefault="00CA4B38" w:rsidP="00CA4B38">
            <w:pPr>
              <w:ind w:firstLine="71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A4B38">
              <w:rPr>
                <w:rFonts w:ascii="Arial" w:hAnsi="Arial" w:cs="Arial"/>
                <w:sz w:val="20"/>
                <w:szCs w:val="20"/>
              </w:rPr>
              <w:t>as</w:t>
            </w:r>
            <w:proofErr w:type="gramEnd"/>
            <w:r w:rsidRPr="00CA4B38">
              <w:rPr>
                <w:rFonts w:ascii="Arial" w:hAnsi="Arial" w:cs="Arial"/>
                <w:sz w:val="20"/>
                <w:szCs w:val="20"/>
              </w:rPr>
              <w:t xml:space="preserve"> an </w:t>
            </w:r>
            <w:proofErr w:type="spellStart"/>
            <w:r w:rsidRPr="00CA4B38">
              <w:rPr>
                <w:rFonts w:ascii="Arial" w:hAnsi="Arial" w:cs="Arial"/>
                <w:sz w:val="20"/>
                <w:szCs w:val="20"/>
              </w:rPr>
              <w:t>AmpC</w:t>
            </w:r>
            <w:proofErr w:type="spellEnd"/>
            <w:r w:rsidRPr="00CA4B38">
              <w:rPr>
                <w:rFonts w:ascii="Arial" w:hAnsi="Arial" w:cs="Arial"/>
                <w:sz w:val="20"/>
                <w:szCs w:val="20"/>
              </w:rPr>
              <w:t xml:space="preserve"> with or without a </w:t>
            </w:r>
            <w:proofErr w:type="spellStart"/>
            <w:r w:rsidRPr="00CA4B38">
              <w:rPr>
                <w:rFonts w:ascii="Arial" w:hAnsi="Arial" w:cs="Arial"/>
                <w:sz w:val="20"/>
                <w:szCs w:val="20"/>
              </w:rPr>
              <w:t>porin</w:t>
            </w:r>
            <w:proofErr w:type="spellEnd"/>
            <w:r w:rsidRPr="00CA4B38">
              <w:rPr>
                <w:rFonts w:ascii="Arial" w:hAnsi="Arial" w:cs="Arial"/>
                <w:sz w:val="20"/>
                <w:szCs w:val="20"/>
              </w:rPr>
              <w:t xml:space="preserve"> loss.</w:t>
            </w:r>
          </w:p>
          <w:p w:rsidR="00CA4B38" w:rsidRPr="00CA4B38" w:rsidRDefault="00CA4B38" w:rsidP="00CA4B38">
            <w:pPr>
              <w:numPr>
                <w:ilvl w:val="0"/>
                <w:numId w:val="3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4B38">
              <w:rPr>
                <w:rFonts w:ascii="Arial" w:hAnsi="Arial" w:cs="Arial"/>
                <w:sz w:val="20"/>
                <w:szCs w:val="20"/>
              </w:rPr>
              <w:t>Some organisms that produce ESBLs express other beta-</w:t>
            </w:r>
            <w:proofErr w:type="spellStart"/>
            <w:r w:rsidRPr="00CA4B38">
              <w:rPr>
                <w:rFonts w:ascii="Arial" w:hAnsi="Arial" w:cs="Arial"/>
                <w:sz w:val="20"/>
                <w:szCs w:val="20"/>
              </w:rPr>
              <w:t>lactamases</w:t>
            </w:r>
            <w:proofErr w:type="spellEnd"/>
            <w:r w:rsidRPr="00CA4B38">
              <w:rPr>
                <w:rFonts w:ascii="Arial" w:hAnsi="Arial" w:cs="Arial"/>
                <w:sz w:val="20"/>
                <w:szCs w:val="20"/>
              </w:rPr>
              <w:t xml:space="preserve"> or resistance</w:t>
            </w:r>
          </w:p>
          <w:p w:rsidR="00CA4B38" w:rsidRPr="00CA4B38" w:rsidRDefault="00CA4B38" w:rsidP="00CA4B38">
            <w:pPr>
              <w:autoSpaceDE w:val="0"/>
              <w:autoSpaceDN w:val="0"/>
              <w:adjustRightInd w:val="0"/>
              <w:ind w:firstLine="7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4B38">
              <w:rPr>
                <w:rFonts w:ascii="Arial" w:hAnsi="Arial" w:cs="Arial"/>
                <w:sz w:val="20"/>
                <w:szCs w:val="20"/>
              </w:rPr>
              <w:t xml:space="preserve">mechanisms (e.g., </w:t>
            </w:r>
            <w:proofErr w:type="spellStart"/>
            <w:r w:rsidRPr="00CA4B38">
              <w:rPr>
                <w:rFonts w:ascii="Arial" w:hAnsi="Arial" w:cs="Arial"/>
                <w:sz w:val="20"/>
                <w:szCs w:val="20"/>
              </w:rPr>
              <w:t>porin</w:t>
            </w:r>
            <w:proofErr w:type="spellEnd"/>
            <w:r w:rsidRPr="00CA4B38">
              <w:rPr>
                <w:rFonts w:ascii="Arial" w:hAnsi="Arial" w:cs="Arial"/>
                <w:sz w:val="20"/>
                <w:szCs w:val="20"/>
              </w:rPr>
              <w:t xml:space="preserve"> alterations) that can mask ESBL production in the confirmatory</w:t>
            </w:r>
          </w:p>
          <w:p w:rsidR="008A35A9" w:rsidRPr="0046701E" w:rsidRDefault="00CA4B38" w:rsidP="0046701E">
            <w:pPr>
              <w:ind w:firstLine="710"/>
              <w:jc w:val="left"/>
              <w:rPr>
                <w:rFonts w:ascii="Arial" w:hAnsi="Arial" w:cs="Arial"/>
                <w:sz w:val="20"/>
              </w:rPr>
            </w:pPr>
            <w:proofErr w:type="gramStart"/>
            <w:r w:rsidRPr="00CA4B38">
              <w:rPr>
                <w:rFonts w:ascii="Arial" w:hAnsi="Arial" w:cs="Arial"/>
                <w:sz w:val="20"/>
                <w:szCs w:val="20"/>
              </w:rPr>
              <w:t>test</w:t>
            </w:r>
            <w:proofErr w:type="gramEnd"/>
            <w:r w:rsidRPr="00CA4B38">
              <w:rPr>
                <w:rFonts w:ascii="Arial" w:hAnsi="Arial" w:cs="Arial"/>
                <w:sz w:val="20"/>
                <w:szCs w:val="20"/>
              </w:rPr>
              <w:t>, resulting in a false-negative result</w:t>
            </w:r>
            <w:r>
              <w:rPr>
                <w:rFonts w:ascii="Times-Roman" w:hAnsi="Times-Roman" w:cs="Times-Roman"/>
                <w:sz w:val="20"/>
                <w:szCs w:val="20"/>
              </w:rPr>
              <w:t>.</w:t>
            </w:r>
          </w:p>
          <w:p w:rsidR="00826E8B" w:rsidRDefault="00826E8B">
            <w:pPr>
              <w:jc w:val="left"/>
              <w:rPr>
                <w:rFonts w:ascii="Arial" w:hAnsi="Arial"/>
                <w:sz w:val="20"/>
              </w:rPr>
            </w:pPr>
          </w:p>
          <w:p w:rsidR="00AB3313" w:rsidRDefault="00AB3313">
            <w:pPr>
              <w:jc w:val="left"/>
              <w:rPr>
                <w:rFonts w:ascii="Arial" w:hAnsi="Arial"/>
                <w:sz w:val="20"/>
              </w:rPr>
            </w:pPr>
          </w:p>
          <w:p w:rsidR="00AB3313" w:rsidRDefault="00AB3313">
            <w:pPr>
              <w:jc w:val="left"/>
              <w:rPr>
                <w:rFonts w:ascii="Arial" w:hAnsi="Arial"/>
                <w:sz w:val="20"/>
              </w:rPr>
            </w:pPr>
          </w:p>
          <w:p w:rsidR="00AB3313" w:rsidRDefault="00AB3313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27AD8"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826E8B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Susceptibility Reporting Guidelines for ESBL Positive isolate</w:t>
            </w:r>
            <w:r w:rsidR="008A35A9">
              <w:rPr>
                <w:rFonts w:ascii="Arial" w:hAnsi="Arial"/>
                <w:b/>
                <w:color w:val="0000FF"/>
                <w:sz w:val="20"/>
              </w:rPr>
              <w:t>s</w:t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Pr="008A35A9" w:rsidRDefault="00826E8B">
            <w:pPr>
              <w:jc w:val="left"/>
              <w:rPr>
                <w:rFonts w:ascii="Arial" w:hAnsi="Arial"/>
                <w:b/>
                <w:sz w:val="20"/>
              </w:rPr>
            </w:pPr>
            <w:r w:rsidRPr="008A35A9">
              <w:rPr>
                <w:rFonts w:ascii="Arial" w:hAnsi="Arial"/>
                <w:b/>
                <w:sz w:val="20"/>
              </w:rPr>
              <w:t>Change the following to’ R’</w:t>
            </w:r>
          </w:p>
          <w:p w:rsidR="00826E8B" w:rsidRDefault="00927AD8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</w:p>
          <w:tbl>
            <w:tblPr>
              <w:tblW w:w="0" w:type="auto"/>
              <w:tblInd w:w="15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389"/>
              <w:gridCol w:w="1851"/>
              <w:gridCol w:w="1620"/>
            </w:tblGrid>
            <w:tr w:rsidR="00826E8B" w:rsidRPr="009A569F" w:rsidTr="00826E8B">
              <w:tc>
                <w:tcPr>
                  <w:tcW w:w="1389" w:type="dxa"/>
                </w:tcPr>
                <w:p w:rsidR="00826E8B" w:rsidRPr="009A569F" w:rsidRDefault="00826E8B" w:rsidP="00826E8B">
                  <w:pPr>
                    <w:pStyle w:val="Header"/>
                    <w:tabs>
                      <w:tab w:val="left" w:pos="720"/>
                    </w:tabs>
                    <w:jc w:val="center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9A569F">
                    <w:rPr>
                      <w:rFonts w:ascii="Arial" w:hAnsi="Arial"/>
                      <w:b/>
                      <w:sz w:val="20"/>
                      <w:szCs w:val="20"/>
                    </w:rPr>
                    <w:t>Penicillin’s</w:t>
                  </w:r>
                </w:p>
              </w:tc>
              <w:tc>
                <w:tcPr>
                  <w:tcW w:w="1851" w:type="dxa"/>
                </w:tcPr>
                <w:p w:rsidR="00826E8B" w:rsidRPr="009A569F" w:rsidRDefault="00826E8B" w:rsidP="00826E8B">
                  <w:pPr>
                    <w:pStyle w:val="Header"/>
                    <w:tabs>
                      <w:tab w:val="left" w:pos="720"/>
                    </w:tabs>
                    <w:jc w:val="center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9A569F">
                    <w:rPr>
                      <w:rFonts w:ascii="Arial" w:hAnsi="Arial"/>
                      <w:b/>
                      <w:sz w:val="20"/>
                      <w:szCs w:val="20"/>
                    </w:rPr>
                    <w:t>Cephalosporin’s</w:t>
                  </w:r>
                </w:p>
              </w:tc>
              <w:tc>
                <w:tcPr>
                  <w:tcW w:w="1620" w:type="dxa"/>
                </w:tcPr>
                <w:p w:rsidR="00826E8B" w:rsidRPr="009A569F" w:rsidRDefault="00826E8B" w:rsidP="00826E8B">
                  <w:pPr>
                    <w:pStyle w:val="Header"/>
                    <w:tabs>
                      <w:tab w:val="left" w:pos="720"/>
                    </w:tabs>
                    <w:jc w:val="center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proofErr w:type="spellStart"/>
                  <w:r w:rsidRPr="009A569F">
                    <w:rPr>
                      <w:rFonts w:ascii="Arial" w:hAnsi="Arial"/>
                      <w:b/>
                      <w:sz w:val="20"/>
                      <w:szCs w:val="20"/>
                    </w:rPr>
                    <w:t>Monobactams</w:t>
                  </w:r>
                  <w:proofErr w:type="spellEnd"/>
                </w:p>
              </w:tc>
            </w:tr>
            <w:tr w:rsidR="00826E8B" w:rsidRPr="009A569F" w:rsidTr="00826E8B">
              <w:tc>
                <w:tcPr>
                  <w:tcW w:w="1389" w:type="dxa"/>
                </w:tcPr>
                <w:p w:rsidR="00826E8B" w:rsidRPr="009A569F" w:rsidRDefault="00826E8B" w:rsidP="00826E8B">
                  <w:pPr>
                    <w:pStyle w:val="Header"/>
                    <w:tabs>
                      <w:tab w:val="left" w:pos="720"/>
                    </w:tabs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9A569F">
                    <w:rPr>
                      <w:rFonts w:ascii="Arial" w:hAnsi="Arial"/>
                      <w:sz w:val="20"/>
                      <w:szCs w:val="20"/>
                    </w:rPr>
                    <w:t>Ampicillin</w:t>
                  </w:r>
                </w:p>
              </w:tc>
              <w:tc>
                <w:tcPr>
                  <w:tcW w:w="1851" w:type="dxa"/>
                </w:tcPr>
                <w:p w:rsidR="00826E8B" w:rsidRPr="009A569F" w:rsidRDefault="00826E8B" w:rsidP="00826E8B">
                  <w:pPr>
                    <w:pStyle w:val="Header"/>
                    <w:tabs>
                      <w:tab w:val="left" w:pos="720"/>
                    </w:tabs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9A569F">
                    <w:rPr>
                      <w:rFonts w:ascii="Arial" w:hAnsi="Arial"/>
                      <w:sz w:val="20"/>
                      <w:szCs w:val="20"/>
                    </w:rPr>
                    <w:t>Cefazolin</w:t>
                  </w:r>
                </w:p>
              </w:tc>
              <w:tc>
                <w:tcPr>
                  <w:tcW w:w="1620" w:type="dxa"/>
                </w:tcPr>
                <w:p w:rsidR="00826E8B" w:rsidRPr="009A569F" w:rsidRDefault="00826E8B" w:rsidP="00826E8B">
                  <w:pPr>
                    <w:pStyle w:val="Header"/>
                    <w:tabs>
                      <w:tab w:val="left" w:pos="720"/>
                    </w:tabs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proofErr w:type="spellStart"/>
                  <w:r w:rsidRPr="009A569F">
                    <w:rPr>
                      <w:rFonts w:ascii="Arial" w:hAnsi="Arial"/>
                      <w:sz w:val="20"/>
                      <w:szCs w:val="20"/>
                    </w:rPr>
                    <w:t>Aztreonam</w:t>
                  </w:r>
                  <w:proofErr w:type="spellEnd"/>
                </w:p>
              </w:tc>
            </w:tr>
            <w:tr w:rsidR="00826E8B" w:rsidRPr="009A569F" w:rsidTr="00826E8B">
              <w:tc>
                <w:tcPr>
                  <w:tcW w:w="1389" w:type="dxa"/>
                </w:tcPr>
                <w:p w:rsidR="00826E8B" w:rsidRPr="009A569F" w:rsidRDefault="00826E8B" w:rsidP="00826E8B">
                  <w:pPr>
                    <w:pStyle w:val="Header"/>
                    <w:tabs>
                      <w:tab w:val="left" w:pos="720"/>
                    </w:tabs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proofErr w:type="spellStart"/>
                  <w:r w:rsidRPr="009A569F">
                    <w:rPr>
                      <w:rFonts w:ascii="Arial" w:hAnsi="Arial"/>
                      <w:sz w:val="20"/>
                      <w:szCs w:val="20"/>
                    </w:rPr>
                    <w:t>Pipercillin</w:t>
                  </w:r>
                  <w:proofErr w:type="spellEnd"/>
                </w:p>
              </w:tc>
              <w:tc>
                <w:tcPr>
                  <w:tcW w:w="1851" w:type="dxa"/>
                </w:tcPr>
                <w:p w:rsidR="00826E8B" w:rsidRPr="009A569F" w:rsidRDefault="00826E8B" w:rsidP="00826E8B">
                  <w:pPr>
                    <w:pStyle w:val="Header"/>
                    <w:tabs>
                      <w:tab w:val="left" w:pos="720"/>
                    </w:tabs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proofErr w:type="spellStart"/>
                  <w:r w:rsidRPr="009A569F">
                    <w:rPr>
                      <w:rFonts w:ascii="Arial" w:hAnsi="Arial"/>
                      <w:sz w:val="20"/>
                      <w:szCs w:val="20"/>
                    </w:rPr>
                    <w:t>Cefepime</w:t>
                  </w:r>
                  <w:proofErr w:type="spellEnd"/>
                </w:p>
              </w:tc>
              <w:tc>
                <w:tcPr>
                  <w:tcW w:w="1620" w:type="dxa"/>
                </w:tcPr>
                <w:p w:rsidR="00826E8B" w:rsidRPr="009A569F" w:rsidRDefault="00826E8B" w:rsidP="00826E8B">
                  <w:pPr>
                    <w:pStyle w:val="Header"/>
                    <w:tabs>
                      <w:tab w:val="left" w:pos="720"/>
                    </w:tabs>
                    <w:jc w:val="left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826E8B" w:rsidRPr="009A569F" w:rsidTr="00826E8B">
              <w:tc>
                <w:tcPr>
                  <w:tcW w:w="1389" w:type="dxa"/>
                </w:tcPr>
                <w:p w:rsidR="00826E8B" w:rsidRPr="009A569F" w:rsidRDefault="00826E8B" w:rsidP="00826E8B">
                  <w:pPr>
                    <w:pStyle w:val="Header"/>
                    <w:tabs>
                      <w:tab w:val="left" w:pos="720"/>
                    </w:tabs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proofErr w:type="spellStart"/>
                  <w:r w:rsidRPr="009A569F">
                    <w:rPr>
                      <w:rFonts w:ascii="Arial" w:hAnsi="Arial"/>
                      <w:sz w:val="20"/>
                      <w:szCs w:val="20"/>
                    </w:rPr>
                    <w:t>Ticarcillin</w:t>
                  </w:r>
                  <w:proofErr w:type="spellEnd"/>
                </w:p>
              </w:tc>
              <w:tc>
                <w:tcPr>
                  <w:tcW w:w="1851" w:type="dxa"/>
                </w:tcPr>
                <w:p w:rsidR="00826E8B" w:rsidRPr="009A569F" w:rsidRDefault="00826E8B" w:rsidP="00826E8B">
                  <w:pPr>
                    <w:pStyle w:val="Header"/>
                    <w:tabs>
                      <w:tab w:val="left" w:pos="720"/>
                    </w:tabs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proofErr w:type="spellStart"/>
                  <w:r w:rsidRPr="009A569F">
                    <w:rPr>
                      <w:rFonts w:ascii="Arial" w:hAnsi="Arial"/>
                      <w:sz w:val="20"/>
                      <w:szCs w:val="20"/>
                    </w:rPr>
                    <w:t>Cefotaxime</w:t>
                  </w:r>
                  <w:proofErr w:type="spellEnd"/>
                </w:p>
              </w:tc>
              <w:tc>
                <w:tcPr>
                  <w:tcW w:w="1620" w:type="dxa"/>
                </w:tcPr>
                <w:p w:rsidR="00826E8B" w:rsidRPr="009A569F" w:rsidRDefault="00826E8B" w:rsidP="00826E8B">
                  <w:pPr>
                    <w:pStyle w:val="Header"/>
                    <w:tabs>
                      <w:tab w:val="left" w:pos="720"/>
                    </w:tabs>
                    <w:jc w:val="left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826E8B" w:rsidRPr="009A569F" w:rsidTr="00826E8B">
              <w:tc>
                <w:tcPr>
                  <w:tcW w:w="1389" w:type="dxa"/>
                </w:tcPr>
                <w:p w:rsidR="00826E8B" w:rsidRPr="009A569F" w:rsidRDefault="00826E8B" w:rsidP="00826E8B">
                  <w:pPr>
                    <w:pStyle w:val="Header"/>
                    <w:tabs>
                      <w:tab w:val="left" w:pos="720"/>
                    </w:tabs>
                    <w:jc w:val="left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851" w:type="dxa"/>
                </w:tcPr>
                <w:p w:rsidR="00826E8B" w:rsidRPr="009A569F" w:rsidRDefault="00826E8B" w:rsidP="00826E8B">
                  <w:pPr>
                    <w:pStyle w:val="Header"/>
                    <w:tabs>
                      <w:tab w:val="left" w:pos="720"/>
                    </w:tabs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proofErr w:type="spellStart"/>
                  <w:r w:rsidRPr="009A569F">
                    <w:rPr>
                      <w:rFonts w:ascii="Arial" w:hAnsi="Arial"/>
                      <w:sz w:val="20"/>
                      <w:szCs w:val="20"/>
                    </w:rPr>
                    <w:t>Ceftazidime</w:t>
                  </w:r>
                  <w:proofErr w:type="spellEnd"/>
                </w:p>
              </w:tc>
              <w:tc>
                <w:tcPr>
                  <w:tcW w:w="1620" w:type="dxa"/>
                </w:tcPr>
                <w:p w:rsidR="00826E8B" w:rsidRPr="009A569F" w:rsidRDefault="00826E8B" w:rsidP="00826E8B">
                  <w:pPr>
                    <w:pStyle w:val="Header"/>
                    <w:tabs>
                      <w:tab w:val="left" w:pos="720"/>
                    </w:tabs>
                    <w:jc w:val="left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826E8B" w:rsidRPr="009A569F" w:rsidTr="00826E8B">
              <w:tc>
                <w:tcPr>
                  <w:tcW w:w="1389" w:type="dxa"/>
                </w:tcPr>
                <w:p w:rsidR="00826E8B" w:rsidRPr="009A569F" w:rsidRDefault="00826E8B" w:rsidP="00826E8B">
                  <w:pPr>
                    <w:pStyle w:val="Header"/>
                    <w:tabs>
                      <w:tab w:val="left" w:pos="720"/>
                    </w:tabs>
                    <w:jc w:val="left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851" w:type="dxa"/>
                </w:tcPr>
                <w:p w:rsidR="00826E8B" w:rsidRPr="009A569F" w:rsidRDefault="00826E8B" w:rsidP="00826E8B">
                  <w:pPr>
                    <w:pStyle w:val="Header"/>
                    <w:tabs>
                      <w:tab w:val="left" w:pos="720"/>
                    </w:tabs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9A569F">
                    <w:rPr>
                      <w:rFonts w:ascii="Arial" w:hAnsi="Arial"/>
                      <w:sz w:val="20"/>
                      <w:szCs w:val="20"/>
                    </w:rPr>
                    <w:t>Ceftriaxone</w:t>
                  </w:r>
                </w:p>
              </w:tc>
              <w:tc>
                <w:tcPr>
                  <w:tcW w:w="1620" w:type="dxa"/>
                </w:tcPr>
                <w:p w:rsidR="00826E8B" w:rsidRPr="009A569F" w:rsidRDefault="00826E8B" w:rsidP="00826E8B">
                  <w:pPr>
                    <w:pStyle w:val="Header"/>
                    <w:tabs>
                      <w:tab w:val="left" w:pos="720"/>
                    </w:tabs>
                    <w:jc w:val="left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826E8B" w:rsidRPr="009A569F" w:rsidTr="00826E8B">
              <w:tc>
                <w:tcPr>
                  <w:tcW w:w="1389" w:type="dxa"/>
                </w:tcPr>
                <w:p w:rsidR="00826E8B" w:rsidRPr="009A569F" w:rsidRDefault="00826E8B" w:rsidP="00826E8B">
                  <w:pPr>
                    <w:pStyle w:val="Header"/>
                    <w:tabs>
                      <w:tab w:val="left" w:pos="720"/>
                    </w:tabs>
                    <w:jc w:val="left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851" w:type="dxa"/>
                </w:tcPr>
                <w:p w:rsidR="00826E8B" w:rsidRPr="009A569F" w:rsidRDefault="00826E8B" w:rsidP="00826E8B">
                  <w:pPr>
                    <w:pStyle w:val="Header"/>
                    <w:tabs>
                      <w:tab w:val="left" w:pos="720"/>
                    </w:tabs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proofErr w:type="spellStart"/>
                  <w:r w:rsidRPr="009A569F">
                    <w:rPr>
                      <w:rFonts w:ascii="Arial" w:hAnsi="Arial"/>
                      <w:sz w:val="20"/>
                      <w:szCs w:val="20"/>
                    </w:rPr>
                    <w:t>Cefpodoxime</w:t>
                  </w:r>
                  <w:proofErr w:type="spellEnd"/>
                </w:p>
              </w:tc>
              <w:tc>
                <w:tcPr>
                  <w:tcW w:w="1620" w:type="dxa"/>
                </w:tcPr>
                <w:p w:rsidR="00826E8B" w:rsidRPr="009A569F" w:rsidRDefault="00826E8B" w:rsidP="00826E8B">
                  <w:pPr>
                    <w:pStyle w:val="Header"/>
                    <w:tabs>
                      <w:tab w:val="left" w:pos="720"/>
                    </w:tabs>
                    <w:jc w:val="left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826E8B" w:rsidRPr="009A569F" w:rsidTr="00826E8B">
              <w:tc>
                <w:tcPr>
                  <w:tcW w:w="1389" w:type="dxa"/>
                </w:tcPr>
                <w:p w:rsidR="00826E8B" w:rsidRPr="009A569F" w:rsidRDefault="00826E8B" w:rsidP="00826E8B">
                  <w:pPr>
                    <w:pStyle w:val="Header"/>
                    <w:tabs>
                      <w:tab w:val="left" w:pos="720"/>
                    </w:tabs>
                    <w:jc w:val="left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851" w:type="dxa"/>
                </w:tcPr>
                <w:p w:rsidR="00826E8B" w:rsidRPr="009A569F" w:rsidRDefault="00826E8B" w:rsidP="00826E8B">
                  <w:pPr>
                    <w:pStyle w:val="Header"/>
                    <w:tabs>
                      <w:tab w:val="left" w:pos="720"/>
                    </w:tabs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proofErr w:type="spellStart"/>
                  <w:r w:rsidRPr="009A569F">
                    <w:rPr>
                      <w:rFonts w:ascii="Arial" w:hAnsi="Arial"/>
                      <w:sz w:val="20"/>
                      <w:szCs w:val="20"/>
                    </w:rPr>
                    <w:t>Cefuroxime</w:t>
                  </w:r>
                  <w:proofErr w:type="spellEnd"/>
                </w:p>
              </w:tc>
              <w:tc>
                <w:tcPr>
                  <w:tcW w:w="1620" w:type="dxa"/>
                </w:tcPr>
                <w:p w:rsidR="00826E8B" w:rsidRPr="009A569F" w:rsidRDefault="00826E8B" w:rsidP="00826E8B">
                  <w:pPr>
                    <w:pStyle w:val="Header"/>
                    <w:tabs>
                      <w:tab w:val="left" w:pos="720"/>
                    </w:tabs>
                    <w:jc w:val="left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826E8B" w:rsidRPr="009A569F" w:rsidTr="00826E8B">
              <w:tc>
                <w:tcPr>
                  <w:tcW w:w="1389" w:type="dxa"/>
                </w:tcPr>
                <w:p w:rsidR="00826E8B" w:rsidRPr="009A569F" w:rsidRDefault="00826E8B" w:rsidP="00826E8B">
                  <w:pPr>
                    <w:pStyle w:val="Header"/>
                    <w:tabs>
                      <w:tab w:val="left" w:pos="720"/>
                    </w:tabs>
                    <w:jc w:val="left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851" w:type="dxa"/>
                </w:tcPr>
                <w:p w:rsidR="00826E8B" w:rsidRPr="009A569F" w:rsidRDefault="00826E8B" w:rsidP="00826E8B">
                  <w:pPr>
                    <w:pStyle w:val="Header"/>
                    <w:tabs>
                      <w:tab w:val="left" w:pos="720"/>
                    </w:tabs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proofErr w:type="spellStart"/>
                  <w:r w:rsidRPr="009A569F">
                    <w:rPr>
                      <w:rFonts w:ascii="Arial" w:hAnsi="Arial"/>
                      <w:sz w:val="20"/>
                      <w:szCs w:val="20"/>
                    </w:rPr>
                    <w:t>Ce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f</w:t>
                  </w:r>
                  <w:r w:rsidRPr="009A569F">
                    <w:rPr>
                      <w:rFonts w:ascii="Arial" w:hAnsi="Arial"/>
                      <w:sz w:val="20"/>
                      <w:szCs w:val="20"/>
                    </w:rPr>
                    <w:t>tizoxime</w:t>
                  </w:r>
                  <w:proofErr w:type="spellEnd"/>
                </w:p>
              </w:tc>
              <w:tc>
                <w:tcPr>
                  <w:tcW w:w="1620" w:type="dxa"/>
                </w:tcPr>
                <w:p w:rsidR="00826E8B" w:rsidRPr="009A569F" w:rsidRDefault="00826E8B" w:rsidP="00826E8B">
                  <w:pPr>
                    <w:pStyle w:val="Header"/>
                    <w:tabs>
                      <w:tab w:val="left" w:pos="720"/>
                    </w:tabs>
                    <w:jc w:val="left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</w:tbl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  <w:p w:rsidR="00826E8B" w:rsidRPr="00013751" w:rsidRDefault="00826E8B" w:rsidP="00826E8B">
            <w:pPr>
              <w:pStyle w:val="Title"/>
              <w:spacing w:before="0" w:after="0"/>
              <w:jc w:val="both"/>
              <w:rPr>
                <w:rFonts w:ascii="Arial" w:hAnsi="Arial"/>
                <w:b w:val="0"/>
                <w:sz w:val="20"/>
                <w:szCs w:val="20"/>
              </w:rPr>
            </w:pPr>
            <w:r w:rsidRPr="00013751">
              <w:rPr>
                <w:rFonts w:ascii="Arial" w:hAnsi="Arial"/>
                <w:b w:val="0"/>
                <w:sz w:val="20"/>
                <w:szCs w:val="20"/>
              </w:rPr>
              <w:t>Beta-</w:t>
            </w:r>
            <w:proofErr w:type="spellStart"/>
            <w:r w:rsidRPr="00013751">
              <w:rPr>
                <w:rFonts w:ascii="Arial" w:hAnsi="Arial"/>
                <w:b w:val="0"/>
                <w:sz w:val="20"/>
                <w:szCs w:val="20"/>
              </w:rPr>
              <w:t>Lactamase</w:t>
            </w:r>
            <w:proofErr w:type="spellEnd"/>
            <w:r w:rsidRPr="00013751">
              <w:rPr>
                <w:rFonts w:ascii="Arial" w:hAnsi="Arial"/>
                <w:b w:val="0"/>
                <w:sz w:val="20"/>
                <w:szCs w:val="20"/>
              </w:rPr>
              <w:t xml:space="preserve"> inhibitor combinations and </w:t>
            </w:r>
            <w:proofErr w:type="spellStart"/>
            <w:r w:rsidRPr="00013751">
              <w:rPr>
                <w:rFonts w:ascii="Arial" w:hAnsi="Arial"/>
                <w:b w:val="0"/>
                <w:sz w:val="20"/>
                <w:szCs w:val="20"/>
              </w:rPr>
              <w:t>cephamycins</w:t>
            </w:r>
            <w:proofErr w:type="spellEnd"/>
            <w:r w:rsidRPr="00013751">
              <w:rPr>
                <w:rFonts w:ascii="Arial" w:hAnsi="Arial"/>
                <w:b w:val="0"/>
                <w:sz w:val="20"/>
                <w:szCs w:val="20"/>
              </w:rPr>
              <w:t xml:space="preserve"> are not affected by ESBL</w:t>
            </w:r>
            <w:r>
              <w:rPr>
                <w:rFonts w:ascii="Arial" w:hAnsi="Arial"/>
                <w:b w:val="0"/>
                <w:sz w:val="20"/>
                <w:szCs w:val="20"/>
              </w:rPr>
              <w:t>; do not edit the susceptibility results</w:t>
            </w:r>
            <w:r w:rsidRPr="00013751">
              <w:rPr>
                <w:rFonts w:ascii="Arial" w:hAnsi="Arial"/>
                <w:b w:val="0"/>
                <w:sz w:val="20"/>
                <w:szCs w:val="20"/>
              </w:rPr>
              <w:t>.</w:t>
            </w:r>
          </w:p>
          <w:p w:rsidR="00927AD8" w:rsidRDefault="00927AD8">
            <w:pPr>
              <w:pStyle w:val="Heading"/>
              <w:jc w:val="left"/>
              <w:rPr>
                <w:rFonts w:ascii="Arial" w:hAnsi="Arial"/>
                <w:b w:val="0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457"/>
              <w:gridCol w:w="4457"/>
            </w:tblGrid>
            <w:tr w:rsidR="00826E8B" w:rsidRPr="009A569F" w:rsidTr="00826E8B">
              <w:tc>
                <w:tcPr>
                  <w:tcW w:w="4457" w:type="dxa"/>
                </w:tcPr>
                <w:p w:rsidR="00826E8B" w:rsidRPr="009A569F" w:rsidRDefault="00826E8B" w:rsidP="00826E8B">
                  <w:pPr>
                    <w:pStyle w:val="Header"/>
                    <w:tabs>
                      <w:tab w:val="left" w:pos="720"/>
                    </w:tabs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A569F">
                    <w:rPr>
                      <w:rFonts w:ascii="Arial" w:hAnsi="Arial" w:cs="Arial"/>
                      <w:b/>
                      <w:sz w:val="20"/>
                      <w:szCs w:val="20"/>
                    </w:rPr>
                    <w:t>β-</w:t>
                  </w:r>
                  <w:proofErr w:type="spellStart"/>
                  <w:r w:rsidRPr="009A569F">
                    <w:rPr>
                      <w:rFonts w:ascii="Arial" w:hAnsi="Arial" w:cs="Arial"/>
                      <w:b/>
                      <w:sz w:val="20"/>
                      <w:szCs w:val="20"/>
                    </w:rPr>
                    <w:t>lactamase</w:t>
                  </w:r>
                  <w:proofErr w:type="spellEnd"/>
                  <w:r w:rsidRPr="009A569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inhibitor combinations</w:t>
                  </w:r>
                </w:p>
              </w:tc>
              <w:tc>
                <w:tcPr>
                  <w:tcW w:w="4457" w:type="dxa"/>
                </w:tcPr>
                <w:p w:rsidR="00826E8B" w:rsidRPr="009A569F" w:rsidRDefault="00826E8B" w:rsidP="00826E8B">
                  <w:pPr>
                    <w:pStyle w:val="Header"/>
                    <w:tabs>
                      <w:tab w:val="left" w:pos="720"/>
                    </w:tabs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9A569F">
                    <w:rPr>
                      <w:rFonts w:ascii="Arial" w:hAnsi="Arial" w:cs="Arial"/>
                      <w:b/>
                      <w:sz w:val="20"/>
                      <w:szCs w:val="20"/>
                    </w:rPr>
                    <w:t>Cephamycins</w:t>
                  </w:r>
                  <w:proofErr w:type="spellEnd"/>
                </w:p>
              </w:tc>
            </w:tr>
            <w:tr w:rsidR="00826E8B" w:rsidRPr="009A569F" w:rsidTr="00826E8B">
              <w:tc>
                <w:tcPr>
                  <w:tcW w:w="4457" w:type="dxa"/>
                </w:tcPr>
                <w:p w:rsidR="00826E8B" w:rsidRPr="009A569F" w:rsidRDefault="00826E8B" w:rsidP="00826E8B">
                  <w:pPr>
                    <w:pStyle w:val="Header"/>
                    <w:tabs>
                      <w:tab w:val="left" w:pos="720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A569F">
                    <w:rPr>
                      <w:rFonts w:ascii="Arial" w:hAnsi="Arial" w:cs="Arial"/>
                      <w:sz w:val="20"/>
                      <w:szCs w:val="20"/>
                    </w:rPr>
                    <w:t>Amoxicillin-</w:t>
                  </w:r>
                  <w:proofErr w:type="spellStart"/>
                  <w:r w:rsidRPr="009A569F">
                    <w:rPr>
                      <w:rFonts w:ascii="Arial" w:hAnsi="Arial" w:cs="Arial"/>
                      <w:sz w:val="20"/>
                      <w:szCs w:val="20"/>
                    </w:rPr>
                    <w:t>clavulanic</w:t>
                  </w:r>
                  <w:proofErr w:type="spellEnd"/>
                  <w:r w:rsidRPr="009A569F">
                    <w:rPr>
                      <w:rFonts w:ascii="Arial" w:hAnsi="Arial" w:cs="Arial"/>
                      <w:sz w:val="20"/>
                      <w:szCs w:val="20"/>
                    </w:rPr>
                    <w:t xml:space="preserve"> acid (</w:t>
                  </w:r>
                  <w:proofErr w:type="spellStart"/>
                  <w:r w:rsidRPr="009A569F">
                    <w:rPr>
                      <w:rFonts w:ascii="Arial" w:hAnsi="Arial" w:cs="Arial"/>
                      <w:sz w:val="20"/>
                      <w:szCs w:val="20"/>
                    </w:rPr>
                    <w:t>Augmentin</w:t>
                  </w:r>
                  <w:proofErr w:type="spellEnd"/>
                  <w:r w:rsidRPr="009A569F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457" w:type="dxa"/>
                </w:tcPr>
                <w:p w:rsidR="00826E8B" w:rsidRPr="009A569F" w:rsidRDefault="00826E8B" w:rsidP="00826E8B">
                  <w:pPr>
                    <w:pStyle w:val="Header"/>
                    <w:tabs>
                      <w:tab w:val="left" w:pos="720"/>
                    </w:tabs>
                    <w:jc w:val="left"/>
                    <w:rPr>
                      <w:rFonts w:ascii="Arial" w:hAnsi="Arial"/>
                      <w:sz w:val="20"/>
                      <w:szCs w:val="20"/>
                    </w:rPr>
                  </w:pPr>
                  <w:r w:rsidRPr="009A569F">
                    <w:rPr>
                      <w:rFonts w:ascii="Arial" w:hAnsi="Arial"/>
                      <w:sz w:val="20"/>
                      <w:szCs w:val="20"/>
                    </w:rPr>
                    <w:t>Cefoxitin</w:t>
                  </w:r>
                </w:p>
              </w:tc>
            </w:tr>
            <w:tr w:rsidR="00826E8B" w:rsidRPr="009A569F" w:rsidTr="00826E8B">
              <w:tc>
                <w:tcPr>
                  <w:tcW w:w="4457" w:type="dxa"/>
                </w:tcPr>
                <w:p w:rsidR="00826E8B" w:rsidRPr="009A569F" w:rsidRDefault="00826E8B" w:rsidP="00826E8B">
                  <w:pPr>
                    <w:pStyle w:val="Header"/>
                    <w:tabs>
                      <w:tab w:val="left" w:pos="720"/>
                    </w:tabs>
                    <w:rPr>
                      <w:rFonts w:ascii="Arial" w:hAnsi="Arial"/>
                      <w:sz w:val="20"/>
                      <w:szCs w:val="20"/>
                    </w:rPr>
                  </w:pPr>
                  <w:r w:rsidRPr="009A569F">
                    <w:rPr>
                      <w:rFonts w:ascii="Arial" w:hAnsi="Arial"/>
                      <w:sz w:val="20"/>
                      <w:szCs w:val="20"/>
                    </w:rPr>
                    <w:t xml:space="preserve">      Ampicillin-</w:t>
                  </w:r>
                  <w:proofErr w:type="spellStart"/>
                  <w:r w:rsidRPr="009A569F">
                    <w:rPr>
                      <w:rFonts w:ascii="Arial" w:hAnsi="Arial"/>
                      <w:sz w:val="20"/>
                      <w:szCs w:val="20"/>
                    </w:rPr>
                    <w:t>sulbactam</w:t>
                  </w:r>
                  <w:proofErr w:type="spellEnd"/>
                  <w:r w:rsidRPr="009A569F">
                    <w:rPr>
                      <w:rFonts w:ascii="Arial" w:hAnsi="Arial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A569F">
                    <w:rPr>
                      <w:rFonts w:ascii="Arial" w:hAnsi="Arial"/>
                      <w:sz w:val="20"/>
                      <w:szCs w:val="20"/>
                    </w:rPr>
                    <w:t>Unasyn</w:t>
                  </w:r>
                  <w:proofErr w:type="spellEnd"/>
                  <w:r w:rsidRPr="009A569F">
                    <w:rPr>
                      <w:rFonts w:ascii="Arial" w:hAnsi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457" w:type="dxa"/>
                </w:tcPr>
                <w:p w:rsidR="00826E8B" w:rsidRPr="009A569F" w:rsidRDefault="00826E8B" w:rsidP="00826E8B">
                  <w:pPr>
                    <w:pStyle w:val="Header"/>
                    <w:tabs>
                      <w:tab w:val="left" w:pos="720"/>
                    </w:tabs>
                    <w:jc w:val="left"/>
                    <w:rPr>
                      <w:rFonts w:ascii="Arial" w:hAnsi="Arial"/>
                      <w:sz w:val="20"/>
                      <w:szCs w:val="20"/>
                    </w:rPr>
                  </w:pPr>
                  <w:proofErr w:type="spellStart"/>
                  <w:r w:rsidRPr="009A569F">
                    <w:rPr>
                      <w:rFonts w:ascii="Arial" w:hAnsi="Arial"/>
                      <w:sz w:val="20"/>
                      <w:szCs w:val="20"/>
                    </w:rPr>
                    <w:t>Cefotetan</w:t>
                  </w:r>
                  <w:proofErr w:type="spellEnd"/>
                </w:p>
              </w:tc>
            </w:tr>
            <w:tr w:rsidR="00826E8B" w:rsidRPr="009A569F" w:rsidTr="00826E8B">
              <w:tc>
                <w:tcPr>
                  <w:tcW w:w="4457" w:type="dxa"/>
                </w:tcPr>
                <w:p w:rsidR="00826E8B" w:rsidRPr="009A569F" w:rsidRDefault="00826E8B" w:rsidP="00826E8B">
                  <w:pPr>
                    <w:pStyle w:val="Header"/>
                    <w:tabs>
                      <w:tab w:val="left" w:pos="720"/>
                    </w:tabs>
                    <w:rPr>
                      <w:rFonts w:ascii="Arial" w:hAnsi="Arial"/>
                      <w:sz w:val="20"/>
                      <w:szCs w:val="20"/>
                    </w:rPr>
                  </w:pPr>
                  <w:r w:rsidRPr="009A569F">
                    <w:rPr>
                      <w:rFonts w:ascii="Arial" w:hAnsi="Arial"/>
                      <w:sz w:val="20"/>
                      <w:szCs w:val="20"/>
                    </w:rPr>
                    <w:t xml:space="preserve">      </w:t>
                  </w:r>
                  <w:proofErr w:type="spellStart"/>
                  <w:r w:rsidRPr="009A569F">
                    <w:rPr>
                      <w:rFonts w:ascii="Arial" w:hAnsi="Arial"/>
                      <w:sz w:val="20"/>
                      <w:szCs w:val="20"/>
                    </w:rPr>
                    <w:t>Piperacillin</w:t>
                  </w:r>
                  <w:proofErr w:type="spellEnd"/>
                  <w:r w:rsidRPr="009A569F">
                    <w:rPr>
                      <w:rFonts w:ascii="Arial" w:hAnsi="Arial"/>
                      <w:sz w:val="20"/>
                      <w:szCs w:val="20"/>
                    </w:rPr>
                    <w:t>/</w:t>
                  </w:r>
                  <w:proofErr w:type="spellStart"/>
                  <w:r w:rsidRPr="009A569F">
                    <w:rPr>
                      <w:rFonts w:ascii="Arial" w:hAnsi="Arial"/>
                      <w:sz w:val="20"/>
                      <w:szCs w:val="20"/>
                    </w:rPr>
                    <w:t>tazobactam</w:t>
                  </w:r>
                  <w:proofErr w:type="spellEnd"/>
                  <w:r w:rsidRPr="009A569F">
                    <w:rPr>
                      <w:rFonts w:ascii="Arial" w:hAnsi="Arial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A569F">
                    <w:rPr>
                      <w:rFonts w:ascii="Arial" w:hAnsi="Arial"/>
                      <w:sz w:val="20"/>
                      <w:szCs w:val="20"/>
                    </w:rPr>
                    <w:t>Zosyn</w:t>
                  </w:r>
                  <w:proofErr w:type="spellEnd"/>
                  <w:r w:rsidRPr="009A569F">
                    <w:rPr>
                      <w:rFonts w:ascii="Arial" w:hAnsi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457" w:type="dxa"/>
                </w:tcPr>
                <w:p w:rsidR="00826E8B" w:rsidRPr="009A569F" w:rsidRDefault="00826E8B" w:rsidP="00826E8B">
                  <w:pPr>
                    <w:pStyle w:val="Header"/>
                    <w:tabs>
                      <w:tab w:val="left" w:pos="720"/>
                    </w:tabs>
                    <w:jc w:val="left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826E8B" w:rsidRPr="009A569F" w:rsidTr="00826E8B">
              <w:tc>
                <w:tcPr>
                  <w:tcW w:w="4457" w:type="dxa"/>
                </w:tcPr>
                <w:p w:rsidR="00826E8B" w:rsidRPr="009A569F" w:rsidRDefault="00826E8B" w:rsidP="00826E8B">
                  <w:pPr>
                    <w:pStyle w:val="Header"/>
                    <w:tabs>
                      <w:tab w:val="left" w:pos="720"/>
                    </w:tabs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     </w:t>
                  </w:r>
                  <w:proofErr w:type="spellStart"/>
                  <w:r>
                    <w:rPr>
                      <w:rFonts w:ascii="Arial" w:hAnsi="Arial"/>
                      <w:sz w:val="20"/>
                      <w:szCs w:val="20"/>
                    </w:rPr>
                    <w:t>Ticarcillin</w:t>
                  </w:r>
                  <w:proofErr w:type="spellEnd"/>
                  <w:r>
                    <w:rPr>
                      <w:rFonts w:ascii="Arial" w:hAnsi="Arial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rFonts w:ascii="Arial" w:hAnsi="Arial"/>
                      <w:sz w:val="20"/>
                      <w:szCs w:val="20"/>
                    </w:rPr>
                    <w:t>clavula</w:t>
                  </w:r>
                  <w:r w:rsidRPr="009A569F">
                    <w:rPr>
                      <w:rFonts w:ascii="Arial" w:hAnsi="Arial"/>
                      <w:sz w:val="20"/>
                      <w:szCs w:val="20"/>
                    </w:rPr>
                    <w:t>nic</w:t>
                  </w:r>
                  <w:proofErr w:type="spellEnd"/>
                  <w:r w:rsidRPr="009A569F">
                    <w:rPr>
                      <w:rFonts w:ascii="Arial" w:hAnsi="Arial"/>
                      <w:sz w:val="20"/>
                      <w:szCs w:val="20"/>
                    </w:rPr>
                    <w:t xml:space="preserve"> acid (</w:t>
                  </w:r>
                  <w:proofErr w:type="spellStart"/>
                  <w:r w:rsidRPr="009A569F">
                    <w:rPr>
                      <w:rFonts w:ascii="Arial" w:hAnsi="Arial"/>
                      <w:sz w:val="20"/>
                      <w:szCs w:val="20"/>
                    </w:rPr>
                    <w:t>Timentin</w:t>
                  </w:r>
                  <w:proofErr w:type="spellEnd"/>
                  <w:r w:rsidRPr="009A569F">
                    <w:rPr>
                      <w:rFonts w:ascii="Arial" w:hAnsi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457" w:type="dxa"/>
                </w:tcPr>
                <w:p w:rsidR="00826E8B" w:rsidRPr="009A569F" w:rsidRDefault="00826E8B" w:rsidP="00826E8B">
                  <w:pPr>
                    <w:pStyle w:val="Header"/>
                    <w:tabs>
                      <w:tab w:val="left" w:pos="720"/>
                    </w:tabs>
                    <w:jc w:val="left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</w:tbl>
          <w:p w:rsidR="006A1117" w:rsidRPr="006A1117" w:rsidRDefault="006A1117" w:rsidP="006A1117"/>
        </w:tc>
      </w:tr>
      <w:tr w:rsidR="00927AD8"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Result Reporting</w:t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left w:val="nil"/>
              <w:right w:val="nil"/>
            </w:tcBorders>
          </w:tcPr>
          <w:p w:rsidR="00927AD8" w:rsidRDefault="00927AD8">
            <w:pPr>
              <w:pStyle w:val="Heading"/>
              <w:jc w:val="left"/>
              <w:rPr>
                <w:rFonts w:ascii="Arial" w:hAnsi="Arial"/>
                <w:b w:val="0"/>
                <w:sz w:val="20"/>
              </w:rPr>
            </w:pPr>
          </w:p>
          <w:p w:rsidR="00927AD8" w:rsidRPr="006A1117" w:rsidRDefault="006A1117" w:rsidP="006A1117">
            <w:pPr>
              <w:numPr>
                <w:ilvl w:val="0"/>
                <w:numId w:val="29"/>
              </w:numPr>
              <w:jc w:val="left"/>
              <w:rPr>
                <w:rFonts w:ascii="Arial" w:hAnsi="Arial"/>
                <w:sz w:val="20"/>
              </w:rPr>
            </w:pPr>
            <w:r w:rsidRPr="00B2472C">
              <w:rPr>
                <w:rFonts w:ascii="Arial" w:hAnsi="Arial" w:cs="Arial"/>
                <w:sz w:val="20"/>
                <w:szCs w:val="20"/>
              </w:rPr>
              <w:t xml:space="preserve">When reporting, append the Sunquest code </w:t>
            </w:r>
            <w:r w:rsidRPr="00B2472C">
              <w:rPr>
                <w:rFonts w:ascii="Arial" w:hAnsi="Arial" w:cs="Arial"/>
                <w:b/>
                <w:sz w:val="20"/>
                <w:szCs w:val="20"/>
              </w:rPr>
              <w:t xml:space="preserve">ESBL </w:t>
            </w:r>
            <w:r w:rsidRPr="00B2472C">
              <w:rPr>
                <w:rFonts w:ascii="Arial" w:hAnsi="Arial" w:cs="Arial"/>
                <w:sz w:val="20"/>
                <w:szCs w:val="20"/>
              </w:rPr>
              <w:t xml:space="preserve">onto the organism code, i.e., </w:t>
            </w:r>
            <w:r w:rsidRPr="00B2472C">
              <w:rPr>
                <w:rFonts w:ascii="Arial" w:hAnsi="Arial" w:cs="Arial"/>
                <w:b/>
                <w:sz w:val="20"/>
                <w:szCs w:val="20"/>
              </w:rPr>
              <w:t>KLPN-ESBL</w:t>
            </w:r>
            <w:r w:rsidRPr="00B2472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1117" w:rsidRPr="006A1117" w:rsidRDefault="006A1117" w:rsidP="006A1117">
            <w:pPr>
              <w:numPr>
                <w:ilvl w:val="0"/>
                <w:numId w:val="29"/>
              </w:numPr>
              <w:jc w:val="left"/>
              <w:rPr>
                <w:rFonts w:ascii="Arial" w:hAnsi="Arial"/>
                <w:sz w:val="20"/>
              </w:rPr>
            </w:pPr>
            <w:r w:rsidRPr="00B2472C">
              <w:rPr>
                <w:rFonts w:ascii="Arial" w:hAnsi="Arial" w:cs="Arial"/>
                <w:sz w:val="20"/>
                <w:szCs w:val="20"/>
              </w:rPr>
              <w:t xml:space="preserve">Also include the code </w:t>
            </w:r>
            <w:r w:rsidRPr="00B247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DRO </w:t>
            </w:r>
            <w:r w:rsidRPr="00B2472C">
              <w:rPr>
                <w:rFonts w:ascii="Arial" w:hAnsi="Arial" w:cs="Arial"/>
                <w:sz w:val="20"/>
                <w:szCs w:val="20"/>
              </w:rPr>
              <w:t xml:space="preserve">on a separate line.  </w:t>
            </w:r>
          </w:p>
          <w:p w:rsidR="006A1117" w:rsidRPr="006A1117" w:rsidRDefault="006A1117" w:rsidP="006A1117">
            <w:pPr>
              <w:numPr>
                <w:ilvl w:val="0"/>
                <w:numId w:val="29"/>
              </w:numPr>
              <w:jc w:val="left"/>
              <w:rPr>
                <w:rFonts w:ascii="Arial" w:hAnsi="Arial"/>
                <w:sz w:val="20"/>
              </w:rPr>
            </w:pPr>
            <w:r w:rsidRPr="00B2472C">
              <w:rPr>
                <w:rFonts w:ascii="Arial" w:hAnsi="Arial" w:cs="Arial"/>
                <w:sz w:val="20"/>
                <w:szCs w:val="20"/>
              </w:rPr>
              <w:t>Call the patient’s caregiver with the result and document in the patient’s report</w:t>
            </w:r>
          </w:p>
          <w:p w:rsidR="006A1117" w:rsidRPr="00826E8B" w:rsidRDefault="006A1117" w:rsidP="006A1117">
            <w:pPr>
              <w:numPr>
                <w:ilvl w:val="0"/>
                <w:numId w:val="29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ESBL</w:t>
            </w:r>
            <w:r w:rsidRPr="00B2472C">
              <w:rPr>
                <w:rFonts w:ascii="Arial" w:hAnsi="Arial" w:cs="Arial"/>
                <w:sz w:val="20"/>
                <w:szCs w:val="20"/>
              </w:rPr>
              <w:t xml:space="preserve"> positive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organisms resistant to all Penicillin’s, C</w:t>
            </w:r>
            <w:r w:rsidRPr="00B2472C">
              <w:rPr>
                <w:rFonts w:ascii="Arial" w:hAnsi="Arial" w:cs="Arial"/>
                <w:sz w:val="20"/>
                <w:szCs w:val="20"/>
              </w:rPr>
              <w:t>ephalos</w:t>
            </w:r>
            <w:r>
              <w:rPr>
                <w:rFonts w:ascii="Arial" w:hAnsi="Arial" w:cs="Arial"/>
                <w:sz w:val="20"/>
                <w:szCs w:val="20"/>
              </w:rPr>
              <w:t xml:space="preserve">porin’s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Aztreonam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lef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26E8B" w:rsidRPr="00AF4E24" w:rsidRDefault="00826E8B" w:rsidP="00826E8B">
            <w:pPr>
              <w:pStyle w:val="Header"/>
              <w:numPr>
                <w:ilvl w:val="0"/>
                <w:numId w:val="30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  <w:proofErr w:type="spellStart"/>
            <w:r w:rsidRPr="00AF4E24">
              <w:rPr>
                <w:rFonts w:ascii="Arial" w:hAnsi="Arial"/>
                <w:sz w:val="20"/>
                <w:szCs w:val="20"/>
              </w:rPr>
              <w:t>Hindler</w:t>
            </w:r>
            <w:proofErr w:type="spellEnd"/>
            <w:r w:rsidRPr="00AF4E24">
              <w:rPr>
                <w:rFonts w:ascii="Arial" w:hAnsi="Arial"/>
                <w:sz w:val="20"/>
                <w:szCs w:val="20"/>
              </w:rPr>
              <w:t xml:space="preserve">, J.F., Section editor, Antimicrobial Susceptibility Testing, 5.1.6, “Disk Diffusion Test” in </w:t>
            </w:r>
            <w:r w:rsidRPr="00AF4E24">
              <w:rPr>
                <w:rFonts w:ascii="Arial" w:hAnsi="Arial"/>
                <w:i/>
                <w:sz w:val="20"/>
                <w:szCs w:val="20"/>
              </w:rPr>
              <w:t xml:space="preserve">Clinical Microbiology Procedures Handbook, </w:t>
            </w:r>
            <w:r w:rsidR="00CA4B38">
              <w:rPr>
                <w:rFonts w:ascii="Arial" w:hAnsi="Arial"/>
                <w:sz w:val="20"/>
                <w:szCs w:val="20"/>
              </w:rPr>
              <w:t xml:space="preserve">Amy L </w:t>
            </w:r>
            <w:proofErr w:type="spellStart"/>
            <w:r w:rsidR="00CA4B38">
              <w:rPr>
                <w:rFonts w:ascii="Arial" w:hAnsi="Arial"/>
                <w:sz w:val="20"/>
                <w:szCs w:val="20"/>
              </w:rPr>
              <w:t>Leber</w:t>
            </w:r>
            <w:proofErr w:type="spellEnd"/>
            <w:r w:rsidR="00CA4B38">
              <w:rPr>
                <w:rFonts w:ascii="Arial" w:hAnsi="Arial"/>
                <w:sz w:val="20"/>
                <w:szCs w:val="20"/>
              </w:rPr>
              <w:t>, editor, 2016</w:t>
            </w:r>
            <w:r w:rsidRPr="00AF4E24">
              <w:rPr>
                <w:rFonts w:ascii="Arial" w:hAnsi="Arial"/>
                <w:sz w:val="20"/>
                <w:szCs w:val="20"/>
              </w:rPr>
              <w:t>, ASM Press, Washington, D.C.</w:t>
            </w:r>
          </w:p>
          <w:p w:rsidR="00826E8B" w:rsidRPr="00AF4E24" w:rsidRDefault="00826E8B" w:rsidP="00826E8B">
            <w:pPr>
              <w:pStyle w:val="Header"/>
              <w:numPr>
                <w:ilvl w:val="0"/>
                <w:numId w:val="30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AF4E24">
              <w:rPr>
                <w:rFonts w:ascii="Arial" w:hAnsi="Arial"/>
                <w:sz w:val="20"/>
                <w:szCs w:val="20"/>
              </w:rPr>
              <w:t xml:space="preserve">CLSI.  </w:t>
            </w:r>
            <w:r w:rsidRPr="00AF4E24">
              <w:rPr>
                <w:rFonts w:ascii="Arial" w:hAnsi="Arial"/>
                <w:i/>
                <w:sz w:val="20"/>
                <w:szCs w:val="20"/>
              </w:rPr>
              <w:t xml:space="preserve">Performance Standards for Antimicrobial Disk Susceptibility </w:t>
            </w:r>
            <w:r w:rsidR="00CA4B38">
              <w:rPr>
                <w:rFonts w:ascii="Arial" w:hAnsi="Arial"/>
                <w:i/>
                <w:sz w:val="20"/>
                <w:szCs w:val="20"/>
              </w:rPr>
              <w:t>Tests; Approved Standard—Thirteenth</w:t>
            </w:r>
            <w:r w:rsidRPr="00AF4E24">
              <w:rPr>
                <w:rFonts w:ascii="Arial" w:hAnsi="Arial"/>
                <w:i/>
                <w:sz w:val="20"/>
                <w:szCs w:val="20"/>
              </w:rPr>
              <w:t xml:space="preserve"> Edition</w:t>
            </w:r>
            <w:r w:rsidR="00CA4B38">
              <w:rPr>
                <w:rFonts w:ascii="Arial" w:hAnsi="Arial"/>
                <w:sz w:val="20"/>
                <w:szCs w:val="20"/>
              </w:rPr>
              <w:t>, CLSI document M02-A13</w:t>
            </w:r>
            <w:r w:rsidRPr="00AF4E24">
              <w:rPr>
                <w:rFonts w:ascii="Arial" w:hAnsi="Arial"/>
                <w:sz w:val="20"/>
                <w:szCs w:val="20"/>
              </w:rPr>
              <w:t>, Wayne, PA:  Clinical and Lab</w:t>
            </w:r>
            <w:r w:rsidR="00CA4B38">
              <w:rPr>
                <w:rFonts w:ascii="Arial" w:hAnsi="Arial"/>
                <w:sz w:val="20"/>
                <w:szCs w:val="20"/>
              </w:rPr>
              <w:t>oratory Standards Institute; 2018</w:t>
            </w:r>
            <w:r w:rsidRPr="00AF4E24">
              <w:rPr>
                <w:rFonts w:ascii="Arial" w:hAnsi="Arial"/>
                <w:sz w:val="20"/>
                <w:szCs w:val="20"/>
              </w:rPr>
              <w:t xml:space="preserve">, </w:t>
            </w:r>
          </w:p>
          <w:p w:rsidR="00826E8B" w:rsidRPr="00AF4E24" w:rsidRDefault="00826E8B" w:rsidP="00826E8B">
            <w:pPr>
              <w:pStyle w:val="Header"/>
              <w:numPr>
                <w:ilvl w:val="0"/>
                <w:numId w:val="30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AF4E24">
              <w:rPr>
                <w:rFonts w:ascii="Arial" w:hAnsi="Arial"/>
                <w:sz w:val="20"/>
                <w:szCs w:val="20"/>
              </w:rPr>
              <w:t xml:space="preserve">CLSI.  </w:t>
            </w:r>
            <w:r w:rsidRPr="00AF4E24">
              <w:rPr>
                <w:rFonts w:ascii="Arial" w:hAnsi="Arial"/>
                <w:i/>
                <w:sz w:val="20"/>
                <w:szCs w:val="20"/>
              </w:rPr>
              <w:t>Performance Standards for Antimicrobial Susceptibility Testing</w:t>
            </w:r>
            <w:r w:rsidRPr="00AF4E24">
              <w:rPr>
                <w:rFonts w:ascii="Arial" w:hAnsi="Arial"/>
                <w:sz w:val="20"/>
                <w:szCs w:val="20"/>
              </w:rPr>
              <w:t xml:space="preserve">, </w:t>
            </w:r>
            <w:r w:rsidRPr="00AF4E24">
              <w:rPr>
                <w:rFonts w:ascii="Arial" w:hAnsi="Arial"/>
                <w:i/>
                <w:sz w:val="20"/>
                <w:szCs w:val="20"/>
              </w:rPr>
              <w:t>Twenty-</w:t>
            </w:r>
            <w:r w:rsidR="00CA4B38">
              <w:rPr>
                <w:rFonts w:ascii="Arial" w:hAnsi="Arial"/>
                <w:i/>
                <w:sz w:val="20"/>
                <w:szCs w:val="20"/>
              </w:rPr>
              <w:t>Eight</w:t>
            </w:r>
            <w:r w:rsidRPr="00AF4E24">
              <w:rPr>
                <w:rFonts w:ascii="Arial" w:hAnsi="Arial"/>
                <w:sz w:val="20"/>
                <w:szCs w:val="20"/>
              </w:rPr>
              <w:t xml:space="preserve"> </w:t>
            </w:r>
            <w:r w:rsidRPr="00AF4E24">
              <w:rPr>
                <w:rFonts w:ascii="Arial" w:hAnsi="Arial"/>
                <w:i/>
                <w:sz w:val="20"/>
                <w:szCs w:val="20"/>
              </w:rPr>
              <w:t>Informational Supplement</w:t>
            </w:r>
            <w:r>
              <w:rPr>
                <w:rFonts w:ascii="Arial" w:hAnsi="Arial"/>
                <w:sz w:val="20"/>
                <w:szCs w:val="20"/>
              </w:rPr>
              <w:t xml:space="preserve">, CLSI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document  M100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-S28</w:t>
            </w:r>
            <w:r w:rsidRPr="00AF4E24">
              <w:rPr>
                <w:rFonts w:ascii="Arial" w:hAnsi="Arial"/>
                <w:sz w:val="20"/>
                <w:szCs w:val="20"/>
              </w:rPr>
              <w:t>, Wayne PA:  Clinical and Labo</w:t>
            </w:r>
            <w:r>
              <w:rPr>
                <w:rFonts w:ascii="Arial" w:hAnsi="Arial"/>
                <w:sz w:val="20"/>
                <w:szCs w:val="20"/>
              </w:rPr>
              <w:t>ratory Standards Institute, 2018.</w:t>
            </w:r>
          </w:p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trHeight w:val="525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927AD8" w:rsidRDefault="00927AD8" w:rsidP="00826E8B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7AD8" w:rsidRDefault="00927AD8" w:rsidP="00826E8B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64"/>
        </w:trPr>
        <w:tc>
          <w:tcPr>
            <w:tcW w:w="17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t>Training Plan/ Competency Assessment</w:t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Training Plan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Initial Competency Assessment</w:t>
            </w: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872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8B" w:rsidRPr="00AF4E24" w:rsidRDefault="00826E8B" w:rsidP="00826E8B">
            <w:pPr>
              <w:tabs>
                <w:tab w:val="num" w:pos="108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AF4E24">
              <w:rPr>
                <w:rFonts w:ascii="Arial" w:hAnsi="Arial"/>
                <w:sz w:val="20"/>
                <w:szCs w:val="20"/>
              </w:rPr>
              <w:t>Employee must read the procedure</w:t>
            </w:r>
          </w:p>
          <w:p w:rsidR="00826E8B" w:rsidRPr="00AF4E24" w:rsidRDefault="00826E8B" w:rsidP="00826E8B">
            <w:pPr>
              <w:tabs>
                <w:tab w:val="num" w:pos="108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AF4E24">
              <w:rPr>
                <w:rFonts w:ascii="Arial" w:hAnsi="Arial"/>
                <w:sz w:val="20"/>
                <w:szCs w:val="20"/>
              </w:rPr>
              <w:t>-Employee will observe trainer performing the procedure.</w:t>
            </w:r>
          </w:p>
          <w:p w:rsidR="00927AD8" w:rsidRDefault="00826E8B" w:rsidP="00826E8B">
            <w:pPr>
              <w:jc w:val="left"/>
              <w:rPr>
                <w:rFonts w:ascii="Arial" w:hAnsi="Arial"/>
                <w:sz w:val="20"/>
              </w:rPr>
            </w:pPr>
            <w:r w:rsidRPr="00AF4E24">
              <w:rPr>
                <w:rFonts w:ascii="Arial" w:hAnsi="Arial"/>
                <w:sz w:val="20"/>
                <w:szCs w:val="20"/>
              </w:rPr>
              <w:t>-Employee will demonstrate the ability to perform procedure, record results and document corrective action after instruction by the trainer.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826E8B">
            <w:pPr>
              <w:jc w:val="left"/>
              <w:rPr>
                <w:rFonts w:ascii="Arial" w:hAnsi="Arial"/>
                <w:sz w:val="20"/>
              </w:rPr>
            </w:pPr>
            <w:r w:rsidRPr="00AF4E24">
              <w:rPr>
                <w:rFonts w:ascii="Arial" w:hAnsi="Arial"/>
                <w:sz w:val="20"/>
                <w:szCs w:val="20"/>
              </w:rPr>
              <w:t>Direct observation.</w:t>
            </w: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trHeight w:val="270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7AD8" w:rsidRDefault="00927AD8">
            <w:pPr>
              <w:rPr>
                <w:rFonts w:ascii="Arial" w:hAnsi="Arial"/>
                <w:i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25"/>
        </w:trPr>
        <w:tc>
          <w:tcPr>
            <w:tcW w:w="1792" w:type="dxa"/>
            <w:tcBorders>
              <w:left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25"/>
        </w:trPr>
        <w:tc>
          <w:tcPr>
            <w:tcW w:w="1792" w:type="dxa"/>
            <w:vMerge w:val="restart"/>
            <w:tcBorders>
              <w:left w:val="nil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135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46701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Susan DeM</w:t>
            </w:r>
            <w:r w:rsidR="00826E8B">
              <w:rPr>
                <w:rFonts w:ascii="Arial" w:hAnsi="Arial"/>
                <w:sz w:val="20"/>
              </w:rPr>
              <w:t>eyere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64590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5/23</w:t>
            </w:r>
            <w:r w:rsidR="00826E8B">
              <w:rPr>
                <w:rFonts w:ascii="Arial" w:hAnsi="Arial"/>
                <w:sz w:val="20"/>
              </w:rPr>
              <w:t>/2018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  <w:r w:rsidR="006C1D49">
              <w:rPr>
                <w:rFonts w:ascii="Arial" w:hAnsi="Arial"/>
                <w:sz w:val="20"/>
              </w:rPr>
              <w:t xml:space="preserve">-Separated from MC 6.31 </w:t>
            </w:r>
            <w:proofErr w:type="spellStart"/>
            <w:r w:rsidR="006C1D49">
              <w:rPr>
                <w:rFonts w:ascii="Arial" w:hAnsi="Arial"/>
                <w:sz w:val="20"/>
              </w:rPr>
              <w:t>Dtest</w:t>
            </w:r>
            <w:proofErr w:type="spellEnd"/>
            <w:r w:rsidR="006C1D49">
              <w:rPr>
                <w:rFonts w:ascii="Arial" w:hAnsi="Arial"/>
                <w:sz w:val="20"/>
              </w:rPr>
              <w:t>-ESBL confirmation tests.</w:t>
            </w: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143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sz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sz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</w:trPr>
        <w:tc>
          <w:tcPr>
            <w:tcW w:w="17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sz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sz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sz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sz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Cs/>
                <w:sz w:val="20"/>
              </w:rPr>
            </w:pPr>
          </w:p>
        </w:tc>
        <w:tc>
          <w:tcPr>
            <w:tcW w:w="2696" w:type="dxa"/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6" w:type="dxa"/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172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sz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sz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by: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Date: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C40263" w:rsidRDefault="00C40263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C40263" w:rsidSect="00784D8B">
      <w:headerReference w:type="default" r:id="rId12"/>
      <w:footerReference w:type="default" r:id="rId13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254" w:rsidRDefault="005E0254">
      <w:r>
        <w:separator/>
      </w:r>
    </w:p>
  </w:endnote>
  <w:endnote w:type="continuationSeparator" w:id="0">
    <w:p w:rsidR="005E0254" w:rsidRDefault="005E0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254" w:rsidRDefault="005E0254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>Laboratory, Children’s Hospitals and Clinics of Minnesota, Minneapolis/St. Paul MN</w:t>
    </w:r>
    <w:r>
      <w:rPr>
        <w:rFonts w:ascii="Arial" w:hAnsi="Arial"/>
        <w:sz w:val="16"/>
      </w:rPr>
      <w:tab/>
    </w:r>
  </w:p>
  <w:p w:rsidR="005E0254" w:rsidRDefault="005E0254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>
      <w:rPr>
        <w:rFonts w:ascii="Arial" w:hAnsi="Arial"/>
        <w:sz w:val="16"/>
      </w:rPr>
      <w:fldChar w:fldCharType="separate"/>
    </w:r>
    <w:r w:rsidR="00645903">
      <w:rPr>
        <w:rFonts w:ascii="Arial" w:hAnsi="Arial"/>
        <w:noProof/>
        <w:sz w:val="16"/>
      </w:rPr>
      <w:t>4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FILENAME \p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G:\LAB\Micro Viro Procedure Reformatting 2010\Online ProcedureTemplate_MICRO version2.doc</w:t>
    </w:r>
    <w:r>
      <w:rPr>
        <w:rFonts w:ascii="Arial" w:hAnsi="Arial"/>
        <w:sz w:val="16"/>
      </w:rPr>
      <w:fldChar w:fldCharType="end"/>
    </w:r>
  </w:p>
  <w:p w:rsidR="005E0254" w:rsidRDefault="005E0254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 xml:space="preserve">Page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>
      <w:rPr>
        <w:rFonts w:ascii="Arial" w:hAnsi="Arial"/>
        <w:sz w:val="16"/>
      </w:rPr>
      <w:fldChar w:fldCharType="separate"/>
    </w:r>
    <w:r w:rsidR="00645903">
      <w:rPr>
        <w:rFonts w:ascii="Arial" w:hAnsi="Arial"/>
        <w:noProof/>
        <w:sz w:val="16"/>
      </w:rPr>
      <w:t>1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>
      <w:rPr>
        <w:rFonts w:ascii="Arial" w:hAnsi="Arial"/>
        <w:sz w:val="16"/>
      </w:rPr>
      <w:fldChar w:fldCharType="separate"/>
    </w:r>
    <w:r w:rsidR="00645903">
      <w:rPr>
        <w:rFonts w:ascii="Arial" w:hAnsi="Arial"/>
        <w:noProof/>
        <w:sz w:val="16"/>
      </w:rPr>
      <w:t>4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254" w:rsidRDefault="005E0254">
      <w:r>
        <w:separator/>
      </w:r>
    </w:p>
  </w:footnote>
  <w:footnote w:type="continuationSeparator" w:id="0">
    <w:p w:rsidR="005E0254" w:rsidRDefault="005E02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254" w:rsidRDefault="005E0254" w:rsidP="00494541">
    <w:pPr>
      <w:ind w:left="7200" w:right="-1260" w:firstLine="720"/>
      <w:rPr>
        <w:rFonts w:ascii="Arial" w:hAnsi="Arial"/>
        <w:sz w:val="18"/>
      </w:rPr>
    </w:pPr>
    <w:r w:rsidRPr="007543D6">
      <w:rPr>
        <w:rFonts w:ascii="Arial" w:hAnsi="Arial"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0.75pt;height:29.25pt">
          <v:imagedata r:id="rId1" o:title=""/>
        </v:shape>
      </w:pict>
    </w:r>
  </w:p>
  <w:p w:rsidR="005E0254" w:rsidRDefault="005E0254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MC 6.70 ESBL Confirmation by Disk Diffusion</w:t>
    </w:r>
  </w:p>
  <w:p w:rsidR="005E0254" w:rsidRDefault="005E0254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Version 1</w:t>
    </w:r>
  </w:p>
  <w:p w:rsidR="005E0254" w:rsidRDefault="00645903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Effective Date: 5/23</w:t>
    </w:r>
    <w:r w:rsidR="005E0254">
      <w:rPr>
        <w:rFonts w:ascii="Arial" w:hAnsi="Arial"/>
        <w:sz w:val="18"/>
      </w:rPr>
      <w:t>/2018</w:t>
    </w:r>
  </w:p>
  <w:p w:rsidR="005E0254" w:rsidRDefault="005E0254" w:rsidP="00055951">
    <w:pPr>
      <w:ind w:right="-1260"/>
      <w:rPr>
        <w:b/>
        <w:sz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452453"/>
    <w:multiLevelType w:val="hybridMultilevel"/>
    <w:tmpl w:val="17D4A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865C3"/>
    <w:multiLevelType w:val="hybridMultilevel"/>
    <w:tmpl w:val="6B94A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80A18"/>
    <w:multiLevelType w:val="hybridMultilevel"/>
    <w:tmpl w:val="EE26B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680F"/>
    <w:multiLevelType w:val="hybridMultilevel"/>
    <w:tmpl w:val="AA82A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D1206"/>
    <w:multiLevelType w:val="hybridMultilevel"/>
    <w:tmpl w:val="BCD00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8520FB"/>
    <w:multiLevelType w:val="hybridMultilevel"/>
    <w:tmpl w:val="E04C54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F315BB"/>
    <w:multiLevelType w:val="hybridMultilevel"/>
    <w:tmpl w:val="12AA8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252D3"/>
    <w:multiLevelType w:val="hybridMultilevel"/>
    <w:tmpl w:val="4F12C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9772B"/>
    <w:multiLevelType w:val="hybridMultilevel"/>
    <w:tmpl w:val="08E20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96CF2"/>
    <w:multiLevelType w:val="hybridMultilevel"/>
    <w:tmpl w:val="827E9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5133"/>
    <w:multiLevelType w:val="hybridMultilevel"/>
    <w:tmpl w:val="56FA1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0434C"/>
    <w:multiLevelType w:val="hybridMultilevel"/>
    <w:tmpl w:val="C0E22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0E272E"/>
    <w:multiLevelType w:val="hybridMultilevel"/>
    <w:tmpl w:val="A72CC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A37D3C"/>
    <w:multiLevelType w:val="hybridMultilevel"/>
    <w:tmpl w:val="81CE1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E60356"/>
    <w:multiLevelType w:val="hybridMultilevel"/>
    <w:tmpl w:val="4ACE2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7E1990"/>
    <w:multiLevelType w:val="hybridMultilevel"/>
    <w:tmpl w:val="B2FCF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C2FD3"/>
    <w:multiLevelType w:val="hybridMultilevel"/>
    <w:tmpl w:val="F2A08B4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896324"/>
    <w:multiLevelType w:val="hybridMultilevel"/>
    <w:tmpl w:val="4C42FD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94D320D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1">
    <w:nsid w:val="5B3D7EA3"/>
    <w:multiLevelType w:val="hybridMultilevel"/>
    <w:tmpl w:val="1B98E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8E4ECF"/>
    <w:multiLevelType w:val="hybridMultilevel"/>
    <w:tmpl w:val="55DA1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E41047"/>
    <w:multiLevelType w:val="hybridMultilevel"/>
    <w:tmpl w:val="5F2C81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3365BAA"/>
    <w:multiLevelType w:val="hybridMultilevel"/>
    <w:tmpl w:val="8DBC1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E006B"/>
    <w:multiLevelType w:val="hybridMultilevel"/>
    <w:tmpl w:val="489C16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B64EE4"/>
    <w:multiLevelType w:val="hybridMultilevel"/>
    <w:tmpl w:val="7AA21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6E68CC"/>
    <w:multiLevelType w:val="hybridMultilevel"/>
    <w:tmpl w:val="5FB06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9E1FD6"/>
    <w:multiLevelType w:val="hybridMultilevel"/>
    <w:tmpl w:val="1CCE95B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340107"/>
    <w:multiLevelType w:val="hybridMultilevel"/>
    <w:tmpl w:val="12DE1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403F77"/>
    <w:multiLevelType w:val="hybridMultilevel"/>
    <w:tmpl w:val="79540D8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0471B"/>
    <w:multiLevelType w:val="hybridMultilevel"/>
    <w:tmpl w:val="4F0AC7F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F240014"/>
    <w:multiLevelType w:val="hybridMultilevel"/>
    <w:tmpl w:val="3ECA40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4D553A4"/>
    <w:multiLevelType w:val="hybridMultilevel"/>
    <w:tmpl w:val="659A5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C070DE"/>
    <w:multiLevelType w:val="hybridMultilevel"/>
    <w:tmpl w:val="7AA21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327CC4"/>
    <w:multiLevelType w:val="hybridMultilevel"/>
    <w:tmpl w:val="4280AF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20"/>
  </w:num>
  <w:num w:numId="4">
    <w:abstractNumId w:val="15"/>
  </w:num>
  <w:num w:numId="5">
    <w:abstractNumId w:val="13"/>
  </w:num>
  <w:num w:numId="6">
    <w:abstractNumId w:val="18"/>
  </w:num>
  <w:num w:numId="7">
    <w:abstractNumId w:val="5"/>
  </w:num>
  <w:num w:numId="8">
    <w:abstractNumId w:val="28"/>
  </w:num>
  <w:num w:numId="9">
    <w:abstractNumId w:val="25"/>
  </w:num>
  <w:num w:numId="10">
    <w:abstractNumId w:val="17"/>
  </w:num>
  <w:num w:numId="11">
    <w:abstractNumId w:val="33"/>
  </w:num>
  <w:num w:numId="12">
    <w:abstractNumId w:val="31"/>
  </w:num>
  <w:num w:numId="13">
    <w:abstractNumId w:val="8"/>
  </w:num>
  <w:num w:numId="14">
    <w:abstractNumId w:val="24"/>
  </w:num>
  <w:num w:numId="15">
    <w:abstractNumId w:val="7"/>
  </w:num>
  <w:num w:numId="16">
    <w:abstractNumId w:val="9"/>
  </w:num>
  <w:num w:numId="17">
    <w:abstractNumId w:val="10"/>
  </w:num>
  <w:num w:numId="18">
    <w:abstractNumId w:val="14"/>
  </w:num>
  <w:num w:numId="19">
    <w:abstractNumId w:val="30"/>
  </w:num>
  <w:num w:numId="20">
    <w:abstractNumId w:val="27"/>
  </w:num>
  <w:num w:numId="21">
    <w:abstractNumId w:val="11"/>
  </w:num>
  <w:num w:numId="22">
    <w:abstractNumId w:val="6"/>
  </w:num>
  <w:num w:numId="23">
    <w:abstractNumId w:val="3"/>
  </w:num>
  <w:num w:numId="24">
    <w:abstractNumId w:val="35"/>
  </w:num>
  <w:num w:numId="25">
    <w:abstractNumId w:val="32"/>
  </w:num>
  <w:num w:numId="26">
    <w:abstractNumId w:val="2"/>
  </w:num>
  <w:num w:numId="27">
    <w:abstractNumId w:val="19"/>
  </w:num>
  <w:num w:numId="28">
    <w:abstractNumId w:val="26"/>
  </w:num>
  <w:num w:numId="29">
    <w:abstractNumId w:val="16"/>
  </w:num>
  <w:num w:numId="30">
    <w:abstractNumId w:val="23"/>
  </w:num>
  <w:num w:numId="31">
    <w:abstractNumId w:val="21"/>
  </w:num>
  <w:num w:numId="32">
    <w:abstractNumId w:val="12"/>
  </w:num>
  <w:num w:numId="33">
    <w:abstractNumId w:val="4"/>
  </w:num>
  <w:num w:numId="34">
    <w:abstractNumId w:val="29"/>
  </w:num>
  <w:num w:numId="35">
    <w:abstractNumId w:val="34"/>
  </w:num>
  <w:num w:numId="36">
    <w:abstractNumId w:val="2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FEA"/>
    <w:rsid w:val="00010B7A"/>
    <w:rsid w:val="00055951"/>
    <w:rsid w:val="00151FF7"/>
    <w:rsid w:val="00181112"/>
    <w:rsid w:val="001B309C"/>
    <w:rsid w:val="002203CB"/>
    <w:rsid w:val="002F2A95"/>
    <w:rsid w:val="0046701E"/>
    <w:rsid w:val="00490511"/>
    <w:rsid w:val="00494541"/>
    <w:rsid w:val="004C10C8"/>
    <w:rsid w:val="005A2CDD"/>
    <w:rsid w:val="005E0254"/>
    <w:rsid w:val="00645903"/>
    <w:rsid w:val="00696855"/>
    <w:rsid w:val="006A1117"/>
    <w:rsid w:val="006C1D49"/>
    <w:rsid w:val="00712778"/>
    <w:rsid w:val="007543D6"/>
    <w:rsid w:val="00773924"/>
    <w:rsid w:val="00784D8B"/>
    <w:rsid w:val="00826E8B"/>
    <w:rsid w:val="00827FEA"/>
    <w:rsid w:val="0089505C"/>
    <w:rsid w:val="008A35A9"/>
    <w:rsid w:val="008E0C2E"/>
    <w:rsid w:val="00927AD8"/>
    <w:rsid w:val="00980619"/>
    <w:rsid w:val="00A9657C"/>
    <w:rsid w:val="00AA1366"/>
    <w:rsid w:val="00AB3313"/>
    <w:rsid w:val="00C40263"/>
    <w:rsid w:val="00CA4B38"/>
    <w:rsid w:val="00D44A53"/>
    <w:rsid w:val="00F415FA"/>
    <w:rsid w:val="00F51EC2"/>
    <w:rsid w:val="00F95B61"/>
    <w:rsid w:val="00FE6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D8B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784D8B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784D8B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784D8B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784D8B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784D8B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784D8B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784D8B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784D8B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784D8B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784D8B"/>
    <w:rPr>
      <w:bCs/>
      <w:iCs/>
      <w:color w:val="000000"/>
    </w:rPr>
  </w:style>
  <w:style w:type="paragraph" w:styleId="Header">
    <w:name w:val="header"/>
    <w:basedOn w:val="Normal"/>
    <w:semiHidden/>
    <w:rsid w:val="00784D8B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784D8B"/>
    <w:pPr>
      <w:ind w:left="360" w:hanging="360"/>
    </w:pPr>
  </w:style>
  <w:style w:type="paragraph" w:styleId="Title">
    <w:name w:val="Title"/>
    <w:basedOn w:val="Normal"/>
    <w:qFormat/>
    <w:rsid w:val="00784D8B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784D8B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784D8B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784D8B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784D8B"/>
    <w:pPr>
      <w:numPr>
        <w:numId w:val="0"/>
      </w:numPr>
    </w:pPr>
  </w:style>
  <w:style w:type="paragraph" w:customStyle="1" w:styleId="TableText">
    <w:name w:val="Table Text"/>
    <w:basedOn w:val="Normal"/>
    <w:rsid w:val="00784D8B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784D8B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784D8B"/>
    <w:rPr>
      <w:b/>
      <w:color w:val="0000FF"/>
    </w:rPr>
  </w:style>
  <w:style w:type="paragraph" w:styleId="BodyTextIndent">
    <w:name w:val="Body Text Indent"/>
    <w:basedOn w:val="Normal"/>
    <w:semiHidden/>
    <w:rsid w:val="00784D8B"/>
    <w:pPr>
      <w:autoSpaceDE w:val="0"/>
      <w:autoSpaceDN w:val="0"/>
      <w:adjustRightInd w:val="0"/>
      <w:ind w:left="720" w:hanging="720"/>
      <w:jc w:val="left"/>
    </w:pPr>
    <w:rPr>
      <w:rFonts w:ascii="Arial" w:hAnsi="Arial" w:cs="Arial"/>
      <w:color w:val="000000"/>
      <w:sz w:val="24"/>
      <w:szCs w:val="14"/>
    </w:rPr>
  </w:style>
  <w:style w:type="paragraph" w:customStyle="1" w:styleId="Custom">
    <w:name w:val="Custom"/>
    <w:basedOn w:val="Normal"/>
    <w:rsid w:val="00784D8B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784D8B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784D8B"/>
    <w:rPr>
      <w:rFonts w:ascii="Arial" w:hAnsi="Arial"/>
      <w:b/>
      <w:color w:val="0000FF"/>
      <w:sz w:val="36"/>
    </w:rPr>
  </w:style>
  <w:style w:type="paragraph" w:styleId="BodyTextIndent2">
    <w:name w:val="Body Text Indent 2"/>
    <w:basedOn w:val="Normal"/>
    <w:semiHidden/>
    <w:rsid w:val="00784D8B"/>
    <w:pPr>
      <w:autoSpaceDE w:val="0"/>
      <w:autoSpaceDN w:val="0"/>
      <w:adjustRightInd w:val="0"/>
      <w:ind w:left="450"/>
      <w:jc w:val="left"/>
    </w:pPr>
    <w:rPr>
      <w:rFonts w:ascii="Arial" w:hAnsi="Arial" w:cs="Arial"/>
      <w:color w:val="000000"/>
      <w:sz w:val="20"/>
      <w:szCs w:val="14"/>
    </w:rPr>
  </w:style>
  <w:style w:type="character" w:styleId="Hyperlink">
    <w:name w:val="Hyperlink"/>
    <w:basedOn w:val="DefaultParagraphFont"/>
    <w:semiHidden/>
    <w:rsid w:val="00784D8B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784D8B"/>
    <w:rPr>
      <w:color w:val="800080"/>
      <w:u w:val="single"/>
    </w:rPr>
  </w:style>
  <w:style w:type="paragraph" w:styleId="NoSpacing">
    <w:name w:val="No Spacing"/>
    <w:basedOn w:val="Normal"/>
    <w:uiPriority w:val="1"/>
    <w:qFormat/>
    <w:rsid w:val="00927AD8"/>
    <w:pPr>
      <w:jc w:val="left"/>
    </w:pPr>
    <w:rPr>
      <w:rFonts w:ascii="Calibri" w:eastAsia="Calibri" w:hAnsi="Calibri"/>
      <w:sz w:val="24"/>
      <w:szCs w:val="3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Lab%20Procedures\Microbiology\1NEW%20Micro%20Procedure%20Manual.%20(same%20as%20in%20Starnet)\MCVI%203%20Safety\MCVI%203.2%20Safety%20in%20the%20Microbiology%20Lab.doc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G:\Lab%20Procedures\Microbiology\1NEW%20Micro%20Procedure%20Manual.%20(same%20as%20in%20Starnet)\MCVI%203%20Safety\MCVI%203.1%20Biohazard%20Containment.doc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t2.gstatic.com/images?q=tbn:ANd9GcTt3ZYXKA-qukyaUEmJD_F3vaSEQSWKzPAMl5xipGdL0nuPLwIGQ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file:///G:\Lab%20Procedures\Microbiology\1NEW%20Micro%20Procedure%20Manual.%20(same%20as%20in%20Starnet)\MCVI%203%20Safety\MCVI%203.4%20Biohazardous%20Spills.doc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1164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CE004159</cp:lastModifiedBy>
  <cp:revision>7</cp:revision>
  <cp:lastPrinted>2009-06-27T01:51:00Z</cp:lastPrinted>
  <dcterms:created xsi:type="dcterms:W3CDTF">2018-05-04T22:20:00Z</dcterms:created>
  <dcterms:modified xsi:type="dcterms:W3CDTF">2018-05-08T20:08:00Z</dcterms:modified>
</cp:coreProperties>
</file>