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9360"/>
      </w:tblGrid>
      <w:tr w:rsidR="003027C7">
        <w:tc>
          <w:tcPr>
            <w:tcW w:w="11160" w:type="dxa"/>
            <w:gridSpan w:val="2"/>
            <w:tcBorders>
              <w:top w:val="nil"/>
              <w:left w:val="nil"/>
              <w:bottom w:val="nil"/>
              <w:right w:val="nil"/>
            </w:tcBorders>
          </w:tcPr>
          <w:p w:rsidR="003027C7" w:rsidRDefault="003027C7">
            <w:pPr>
              <w:rPr>
                <w:rFonts w:ascii="Arial" w:hAnsi="Arial" w:cs="Arial"/>
                <w:b/>
                <w:bCs/>
                <w:color w:val="0000FF"/>
                <w:sz w:val="36"/>
              </w:rPr>
            </w:pPr>
            <w:r>
              <w:rPr>
                <w:rFonts w:ascii="Arial" w:hAnsi="Arial" w:cs="Arial"/>
                <w:b/>
                <w:bCs/>
                <w:color w:val="0000FF"/>
                <w:sz w:val="36"/>
              </w:rPr>
              <w:t>Lead (</w:t>
            </w:r>
            <w:proofErr w:type="spellStart"/>
            <w:r>
              <w:rPr>
                <w:rFonts w:ascii="Arial" w:hAnsi="Arial" w:cs="Arial"/>
                <w:b/>
                <w:bCs/>
                <w:color w:val="0000FF"/>
                <w:sz w:val="36"/>
              </w:rPr>
              <w:t>Pb</w:t>
            </w:r>
            <w:proofErr w:type="spellEnd"/>
            <w:r>
              <w:rPr>
                <w:rFonts w:ascii="Arial" w:hAnsi="Arial" w:cs="Arial"/>
                <w:b/>
                <w:bCs/>
                <w:color w:val="0000FF"/>
                <w:sz w:val="36"/>
              </w:rPr>
              <w:t>)</w:t>
            </w:r>
          </w:p>
          <w:p w:rsidR="003027C7" w:rsidRDefault="003027C7">
            <w:pPr>
              <w:pStyle w:val="BodyText"/>
              <w:rPr>
                <w:rFonts w:ascii="Arial" w:hAnsi="Arial" w:cs="Arial"/>
                <w:sz w:val="24"/>
              </w:rPr>
            </w:pPr>
          </w:p>
        </w:tc>
      </w:tr>
      <w:tr w:rsidR="003027C7">
        <w:trPr>
          <w:trHeight w:val="647"/>
        </w:trPr>
        <w:tc>
          <w:tcPr>
            <w:tcW w:w="1800" w:type="dxa"/>
            <w:tcBorders>
              <w:top w:val="nil"/>
              <w:left w:val="nil"/>
              <w:bottom w:val="nil"/>
              <w:right w:val="nil"/>
            </w:tcBorders>
            <w:vAlign w:val="center"/>
          </w:tcPr>
          <w:p w:rsidR="003027C7" w:rsidRDefault="003027C7">
            <w:pPr>
              <w:jc w:val="left"/>
              <w:rPr>
                <w:rFonts w:ascii="Arial" w:hAnsi="Arial" w:cs="Arial"/>
                <w:b/>
                <w:bCs/>
                <w:color w:val="0000FF"/>
                <w:sz w:val="20"/>
              </w:rPr>
            </w:pPr>
            <w:r>
              <w:rPr>
                <w:rFonts w:ascii="Arial" w:hAnsi="Arial" w:cs="Arial"/>
                <w:b/>
                <w:bCs/>
                <w:color w:val="0000FF"/>
                <w:sz w:val="20"/>
              </w:rPr>
              <w:t>Purpose</w:t>
            </w:r>
          </w:p>
        </w:tc>
        <w:tc>
          <w:tcPr>
            <w:tcW w:w="9360" w:type="dxa"/>
            <w:tcBorders>
              <w:top w:val="single" w:sz="4" w:space="0" w:color="auto"/>
              <w:left w:val="nil"/>
              <w:bottom w:val="single" w:sz="4" w:space="0" w:color="auto"/>
              <w:right w:val="nil"/>
            </w:tcBorders>
            <w:vAlign w:val="center"/>
          </w:tcPr>
          <w:p w:rsidR="003027C7" w:rsidRDefault="003027C7">
            <w:pPr>
              <w:jc w:val="left"/>
              <w:rPr>
                <w:rFonts w:ascii="Arial" w:hAnsi="Arial" w:cs="Arial"/>
                <w:sz w:val="20"/>
              </w:rPr>
            </w:pPr>
            <w:r>
              <w:rPr>
                <w:rFonts w:ascii="Arial" w:hAnsi="Arial" w:cs="Arial"/>
                <w:sz w:val="20"/>
              </w:rPr>
              <w:t>This procedure provides assay instructions for performing LEAD (</w:t>
            </w:r>
            <w:proofErr w:type="spellStart"/>
            <w:r>
              <w:rPr>
                <w:rFonts w:ascii="Arial" w:hAnsi="Arial" w:cs="Arial"/>
                <w:sz w:val="20"/>
              </w:rPr>
              <w:t>Pb</w:t>
            </w:r>
            <w:proofErr w:type="spellEnd"/>
            <w:r>
              <w:rPr>
                <w:rFonts w:ascii="Arial" w:hAnsi="Arial" w:cs="Arial"/>
                <w:sz w:val="20"/>
              </w:rPr>
              <w:t>) measurement on the Agilent Technologies 240Z Graphite Furnace.</w:t>
            </w:r>
          </w:p>
        </w:tc>
      </w:tr>
      <w:tr w:rsidR="003027C7">
        <w:trPr>
          <w:trHeight w:val="710"/>
        </w:trPr>
        <w:tc>
          <w:tcPr>
            <w:tcW w:w="1800" w:type="dxa"/>
            <w:tcBorders>
              <w:top w:val="nil"/>
              <w:left w:val="nil"/>
              <w:bottom w:val="nil"/>
              <w:right w:val="nil"/>
            </w:tcBorders>
            <w:vAlign w:val="center"/>
          </w:tcPr>
          <w:p w:rsidR="003027C7" w:rsidRDefault="003027C7">
            <w:pPr>
              <w:jc w:val="left"/>
              <w:rPr>
                <w:rFonts w:ascii="Arial" w:hAnsi="Arial" w:cs="Arial"/>
                <w:b/>
                <w:bCs/>
                <w:color w:val="0000FF"/>
                <w:sz w:val="20"/>
              </w:rPr>
            </w:pPr>
            <w:r>
              <w:rPr>
                <w:rFonts w:ascii="Arial" w:hAnsi="Arial" w:cs="Arial"/>
                <w:b/>
                <w:bCs/>
                <w:color w:val="0000FF"/>
                <w:sz w:val="20"/>
              </w:rPr>
              <w:t>Policy Statements</w:t>
            </w:r>
          </w:p>
        </w:tc>
        <w:tc>
          <w:tcPr>
            <w:tcW w:w="9360" w:type="dxa"/>
            <w:tcBorders>
              <w:top w:val="nil"/>
              <w:left w:val="nil"/>
              <w:bottom w:val="single" w:sz="4" w:space="0" w:color="auto"/>
              <w:right w:val="nil"/>
            </w:tcBorders>
            <w:vAlign w:val="center"/>
          </w:tcPr>
          <w:p w:rsidR="003027C7" w:rsidRDefault="003027C7">
            <w:pPr>
              <w:pStyle w:val="TableText"/>
              <w:autoSpaceDE/>
              <w:autoSpaceDN/>
              <w:rPr>
                <w:rFonts w:ascii="Arial" w:hAnsi="Arial" w:cs="Arial"/>
                <w:iCs/>
              </w:rPr>
            </w:pPr>
            <w:r>
              <w:rPr>
                <w:rFonts w:ascii="Arial" w:hAnsi="Arial" w:cs="Arial"/>
              </w:rPr>
              <w:t>This procedure is intended for all Chemistry personnel responsible for testing samples for Blood Lead Levels on the Agilent Technologies 240Z Graphite Furnace.</w:t>
            </w:r>
          </w:p>
        </w:tc>
      </w:tr>
      <w:tr w:rsidR="003027C7">
        <w:trPr>
          <w:trHeight w:val="1025"/>
        </w:trPr>
        <w:tc>
          <w:tcPr>
            <w:tcW w:w="1800" w:type="dxa"/>
            <w:tcBorders>
              <w:top w:val="nil"/>
              <w:left w:val="nil"/>
              <w:bottom w:val="nil"/>
              <w:right w:val="nil"/>
            </w:tcBorders>
          </w:tcPr>
          <w:p w:rsidR="003027C7" w:rsidRDefault="003027C7">
            <w:pPr>
              <w:rPr>
                <w:rFonts w:ascii="Arial" w:hAnsi="Arial" w:cs="Arial"/>
                <w:b/>
                <w:bCs/>
                <w:color w:val="0000FF"/>
                <w:sz w:val="20"/>
              </w:rPr>
            </w:pPr>
          </w:p>
          <w:p w:rsidR="003027C7" w:rsidRDefault="003027C7">
            <w:pPr>
              <w:rPr>
                <w:rFonts w:ascii="Arial" w:hAnsi="Arial" w:cs="Arial"/>
                <w:b/>
                <w:bCs/>
                <w:color w:val="0000FF"/>
                <w:sz w:val="20"/>
              </w:rPr>
            </w:pPr>
            <w:r>
              <w:rPr>
                <w:rFonts w:ascii="Arial" w:hAnsi="Arial" w:cs="Arial"/>
                <w:b/>
                <w:bCs/>
                <w:color w:val="0000FF"/>
                <w:sz w:val="20"/>
              </w:rPr>
              <w:t>Principle</w:t>
            </w:r>
          </w:p>
          <w:p w:rsidR="003027C7" w:rsidRDefault="003027C7">
            <w:pPr>
              <w:rPr>
                <w:rFonts w:ascii="Arial" w:hAnsi="Arial" w:cs="Arial"/>
                <w:b/>
                <w:bCs/>
                <w:color w:val="0000FF"/>
                <w:sz w:val="20"/>
              </w:rPr>
            </w:pPr>
          </w:p>
        </w:tc>
        <w:tc>
          <w:tcPr>
            <w:tcW w:w="9360" w:type="dxa"/>
            <w:tcBorders>
              <w:top w:val="single" w:sz="4" w:space="0" w:color="auto"/>
              <w:left w:val="nil"/>
              <w:bottom w:val="single" w:sz="4" w:space="0" w:color="auto"/>
              <w:right w:val="nil"/>
            </w:tcBorders>
          </w:tcPr>
          <w:p w:rsidR="003027C7" w:rsidRDefault="003027C7">
            <w:pPr>
              <w:jc w:val="left"/>
              <w:rPr>
                <w:rFonts w:ascii="Arial" w:hAnsi="Arial" w:cs="Arial"/>
                <w:iCs/>
                <w:sz w:val="20"/>
              </w:rPr>
            </w:pPr>
          </w:p>
          <w:p w:rsidR="003027C7" w:rsidRDefault="003027C7">
            <w:pPr>
              <w:pStyle w:val="TableText"/>
              <w:autoSpaceDE/>
              <w:autoSpaceDN/>
              <w:rPr>
                <w:rFonts w:ascii="Arial" w:hAnsi="Arial" w:cs="Arial"/>
              </w:rPr>
            </w:pPr>
            <w:r>
              <w:rPr>
                <w:rFonts w:ascii="Arial" w:hAnsi="Arial" w:cs="Arial"/>
              </w:rPr>
              <w:t xml:space="preserve">Graphite Furnace Atomic Absorption Spectrometry (GFAAS): Lead is determined in blood by GFAAS. Measurement is based on the amount of light absorbed at 283.3 nm from a hollow-cathode lamp source by ground state atoms of lead in the gas phase. Blood samples, blood-based quality control materials, and blood-based </w:t>
            </w:r>
            <w:proofErr w:type="spellStart"/>
            <w:r>
              <w:rPr>
                <w:rFonts w:ascii="Arial" w:hAnsi="Arial" w:cs="Arial"/>
              </w:rPr>
              <w:t>Pb</w:t>
            </w:r>
            <w:proofErr w:type="spellEnd"/>
            <w:r>
              <w:rPr>
                <w:rFonts w:ascii="Arial" w:hAnsi="Arial" w:cs="Arial"/>
              </w:rPr>
              <w:t xml:space="preserve"> standards are diluted 1:10 with a solution containing ammonium </w:t>
            </w:r>
            <w:proofErr w:type="spellStart"/>
            <w:r>
              <w:rPr>
                <w:rFonts w:ascii="Arial" w:hAnsi="Arial" w:cs="Arial"/>
              </w:rPr>
              <w:t>dihydrogen</w:t>
            </w:r>
            <w:proofErr w:type="spellEnd"/>
            <w:r>
              <w:rPr>
                <w:rFonts w:ascii="Arial" w:hAnsi="Arial" w:cs="Arial"/>
              </w:rPr>
              <w:t xml:space="preserve"> phosphate modifier, Triton X-100, and reagent grade water. The lead content is determined using a graphite furnace atomic absorption spectrometer equipped with a Zeeman Continuum background system operated under stabilized temperature platform furnace conditions.</w:t>
            </w:r>
          </w:p>
          <w:p w:rsidR="003027C7" w:rsidRDefault="003027C7">
            <w:pPr>
              <w:pStyle w:val="TableText"/>
              <w:autoSpaceDE/>
              <w:autoSpaceDN/>
              <w:rPr>
                <w:rFonts w:ascii="Arial" w:hAnsi="Arial" w:cs="Arial"/>
                <w:iCs/>
              </w:rPr>
            </w:pPr>
          </w:p>
        </w:tc>
      </w:tr>
      <w:tr w:rsidR="003027C7">
        <w:trPr>
          <w:trHeight w:val="1025"/>
        </w:trPr>
        <w:tc>
          <w:tcPr>
            <w:tcW w:w="1800" w:type="dxa"/>
            <w:tcBorders>
              <w:top w:val="nil"/>
              <w:left w:val="nil"/>
              <w:bottom w:val="nil"/>
              <w:right w:val="nil"/>
            </w:tcBorders>
          </w:tcPr>
          <w:p w:rsidR="003027C7" w:rsidRDefault="003027C7">
            <w:pPr>
              <w:rPr>
                <w:rFonts w:ascii="Arial" w:hAnsi="Arial" w:cs="Arial"/>
                <w:b/>
                <w:bCs/>
                <w:color w:val="0000FF"/>
                <w:sz w:val="20"/>
              </w:rPr>
            </w:pPr>
          </w:p>
          <w:p w:rsidR="003027C7" w:rsidRDefault="003027C7">
            <w:pPr>
              <w:rPr>
                <w:rFonts w:ascii="Arial" w:hAnsi="Arial" w:cs="Arial"/>
                <w:b/>
                <w:bCs/>
                <w:color w:val="0000FF"/>
                <w:sz w:val="20"/>
              </w:rPr>
            </w:pPr>
            <w:r>
              <w:rPr>
                <w:rFonts w:ascii="Arial" w:hAnsi="Arial" w:cs="Arial"/>
                <w:b/>
                <w:bCs/>
                <w:color w:val="0000FF"/>
                <w:sz w:val="20"/>
              </w:rPr>
              <w:t>Clinical Significance</w:t>
            </w:r>
          </w:p>
          <w:p w:rsidR="003027C7" w:rsidRDefault="003027C7">
            <w:pPr>
              <w:rPr>
                <w:rFonts w:ascii="Arial" w:hAnsi="Arial" w:cs="Arial"/>
                <w:b/>
                <w:bCs/>
                <w:color w:val="0000FF"/>
                <w:sz w:val="20"/>
              </w:rPr>
            </w:pPr>
          </w:p>
        </w:tc>
        <w:tc>
          <w:tcPr>
            <w:tcW w:w="9360" w:type="dxa"/>
            <w:tcBorders>
              <w:top w:val="single" w:sz="4" w:space="0" w:color="auto"/>
              <w:left w:val="nil"/>
              <w:bottom w:val="single" w:sz="4" w:space="0" w:color="auto"/>
              <w:right w:val="nil"/>
            </w:tcBorders>
          </w:tcPr>
          <w:p w:rsidR="003027C7" w:rsidRDefault="003027C7">
            <w:pPr>
              <w:jc w:val="left"/>
              <w:rPr>
                <w:rFonts w:ascii="Arial" w:hAnsi="Arial" w:cs="Arial"/>
                <w:iCs/>
                <w:sz w:val="20"/>
              </w:rPr>
            </w:pPr>
          </w:p>
          <w:p w:rsidR="003027C7" w:rsidRDefault="003027C7">
            <w:pPr>
              <w:pStyle w:val="BodyText"/>
              <w:rPr>
                <w:rFonts w:ascii="Arial" w:hAnsi="Arial" w:cs="Arial"/>
                <w:sz w:val="20"/>
              </w:rPr>
            </w:pPr>
            <w:r>
              <w:rPr>
                <w:rFonts w:ascii="Arial" w:hAnsi="Arial" w:cs="Arial"/>
                <w:sz w:val="20"/>
              </w:rPr>
              <w:t xml:space="preserve">Lead poisoning is a chronic disease, due to cumulative intake of lead, the course of which may or may not be punctuated by acute symptomatic episodes. If such episodes occur, it is usually during periods of active overexposure. The clinical signs and symptoms of lead poisoning are nonspecific; therefore, a lead measurement, preferably a venous blood lead measurement, is essential for diagnosis. Clinical symptoms of cumulative lead poisoning generally begin with irritability progressing to loss of appetite, change in personality, increased irritability, and abdominal pain. These manifestations are generally seen starting at blood lead concentrations </w:t>
            </w:r>
            <w:proofErr w:type="gramStart"/>
            <w:r>
              <w:rPr>
                <w:rFonts w:ascii="Arial" w:hAnsi="Arial" w:cs="Arial"/>
                <w:sz w:val="20"/>
              </w:rPr>
              <w:t>of approximately 50 mcg/dL</w:t>
            </w:r>
            <w:proofErr w:type="gramEnd"/>
            <w:r>
              <w:rPr>
                <w:rFonts w:ascii="Arial" w:hAnsi="Arial" w:cs="Arial"/>
                <w:sz w:val="20"/>
              </w:rPr>
              <w:t xml:space="preserve">.  If the disease is not recognized at this stage, blood lead levels may well increase </w:t>
            </w:r>
            <w:proofErr w:type="gramStart"/>
            <w:r>
              <w:rPr>
                <w:rFonts w:ascii="Arial" w:hAnsi="Arial" w:cs="Arial"/>
                <w:sz w:val="20"/>
              </w:rPr>
              <w:t>above 100 mcg/dL,</w:t>
            </w:r>
            <w:proofErr w:type="gramEnd"/>
            <w:r>
              <w:rPr>
                <w:rFonts w:ascii="Arial" w:hAnsi="Arial" w:cs="Arial"/>
                <w:sz w:val="20"/>
              </w:rPr>
              <w:t xml:space="preserve"> and then the clinical presentation in children is usually with signs of increased intracranial pressure.</w:t>
            </w:r>
          </w:p>
          <w:p w:rsidR="003027C7" w:rsidRDefault="003027C7">
            <w:pPr>
              <w:jc w:val="left"/>
              <w:rPr>
                <w:rFonts w:ascii="Arial" w:hAnsi="Arial" w:cs="Arial"/>
                <w:sz w:val="20"/>
              </w:rPr>
            </w:pPr>
          </w:p>
          <w:p w:rsidR="003027C7" w:rsidRDefault="003027C7">
            <w:pPr>
              <w:pStyle w:val="TableText"/>
              <w:autoSpaceDE/>
              <w:autoSpaceDN/>
              <w:rPr>
                <w:rFonts w:ascii="Arial" w:hAnsi="Arial" w:cs="Arial"/>
              </w:rPr>
            </w:pPr>
            <w:r>
              <w:rPr>
                <w:rFonts w:ascii="Arial" w:hAnsi="Arial" w:cs="Arial"/>
              </w:rPr>
              <w:t>Studies in young children show that 40-50% of dietary lead is absorbed, and that about one-half the amount absorbed is retained. Approximately 99% of the lead in blood is bound to red blood cells. The remaining 1% in plasma serves as an intermediate in transporting lead from the erythrocytes to other body compartments.</w:t>
            </w:r>
          </w:p>
          <w:p w:rsidR="003027C7" w:rsidRDefault="003027C7">
            <w:pPr>
              <w:jc w:val="left"/>
              <w:rPr>
                <w:rFonts w:ascii="Arial" w:hAnsi="Arial" w:cs="Arial"/>
                <w:iCs/>
                <w:sz w:val="20"/>
              </w:rPr>
            </w:pPr>
          </w:p>
        </w:tc>
      </w:tr>
      <w:tr w:rsidR="003027C7">
        <w:trPr>
          <w:trHeight w:val="548"/>
        </w:trPr>
        <w:tc>
          <w:tcPr>
            <w:tcW w:w="1800" w:type="dxa"/>
            <w:tcBorders>
              <w:top w:val="nil"/>
              <w:left w:val="nil"/>
              <w:bottom w:val="nil"/>
              <w:right w:val="nil"/>
            </w:tcBorders>
            <w:vAlign w:val="center"/>
          </w:tcPr>
          <w:p w:rsidR="003027C7" w:rsidRDefault="003027C7">
            <w:pPr>
              <w:rPr>
                <w:rFonts w:ascii="Arial" w:hAnsi="Arial" w:cs="Arial"/>
                <w:b/>
                <w:bCs/>
                <w:color w:val="0000FF"/>
                <w:sz w:val="20"/>
              </w:rPr>
            </w:pPr>
            <w:r>
              <w:rPr>
                <w:rFonts w:ascii="Arial" w:hAnsi="Arial" w:cs="Arial"/>
                <w:b/>
                <w:bCs/>
                <w:color w:val="0000FF"/>
                <w:sz w:val="20"/>
              </w:rPr>
              <w:t>Instrument</w:t>
            </w:r>
          </w:p>
        </w:tc>
        <w:tc>
          <w:tcPr>
            <w:tcW w:w="9360" w:type="dxa"/>
            <w:tcBorders>
              <w:top w:val="single" w:sz="4" w:space="0" w:color="auto"/>
              <w:left w:val="nil"/>
              <w:bottom w:val="single" w:sz="4" w:space="0" w:color="auto"/>
              <w:right w:val="nil"/>
            </w:tcBorders>
            <w:vAlign w:val="center"/>
          </w:tcPr>
          <w:p w:rsidR="003027C7" w:rsidRDefault="003027C7">
            <w:pPr>
              <w:jc w:val="left"/>
              <w:rPr>
                <w:rFonts w:ascii="Arial" w:hAnsi="Arial" w:cs="Arial"/>
                <w:iCs/>
                <w:sz w:val="20"/>
              </w:rPr>
            </w:pPr>
            <w:r>
              <w:rPr>
                <w:rFonts w:ascii="Arial" w:hAnsi="Arial" w:cs="Arial"/>
                <w:iCs/>
                <w:sz w:val="20"/>
              </w:rPr>
              <w:t>Agilent Technologies 240Z Graphite Furnace Atomic Absorption Spectrometer (GFAAS)</w:t>
            </w:r>
          </w:p>
        </w:tc>
      </w:tr>
      <w:tr w:rsidR="003027C7">
        <w:trPr>
          <w:trHeight w:val="539"/>
        </w:trPr>
        <w:tc>
          <w:tcPr>
            <w:tcW w:w="1800" w:type="dxa"/>
            <w:tcBorders>
              <w:top w:val="nil"/>
              <w:left w:val="nil"/>
              <w:bottom w:val="nil"/>
              <w:right w:val="nil"/>
            </w:tcBorders>
            <w:vAlign w:val="center"/>
          </w:tcPr>
          <w:p w:rsidR="003027C7" w:rsidRDefault="003027C7">
            <w:pPr>
              <w:rPr>
                <w:rFonts w:ascii="Arial" w:hAnsi="Arial" w:cs="Arial"/>
                <w:b/>
                <w:bCs/>
                <w:color w:val="0000FF"/>
                <w:sz w:val="20"/>
              </w:rPr>
            </w:pPr>
            <w:r>
              <w:rPr>
                <w:rFonts w:ascii="Arial" w:hAnsi="Arial" w:cs="Arial"/>
                <w:b/>
                <w:bCs/>
                <w:color w:val="0000FF"/>
                <w:sz w:val="20"/>
              </w:rPr>
              <w:t>Test Code</w:t>
            </w:r>
          </w:p>
        </w:tc>
        <w:tc>
          <w:tcPr>
            <w:tcW w:w="9360" w:type="dxa"/>
            <w:tcBorders>
              <w:top w:val="single" w:sz="4" w:space="0" w:color="auto"/>
              <w:left w:val="nil"/>
              <w:bottom w:val="single" w:sz="4" w:space="0" w:color="auto"/>
              <w:right w:val="nil"/>
            </w:tcBorders>
            <w:vAlign w:val="center"/>
          </w:tcPr>
          <w:p w:rsidR="003027C7" w:rsidRDefault="003027C7">
            <w:pPr>
              <w:tabs>
                <w:tab w:val="left" w:pos="1152"/>
                <w:tab w:val="left" w:pos="4500"/>
              </w:tabs>
              <w:ind w:left="113"/>
              <w:jc w:val="left"/>
              <w:rPr>
                <w:rFonts w:ascii="Arial" w:hAnsi="Arial" w:cs="Arial"/>
                <w:iCs/>
                <w:sz w:val="20"/>
              </w:rPr>
            </w:pPr>
            <w:r>
              <w:rPr>
                <w:rFonts w:ascii="Arial" w:hAnsi="Arial" w:cs="Arial"/>
                <w:b/>
                <w:bCs/>
                <w:iCs/>
                <w:sz w:val="20"/>
              </w:rPr>
              <w:t>PB</w:t>
            </w:r>
            <w:r>
              <w:rPr>
                <w:rFonts w:ascii="Arial" w:hAnsi="Arial" w:cs="Arial"/>
                <w:iCs/>
                <w:sz w:val="20"/>
              </w:rPr>
              <w:tab/>
              <w:t>blood lead in whole blood</w:t>
            </w:r>
          </w:p>
        </w:tc>
      </w:tr>
      <w:tr w:rsidR="003027C7">
        <w:trPr>
          <w:trHeight w:val="197"/>
        </w:trPr>
        <w:tc>
          <w:tcPr>
            <w:tcW w:w="1800" w:type="dxa"/>
            <w:tcBorders>
              <w:top w:val="nil"/>
              <w:left w:val="nil"/>
              <w:bottom w:val="nil"/>
              <w:right w:val="nil"/>
            </w:tcBorders>
          </w:tcPr>
          <w:p w:rsidR="003027C7" w:rsidRDefault="003027C7">
            <w:pPr>
              <w:rPr>
                <w:rFonts w:ascii="Arial" w:hAnsi="Arial" w:cs="Arial"/>
                <w:b/>
                <w:bCs/>
                <w:color w:val="0000FF"/>
                <w:sz w:val="20"/>
              </w:rPr>
            </w:pPr>
          </w:p>
        </w:tc>
        <w:tc>
          <w:tcPr>
            <w:tcW w:w="9360" w:type="dxa"/>
            <w:tcBorders>
              <w:top w:val="single" w:sz="4" w:space="0" w:color="auto"/>
              <w:left w:val="nil"/>
              <w:bottom w:val="nil"/>
              <w:right w:val="nil"/>
            </w:tcBorders>
          </w:tcPr>
          <w:p w:rsidR="003027C7" w:rsidRDefault="003027C7">
            <w:pPr>
              <w:jc w:val="left"/>
              <w:rPr>
                <w:rFonts w:ascii="Arial" w:hAnsi="Arial" w:cs="Arial"/>
                <w:iCs/>
                <w:sz w:val="20"/>
              </w:rPr>
            </w:pPr>
          </w:p>
        </w:tc>
      </w:tr>
      <w:tr w:rsidR="003027C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left w:val="nil"/>
              <w:bottom w:val="nil"/>
              <w:right w:val="single" w:sz="6" w:space="0" w:color="auto"/>
            </w:tcBorders>
          </w:tcPr>
          <w:p w:rsidR="003027C7" w:rsidRDefault="003027C7">
            <w:pPr>
              <w:jc w:val="left"/>
              <w:rPr>
                <w:rFonts w:ascii="Arial" w:hAnsi="Arial" w:cs="Arial"/>
                <w:b/>
                <w:bCs/>
                <w:color w:val="0000FF"/>
                <w:sz w:val="20"/>
              </w:rPr>
            </w:pPr>
            <w:r>
              <w:rPr>
                <w:rFonts w:ascii="Arial" w:hAnsi="Arial" w:cs="Arial"/>
                <w:b/>
                <w:bCs/>
                <w:color w:val="0000FF"/>
                <w:sz w:val="20"/>
              </w:rPr>
              <w:t>Materials</w:t>
            </w:r>
          </w:p>
        </w:tc>
        <w:tc>
          <w:tcPr>
            <w:tcW w:w="9360" w:type="dxa"/>
            <w:tcBorders>
              <w:top w:val="single" w:sz="4" w:space="0" w:color="auto"/>
              <w:left w:val="single" w:sz="6" w:space="0" w:color="auto"/>
              <w:bottom w:val="single" w:sz="6" w:space="0" w:color="auto"/>
              <w:right w:val="single" w:sz="4" w:space="0" w:color="auto"/>
            </w:tcBorders>
          </w:tcPr>
          <w:p w:rsidR="003027C7" w:rsidRDefault="003027C7">
            <w:pPr>
              <w:jc w:val="left"/>
              <w:rPr>
                <w:rFonts w:ascii="Arial" w:hAnsi="Arial" w:cs="Arial"/>
                <w:b/>
                <w:iCs/>
                <w:sz w:val="20"/>
              </w:rPr>
            </w:pPr>
            <w:r>
              <w:rPr>
                <w:rFonts w:ascii="Arial" w:hAnsi="Arial" w:cs="Arial"/>
                <w:b/>
                <w:iCs/>
                <w:sz w:val="20"/>
              </w:rPr>
              <w:t>Reagents</w:t>
            </w:r>
          </w:p>
        </w:tc>
      </w:tr>
      <w:tr w:rsidR="003027C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right w:val="single" w:sz="6" w:space="0" w:color="auto"/>
            </w:tcBorders>
          </w:tcPr>
          <w:p w:rsidR="003027C7" w:rsidRDefault="003027C7">
            <w:pPr>
              <w:rPr>
                <w:rFonts w:ascii="Arial" w:hAnsi="Arial" w:cs="Arial"/>
                <w:b/>
                <w:bCs/>
                <w:color w:val="0000FF"/>
                <w:sz w:val="20"/>
              </w:rPr>
            </w:pPr>
          </w:p>
        </w:tc>
        <w:tc>
          <w:tcPr>
            <w:tcW w:w="9360" w:type="dxa"/>
            <w:tcBorders>
              <w:top w:val="single" w:sz="6" w:space="0" w:color="auto"/>
              <w:left w:val="single" w:sz="6" w:space="0" w:color="auto"/>
              <w:bottom w:val="single" w:sz="6" w:space="0" w:color="auto"/>
              <w:right w:val="single" w:sz="4" w:space="0" w:color="auto"/>
            </w:tcBorders>
          </w:tcPr>
          <w:p w:rsidR="003027C7" w:rsidRDefault="003027C7">
            <w:pPr>
              <w:numPr>
                <w:ilvl w:val="0"/>
                <w:numId w:val="9"/>
              </w:numPr>
              <w:tabs>
                <w:tab w:val="left" w:pos="4032"/>
              </w:tabs>
              <w:rPr>
                <w:rFonts w:ascii="Arial" w:hAnsi="Arial" w:cs="Arial"/>
                <w:sz w:val="20"/>
              </w:rPr>
            </w:pPr>
            <w:r>
              <w:rPr>
                <w:rFonts w:ascii="Arial" w:hAnsi="Arial" w:cs="Arial"/>
                <w:sz w:val="20"/>
              </w:rPr>
              <w:t>Argon Gas</w:t>
            </w:r>
            <w:r>
              <w:rPr>
                <w:rFonts w:ascii="Arial" w:hAnsi="Arial" w:cs="Arial"/>
                <w:sz w:val="20"/>
              </w:rPr>
              <w:tab/>
              <w:t xml:space="preserve">Ultra High </w:t>
            </w:r>
            <w:proofErr w:type="gramStart"/>
            <w:r>
              <w:rPr>
                <w:rFonts w:ascii="Arial" w:hAnsi="Arial" w:cs="Arial"/>
                <w:sz w:val="20"/>
              </w:rPr>
              <w:t>Purity  (</w:t>
            </w:r>
            <w:proofErr w:type="gramEnd"/>
            <w:r>
              <w:rPr>
                <w:rFonts w:ascii="Arial" w:hAnsi="Arial" w:cs="Arial"/>
                <w:sz w:val="20"/>
              </w:rPr>
              <w:t>Puritan Bennett Gas Supply C0.)</w:t>
            </w:r>
          </w:p>
          <w:p w:rsidR="003027C7" w:rsidRDefault="003027C7">
            <w:pPr>
              <w:numPr>
                <w:ilvl w:val="0"/>
                <w:numId w:val="9"/>
              </w:numPr>
              <w:tabs>
                <w:tab w:val="left" w:pos="4032"/>
              </w:tabs>
              <w:rPr>
                <w:rFonts w:ascii="Arial" w:hAnsi="Arial" w:cs="Arial"/>
                <w:sz w:val="20"/>
              </w:rPr>
            </w:pPr>
            <w:r>
              <w:rPr>
                <w:rFonts w:ascii="Arial" w:hAnsi="Arial" w:cs="Arial"/>
                <w:sz w:val="20"/>
              </w:rPr>
              <w:t>Triton x-100</w:t>
            </w:r>
            <w:r>
              <w:rPr>
                <w:rFonts w:ascii="Arial" w:hAnsi="Arial" w:cs="Arial"/>
                <w:sz w:val="20"/>
              </w:rPr>
              <w:tab/>
              <w:t>T-9284 Ultra  (Sigma)</w:t>
            </w:r>
          </w:p>
          <w:p w:rsidR="003027C7" w:rsidRDefault="003027C7">
            <w:pPr>
              <w:numPr>
                <w:ilvl w:val="0"/>
                <w:numId w:val="9"/>
              </w:numPr>
              <w:tabs>
                <w:tab w:val="left" w:pos="4032"/>
              </w:tabs>
              <w:rPr>
                <w:rFonts w:ascii="Arial" w:hAnsi="Arial" w:cs="Arial"/>
                <w:sz w:val="20"/>
              </w:rPr>
            </w:pPr>
            <w:r>
              <w:rPr>
                <w:rFonts w:ascii="Arial" w:hAnsi="Arial" w:cs="Arial"/>
                <w:sz w:val="20"/>
              </w:rPr>
              <w:t>Ammonium Phosphate Monobasic</w:t>
            </w:r>
            <w:r>
              <w:rPr>
                <w:rFonts w:ascii="Arial" w:hAnsi="Arial" w:cs="Arial"/>
                <w:sz w:val="20"/>
              </w:rPr>
              <w:tab/>
              <w:t>HPLC Grade (Fisher Scientific) A685-500</w:t>
            </w:r>
          </w:p>
          <w:p w:rsidR="003027C7" w:rsidRDefault="003027C7">
            <w:pPr>
              <w:numPr>
                <w:ilvl w:val="0"/>
                <w:numId w:val="9"/>
              </w:numPr>
              <w:tabs>
                <w:tab w:val="left" w:pos="4032"/>
              </w:tabs>
              <w:rPr>
                <w:rFonts w:ascii="Arial" w:hAnsi="Arial" w:cs="Arial"/>
                <w:sz w:val="20"/>
              </w:rPr>
            </w:pPr>
            <w:r>
              <w:rPr>
                <w:rFonts w:ascii="Arial" w:hAnsi="Arial" w:cs="Arial"/>
                <w:sz w:val="20"/>
              </w:rPr>
              <w:t>Concentrated Nitric Acid</w:t>
            </w:r>
            <w:r>
              <w:rPr>
                <w:rFonts w:ascii="Arial" w:hAnsi="Arial" w:cs="Arial"/>
                <w:sz w:val="20"/>
              </w:rPr>
              <w:tab/>
            </w:r>
          </w:p>
          <w:p w:rsidR="003027C7" w:rsidRDefault="003027C7">
            <w:pPr>
              <w:numPr>
                <w:ilvl w:val="0"/>
                <w:numId w:val="9"/>
              </w:numPr>
              <w:tabs>
                <w:tab w:val="left" w:pos="4032"/>
              </w:tabs>
              <w:rPr>
                <w:rFonts w:ascii="Arial" w:hAnsi="Arial" w:cs="Arial"/>
                <w:sz w:val="20"/>
              </w:rPr>
            </w:pPr>
            <w:r>
              <w:rPr>
                <w:rFonts w:ascii="Arial" w:hAnsi="Arial" w:cs="Arial"/>
                <w:sz w:val="20"/>
              </w:rPr>
              <w:t>Reagent Grade Water</w:t>
            </w:r>
            <w:r>
              <w:rPr>
                <w:rFonts w:ascii="Arial" w:hAnsi="Arial" w:cs="Arial"/>
                <w:sz w:val="20"/>
              </w:rPr>
              <w:tab/>
              <w:t>Millipore Water Purification System AFS-8D</w:t>
            </w:r>
          </w:p>
          <w:p w:rsidR="003027C7" w:rsidRDefault="003027C7">
            <w:pPr>
              <w:numPr>
                <w:ilvl w:val="0"/>
                <w:numId w:val="9"/>
              </w:numPr>
              <w:tabs>
                <w:tab w:val="left" w:pos="4032"/>
              </w:tabs>
              <w:rPr>
                <w:rFonts w:ascii="Arial" w:hAnsi="Arial" w:cs="Arial"/>
                <w:sz w:val="20"/>
              </w:rPr>
            </w:pPr>
            <w:r>
              <w:rPr>
                <w:rFonts w:ascii="Arial" w:hAnsi="Arial" w:cs="Arial"/>
                <w:sz w:val="20"/>
              </w:rPr>
              <w:t>Blood Lead Standards</w:t>
            </w:r>
            <w:r>
              <w:rPr>
                <w:rFonts w:ascii="Arial" w:hAnsi="Arial" w:cs="Arial"/>
                <w:sz w:val="20"/>
              </w:rPr>
              <w:tab/>
              <w:t>WSLH (Wisconsin State Laboratory of Hygiene)</w:t>
            </w:r>
          </w:p>
          <w:p w:rsidR="003027C7" w:rsidRDefault="003027C7">
            <w:pPr>
              <w:numPr>
                <w:ilvl w:val="0"/>
                <w:numId w:val="9"/>
              </w:numPr>
              <w:tabs>
                <w:tab w:val="left" w:pos="4032"/>
              </w:tabs>
              <w:rPr>
                <w:rFonts w:ascii="Arial" w:hAnsi="Arial" w:cs="Arial"/>
                <w:sz w:val="20"/>
              </w:rPr>
            </w:pPr>
            <w:r>
              <w:rPr>
                <w:rFonts w:ascii="Arial" w:hAnsi="Arial" w:cs="Arial"/>
                <w:sz w:val="20"/>
              </w:rPr>
              <w:t>Blood Lead Controls</w:t>
            </w:r>
            <w:r>
              <w:rPr>
                <w:rFonts w:ascii="Arial" w:hAnsi="Arial" w:cs="Arial"/>
                <w:sz w:val="20"/>
              </w:rPr>
              <w:tab/>
              <w:t>Lyphochek  (BIO-RAD) 561,562,563</w:t>
            </w:r>
          </w:p>
          <w:p w:rsidR="003027C7" w:rsidRDefault="003027C7">
            <w:pPr>
              <w:numPr>
                <w:ilvl w:val="0"/>
                <w:numId w:val="9"/>
              </w:numPr>
              <w:tabs>
                <w:tab w:val="left" w:pos="4032"/>
              </w:tabs>
              <w:rPr>
                <w:rFonts w:ascii="Arial" w:hAnsi="Arial" w:cs="Arial"/>
                <w:sz w:val="20"/>
              </w:rPr>
            </w:pPr>
            <w:r>
              <w:rPr>
                <w:rFonts w:ascii="Arial" w:hAnsi="Arial" w:cs="Arial"/>
                <w:sz w:val="20"/>
              </w:rPr>
              <w:t>SRM Lead in Blood</w:t>
            </w:r>
            <w:r>
              <w:rPr>
                <w:rFonts w:ascii="Arial" w:hAnsi="Arial" w:cs="Arial"/>
                <w:sz w:val="20"/>
              </w:rPr>
              <w:tab/>
              <w:t>NIST 9556</w:t>
            </w:r>
          </w:p>
          <w:p w:rsidR="003027C7" w:rsidRDefault="003027C7">
            <w:pPr>
              <w:jc w:val="left"/>
              <w:rPr>
                <w:rFonts w:ascii="Arial" w:hAnsi="Arial" w:cs="Arial"/>
                <w:b/>
                <w:iCs/>
                <w:sz w:val="20"/>
              </w:rPr>
            </w:pPr>
          </w:p>
        </w:tc>
      </w:tr>
      <w:tr w:rsidR="003027C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right w:val="single" w:sz="6" w:space="0" w:color="auto"/>
            </w:tcBorders>
          </w:tcPr>
          <w:p w:rsidR="003027C7" w:rsidRDefault="003027C7">
            <w:pPr>
              <w:rPr>
                <w:rFonts w:ascii="Arial" w:hAnsi="Arial" w:cs="Arial"/>
                <w:b/>
                <w:bCs/>
                <w:color w:val="0000FF"/>
                <w:sz w:val="20"/>
              </w:rPr>
            </w:pPr>
          </w:p>
        </w:tc>
        <w:tc>
          <w:tcPr>
            <w:tcW w:w="9360" w:type="dxa"/>
            <w:tcBorders>
              <w:top w:val="single" w:sz="6" w:space="0" w:color="auto"/>
              <w:left w:val="single" w:sz="6" w:space="0" w:color="auto"/>
              <w:bottom w:val="single" w:sz="6" w:space="0" w:color="auto"/>
              <w:right w:val="single" w:sz="4" w:space="0" w:color="auto"/>
            </w:tcBorders>
          </w:tcPr>
          <w:p w:rsidR="003027C7" w:rsidRDefault="003027C7">
            <w:pPr>
              <w:tabs>
                <w:tab w:val="left" w:pos="3672"/>
              </w:tabs>
              <w:rPr>
                <w:rFonts w:ascii="Arial" w:hAnsi="Arial" w:cs="Arial"/>
                <w:b/>
                <w:bCs/>
                <w:sz w:val="20"/>
              </w:rPr>
            </w:pPr>
            <w:r>
              <w:rPr>
                <w:rFonts w:ascii="Arial" w:hAnsi="Arial" w:cs="Arial"/>
                <w:b/>
                <w:bCs/>
                <w:sz w:val="20"/>
              </w:rPr>
              <w:t>Supplies</w:t>
            </w:r>
          </w:p>
        </w:tc>
      </w:tr>
      <w:tr w:rsidR="003027C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right w:val="single" w:sz="6" w:space="0" w:color="auto"/>
            </w:tcBorders>
          </w:tcPr>
          <w:p w:rsidR="003027C7" w:rsidRDefault="003027C7">
            <w:pPr>
              <w:rPr>
                <w:rFonts w:ascii="Arial" w:hAnsi="Arial" w:cs="Arial"/>
                <w:b/>
                <w:bCs/>
                <w:color w:val="0000FF"/>
                <w:sz w:val="20"/>
              </w:rPr>
            </w:pPr>
          </w:p>
        </w:tc>
        <w:tc>
          <w:tcPr>
            <w:tcW w:w="9360" w:type="dxa"/>
            <w:tcBorders>
              <w:top w:val="single" w:sz="6" w:space="0" w:color="auto"/>
              <w:left w:val="single" w:sz="6" w:space="0" w:color="auto"/>
              <w:bottom w:val="single" w:sz="6" w:space="0" w:color="auto"/>
              <w:right w:val="single" w:sz="4" w:space="0" w:color="auto"/>
            </w:tcBorders>
          </w:tcPr>
          <w:p w:rsidR="003027C7" w:rsidRDefault="003027C7">
            <w:pPr>
              <w:numPr>
                <w:ilvl w:val="0"/>
                <w:numId w:val="30"/>
              </w:numPr>
              <w:tabs>
                <w:tab w:val="left" w:pos="4032"/>
              </w:tabs>
              <w:rPr>
                <w:rFonts w:ascii="Arial" w:hAnsi="Arial" w:cs="Arial"/>
                <w:sz w:val="20"/>
              </w:rPr>
            </w:pPr>
            <w:r>
              <w:rPr>
                <w:rFonts w:ascii="Arial" w:hAnsi="Arial" w:cs="Arial"/>
                <w:sz w:val="20"/>
              </w:rPr>
              <w:t>HCL Lead Lamp</w:t>
            </w:r>
            <w:r>
              <w:rPr>
                <w:rFonts w:ascii="Arial" w:hAnsi="Arial" w:cs="Arial"/>
                <w:sz w:val="20"/>
              </w:rPr>
              <w:tab/>
              <w:t>Agilent PN 5610124800</w:t>
            </w:r>
          </w:p>
          <w:p w:rsidR="003027C7" w:rsidRDefault="003027C7">
            <w:pPr>
              <w:numPr>
                <w:ilvl w:val="0"/>
                <w:numId w:val="30"/>
              </w:numPr>
              <w:tabs>
                <w:tab w:val="left" w:pos="4032"/>
              </w:tabs>
              <w:rPr>
                <w:rFonts w:ascii="Arial" w:hAnsi="Arial" w:cs="Arial"/>
                <w:sz w:val="20"/>
              </w:rPr>
            </w:pPr>
            <w:r>
              <w:rPr>
                <w:rFonts w:ascii="Arial" w:hAnsi="Arial" w:cs="Arial"/>
                <w:sz w:val="20"/>
              </w:rPr>
              <w:t>2 mL polyethylene cups</w:t>
            </w:r>
            <w:r>
              <w:rPr>
                <w:rFonts w:ascii="Arial" w:hAnsi="Arial" w:cs="Arial"/>
                <w:sz w:val="20"/>
              </w:rPr>
              <w:tab/>
              <w:t>Agilent PN 9910028200</w:t>
            </w:r>
          </w:p>
          <w:p w:rsidR="003027C7" w:rsidRDefault="003027C7">
            <w:pPr>
              <w:numPr>
                <w:ilvl w:val="0"/>
                <w:numId w:val="30"/>
              </w:numPr>
              <w:tabs>
                <w:tab w:val="left" w:pos="4032"/>
              </w:tabs>
              <w:rPr>
                <w:rFonts w:ascii="Arial" w:hAnsi="Arial" w:cs="Arial"/>
                <w:sz w:val="20"/>
              </w:rPr>
            </w:pPr>
            <w:r>
              <w:rPr>
                <w:rFonts w:ascii="Arial" w:hAnsi="Arial" w:cs="Arial"/>
                <w:sz w:val="20"/>
              </w:rPr>
              <w:t xml:space="preserve">Press </w:t>
            </w:r>
            <w:proofErr w:type="spellStart"/>
            <w:r>
              <w:rPr>
                <w:rFonts w:ascii="Arial" w:hAnsi="Arial" w:cs="Arial"/>
                <w:sz w:val="20"/>
              </w:rPr>
              <w:t>overfit</w:t>
            </w:r>
            <w:proofErr w:type="spellEnd"/>
            <w:r>
              <w:rPr>
                <w:rFonts w:ascii="Arial" w:hAnsi="Arial" w:cs="Arial"/>
                <w:sz w:val="20"/>
              </w:rPr>
              <w:t xml:space="preserve"> caps, small</w:t>
            </w:r>
            <w:r>
              <w:rPr>
                <w:rFonts w:ascii="Arial" w:hAnsi="Arial" w:cs="Arial"/>
                <w:sz w:val="20"/>
              </w:rPr>
              <w:tab/>
            </w:r>
            <w:proofErr w:type="spellStart"/>
            <w:r>
              <w:rPr>
                <w:rFonts w:ascii="Arial" w:hAnsi="Arial" w:cs="Arial"/>
                <w:sz w:val="20"/>
              </w:rPr>
              <w:t>Elkay</w:t>
            </w:r>
            <w:proofErr w:type="spellEnd"/>
            <w:r>
              <w:rPr>
                <w:rFonts w:ascii="Arial" w:hAnsi="Arial" w:cs="Arial"/>
                <w:sz w:val="20"/>
              </w:rPr>
              <w:t xml:space="preserve"> Co. 1270090100</w:t>
            </w:r>
          </w:p>
          <w:p w:rsidR="003027C7" w:rsidRDefault="003027C7">
            <w:pPr>
              <w:numPr>
                <w:ilvl w:val="0"/>
                <w:numId w:val="30"/>
              </w:numPr>
              <w:tabs>
                <w:tab w:val="left" w:pos="4032"/>
              </w:tabs>
              <w:rPr>
                <w:rFonts w:ascii="Arial" w:hAnsi="Arial" w:cs="Arial"/>
                <w:sz w:val="20"/>
              </w:rPr>
            </w:pPr>
            <w:r>
              <w:rPr>
                <w:rFonts w:ascii="Arial" w:hAnsi="Arial" w:cs="Arial"/>
                <w:sz w:val="20"/>
              </w:rPr>
              <w:t xml:space="preserve">GTA partitioned tube (10 ea) </w:t>
            </w:r>
            <w:proofErr w:type="spellStart"/>
            <w:r>
              <w:rPr>
                <w:rFonts w:ascii="Arial" w:hAnsi="Arial" w:cs="Arial"/>
                <w:sz w:val="20"/>
              </w:rPr>
              <w:t>Pyrolytic</w:t>
            </w:r>
            <w:proofErr w:type="spellEnd"/>
            <w:r>
              <w:rPr>
                <w:rFonts w:ascii="Arial" w:hAnsi="Arial" w:cs="Arial"/>
                <w:sz w:val="20"/>
              </w:rPr>
              <w:tab/>
              <w:t>Agilent PN 63-100012-00</w:t>
            </w:r>
          </w:p>
          <w:p w:rsidR="003027C7" w:rsidRDefault="003027C7">
            <w:pPr>
              <w:tabs>
                <w:tab w:val="left" w:pos="4032"/>
              </w:tabs>
              <w:rPr>
                <w:rFonts w:ascii="Arial" w:hAnsi="Arial" w:cs="Arial"/>
                <w:sz w:val="20"/>
              </w:rPr>
            </w:pPr>
          </w:p>
        </w:tc>
      </w:tr>
    </w:tbl>
    <w:p w:rsidR="003027C7" w:rsidRDefault="003027C7">
      <w:pPr>
        <w:jc w:val="left"/>
      </w:pPr>
      <w:r>
        <w:br w:type="page"/>
      </w:r>
    </w:p>
    <w:tbl>
      <w:tblPr>
        <w:tblW w:w="11238" w:type="dxa"/>
        <w:tblInd w:w="-1152" w:type="dxa"/>
        <w:tblBorders>
          <w:top w:val="single" w:sz="6" w:space="0" w:color="auto"/>
          <w:left w:val="single" w:sz="6" w:space="0" w:color="auto"/>
          <w:bottom w:val="single" w:sz="6" w:space="0" w:color="auto"/>
          <w:right w:val="single" w:sz="6" w:space="0" w:color="auto"/>
        </w:tblBorders>
        <w:tblLayout w:type="fixed"/>
        <w:tblLook w:val="0000"/>
      </w:tblPr>
      <w:tblGrid>
        <w:gridCol w:w="1800"/>
        <w:gridCol w:w="1080"/>
        <w:gridCol w:w="2160"/>
        <w:gridCol w:w="1620"/>
        <w:gridCol w:w="4500"/>
        <w:gridCol w:w="78"/>
      </w:tblGrid>
      <w:tr w:rsidR="003027C7">
        <w:trPr>
          <w:gridAfter w:val="1"/>
          <w:wAfter w:w="78" w:type="dxa"/>
        </w:trPr>
        <w:tc>
          <w:tcPr>
            <w:tcW w:w="1800" w:type="dxa"/>
            <w:tcBorders>
              <w:top w:val="nil"/>
              <w:left w:val="nil"/>
              <w:bottom w:val="nil"/>
              <w:right w:val="single" w:sz="6" w:space="0" w:color="auto"/>
            </w:tcBorders>
          </w:tcPr>
          <w:p w:rsidR="003027C7" w:rsidRDefault="003027C7">
            <w:pPr>
              <w:rPr>
                <w:rFonts w:ascii="Arial" w:hAnsi="Arial" w:cs="Arial"/>
                <w:b/>
                <w:bCs/>
                <w:color w:val="0000FF"/>
                <w:sz w:val="20"/>
              </w:rPr>
            </w:pPr>
            <w:r>
              <w:lastRenderedPageBreak/>
              <w:br w:type="page"/>
            </w:r>
            <w:r>
              <w:rPr>
                <w:rFonts w:ascii="Arial" w:hAnsi="Arial" w:cs="Arial"/>
                <w:b/>
                <w:bCs/>
                <w:color w:val="0000FF"/>
                <w:sz w:val="20"/>
              </w:rPr>
              <w:t>Materials (cont)</w:t>
            </w:r>
          </w:p>
        </w:tc>
        <w:tc>
          <w:tcPr>
            <w:tcW w:w="9360" w:type="dxa"/>
            <w:gridSpan w:val="4"/>
            <w:tcBorders>
              <w:top w:val="single" w:sz="6" w:space="0" w:color="auto"/>
              <w:left w:val="single" w:sz="6" w:space="0" w:color="auto"/>
              <w:bottom w:val="single" w:sz="6" w:space="0" w:color="auto"/>
              <w:right w:val="single" w:sz="4" w:space="0" w:color="auto"/>
            </w:tcBorders>
          </w:tcPr>
          <w:p w:rsidR="003027C7" w:rsidRDefault="003027C7">
            <w:pPr>
              <w:tabs>
                <w:tab w:val="left" w:pos="3672"/>
              </w:tabs>
              <w:rPr>
                <w:rFonts w:ascii="Arial" w:hAnsi="Arial" w:cs="Arial"/>
                <w:b/>
                <w:bCs/>
                <w:sz w:val="20"/>
              </w:rPr>
            </w:pPr>
            <w:r>
              <w:rPr>
                <w:rFonts w:ascii="Arial" w:hAnsi="Arial" w:cs="Arial"/>
                <w:b/>
                <w:bCs/>
                <w:sz w:val="20"/>
              </w:rPr>
              <w:t>Equipment</w:t>
            </w:r>
          </w:p>
        </w:tc>
      </w:tr>
      <w:tr w:rsidR="003027C7">
        <w:trPr>
          <w:gridAfter w:val="1"/>
          <w:wAfter w:w="78" w:type="dxa"/>
        </w:trPr>
        <w:tc>
          <w:tcPr>
            <w:tcW w:w="1800" w:type="dxa"/>
            <w:tcBorders>
              <w:top w:val="nil"/>
              <w:left w:val="nil"/>
              <w:bottom w:val="nil"/>
              <w:right w:val="single" w:sz="6" w:space="0" w:color="auto"/>
            </w:tcBorders>
          </w:tcPr>
          <w:p w:rsidR="003027C7" w:rsidRDefault="003027C7">
            <w:pPr>
              <w:rPr>
                <w:rFonts w:ascii="Arial" w:hAnsi="Arial" w:cs="Arial"/>
                <w:b/>
                <w:bCs/>
                <w:color w:val="0000FF"/>
                <w:sz w:val="20"/>
              </w:rPr>
            </w:pPr>
          </w:p>
        </w:tc>
        <w:tc>
          <w:tcPr>
            <w:tcW w:w="9360" w:type="dxa"/>
            <w:gridSpan w:val="4"/>
            <w:tcBorders>
              <w:top w:val="single" w:sz="6" w:space="0" w:color="auto"/>
              <w:left w:val="single" w:sz="6" w:space="0" w:color="auto"/>
              <w:bottom w:val="single" w:sz="6" w:space="0" w:color="auto"/>
              <w:right w:val="single" w:sz="4" w:space="0" w:color="auto"/>
            </w:tcBorders>
          </w:tcPr>
          <w:p w:rsidR="003027C7" w:rsidRDefault="003027C7">
            <w:pPr>
              <w:numPr>
                <w:ilvl w:val="0"/>
                <w:numId w:val="31"/>
              </w:numPr>
              <w:tabs>
                <w:tab w:val="left" w:pos="5040"/>
              </w:tabs>
              <w:rPr>
                <w:rFonts w:ascii="Arial" w:hAnsi="Arial" w:cs="Arial"/>
                <w:sz w:val="20"/>
              </w:rPr>
            </w:pPr>
            <w:r>
              <w:rPr>
                <w:rFonts w:ascii="Arial" w:hAnsi="Arial" w:cs="Arial"/>
                <w:sz w:val="20"/>
              </w:rPr>
              <w:t>Agilent  AA 240Z Graphite Furnace System with Hollow Cathode Lamp</w:t>
            </w:r>
            <w:r>
              <w:rPr>
                <w:rFonts w:ascii="Arial" w:hAnsi="Arial" w:cs="Arial"/>
                <w:sz w:val="20"/>
              </w:rPr>
              <w:tab/>
              <w:t>SN EL06013809</w:t>
            </w:r>
          </w:p>
          <w:p w:rsidR="003027C7" w:rsidRDefault="003027C7">
            <w:pPr>
              <w:numPr>
                <w:ilvl w:val="0"/>
                <w:numId w:val="31"/>
              </w:numPr>
              <w:tabs>
                <w:tab w:val="left" w:pos="5040"/>
              </w:tabs>
              <w:rPr>
                <w:rFonts w:ascii="Arial" w:hAnsi="Arial" w:cs="Arial"/>
                <w:sz w:val="20"/>
              </w:rPr>
            </w:pPr>
            <w:r>
              <w:rPr>
                <w:rFonts w:ascii="Arial" w:hAnsi="Arial" w:cs="Arial"/>
                <w:sz w:val="20"/>
              </w:rPr>
              <w:t>Tube Cam</w:t>
            </w:r>
          </w:p>
          <w:p w:rsidR="003027C7" w:rsidRDefault="003027C7">
            <w:pPr>
              <w:numPr>
                <w:ilvl w:val="0"/>
                <w:numId w:val="31"/>
              </w:numPr>
              <w:tabs>
                <w:tab w:val="left" w:pos="5040"/>
              </w:tabs>
              <w:rPr>
                <w:rFonts w:ascii="Arial" w:hAnsi="Arial" w:cs="Arial"/>
                <w:sz w:val="20"/>
              </w:rPr>
            </w:pPr>
            <w:r>
              <w:rPr>
                <w:rFonts w:ascii="Arial" w:hAnsi="Arial" w:cs="Arial"/>
                <w:sz w:val="20"/>
              </w:rPr>
              <w:t xml:space="preserve">Agilent GTA 120 Graphite Tube Atomizer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SN EL06013120</w:t>
            </w:r>
          </w:p>
          <w:p w:rsidR="003027C7" w:rsidRDefault="003027C7">
            <w:pPr>
              <w:numPr>
                <w:ilvl w:val="0"/>
                <w:numId w:val="31"/>
              </w:numPr>
              <w:tabs>
                <w:tab w:val="left" w:pos="5040"/>
              </w:tabs>
              <w:rPr>
                <w:rFonts w:ascii="Arial" w:hAnsi="Arial" w:cs="Arial"/>
                <w:sz w:val="20"/>
              </w:rPr>
            </w:pPr>
            <w:r>
              <w:rPr>
                <w:rFonts w:ascii="Arial" w:hAnsi="Arial" w:cs="Arial"/>
                <w:sz w:val="20"/>
              </w:rPr>
              <w:t xml:space="preserve">PSD 120 </w:t>
            </w:r>
            <w:proofErr w:type="spellStart"/>
            <w:r>
              <w:rPr>
                <w:rFonts w:ascii="Arial" w:hAnsi="Arial" w:cs="Arial"/>
                <w:sz w:val="20"/>
              </w:rPr>
              <w:t>Autosampler</w:t>
            </w:r>
            <w:proofErr w:type="spellEnd"/>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SN EL06013168</w:t>
            </w:r>
          </w:p>
          <w:p w:rsidR="003027C7" w:rsidRDefault="003027C7">
            <w:pPr>
              <w:numPr>
                <w:ilvl w:val="0"/>
                <w:numId w:val="31"/>
              </w:numPr>
              <w:tabs>
                <w:tab w:val="left" w:pos="5040"/>
              </w:tabs>
              <w:rPr>
                <w:rFonts w:ascii="Arial" w:hAnsi="Arial" w:cs="Arial"/>
                <w:sz w:val="20"/>
              </w:rPr>
            </w:pPr>
            <w:r>
              <w:rPr>
                <w:rFonts w:ascii="Arial" w:hAnsi="Arial" w:cs="Arial"/>
                <w:sz w:val="20"/>
              </w:rPr>
              <w:t>Dell Pentium Computer and Monitor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BWGSC91</w:t>
            </w:r>
          </w:p>
          <w:p w:rsidR="003027C7" w:rsidRDefault="003027C7">
            <w:pPr>
              <w:numPr>
                <w:ilvl w:val="0"/>
                <w:numId w:val="31"/>
              </w:numPr>
              <w:tabs>
                <w:tab w:val="left" w:pos="5040"/>
              </w:tabs>
              <w:rPr>
                <w:rFonts w:ascii="Arial" w:hAnsi="Arial" w:cs="Arial"/>
                <w:sz w:val="20"/>
              </w:rPr>
            </w:pPr>
            <w:proofErr w:type="spellStart"/>
            <w:r>
              <w:rPr>
                <w:rFonts w:ascii="Arial" w:hAnsi="Arial" w:cs="Arial"/>
                <w:sz w:val="20"/>
              </w:rPr>
              <w:t>Lytron</w:t>
            </w:r>
            <w:proofErr w:type="spellEnd"/>
            <w:r>
              <w:rPr>
                <w:rFonts w:ascii="Arial" w:hAnsi="Arial" w:cs="Arial"/>
                <w:sz w:val="20"/>
              </w:rPr>
              <w:t xml:space="preserve"> Kodiak </w:t>
            </w:r>
            <w:proofErr w:type="spellStart"/>
            <w:r>
              <w:rPr>
                <w:rFonts w:ascii="Arial" w:hAnsi="Arial" w:cs="Arial"/>
                <w:sz w:val="20"/>
              </w:rPr>
              <w:t>Recirculating</w:t>
            </w:r>
            <w:proofErr w:type="spellEnd"/>
            <w:r>
              <w:rPr>
                <w:rFonts w:ascii="Arial" w:hAnsi="Arial" w:cs="Arial"/>
                <w:sz w:val="20"/>
              </w:rPr>
              <w:t xml:space="preserve"> Chiller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794711-03</w:t>
            </w:r>
          </w:p>
          <w:p w:rsidR="003027C7" w:rsidRDefault="003027C7">
            <w:pPr>
              <w:numPr>
                <w:ilvl w:val="0"/>
                <w:numId w:val="31"/>
              </w:numPr>
              <w:tabs>
                <w:tab w:val="left" w:pos="5040"/>
              </w:tabs>
              <w:rPr>
                <w:rFonts w:ascii="Arial" w:hAnsi="Arial" w:cs="Arial"/>
                <w:sz w:val="20"/>
              </w:rPr>
            </w:pPr>
            <w:r>
              <w:rPr>
                <w:rFonts w:ascii="Arial" w:hAnsi="Arial" w:cs="Arial"/>
                <w:sz w:val="20"/>
              </w:rPr>
              <w:t>Bar-code Scanner</w:t>
            </w:r>
          </w:p>
          <w:p w:rsidR="003027C7" w:rsidRDefault="003027C7">
            <w:pPr>
              <w:numPr>
                <w:ilvl w:val="0"/>
                <w:numId w:val="31"/>
              </w:numPr>
              <w:tabs>
                <w:tab w:val="left" w:pos="5040"/>
              </w:tabs>
              <w:rPr>
                <w:rFonts w:ascii="Arial" w:hAnsi="Arial" w:cs="Arial"/>
                <w:sz w:val="20"/>
              </w:rPr>
            </w:pPr>
            <w:r>
              <w:rPr>
                <w:rFonts w:ascii="Arial" w:hAnsi="Arial" w:cs="Arial"/>
                <w:sz w:val="20"/>
              </w:rPr>
              <w:t>Automated pipette system with dual syringes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503A (Hamilton Co.)</w:t>
            </w:r>
          </w:p>
          <w:p w:rsidR="003027C7" w:rsidRDefault="003027C7">
            <w:pPr>
              <w:tabs>
                <w:tab w:val="left" w:pos="3672"/>
              </w:tabs>
              <w:rPr>
                <w:rFonts w:ascii="Arial" w:hAnsi="Arial" w:cs="Arial"/>
                <w:sz w:val="20"/>
              </w:rPr>
            </w:pPr>
          </w:p>
        </w:tc>
      </w:tr>
      <w:tr w:rsidR="00302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Pr>
        <w:tc>
          <w:tcPr>
            <w:tcW w:w="1800" w:type="dxa"/>
            <w:tcBorders>
              <w:top w:val="nil"/>
              <w:left w:val="nil"/>
              <w:bottom w:val="nil"/>
              <w:right w:val="nil"/>
            </w:tcBorders>
          </w:tcPr>
          <w:p w:rsidR="003027C7" w:rsidRDefault="003027C7">
            <w:pPr>
              <w:rPr>
                <w:rFonts w:ascii="Arial" w:hAnsi="Arial" w:cs="Arial"/>
                <w:b/>
                <w:bCs/>
                <w:color w:val="0000FF"/>
                <w:sz w:val="20"/>
              </w:rPr>
            </w:pPr>
          </w:p>
        </w:tc>
        <w:tc>
          <w:tcPr>
            <w:tcW w:w="9360" w:type="dxa"/>
            <w:gridSpan w:val="4"/>
            <w:tcBorders>
              <w:left w:val="nil"/>
              <w:bottom w:val="single" w:sz="4" w:space="0" w:color="auto"/>
              <w:right w:val="nil"/>
            </w:tcBorders>
          </w:tcPr>
          <w:p w:rsidR="003027C7" w:rsidRDefault="003027C7">
            <w:pPr>
              <w:jc w:val="left"/>
              <w:rPr>
                <w:rFonts w:ascii="Arial" w:hAnsi="Arial" w:cs="Arial"/>
                <w:iCs/>
                <w:sz w:val="20"/>
              </w:rPr>
            </w:pPr>
          </w:p>
        </w:tc>
      </w:tr>
      <w:tr w:rsidR="00302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Pr>
        <w:tc>
          <w:tcPr>
            <w:tcW w:w="1800" w:type="dxa"/>
            <w:tcBorders>
              <w:top w:val="nil"/>
              <w:left w:val="nil"/>
              <w:bottom w:val="nil"/>
              <w:right w:val="nil"/>
            </w:tcBorders>
          </w:tcPr>
          <w:p w:rsidR="003027C7" w:rsidRDefault="003027C7">
            <w:pPr>
              <w:rPr>
                <w:rFonts w:ascii="Arial" w:hAnsi="Arial" w:cs="Arial"/>
                <w:b/>
                <w:bCs/>
                <w:color w:val="0000FF"/>
                <w:sz w:val="20"/>
              </w:rPr>
            </w:pPr>
          </w:p>
          <w:p w:rsidR="003027C7" w:rsidRDefault="003027C7">
            <w:pPr>
              <w:jc w:val="left"/>
              <w:rPr>
                <w:rFonts w:ascii="Arial" w:hAnsi="Arial" w:cs="Arial"/>
                <w:b/>
                <w:bCs/>
                <w:color w:val="0000FF"/>
                <w:sz w:val="20"/>
              </w:rPr>
            </w:pPr>
            <w:r>
              <w:rPr>
                <w:rFonts w:ascii="Arial" w:hAnsi="Arial" w:cs="Arial"/>
                <w:b/>
                <w:bCs/>
                <w:color w:val="0000FF"/>
                <w:sz w:val="20"/>
              </w:rPr>
              <w:t>Sample</w:t>
            </w:r>
          </w:p>
        </w:tc>
        <w:tc>
          <w:tcPr>
            <w:tcW w:w="9360" w:type="dxa"/>
            <w:gridSpan w:val="4"/>
            <w:tcBorders>
              <w:left w:val="nil"/>
              <w:bottom w:val="single" w:sz="4" w:space="0" w:color="auto"/>
              <w:right w:val="nil"/>
            </w:tcBorders>
          </w:tcPr>
          <w:p w:rsidR="003027C7" w:rsidRDefault="003027C7">
            <w:pPr>
              <w:jc w:val="left"/>
              <w:rPr>
                <w:rFonts w:ascii="Arial" w:hAnsi="Arial" w:cs="Arial"/>
                <w:iCs/>
                <w:sz w:val="20"/>
              </w:rPr>
            </w:pPr>
          </w:p>
          <w:p w:rsidR="003027C7" w:rsidRDefault="003027C7">
            <w:pPr>
              <w:pStyle w:val="Heading1"/>
              <w:numPr>
                <w:ilvl w:val="0"/>
                <w:numId w:val="0"/>
              </w:numPr>
              <w:ind w:left="432" w:hanging="432"/>
              <w:rPr>
                <w:rFonts w:ascii="Arial" w:hAnsi="Arial"/>
                <w:sz w:val="20"/>
              </w:rPr>
            </w:pPr>
            <w:r>
              <w:rPr>
                <w:rFonts w:ascii="Arial" w:hAnsi="Arial"/>
                <w:b w:val="0"/>
                <w:sz w:val="20"/>
              </w:rPr>
              <w:t>Specimen Collection</w:t>
            </w:r>
          </w:p>
          <w:p w:rsidR="003027C7" w:rsidRDefault="003027C7">
            <w:pPr>
              <w:pStyle w:val="BodyText"/>
              <w:numPr>
                <w:ilvl w:val="0"/>
                <w:numId w:val="27"/>
              </w:numPr>
              <w:ind w:left="1080"/>
              <w:rPr>
                <w:rFonts w:ascii="Arial" w:hAnsi="Arial" w:cs="Arial"/>
                <w:sz w:val="20"/>
              </w:rPr>
            </w:pPr>
            <w:r>
              <w:rPr>
                <w:rFonts w:ascii="Arial" w:hAnsi="Arial" w:cs="Arial"/>
                <w:sz w:val="20"/>
              </w:rPr>
              <w:t>An aliquot of 100 µL whole blood obtained by venipuncture is the only reliable specimen for the confirmation, diagnosis, or medical management of lead poisoning.</w:t>
            </w:r>
          </w:p>
          <w:p w:rsidR="003027C7" w:rsidRDefault="003027C7">
            <w:pPr>
              <w:pStyle w:val="BodyText"/>
              <w:numPr>
                <w:ilvl w:val="0"/>
                <w:numId w:val="27"/>
              </w:numPr>
              <w:ind w:left="1080"/>
              <w:rPr>
                <w:rFonts w:ascii="Arial" w:hAnsi="Arial" w:cs="Arial"/>
                <w:sz w:val="20"/>
              </w:rPr>
            </w:pPr>
            <w:r>
              <w:rPr>
                <w:rFonts w:ascii="Arial" w:hAnsi="Arial" w:cs="Arial"/>
                <w:sz w:val="20"/>
              </w:rPr>
              <w:t>Whole blood obtained by capillary puncture is acceptable for screening purposes provided it is obtained with proper and thorough hand-washing technique. If venous blood cannot be collected a capillary sample will be accepted with the restriction that an elevated level must be confirmed with a venous sample.</w:t>
            </w:r>
          </w:p>
          <w:p w:rsidR="003027C7" w:rsidRDefault="003027C7">
            <w:pPr>
              <w:pStyle w:val="BodyText"/>
              <w:numPr>
                <w:ilvl w:val="0"/>
                <w:numId w:val="27"/>
              </w:numPr>
              <w:ind w:left="1080"/>
              <w:rPr>
                <w:rFonts w:ascii="Arial" w:hAnsi="Arial" w:cs="Arial"/>
                <w:sz w:val="20"/>
              </w:rPr>
            </w:pPr>
            <w:r>
              <w:rPr>
                <w:rFonts w:ascii="Arial" w:hAnsi="Arial" w:cs="Arial"/>
                <w:sz w:val="20"/>
              </w:rPr>
              <w:t xml:space="preserve">Specimens collected in Becton Dickinson </w:t>
            </w:r>
            <w:proofErr w:type="spellStart"/>
            <w:r>
              <w:rPr>
                <w:rFonts w:ascii="Arial" w:hAnsi="Arial" w:cs="Arial"/>
                <w:sz w:val="20"/>
              </w:rPr>
              <w:t>Vacutainer</w:t>
            </w:r>
            <w:proofErr w:type="spellEnd"/>
            <w:r>
              <w:rPr>
                <w:rFonts w:ascii="Arial" w:hAnsi="Arial" w:cs="Arial"/>
                <w:sz w:val="20"/>
              </w:rPr>
              <w:t xml:space="preserve"> and </w:t>
            </w:r>
            <w:proofErr w:type="spellStart"/>
            <w:r>
              <w:rPr>
                <w:rFonts w:ascii="Arial" w:hAnsi="Arial" w:cs="Arial"/>
                <w:sz w:val="20"/>
              </w:rPr>
              <w:t>Microtainer</w:t>
            </w:r>
            <w:proofErr w:type="spellEnd"/>
            <w:r>
              <w:rPr>
                <w:rFonts w:ascii="Arial" w:hAnsi="Arial" w:cs="Arial"/>
                <w:sz w:val="20"/>
              </w:rPr>
              <w:t xml:space="preserve"> Brand tubes that contain the anticoagulants EDTA or Lithium Heparin are acceptable. Tubes should be filled to their designated capacity when possible.</w:t>
            </w:r>
          </w:p>
          <w:p w:rsidR="003027C7" w:rsidRDefault="003027C7">
            <w:pPr>
              <w:pStyle w:val="BodyText"/>
              <w:numPr>
                <w:ilvl w:val="0"/>
                <w:numId w:val="27"/>
              </w:numPr>
              <w:ind w:left="1080"/>
              <w:rPr>
                <w:rFonts w:ascii="Arial" w:hAnsi="Arial" w:cs="Arial"/>
                <w:sz w:val="20"/>
              </w:rPr>
            </w:pPr>
            <w:r>
              <w:rPr>
                <w:rFonts w:ascii="Arial" w:hAnsi="Arial" w:cs="Arial"/>
                <w:sz w:val="20"/>
              </w:rPr>
              <w:t xml:space="preserve">Specimens must not contain clots. Reject all clotted specimens. Do not separate cells from plasma. </w:t>
            </w:r>
          </w:p>
          <w:p w:rsidR="003027C7" w:rsidRDefault="003027C7">
            <w:pPr>
              <w:pStyle w:val="BodyText"/>
              <w:rPr>
                <w:rFonts w:ascii="Arial" w:hAnsi="Arial" w:cs="Arial"/>
                <w:sz w:val="20"/>
              </w:rPr>
            </w:pPr>
          </w:p>
          <w:p w:rsidR="003027C7" w:rsidRDefault="003027C7">
            <w:pPr>
              <w:pStyle w:val="BodyText"/>
              <w:rPr>
                <w:rFonts w:ascii="Arial" w:hAnsi="Arial" w:cs="Arial"/>
                <w:sz w:val="20"/>
              </w:rPr>
            </w:pPr>
            <w:r>
              <w:rPr>
                <w:rFonts w:ascii="Arial" w:hAnsi="Arial" w:cs="Arial"/>
                <w:b/>
                <w:sz w:val="20"/>
              </w:rPr>
              <w:t xml:space="preserve">Specimen Stability: </w:t>
            </w:r>
            <w:r>
              <w:rPr>
                <w:rFonts w:ascii="Arial" w:hAnsi="Arial" w:cs="Arial"/>
                <w:sz w:val="20"/>
              </w:rPr>
              <w:t>3 weeks refrigerated at 2-8 º C.</w:t>
            </w:r>
          </w:p>
          <w:p w:rsidR="003027C7" w:rsidRDefault="003027C7">
            <w:pPr>
              <w:pStyle w:val="BodyText"/>
              <w:rPr>
                <w:rFonts w:ascii="Arial" w:hAnsi="Arial" w:cs="Arial"/>
                <w:sz w:val="20"/>
              </w:rPr>
            </w:pPr>
          </w:p>
          <w:p w:rsidR="003027C7" w:rsidRDefault="003027C7">
            <w:pPr>
              <w:rPr>
                <w:rFonts w:ascii="Arial" w:hAnsi="Arial" w:cs="Arial"/>
                <w:b/>
                <w:sz w:val="20"/>
              </w:rPr>
            </w:pPr>
            <w:r>
              <w:rPr>
                <w:rFonts w:ascii="Arial" w:hAnsi="Arial" w:cs="Arial"/>
                <w:b/>
                <w:sz w:val="20"/>
              </w:rPr>
              <w:t>Sample Preparation:</w:t>
            </w:r>
          </w:p>
          <w:p w:rsidR="003027C7" w:rsidRDefault="003027C7">
            <w:pPr>
              <w:ind w:left="1440"/>
              <w:rPr>
                <w:rFonts w:ascii="Arial" w:hAnsi="Arial" w:cs="Arial"/>
                <w:sz w:val="20"/>
              </w:rPr>
            </w:pPr>
          </w:p>
          <w:p w:rsidR="003027C7" w:rsidRDefault="003027C7">
            <w:pPr>
              <w:rPr>
                <w:rFonts w:ascii="Arial" w:hAnsi="Arial" w:cs="Arial"/>
                <w:sz w:val="20"/>
              </w:rPr>
            </w:pPr>
            <w:r>
              <w:rPr>
                <w:rFonts w:ascii="Arial" w:hAnsi="Arial" w:cs="Arial"/>
                <w:sz w:val="20"/>
              </w:rPr>
              <w:t xml:space="preserve">Dilute all whole blood standards, controls, and patient specimens (100ul) with the specimen diluent (900ul) using the Hamilton hand-held auto-dilutor. </w:t>
            </w:r>
          </w:p>
          <w:p w:rsidR="003027C7" w:rsidRDefault="003027C7">
            <w:pPr>
              <w:numPr>
                <w:ilvl w:val="1"/>
                <w:numId w:val="28"/>
              </w:numPr>
              <w:tabs>
                <w:tab w:val="clear" w:pos="1800"/>
              </w:tabs>
              <w:ind w:left="1080"/>
              <w:rPr>
                <w:rFonts w:ascii="Arial" w:hAnsi="Arial" w:cs="Arial"/>
                <w:sz w:val="20"/>
              </w:rPr>
            </w:pPr>
            <w:r>
              <w:rPr>
                <w:rFonts w:ascii="Arial" w:hAnsi="Arial" w:cs="Arial"/>
                <w:sz w:val="20"/>
              </w:rPr>
              <w:t xml:space="preserve">Mix whole blood samples on a vortex and place pipette tip below the surface. </w:t>
            </w:r>
          </w:p>
          <w:p w:rsidR="003027C7" w:rsidRDefault="003027C7">
            <w:pPr>
              <w:numPr>
                <w:ilvl w:val="1"/>
                <w:numId w:val="28"/>
              </w:numPr>
              <w:tabs>
                <w:tab w:val="clear" w:pos="1800"/>
              </w:tabs>
              <w:ind w:left="1080"/>
              <w:rPr>
                <w:rFonts w:ascii="Arial" w:hAnsi="Arial" w:cs="Arial"/>
                <w:sz w:val="20"/>
              </w:rPr>
            </w:pPr>
            <w:r>
              <w:rPr>
                <w:rFonts w:ascii="Arial" w:hAnsi="Arial" w:cs="Arial"/>
                <w:sz w:val="20"/>
              </w:rPr>
              <w:t xml:space="preserve">Press the thumb switch to take up sample (whole blood is difficult to pipette so the slowest speed has been selected) and wait for both syringes to complete their tasks. </w:t>
            </w:r>
          </w:p>
          <w:p w:rsidR="003027C7" w:rsidRDefault="003027C7">
            <w:pPr>
              <w:numPr>
                <w:ilvl w:val="1"/>
                <w:numId w:val="28"/>
              </w:numPr>
              <w:tabs>
                <w:tab w:val="clear" w:pos="1800"/>
              </w:tabs>
              <w:ind w:left="1080"/>
              <w:rPr>
                <w:rFonts w:ascii="Arial" w:hAnsi="Arial" w:cs="Arial"/>
                <w:sz w:val="20"/>
              </w:rPr>
            </w:pPr>
            <w:r>
              <w:rPr>
                <w:rFonts w:ascii="Arial" w:hAnsi="Arial" w:cs="Arial"/>
                <w:sz w:val="20"/>
              </w:rPr>
              <w:t xml:space="preserve">Remove pipette tip from the sample, wipe outside with a </w:t>
            </w:r>
            <w:proofErr w:type="spellStart"/>
            <w:r>
              <w:rPr>
                <w:rFonts w:ascii="Arial" w:hAnsi="Arial" w:cs="Arial"/>
                <w:sz w:val="20"/>
              </w:rPr>
              <w:t>Kimwipe</w:t>
            </w:r>
            <w:proofErr w:type="spellEnd"/>
            <w:r>
              <w:rPr>
                <w:rFonts w:ascii="Arial" w:hAnsi="Arial" w:cs="Arial"/>
                <w:sz w:val="20"/>
              </w:rPr>
              <w:t xml:space="preserve"> tissue, poise pipette tip over a 2 ml cup and press the switch to deliver. </w:t>
            </w:r>
          </w:p>
          <w:p w:rsidR="003027C7" w:rsidRDefault="003027C7" w:rsidP="003027C7">
            <w:pPr>
              <w:numPr>
                <w:ilvl w:val="1"/>
                <w:numId w:val="28"/>
              </w:numPr>
              <w:tabs>
                <w:tab w:val="clear" w:pos="1800"/>
              </w:tabs>
              <w:ind w:left="1080"/>
              <w:rPr>
                <w:rFonts w:ascii="Arial" w:hAnsi="Arial" w:cs="Arial"/>
                <w:sz w:val="20"/>
              </w:rPr>
            </w:pPr>
            <w:r>
              <w:rPr>
                <w:rFonts w:ascii="Arial" w:hAnsi="Arial" w:cs="Arial"/>
                <w:sz w:val="20"/>
              </w:rPr>
              <w:t xml:space="preserve">Wait until the reagent syringe has delivered all its contents. </w:t>
            </w:r>
          </w:p>
          <w:p w:rsidR="003027C7" w:rsidRPr="009E173E" w:rsidRDefault="003027C7" w:rsidP="003027C7">
            <w:pPr>
              <w:numPr>
                <w:ilvl w:val="1"/>
                <w:numId w:val="28"/>
              </w:numPr>
              <w:tabs>
                <w:tab w:val="clear" w:pos="1800"/>
              </w:tabs>
              <w:ind w:left="1080"/>
              <w:rPr>
                <w:rFonts w:ascii="Arial" w:hAnsi="Arial" w:cs="Arial"/>
                <w:sz w:val="20"/>
              </w:rPr>
            </w:pPr>
            <w:r w:rsidRPr="009E173E">
              <w:rPr>
                <w:rFonts w:ascii="Arial" w:hAnsi="Arial" w:cs="Arial"/>
                <w:sz w:val="20"/>
              </w:rPr>
              <w:t xml:space="preserve">These dilutions are stable for 1 week tightly capped and refrigerated. </w:t>
            </w:r>
          </w:p>
          <w:p w:rsidR="003027C7" w:rsidRDefault="003027C7" w:rsidP="003027C7">
            <w:pPr>
              <w:jc w:val="left"/>
              <w:rPr>
                <w:rFonts w:ascii="Arial" w:hAnsi="Arial" w:cs="Arial"/>
                <w:iCs/>
                <w:sz w:val="20"/>
              </w:rPr>
            </w:pPr>
          </w:p>
        </w:tc>
      </w:tr>
      <w:tr w:rsidR="003027C7">
        <w:trPr>
          <w:gridAfter w:val="1"/>
          <w:wAfter w:w="78" w:type="dxa"/>
        </w:trPr>
        <w:tc>
          <w:tcPr>
            <w:tcW w:w="1800" w:type="dxa"/>
            <w:tcBorders>
              <w:top w:val="nil"/>
              <w:left w:val="nil"/>
              <w:bottom w:val="nil"/>
            </w:tcBorders>
          </w:tcPr>
          <w:p w:rsidR="003027C7" w:rsidRDefault="003027C7">
            <w:pPr>
              <w:jc w:val="left"/>
              <w:rPr>
                <w:rFonts w:ascii="Arial" w:hAnsi="Arial" w:cs="Arial"/>
                <w:b/>
                <w:bCs/>
                <w:color w:val="0000FF"/>
                <w:sz w:val="20"/>
              </w:rPr>
            </w:pPr>
          </w:p>
          <w:p w:rsidR="003027C7" w:rsidRDefault="003027C7">
            <w:pPr>
              <w:jc w:val="left"/>
              <w:rPr>
                <w:rFonts w:ascii="Arial" w:hAnsi="Arial" w:cs="Arial"/>
                <w:b/>
                <w:bCs/>
                <w:color w:val="0000FF"/>
                <w:sz w:val="20"/>
              </w:rPr>
            </w:pPr>
            <w:r>
              <w:rPr>
                <w:rFonts w:ascii="Arial" w:hAnsi="Arial" w:cs="Arial"/>
                <w:b/>
                <w:bCs/>
                <w:color w:val="0000FF"/>
                <w:sz w:val="20"/>
              </w:rPr>
              <w:t>Reagent Preparation</w:t>
            </w:r>
          </w:p>
          <w:p w:rsidR="003027C7" w:rsidRDefault="003027C7">
            <w:pPr>
              <w:rPr>
                <w:rFonts w:ascii="Arial" w:hAnsi="Arial" w:cs="Arial"/>
                <w:b/>
                <w:bCs/>
                <w:color w:val="0000FF"/>
                <w:sz w:val="20"/>
              </w:rPr>
            </w:pPr>
          </w:p>
        </w:tc>
        <w:tc>
          <w:tcPr>
            <w:tcW w:w="9360" w:type="dxa"/>
            <w:gridSpan w:val="4"/>
            <w:tcBorders>
              <w:top w:val="single" w:sz="4" w:space="0" w:color="auto"/>
              <w:bottom w:val="single" w:sz="6" w:space="0" w:color="auto"/>
              <w:right w:val="nil"/>
            </w:tcBorders>
          </w:tcPr>
          <w:p w:rsidR="003027C7" w:rsidRDefault="003027C7">
            <w:pPr>
              <w:tabs>
                <w:tab w:val="num" w:pos="1080"/>
              </w:tabs>
              <w:rPr>
                <w:rFonts w:ascii="Arial" w:hAnsi="Arial" w:cs="Arial"/>
                <w:b/>
                <w:bCs/>
                <w:sz w:val="20"/>
              </w:rPr>
            </w:pPr>
          </w:p>
          <w:p w:rsidR="003027C7" w:rsidRDefault="003027C7">
            <w:pPr>
              <w:tabs>
                <w:tab w:val="num" w:pos="1080"/>
              </w:tabs>
              <w:rPr>
                <w:rFonts w:ascii="Arial" w:hAnsi="Arial" w:cs="Arial"/>
                <w:sz w:val="20"/>
              </w:rPr>
            </w:pPr>
            <w:r>
              <w:rPr>
                <w:rFonts w:ascii="Arial" w:hAnsi="Arial" w:cs="Arial"/>
                <w:b/>
                <w:bCs/>
                <w:sz w:val="20"/>
              </w:rPr>
              <w:t>Specimen Diluent/Blank Solution:</w:t>
            </w:r>
            <w:r>
              <w:rPr>
                <w:rFonts w:ascii="Arial" w:hAnsi="Arial" w:cs="Arial"/>
                <w:sz w:val="20"/>
              </w:rPr>
              <w:t xml:space="preserve"> Place 2 grams Ammonium Phosphate Monobasic into a 1000mL acid-washed flask, Add approximately 500mL reagent grade water and mix until dissolved. Add 5 mL Triton x-100 and dilute to volume with reagent grade water. Add 1ml concentrated Nitric Acid. Mix well (it may take overnight to completely dissolve).  Solution is stable for four months at room temperature. This solution is used to dilute standards, controls, and patient specimens with the 503A Hamilton dilutor.</w:t>
            </w:r>
          </w:p>
          <w:p w:rsidR="003027C7" w:rsidRDefault="003027C7">
            <w:pPr>
              <w:rPr>
                <w:rFonts w:ascii="Arial" w:hAnsi="Arial" w:cs="Arial"/>
                <w:sz w:val="20"/>
              </w:rPr>
            </w:pPr>
          </w:p>
          <w:p w:rsidR="003027C7" w:rsidRDefault="003027C7">
            <w:pPr>
              <w:jc w:val="left"/>
              <w:rPr>
                <w:rFonts w:ascii="Arial" w:hAnsi="Arial" w:cs="Arial"/>
                <w:iCs/>
                <w:sz w:val="20"/>
              </w:rPr>
            </w:pPr>
            <w:r>
              <w:rPr>
                <w:rFonts w:ascii="Arial" w:hAnsi="Arial" w:cs="Arial"/>
                <w:b/>
                <w:bCs/>
                <w:sz w:val="20"/>
              </w:rPr>
              <w:t>Auto Sampler Rinse Solution:</w:t>
            </w:r>
            <w:r>
              <w:rPr>
                <w:rFonts w:ascii="Arial" w:hAnsi="Arial" w:cs="Arial"/>
                <w:sz w:val="20"/>
              </w:rPr>
              <w:t xml:space="preserve"> Partially fill a 1000mL acid-washed flask with reagent grade water. Add 1 mL Triton X-100 and 0.5mL concentrated Nitric Acid (10 drops). Dilute to volume with reagent grade water and mix well. The solution is stable for 6 months at room temperature. This solution is used in the reservoir bottle of the PSD. Always keep the reservoir bottle at least half full of rinse solution.</w:t>
            </w:r>
          </w:p>
          <w:p w:rsidR="003027C7" w:rsidRDefault="003027C7">
            <w:pPr>
              <w:jc w:val="left"/>
              <w:rPr>
                <w:rFonts w:ascii="Arial" w:hAnsi="Arial" w:cs="Arial"/>
                <w:iCs/>
                <w:sz w:val="20"/>
              </w:rPr>
            </w:pPr>
          </w:p>
        </w:tc>
      </w:tr>
      <w:tr w:rsidR="003027C7">
        <w:trPr>
          <w:gridAfter w:val="1"/>
          <w:wAfter w:w="78" w:type="dxa"/>
          <w:cantSplit/>
        </w:trPr>
        <w:tc>
          <w:tcPr>
            <w:tcW w:w="1800" w:type="dxa"/>
            <w:tcBorders>
              <w:top w:val="nil"/>
              <w:left w:val="nil"/>
              <w:bottom w:val="nil"/>
            </w:tcBorders>
          </w:tcPr>
          <w:p w:rsidR="003027C7" w:rsidRDefault="003027C7">
            <w:pPr>
              <w:rPr>
                <w:rFonts w:ascii="Arial" w:hAnsi="Arial" w:cs="Arial"/>
                <w:b/>
                <w:bCs/>
                <w:color w:val="0000FF"/>
                <w:sz w:val="20"/>
              </w:rPr>
            </w:pPr>
          </w:p>
          <w:p w:rsidR="003027C7" w:rsidRDefault="003027C7">
            <w:pPr>
              <w:jc w:val="left"/>
              <w:rPr>
                <w:rFonts w:ascii="Arial" w:hAnsi="Arial" w:cs="Arial"/>
                <w:b/>
                <w:bCs/>
                <w:color w:val="0000FF"/>
                <w:sz w:val="20"/>
              </w:rPr>
            </w:pPr>
            <w:r>
              <w:rPr>
                <w:rFonts w:ascii="Arial" w:hAnsi="Arial" w:cs="Arial"/>
                <w:b/>
                <w:bCs/>
                <w:color w:val="0000FF"/>
                <w:sz w:val="20"/>
              </w:rPr>
              <w:t>Calibration</w:t>
            </w:r>
          </w:p>
        </w:tc>
        <w:tc>
          <w:tcPr>
            <w:tcW w:w="9360" w:type="dxa"/>
            <w:gridSpan w:val="4"/>
            <w:tcBorders>
              <w:bottom w:val="single" w:sz="6" w:space="0" w:color="auto"/>
              <w:right w:val="nil"/>
            </w:tcBorders>
          </w:tcPr>
          <w:p w:rsidR="003027C7" w:rsidRDefault="003027C7">
            <w:pPr>
              <w:jc w:val="left"/>
              <w:rPr>
                <w:rFonts w:ascii="Arial" w:hAnsi="Arial" w:cs="Arial"/>
                <w:iCs/>
                <w:sz w:val="20"/>
              </w:rPr>
            </w:pPr>
          </w:p>
          <w:p w:rsidR="003027C7" w:rsidRDefault="003027C7">
            <w:pPr>
              <w:numPr>
                <w:ilvl w:val="0"/>
                <w:numId w:val="33"/>
              </w:numPr>
              <w:tabs>
                <w:tab w:val="num" w:pos="1080"/>
              </w:tabs>
              <w:rPr>
                <w:rFonts w:ascii="Arial" w:hAnsi="Arial" w:cs="Arial"/>
                <w:sz w:val="20"/>
              </w:rPr>
            </w:pPr>
            <w:r>
              <w:rPr>
                <w:rFonts w:ascii="Arial" w:hAnsi="Arial" w:cs="Arial"/>
                <w:sz w:val="20"/>
              </w:rPr>
              <w:t>Perform calibration by selecting 3 peer verified proficiency samples of known concentrations that span the reportable range.</w:t>
            </w:r>
          </w:p>
          <w:p w:rsidR="003027C7" w:rsidRDefault="003027C7">
            <w:pPr>
              <w:pStyle w:val="BodyTextIndent"/>
              <w:numPr>
                <w:ilvl w:val="0"/>
                <w:numId w:val="33"/>
              </w:numPr>
              <w:tabs>
                <w:tab w:val="clear" w:pos="-1440"/>
                <w:tab w:val="num" w:pos="1080"/>
              </w:tabs>
              <w:rPr>
                <w:rFonts w:cs="Arial"/>
              </w:rPr>
            </w:pPr>
            <w:r>
              <w:rPr>
                <w:rFonts w:cs="Arial"/>
              </w:rPr>
              <w:t xml:space="preserve">A blank value, or zero, is run on the sample diluent as the first sample. This value is expressed as an absorbance determined by peak height and is subsequently subtracted from each sample analyzed. The calibrators are all run and are plotted as </w:t>
            </w:r>
            <w:proofErr w:type="spellStart"/>
            <w:r>
              <w:rPr>
                <w:rFonts w:cs="Arial"/>
              </w:rPr>
              <w:t>absorbances</w:t>
            </w:r>
            <w:proofErr w:type="spellEnd"/>
            <w:r>
              <w:rPr>
                <w:rFonts w:cs="Arial"/>
              </w:rPr>
              <w:t xml:space="preserve"> on a signal graph. The 3-calibrator set is run every 20 samples. The calibrator is </w:t>
            </w:r>
            <w:proofErr w:type="spellStart"/>
            <w:r>
              <w:rPr>
                <w:rFonts w:cs="Arial"/>
              </w:rPr>
              <w:t>resloped</w:t>
            </w:r>
            <w:proofErr w:type="spellEnd"/>
            <w:r>
              <w:rPr>
                <w:rFonts w:cs="Arial"/>
              </w:rPr>
              <w:t xml:space="preserve"> by running the middle calibrator and checking its absorbance against the original slope every 10 samples. </w:t>
            </w:r>
          </w:p>
          <w:p w:rsidR="003027C7" w:rsidRDefault="003027C7">
            <w:pPr>
              <w:numPr>
                <w:ilvl w:val="0"/>
                <w:numId w:val="34"/>
              </w:numPr>
              <w:rPr>
                <w:rFonts w:ascii="Arial" w:hAnsi="Arial" w:cs="Arial"/>
                <w:sz w:val="20"/>
              </w:rPr>
            </w:pPr>
            <w:r>
              <w:rPr>
                <w:rFonts w:ascii="Arial" w:hAnsi="Arial" w:cs="Arial"/>
                <w:sz w:val="20"/>
              </w:rPr>
              <w:t>Every time a run commences the critical mass is checked for each calibrator. The critical mass (also known as the characteristic mass) is defined as the mass of analyte (in pg.) required to produce an integrated absorbance of 0.0044 seconds, and is calculated using the blank-corrected, integrated absorbance value (Ai) for a standard of known concentration (</w:t>
            </w:r>
            <w:proofErr w:type="spellStart"/>
            <w:r>
              <w:rPr>
                <w:rFonts w:ascii="Arial" w:hAnsi="Arial" w:cs="Arial"/>
                <w:sz w:val="20"/>
              </w:rPr>
              <w:t>ug</w:t>
            </w:r>
            <w:proofErr w:type="spellEnd"/>
            <w:r>
              <w:rPr>
                <w:rFonts w:ascii="Arial" w:hAnsi="Arial" w:cs="Arial"/>
                <w:sz w:val="20"/>
              </w:rPr>
              <w:t>/dL) and the volume injected (</w:t>
            </w:r>
            <w:proofErr w:type="spellStart"/>
            <w:r>
              <w:rPr>
                <w:rFonts w:ascii="Arial" w:hAnsi="Arial" w:cs="Arial"/>
                <w:sz w:val="20"/>
              </w:rPr>
              <w:t>uL</w:t>
            </w:r>
            <w:proofErr w:type="spellEnd"/>
            <w:r>
              <w:rPr>
                <w:rFonts w:ascii="Arial" w:hAnsi="Arial" w:cs="Arial"/>
                <w:sz w:val="20"/>
              </w:rPr>
              <w:t>) into the furnace.</w:t>
            </w:r>
          </w:p>
          <w:p w:rsidR="003027C7" w:rsidRDefault="003027C7">
            <w:pPr>
              <w:rPr>
                <w:rFonts w:ascii="Arial" w:hAnsi="Arial" w:cs="Arial"/>
                <w:b/>
                <w:sz w:val="20"/>
              </w:rPr>
            </w:pPr>
          </w:p>
          <w:p w:rsidR="003027C7" w:rsidRDefault="003027C7">
            <w:pPr>
              <w:rPr>
                <w:rFonts w:ascii="Arial" w:hAnsi="Arial" w:cs="Arial"/>
                <w:sz w:val="20"/>
              </w:rPr>
            </w:pPr>
            <w:r>
              <w:rPr>
                <w:rFonts w:ascii="Arial" w:hAnsi="Arial" w:cs="Arial"/>
                <w:b/>
                <w:sz w:val="20"/>
              </w:rPr>
              <w:t>Analytical Measuring Range for Blood Lead:</w:t>
            </w:r>
            <w:r>
              <w:rPr>
                <w:rFonts w:ascii="Arial" w:hAnsi="Arial" w:cs="Arial"/>
                <w:sz w:val="20"/>
              </w:rPr>
              <w:t xml:space="preserve"> 1-50mcg/dL</w:t>
            </w:r>
          </w:p>
          <w:p w:rsidR="003027C7" w:rsidRDefault="003027C7">
            <w:pPr>
              <w:rPr>
                <w:rFonts w:ascii="Arial" w:hAnsi="Arial" w:cs="Arial"/>
                <w:sz w:val="20"/>
              </w:rPr>
            </w:pPr>
          </w:p>
          <w:p w:rsidR="003027C7" w:rsidRDefault="003027C7">
            <w:pPr>
              <w:rPr>
                <w:rFonts w:ascii="Arial" w:hAnsi="Arial" w:cs="Arial"/>
                <w:sz w:val="20"/>
              </w:rPr>
            </w:pPr>
            <w:r>
              <w:rPr>
                <w:rFonts w:ascii="Arial" w:hAnsi="Arial" w:cs="Arial"/>
                <w:sz w:val="20"/>
              </w:rPr>
              <w:t>Calibration and Analytical measuring range verification are performed in each run using standards that span the reportable range.</w:t>
            </w:r>
          </w:p>
          <w:p w:rsidR="003027C7" w:rsidRDefault="003027C7">
            <w:pPr>
              <w:pStyle w:val="TableText"/>
              <w:autoSpaceDE/>
              <w:autoSpaceDN/>
              <w:rPr>
                <w:rFonts w:ascii="Arial" w:hAnsi="Arial" w:cs="Arial"/>
                <w:iCs/>
              </w:rPr>
            </w:pPr>
          </w:p>
        </w:tc>
      </w:tr>
      <w:tr w:rsidR="003027C7">
        <w:trPr>
          <w:gridAfter w:val="1"/>
          <w:wAfter w:w="78" w:type="dxa"/>
        </w:trPr>
        <w:tc>
          <w:tcPr>
            <w:tcW w:w="1800" w:type="dxa"/>
            <w:tcBorders>
              <w:top w:val="nil"/>
              <w:left w:val="nil"/>
              <w:bottom w:val="nil"/>
            </w:tcBorders>
          </w:tcPr>
          <w:p w:rsidR="003027C7" w:rsidRDefault="003027C7">
            <w:pPr>
              <w:rPr>
                <w:rFonts w:ascii="Arial" w:hAnsi="Arial" w:cs="Arial"/>
                <w:b/>
                <w:bCs/>
                <w:color w:val="0000FF"/>
                <w:sz w:val="20"/>
              </w:rPr>
            </w:pPr>
          </w:p>
          <w:p w:rsidR="003027C7" w:rsidRDefault="003027C7">
            <w:pPr>
              <w:jc w:val="left"/>
              <w:rPr>
                <w:rFonts w:ascii="Arial" w:hAnsi="Arial" w:cs="Arial"/>
                <w:b/>
                <w:bCs/>
                <w:color w:val="0000FF"/>
                <w:sz w:val="20"/>
              </w:rPr>
            </w:pPr>
            <w:r>
              <w:rPr>
                <w:rFonts w:ascii="Arial" w:hAnsi="Arial" w:cs="Arial"/>
                <w:b/>
                <w:bCs/>
                <w:color w:val="0000FF"/>
                <w:sz w:val="20"/>
              </w:rPr>
              <w:t>Quality Control</w:t>
            </w:r>
          </w:p>
          <w:p w:rsidR="003027C7" w:rsidRDefault="003027C7">
            <w:pPr>
              <w:rPr>
                <w:rFonts w:ascii="Arial" w:hAnsi="Arial" w:cs="Arial"/>
                <w:b/>
                <w:bCs/>
                <w:color w:val="0000FF"/>
                <w:sz w:val="20"/>
              </w:rPr>
            </w:pPr>
          </w:p>
        </w:tc>
        <w:tc>
          <w:tcPr>
            <w:tcW w:w="9360" w:type="dxa"/>
            <w:gridSpan w:val="4"/>
            <w:tcBorders>
              <w:bottom w:val="single" w:sz="6" w:space="0" w:color="auto"/>
              <w:right w:val="nil"/>
            </w:tcBorders>
          </w:tcPr>
          <w:p w:rsidR="003027C7" w:rsidRDefault="003027C7">
            <w:pPr>
              <w:jc w:val="left"/>
              <w:rPr>
                <w:rFonts w:ascii="Arial" w:hAnsi="Arial" w:cs="Arial"/>
                <w:iCs/>
                <w:sz w:val="20"/>
              </w:rPr>
            </w:pPr>
          </w:p>
          <w:p w:rsidR="003027C7" w:rsidRDefault="003027C7">
            <w:pPr>
              <w:pStyle w:val="BodyTextIndent"/>
              <w:tabs>
                <w:tab w:val="clear" w:pos="-1440"/>
              </w:tabs>
              <w:ind w:left="0"/>
              <w:rPr>
                <w:rFonts w:cs="Arial"/>
              </w:rPr>
            </w:pPr>
            <w:r>
              <w:rPr>
                <w:rFonts w:cs="Arial"/>
              </w:rPr>
              <w:t>Three levels of assayed whole blood control materials are used to monitor the precision of each run of blood lead analysis within the clinical range.</w:t>
            </w:r>
          </w:p>
          <w:p w:rsidR="003027C7" w:rsidRDefault="003027C7">
            <w:pPr>
              <w:numPr>
                <w:ilvl w:val="0"/>
                <w:numId w:val="42"/>
              </w:numPr>
              <w:rPr>
                <w:rFonts w:ascii="Arial" w:hAnsi="Arial" w:cs="Arial"/>
                <w:sz w:val="20"/>
              </w:rPr>
            </w:pPr>
            <w:r>
              <w:rPr>
                <w:rFonts w:ascii="Arial" w:hAnsi="Arial" w:cs="Arial"/>
                <w:b/>
                <w:bCs/>
                <w:sz w:val="20"/>
              </w:rPr>
              <w:t>Lyphochek Whole Blood Control</w:t>
            </w:r>
            <w:r>
              <w:rPr>
                <w:rFonts w:ascii="Arial" w:hAnsi="Arial" w:cs="Arial"/>
                <w:sz w:val="20"/>
              </w:rPr>
              <w:t xml:space="preserve"> purchased from BIO-RAD is prepared from human whole blood with pure chemicals and preservatives added. </w:t>
            </w:r>
          </w:p>
          <w:p w:rsidR="003027C7" w:rsidRDefault="003027C7">
            <w:pPr>
              <w:numPr>
                <w:ilvl w:val="0"/>
                <w:numId w:val="42"/>
              </w:numPr>
              <w:tabs>
                <w:tab w:val="num" w:pos="1080"/>
              </w:tabs>
              <w:rPr>
                <w:rFonts w:ascii="Arial" w:hAnsi="Arial" w:cs="Arial"/>
                <w:sz w:val="20"/>
              </w:rPr>
            </w:pPr>
            <w:r>
              <w:rPr>
                <w:rFonts w:ascii="Arial" w:hAnsi="Arial" w:cs="Arial"/>
                <w:b/>
                <w:bCs/>
                <w:sz w:val="20"/>
              </w:rPr>
              <w:t>Storage and Stability</w:t>
            </w:r>
            <w:r>
              <w:rPr>
                <w:rFonts w:ascii="Arial" w:hAnsi="Arial" w:cs="Arial"/>
                <w:sz w:val="20"/>
              </w:rPr>
              <w:t xml:space="preserve">: Lyphochek Whole Blood Control will be stable until the expiration date when stored unopened @ 2-8 </w:t>
            </w:r>
            <w:r>
              <w:rPr>
                <w:rFonts w:ascii="Arial" w:hAnsi="Arial" w:cs="Arial"/>
                <w:sz w:val="20"/>
              </w:rPr>
              <w:sym w:font="Symbol" w:char="F0B0"/>
            </w:r>
            <w:r>
              <w:rPr>
                <w:rFonts w:ascii="Arial" w:hAnsi="Arial" w:cs="Arial"/>
                <w:sz w:val="20"/>
              </w:rPr>
              <w:t xml:space="preserve">C. Once the control is reconstituted blood lead control vials are stable @ 2-8 </w:t>
            </w:r>
            <w:r>
              <w:rPr>
                <w:rFonts w:ascii="Arial" w:hAnsi="Arial" w:cs="Arial"/>
                <w:sz w:val="20"/>
              </w:rPr>
              <w:sym w:font="Symbol" w:char="F0B0"/>
            </w:r>
            <w:r>
              <w:rPr>
                <w:rFonts w:ascii="Arial" w:hAnsi="Arial" w:cs="Arial"/>
                <w:sz w:val="20"/>
              </w:rPr>
              <w:t xml:space="preserve">C for 14 days, or @ -10 to –20 </w:t>
            </w:r>
            <w:r>
              <w:rPr>
                <w:rFonts w:ascii="Arial" w:hAnsi="Arial" w:cs="Arial"/>
                <w:sz w:val="20"/>
              </w:rPr>
              <w:sym w:font="Symbol" w:char="F0B0"/>
            </w:r>
            <w:r>
              <w:rPr>
                <w:rFonts w:ascii="Arial" w:hAnsi="Arial" w:cs="Arial"/>
                <w:sz w:val="20"/>
              </w:rPr>
              <w:t>C for 30 days.</w:t>
            </w:r>
          </w:p>
          <w:p w:rsidR="003027C7" w:rsidRDefault="003027C7">
            <w:pPr>
              <w:numPr>
                <w:ilvl w:val="0"/>
                <w:numId w:val="42"/>
              </w:numPr>
              <w:tabs>
                <w:tab w:val="num" w:pos="1080"/>
              </w:tabs>
              <w:rPr>
                <w:rFonts w:ascii="Arial" w:hAnsi="Arial" w:cs="Arial"/>
                <w:sz w:val="20"/>
              </w:rPr>
            </w:pPr>
            <w:r>
              <w:rPr>
                <w:rFonts w:ascii="Arial" w:hAnsi="Arial" w:cs="Arial"/>
                <w:b/>
                <w:bCs/>
                <w:sz w:val="20"/>
              </w:rPr>
              <w:t>Preparation</w:t>
            </w:r>
            <w:r>
              <w:rPr>
                <w:rFonts w:ascii="Arial" w:hAnsi="Arial" w:cs="Arial"/>
                <w:sz w:val="20"/>
              </w:rPr>
              <w:t>: Reconstitute each vial with 2mLs reagent grade water. Replace the stopper, and allow the control to stand for at least 20 minutes, swirling occasionally. Before sampling, gently swirl the vials to ensure homogeneity.</w:t>
            </w:r>
          </w:p>
          <w:p w:rsidR="003027C7" w:rsidRDefault="003027C7">
            <w:pPr>
              <w:numPr>
                <w:ilvl w:val="0"/>
                <w:numId w:val="42"/>
              </w:numPr>
              <w:tabs>
                <w:tab w:val="num" w:pos="1080"/>
              </w:tabs>
              <w:rPr>
                <w:rFonts w:ascii="Arial" w:hAnsi="Arial" w:cs="Arial"/>
                <w:sz w:val="20"/>
              </w:rPr>
            </w:pPr>
            <w:r>
              <w:rPr>
                <w:rFonts w:ascii="Arial" w:hAnsi="Arial" w:cs="Arial"/>
                <w:b/>
                <w:bCs/>
                <w:sz w:val="20"/>
              </w:rPr>
              <w:t>Sunquest control names</w:t>
            </w:r>
            <w:r>
              <w:rPr>
                <w:rFonts w:ascii="Arial" w:hAnsi="Arial" w:cs="Arial"/>
                <w:sz w:val="20"/>
              </w:rPr>
              <w:t xml:space="preserve">: </w:t>
            </w:r>
          </w:p>
          <w:p w:rsidR="003027C7" w:rsidRDefault="003027C7">
            <w:pPr>
              <w:numPr>
                <w:ilvl w:val="1"/>
                <w:numId w:val="42"/>
              </w:numPr>
              <w:rPr>
                <w:rFonts w:ascii="Arial" w:hAnsi="Arial" w:cs="Arial"/>
                <w:sz w:val="20"/>
              </w:rPr>
            </w:pPr>
            <w:r>
              <w:rPr>
                <w:rFonts w:ascii="Arial" w:hAnsi="Arial" w:cs="Arial"/>
                <w:sz w:val="20"/>
              </w:rPr>
              <w:t>C-LO is the level 1 control</w:t>
            </w:r>
          </w:p>
          <w:p w:rsidR="003027C7" w:rsidRDefault="003027C7">
            <w:pPr>
              <w:numPr>
                <w:ilvl w:val="1"/>
                <w:numId w:val="42"/>
              </w:numPr>
              <w:rPr>
                <w:rFonts w:ascii="Arial" w:hAnsi="Arial" w:cs="Arial"/>
                <w:sz w:val="20"/>
              </w:rPr>
            </w:pPr>
            <w:r>
              <w:rPr>
                <w:rFonts w:ascii="Arial" w:hAnsi="Arial" w:cs="Arial"/>
                <w:sz w:val="20"/>
              </w:rPr>
              <w:t>C-MEDC is the level 2 control</w:t>
            </w:r>
          </w:p>
          <w:p w:rsidR="003027C7" w:rsidRDefault="003027C7">
            <w:pPr>
              <w:numPr>
                <w:ilvl w:val="1"/>
                <w:numId w:val="42"/>
              </w:numPr>
              <w:rPr>
                <w:rFonts w:ascii="Arial" w:hAnsi="Arial" w:cs="Arial"/>
                <w:sz w:val="20"/>
              </w:rPr>
            </w:pPr>
            <w:r>
              <w:rPr>
                <w:rFonts w:ascii="Arial" w:hAnsi="Arial" w:cs="Arial"/>
                <w:sz w:val="20"/>
              </w:rPr>
              <w:t>C-HI is the level 3 control</w:t>
            </w:r>
          </w:p>
          <w:p w:rsidR="003027C7" w:rsidRDefault="003027C7">
            <w:pPr>
              <w:rPr>
                <w:rFonts w:ascii="Arial" w:hAnsi="Arial" w:cs="Arial"/>
                <w:sz w:val="20"/>
              </w:rPr>
            </w:pPr>
          </w:p>
          <w:p w:rsidR="003027C7" w:rsidRDefault="003027C7">
            <w:pPr>
              <w:pStyle w:val="BodyTextIndent2"/>
              <w:ind w:left="0"/>
              <w:rPr>
                <w:rFonts w:cs="Arial"/>
              </w:rPr>
            </w:pPr>
            <w:r>
              <w:rPr>
                <w:rFonts w:cs="Arial"/>
              </w:rPr>
              <w:t>The controls are assayed and evaluated the same as patient samples. Enter results into Sunquest and answer QC failures with action comments. For more information on entering, evaluating, and accepting QC results, refer to the Quality Control in Chemistry procedure.</w:t>
            </w:r>
          </w:p>
          <w:p w:rsidR="003027C7" w:rsidRDefault="003027C7">
            <w:pPr>
              <w:jc w:val="left"/>
              <w:rPr>
                <w:rFonts w:ascii="Arial" w:hAnsi="Arial" w:cs="Arial"/>
                <w:iCs/>
                <w:sz w:val="20"/>
              </w:rPr>
            </w:pPr>
          </w:p>
        </w:tc>
      </w:tr>
      <w:tr w:rsidR="00302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Height w:val="998"/>
        </w:trPr>
        <w:tc>
          <w:tcPr>
            <w:tcW w:w="1800" w:type="dxa"/>
            <w:tcBorders>
              <w:top w:val="nil"/>
              <w:left w:val="nil"/>
              <w:bottom w:val="nil"/>
              <w:right w:val="nil"/>
            </w:tcBorders>
          </w:tcPr>
          <w:p w:rsidR="003027C7" w:rsidRDefault="003027C7">
            <w:pPr>
              <w:rPr>
                <w:rFonts w:ascii="Arial" w:hAnsi="Arial" w:cs="Arial"/>
                <w:b/>
                <w:bCs/>
                <w:color w:val="0000FF"/>
                <w:sz w:val="20"/>
              </w:rPr>
            </w:pPr>
          </w:p>
          <w:p w:rsidR="003027C7" w:rsidRDefault="003027C7">
            <w:pPr>
              <w:jc w:val="left"/>
              <w:rPr>
                <w:rFonts w:ascii="Arial" w:hAnsi="Arial" w:cs="Arial"/>
                <w:b/>
                <w:bCs/>
                <w:color w:val="0000FF"/>
                <w:sz w:val="20"/>
              </w:rPr>
            </w:pPr>
            <w:r>
              <w:rPr>
                <w:rFonts w:ascii="Arial" w:hAnsi="Arial" w:cs="Arial"/>
                <w:b/>
                <w:bCs/>
                <w:color w:val="0000FF"/>
                <w:sz w:val="20"/>
              </w:rPr>
              <w:t>Calculations</w:t>
            </w:r>
          </w:p>
          <w:p w:rsidR="003027C7" w:rsidRDefault="003027C7">
            <w:pPr>
              <w:rPr>
                <w:rFonts w:ascii="Arial" w:hAnsi="Arial" w:cs="Arial"/>
                <w:b/>
                <w:bCs/>
                <w:color w:val="0000FF"/>
                <w:sz w:val="20"/>
              </w:rPr>
            </w:pPr>
          </w:p>
        </w:tc>
        <w:tc>
          <w:tcPr>
            <w:tcW w:w="9360" w:type="dxa"/>
            <w:gridSpan w:val="4"/>
            <w:tcBorders>
              <w:top w:val="single" w:sz="4" w:space="0" w:color="auto"/>
              <w:left w:val="nil"/>
              <w:bottom w:val="single" w:sz="4" w:space="0" w:color="auto"/>
              <w:right w:val="nil"/>
            </w:tcBorders>
          </w:tcPr>
          <w:p w:rsidR="003027C7" w:rsidRPr="009D00D1" w:rsidRDefault="003027C7">
            <w:pPr>
              <w:jc w:val="left"/>
              <w:rPr>
                <w:rFonts w:ascii="Arial" w:hAnsi="Arial" w:cs="Arial"/>
                <w:iCs/>
                <w:sz w:val="20"/>
              </w:rPr>
            </w:pPr>
          </w:p>
          <w:p w:rsidR="003027C7" w:rsidRPr="009D00D1" w:rsidRDefault="003027C7" w:rsidP="003027C7">
            <w:pPr>
              <w:jc w:val="left"/>
              <w:rPr>
                <w:rFonts w:ascii="Arial" w:hAnsi="Arial" w:cs="Arial"/>
                <w:sz w:val="20"/>
                <w:u w:val="single"/>
              </w:rPr>
            </w:pPr>
            <w:r w:rsidRPr="009D00D1">
              <w:rPr>
                <w:rFonts w:ascii="Arial" w:hAnsi="Arial" w:cs="Arial"/>
                <w:b/>
                <w:bCs/>
                <w:sz w:val="20"/>
              </w:rPr>
              <w:t>Characteristic/Critical Mass:</w:t>
            </w:r>
            <w:r w:rsidRPr="009D00D1">
              <w:rPr>
                <w:rFonts w:ascii="Arial" w:hAnsi="Arial" w:cs="Arial"/>
                <w:sz w:val="20"/>
              </w:rPr>
              <w:t xml:space="preserve"> = </w:t>
            </w:r>
            <w:r w:rsidRPr="009D00D1">
              <w:rPr>
                <w:rFonts w:ascii="Arial" w:hAnsi="Arial" w:cs="Arial"/>
                <w:sz w:val="20"/>
                <w:u w:val="single"/>
              </w:rPr>
              <w:t xml:space="preserve">concentration in </w:t>
            </w:r>
            <w:proofErr w:type="spellStart"/>
            <w:r w:rsidRPr="009D00D1">
              <w:rPr>
                <w:rFonts w:ascii="Arial" w:hAnsi="Arial" w:cs="Arial"/>
                <w:sz w:val="20"/>
                <w:u w:val="single"/>
              </w:rPr>
              <w:t>ug</w:t>
            </w:r>
            <w:proofErr w:type="spellEnd"/>
            <w:r w:rsidRPr="009D00D1">
              <w:rPr>
                <w:rFonts w:ascii="Arial" w:hAnsi="Arial" w:cs="Arial"/>
                <w:sz w:val="20"/>
                <w:u w:val="single"/>
              </w:rPr>
              <w:t xml:space="preserve">/dL x  volume in </w:t>
            </w:r>
            <w:proofErr w:type="spellStart"/>
            <w:r w:rsidRPr="009D00D1">
              <w:rPr>
                <w:rFonts w:ascii="Arial" w:hAnsi="Arial" w:cs="Arial"/>
                <w:sz w:val="20"/>
                <w:u w:val="single"/>
              </w:rPr>
              <w:t>uL</w:t>
            </w:r>
            <w:proofErr w:type="spellEnd"/>
            <w:r w:rsidRPr="009D00D1">
              <w:rPr>
                <w:rFonts w:ascii="Arial" w:hAnsi="Arial" w:cs="Arial"/>
                <w:sz w:val="20"/>
                <w:u w:val="single"/>
              </w:rPr>
              <w:t xml:space="preserve"> (15) x  0.0044</w:t>
            </w:r>
          </w:p>
          <w:p w:rsidR="003027C7" w:rsidRPr="009D00D1" w:rsidRDefault="003027C7" w:rsidP="003027C7">
            <w:pPr>
              <w:tabs>
                <w:tab w:val="left" w:pos="3560"/>
                <w:tab w:val="center" w:pos="4572"/>
              </w:tabs>
              <w:ind w:left="2880"/>
              <w:jc w:val="left"/>
              <w:rPr>
                <w:rFonts w:ascii="Arial" w:hAnsi="Arial" w:cs="Arial"/>
                <w:b/>
                <w:bCs/>
                <w:sz w:val="20"/>
              </w:rPr>
            </w:pPr>
            <w:r w:rsidRPr="009D00D1">
              <w:rPr>
                <w:rFonts w:ascii="Arial" w:hAnsi="Arial"/>
                <w:sz w:val="20"/>
              </w:rPr>
              <w:tab/>
            </w:r>
            <w:r w:rsidRPr="009D00D1">
              <w:rPr>
                <w:rFonts w:ascii="Arial" w:hAnsi="Arial"/>
                <w:sz w:val="20"/>
              </w:rPr>
              <w:tab/>
              <w:t>Integrated absorbance</w:t>
            </w:r>
            <w:r w:rsidRPr="009D00D1">
              <w:rPr>
                <w:rFonts w:ascii="Arial" w:hAnsi="Arial"/>
                <w:sz w:val="20"/>
              </w:rPr>
              <w:br/>
            </w:r>
          </w:p>
        </w:tc>
      </w:tr>
      <w:tr w:rsidR="00302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cantSplit/>
        </w:trPr>
        <w:tc>
          <w:tcPr>
            <w:tcW w:w="1800" w:type="dxa"/>
            <w:tcBorders>
              <w:top w:val="nil"/>
              <w:left w:val="nil"/>
              <w:bottom w:val="nil"/>
              <w:right w:val="nil"/>
            </w:tcBorders>
          </w:tcPr>
          <w:p w:rsidR="003027C7" w:rsidRDefault="003027C7">
            <w:pPr>
              <w:rPr>
                <w:rFonts w:ascii="Arial" w:hAnsi="Arial" w:cs="Arial"/>
                <w:b/>
                <w:bCs/>
                <w:color w:val="0000FF"/>
                <w:sz w:val="20"/>
              </w:rPr>
            </w:pPr>
            <w:r>
              <w:rPr>
                <w:rFonts w:ascii="Arial" w:hAnsi="Arial" w:cs="Arial"/>
                <w:b/>
                <w:bCs/>
                <w:color w:val="0000FF"/>
                <w:sz w:val="20"/>
              </w:rPr>
              <w:br w:type="page"/>
            </w:r>
          </w:p>
          <w:p w:rsidR="003027C7" w:rsidRDefault="003027C7">
            <w:pPr>
              <w:jc w:val="left"/>
              <w:rPr>
                <w:rFonts w:ascii="Arial" w:hAnsi="Arial" w:cs="Arial"/>
                <w:b/>
                <w:bCs/>
                <w:color w:val="0000FF"/>
                <w:sz w:val="20"/>
              </w:rPr>
            </w:pPr>
            <w:r>
              <w:rPr>
                <w:rFonts w:ascii="Arial" w:hAnsi="Arial" w:cs="Arial"/>
                <w:b/>
                <w:bCs/>
                <w:color w:val="0000FF"/>
                <w:sz w:val="20"/>
              </w:rPr>
              <w:t>Reference Range</w:t>
            </w:r>
          </w:p>
          <w:p w:rsidR="003027C7" w:rsidRDefault="003027C7">
            <w:pPr>
              <w:rPr>
                <w:rFonts w:ascii="Arial" w:hAnsi="Arial" w:cs="Arial"/>
                <w:b/>
                <w:bCs/>
                <w:color w:val="0000FF"/>
                <w:sz w:val="20"/>
              </w:rPr>
            </w:pPr>
          </w:p>
        </w:tc>
        <w:tc>
          <w:tcPr>
            <w:tcW w:w="9360" w:type="dxa"/>
            <w:gridSpan w:val="4"/>
            <w:tcBorders>
              <w:top w:val="single" w:sz="4" w:space="0" w:color="auto"/>
              <w:left w:val="nil"/>
              <w:bottom w:val="nil"/>
              <w:right w:val="nil"/>
            </w:tcBorders>
          </w:tcPr>
          <w:p w:rsidR="003027C7" w:rsidRDefault="003027C7" w:rsidP="003027C7">
            <w:pPr>
              <w:rPr>
                <w:rFonts w:ascii="Arial" w:hAnsi="Arial" w:cs="Arial"/>
                <w:sz w:val="20"/>
              </w:rPr>
            </w:pPr>
          </w:p>
          <w:p w:rsidR="003027C7" w:rsidRDefault="003027C7" w:rsidP="003027C7">
            <w:pPr>
              <w:rPr>
                <w:rFonts w:ascii="Arial" w:hAnsi="Arial" w:cs="Arial"/>
                <w:sz w:val="20"/>
              </w:rPr>
            </w:pPr>
            <w:r>
              <w:rPr>
                <w:rFonts w:ascii="Arial" w:hAnsi="Arial" w:cs="Arial"/>
                <w:sz w:val="20"/>
              </w:rPr>
              <w:t>&lt;5 mcg/dL</w:t>
            </w:r>
          </w:p>
          <w:p w:rsidR="003027C7" w:rsidRDefault="003027C7" w:rsidP="003027C7">
            <w:pPr>
              <w:rPr>
                <w:rFonts w:ascii="Arial" w:hAnsi="Arial" w:cs="Arial"/>
                <w:sz w:val="20"/>
              </w:rPr>
            </w:pPr>
          </w:p>
          <w:p w:rsidR="003027C7" w:rsidRDefault="003027C7" w:rsidP="003027C7">
            <w:pPr>
              <w:rPr>
                <w:rFonts w:ascii="Arial" w:hAnsi="Arial" w:cs="Arial"/>
                <w:iCs/>
                <w:sz w:val="20"/>
              </w:rPr>
            </w:pPr>
            <w:r>
              <w:rPr>
                <w:rFonts w:ascii="Arial" w:hAnsi="Arial" w:cs="Arial"/>
                <w:sz w:val="20"/>
              </w:rPr>
              <w:t xml:space="preserve">Since the environment introduces blood lead concentrations in humans, there is no normal or even “safe” level. This </w:t>
            </w:r>
            <w:r>
              <w:rPr>
                <w:rFonts w:ascii="Arial" w:hAnsi="Arial" w:cs="Arial"/>
                <w:sz w:val="20"/>
                <w:szCs w:val="23"/>
              </w:rPr>
              <w:t xml:space="preserve">reference value is based on the 97.5th percentile of the BLL distribution among children 1–5 years old in the United States </w:t>
            </w:r>
            <w:proofErr w:type="gramStart"/>
            <w:r>
              <w:rPr>
                <w:rFonts w:ascii="Arial" w:hAnsi="Arial" w:cs="Arial"/>
                <w:sz w:val="20"/>
                <w:szCs w:val="23"/>
              </w:rPr>
              <w:t xml:space="preserve">(currently 5 </w:t>
            </w:r>
            <w:proofErr w:type="spellStart"/>
            <w:r>
              <w:rPr>
                <w:rFonts w:ascii="Arial" w:hAnsi="Arial" w:cs="Arial"/>
                <w:sz w:val="20"/>
                <w:szCs w:val="23"/>
              </w:rPr>
              <w:t>μg</w:t>
            </w:r>
            <w:proofErr w:type="spellEnd"/>
            <w:r>
              <w:rPr>
                <w:rFonts w:ascii="Arial" w:hAnsi="Arial" w:cs="Arial"/>
                <w:sz w:val="20"/>
                <w:szCs w:val="23"/>
              </w:rPr>
              <w:t>/dL)</w:t>
            </w:r>
            <w:proofErr w:type="gramEnd"/>
            <w:r>
              <w:rPr>
                <w:rFonts w:ascii="Arial" w:hAnsi="Arial" w:cs="Arial"/>
                <w:sz w:val="20"/>
                <w:szCs w:val="23"/>
              </w:rPr>
              <w:t xml:space="preserve"> using data generated by the National Health and Nutrition Examination Survey (NHANES).</w:t>
            </w:r>
          </w:p>
          <w:p w:rsidR="003027C7" w:rsidRDefault="003027C7" w:rsidP="003027C7">
            <w:pPr>
              <w:rPr>
                <w:rFonts w:ascii="Arial" w:hAnsi="Arial" w:cs="Arial"/>
                <w:b/>
                <w:bCs/>
                <w:iCs/>
                <w:sz w:val="20"/>
              </w:rPr>
            </w:pPr>
          </w:p>
          <w:p w:rsidR="003027C7" w:rsidRDefault="003027C7" w:rsidP="003027C7">
            <w:pPr>
              <w:rPr>
                <w:rFonts w:ascii="Arial" w:hAnsi="Arial" w:cs="Arial"/>
                <w:sz w:val="20"/>
              </w:rPr>
            </w:pPr>
            <w:r>
              <w:rPr>
                <w:rFonts w:ascii="Arial" w:hAnsi="Arial" w:cs="Arial"/>
                <w:sz w:val="20"/>
              </w:rPr>
              <w:t>CDC will update the reference value every four years using the two most recent NHANES surveys</w:t>
            </w:r>
          </w:p>
          <w:p w:rsidR="003027C7" w:rsidRDefault="003027C7" w:rsidP="003027C7">
            <w:pPr>
              <w:rPr>
                <w:rFonts w:ascii="Arial" w:hAnsi="Arial" w:cs="Arial"/>
                <w:sz w:val="20"/>
              </w:rPr>
            </w:pPr>
          </w:p>
          <w:p w:rsidR="003027C7" w:rsidRDefault="003027C7" w:rsidP="003027C7">
            <w:pPr>
              <w:rPr>
                <w:rFonts w:ascii="Arial" w:hAnsi="Arial" w:cs="Arial"/>
                <w:sz w:val="20"/>
                <w:szCs w:val="23"/>
              </w:rPr>
            </w:pPr>
            <w:r>
              <w:rPr>
                <w:rFonts w:ascii="Arial" w:hAnsi="Arial" w:cs="Arial"/>
                <w:sz w:val="20"/>
                <w:szCs w:val="23"/>
              </w:rPr>
              <w:t xml:space="preserve">The intent of the new reference range is to shift the focus to </w:t>
            </w:r>
            <w:r>
              <w:rPr>
                <w:rStyle w:val="Emphasis"/>
                <w:rFonts w:ascii="Arial" w:hAnsi="Arial" w:cs="Arial"/>
                <w:sz w:val="20"/>
                <w:szCs w:val="23"/>
              </w:rPr>
              <w:t>primary prevention</w:t>
            </w:r>
            <w:r>
              <w:rPr>
                <w:rFonts w:ascii="Arial" w:hAnsi="Arial" w:cs="Arial"/>
                <w:sz w:val="20"/>
                <w:szCs w:val="23"/>
              </w:rPr>
              <w:t xml:space="preserve"> of lead exposure, by reducing or eliminating dangerous lead sources in children’s environments </w:t>
            </w:r>
            <w:r>
              <w:rPr>
                <w:rFonts w:ascii="Arial" w:hAnsi="Arial" w:cs="Arial"/>
                <w:i/>
                <w:iCs/>
                <w:sz w:val="20"/>
                <w:szCs w:val="23"/>
              </w:rPr>
              <w:t>before</w:t>
            </w:r>
            <w:r>
              <w:rPr>
                <w:rFonts w:ascii="Arial" w:hAnsi="Arial" w:cs="Arial"/>
                <w:sz w:val="20"/>
                <w:szCs w:val="23"/>
              </w:rPr>
              <w:t xml:space="preserve"> they are exposed</w:t>
            </w:r>
          </w:p>
          <w:p w:rsidR="003027C7" w:rsidRDefault="003027C7" w:rsidP="003027C7">
            <w:pPr>
              <w:rPr>
                <w:rFonts w:ascii="Arial" w:hAnsi="Arial" w:cs="Arial"/>
                <w:sz w:val="20"/>
                <w:szCs w:val="23"/>
              </w:rPr>
            </w:pPr>
          </w:p>
          <w:p w:rsidR="003027C7" w:rsidRDefault="003027C7" w:rsidP="003027C7">
            <w:pPr>
              <w:rPr>
                <w:rFonts w:ascii="Arial" w:hAnsi="Arial" w:cs="Arial"/>
                <w:sz w:val="20"/>
                <w:szCs w:val="23"/>
              </w:rPr>
            </w:pPr>
            <w:r>
              <w:rPr>
                <w:rFonts w:ascii="Arial" w:hAnsi="Arial" w:cs="Arial"/>
                <w:sz w:val="20"/>
                <w:szCs w:val="23"/>
              </w:rPr>
              <w:t>Experts recommend chelation therapy when a child has a test result of greater than or equal to 45 micrograms per deciliter of lead in blood</w:t>
            </w:r>
          </w:p>
          <w:p w:rsidR="003027C7" w:rsidRDefault="003027C7" w:rsidP="003027C7">
            <w:pPr>
              <w:pStyle w:val="Heading2"/>
              <w:numPr>
                <w:ilvl w:val="0"/>
                <w:numId w:val="0"/>
              </w:numPr>
              <w:ind w:left="576" w:hanging="576"/>
              <w:rPr>
                <w:rFonts w:ascii="Arial" w:hAnsi="Arial"/>
                <w:sz w:val="20"/>
              </w:rPr>
            </w:pPr>
          </w:p>
        </w:tc>
      </w:tr>
      <w:tr w:rsidR="003027C7" w:rsidRPr="000535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Height w:val="521"/>
        </w:trPr>
        <w:tc>
          <w:tcPr>
            <w:tcW w:w="1800" w:type="dxa"/>
            <w:tcBorders>
              <w:top w:val="nil"/>
              <w:left w:val="nil"/>
              <w:bottom w:val="nil"/>
              <w:right w:val="nil"/>
            </w:tcBorders>
            <w:vAlign w:val="center"/>
          </w:tcPr>
          <w:p w:rsidR="003027C7" w:rsidRPr="00CB0666" w:rsidRDefault="003027C7" w:rsidP="003027C7">
            <w:pPr>
              <w:jc w:val="left"/>
              <w:rPr>
                <w:rFonts w:ascii="Arial" w:hAnsi="Arial" w:cs="Arial"/>
                <w:b/>
                <w:bCs/>
                <w:color w:val="0000FF"/>
                <w:sz w:val="20"/>
              </w:rPr>
            </w:pPr>
            <w:r w:rsidRPr="0005350E">
              <w:rPr>
                <w:rFonts w:ascii="Arial" w:hAnsi="Arial" w:cs="Arial"/>
                <w:b/>
                <w:bCs/>
                <w:color w:val="0000FF"/>
                <w:sz w:val="20"/>
              </w:rPr>
              <w:lastRenderedPageBreak/>
              <w:t>Critical Values</w:t>
            </w:r>
          </w:p>
        </w:tc>
        <w:tc>
          <w:tcPr>
            <w:tcW w:w="9360" w:type="dxa"/>
            <w:gridSpan w:val="4"/>
            <w:tcBorders>
              <w:top w:val="single" w:sz="4" w:space="0" w:color="auto"/>
              <w:left w:val="nil"/>
              <w:bottom w:val="single" w:sz="4" w:space="0" w:color="auto"/>
              <w:right w:val="nil"/>
            </w:tcBorders>
            <w:vAlign w:val="center"/>
          </w:tcPr>
          <w:p w:rsidR="003027C7" w:rsidRPr="00CB0666" w:rsidRDefault="003027C7" w:rsidP="003027C7">
            <w:pPr>
              <w:pStyle w:val="Heading2"/>
              <w:numPr>
                <w:ilvl w:val="0"/>
                <w:numId w:val="0"/>
              </w:numPr>
              <w:ind w:left="576" w:hanging="576"/>
              <w:jc w:val="left"/>
              <w:rPr>
                <w:rFonts w:ascii="Arial" w:hAnsi="Arial"/>
                <w:b w:val="0"/>
                <w:bCs w:val="0"/>
                <w:sz w:val="20"/>
              </w:rPr>
            </w:pPr>
            <w:r w:rsidRPr="0005350E">
              <w:rPr>
                <w:rFonts w:ascii="Arial" w:hAnsi="Arial"/>
                <w:sz w:val="20"/>
              </w:rPr>
              <w:t>&gt;30 mcg/dL,</w:t>
            </w:r>
            <w:r w:rsidRPr="0005350E">
              <w:rPr>
                <w:rFonts w:ascii="Arial" w:hAnsi="Arial"/>
                <w:b w:val="0"/>
                <w:bCs w:val="0"/>
                <w:sz w:val="20"/>
              </w:rPr>
              <w:t xml:space="preserve"> </w:t>
            </w:r>
            <w:r w:rsidRPr="0005350E">
              <w:rPr>
                <w:rFonts w:ascii="Arial" w:hAnsi="Arial"/>
                <w:b w:val="0"/>
                <w:sz w:val="20"/>
              </w:rPr>
              <w:t>Call Critical values according to Children’s Laboratory Critical Results Policies.</w:t>
            </w:r>
          </w:p>
        </w:tc>
      </w:tr>
      <w:tr w:rsidR="00302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Height w:val="2105"/>
        </w:trPr>
        <w:tc>
          <w:tcPr>
            <w:tcW w:w="1800" w:type="dxa"/>
            <w:tcBorders>
              <w:top w:val="nil"/>
              <w:left w:val="nil"/>
              <w:bottom w:val="nil"/>
              <w:right w:val="nil"/>
            </w:tcBorders>
          </w:tcPr>
          <w:p w:rsidR="003027C7" w:rsidRDefault="003027C7">
            <w:pPr>
              <w:rPr>
                <w:rFonts w:ascii="Arial" w:hAnsi="Arial" w:cs="Arial"/>
                <w:b/>
                <w:bCs/>
                <w:color w:val="0000FF"/>
                <w:sz w:val="20"/>
              </w:rPr>
            </w:pPr>
          </w:p>
          <w:p w:rsidR="003027C7" w:rsidRDefault="003027C7">
            <w:pPr>
              <w:jc w:val="left"/>
              <w:rPr>
                <w:rFonts w:ascii="Arial" w:hAnsi="Arial" w:cs="Arial"/>
                <w:b/>
                <w:bCs/>
                <w:color w:val="0000FF"/>
                <w:sz w:val="20"/>
              </w:rPr>
            </w:pPr>
            <w:r>
              <w:rPr>
                <w:rFonts w:ascii="Arial" w:hAnsi="Arial" w:cs="Arial"/>
                <w:b/>
                <w:bCs/>
                <w:color w:val="0000FF"/>
                <w:sz w:val="20"/>
              </w:rPr>
              <w:t>Dilutions</w:t>
            </w:r>
          </w:p>
        </w:tc>
        <w:tc>
          <w:tcPr>
            <w:tcW w:w="9360" w:type="dxa"/>
            <w:gridSpan w:val="4"/>
            <w:tcBorders>
              <w:top w:val="single" w:sz="4" w:space="0" w:color="auto"/>
              <w:left w:val="nil"/>
              <w:bottom w:val="single" w:sz="4" w:space="0" w:color="auto"/>
              <w:right w:val="nil"/>
            </w:tcBorders>
            <w:vAlign w:val="center"/>
          </w:tcPr>
          <w:p w:rsidR="003027C7" w:rsidRDefault="003027C7" w:rsidP="003027C7">
            <w:pPr>
              <w:pStyle w:val="BodyTextIndent"/>
              <w:tabs>
                <w:tab w:val="clear" w:pos="-1440"/>
              </w:tabs>
              <w:ind w:left="0"/>
              <w:rPr>
                <w:rFonts w:cs="Arial"/>
              </w:rPr>
            </w:pPr>
            <w:r>
              <w:rPr>
                <w:rFonts w:cs="Arial"/>
              </w:rPr>
              <w:t>Blood lead results greater than the highest standard must be diluted to bring the result into the reportable range.</w:t>
            </w:r>
            <w:r w:rsidR="00A919B2">
              <w:rPr>
                <w:rFonts w:cs="Arial"/>
              </w:rPr>
              <w:t xml:space="preserve">  Maximum Dilution: 1:3</w:t>
            </w:r>
          </w:p>
          <w:p w:rsidR="003027C7" w:rsidRDefault="003027C7" w:rsidP="003027C7">
            <w:pPr>
              <w:tabs>
                <w:tab w:val="left" w:pos="1810"/>
              </w:tabs>
              <w:jc w:val="left"/>
              <w:rPr>
                <w:rFonts w:ascii="Arial" w:hAnsi="Arial" w:cs="Arial"/>
                <w:sz w:val="20"/>
              </w:rPr>
            </w:pPr>
            <w:r>
              <w:rPr>
                <w:rFonts w:ascii="Arial" w:hAnsi="Arial" w:cs="Arial"/>
                <w:sz w:val="20"/>
              </w:rPr>
              <w:tab/>
            </w:r>
          </w:p>
          <w:p w:rsidR="003027C7" w:rsidRDefault="003027C7" w:rsidP="003027C7">
            <w:pPr>
              <w:numPr>
                <w:ilvl w:val="0"/>
                <w:numId w:val="39"/>
              </w:numPr>
              <w:jc w:val="left"/>
              <w:rPr>
                <w:rFonts w:ascii="Arial" w:hAnsi="Arial" w:cs="Arial"/>
                <w:sz w:val="20"/>
              </w:rPr>
            </w:pPr>
            <w:r>
              <w:rPr>
                <w:rFonts w:ascii="Arial" w:hAnsi="Arial" w:cs="Arial"/>
                <w:sz w:val="20"/>
              </w:rPr>
              <w:t xml:space="preserve">Do not use the auto-sampler dilution to report patient </w:t>
            </w:r>
            <w:proofErr w:type="spellStart"/>
            <w:r>
              <w:rPr>
                <w:rFonts w:ascii="Arial" w:hAnsi="Arial" w:cs="Arial"/>
                <w:sz w:val="20"/>
              </w:rPr>
              <w:t>resutls</w:t>
            </w:r>
            <w:proofErr w:type="spellEnd"/>
          </w:p>
          <w:p w:rsidR="003027C7" w:rsidRDefault="003027C7" w:rsidP="003027C7">
            <w:pPr>
              <w:numPr>
                <w:ilvl w:val="0"/>
                <w:numId w:val="39"/>
              </w:numPr>
              <w:jc w:val="left"/>
              <w:rPr>
                <w:rFonts w:ascii="Arial" w:hAnsi="Arial" w:cs="Arial"/>
                <w:sz w:val="20"/>
              </w:rPr>
            </w:pPr>
            <w:r>
              <w:rPr>
                <w:rFonts w:ascii="Arial" w:hAnsi="Arial" w:cs="Arial"/>
                <w:sz w:val="20"/>
              </w:rPr>
              <w:t xml:space="preserve">Make a new dilution of the blood lead specimen. </w:t>
            </w:r>
          </w:p>
          <w:p w:rsidR="003027C7" w:rsidRDefault="003027C7" w:rsidP="003027C7">
            <w:pPr>
              <w:numPr>
                <w:ilvl w:val="0"/>
                <w:numId w:val="39"/>
              </w:numPr>
              <w:jc w:val="left"/>
              <w:rPr>
                <w:rFonts w:ascii="Arial" w:hAnsi="Arial" w:cs="Arial"/>
                <w:sz w:val="20"/>
              </w:rPr>
            </w:pPr>
            <w:r>
              <w:rPr>
                <w:rFonts w:ascii="Arial" w:hAnsi="Arial" w:cs="Arial"/>
                <w:sz w:val="20"/>
              </w:rPr>
              <w:t xml:space="preserve">Dilute that sample with the sample diluent 1:2 </w:t>
            </w:r>
            <w:r w:rsidR="00A919B2">
              <w:rPr>
                <w:rFonts w:ascii="Arial" w:hAnsi="Arial" w:cs="Arial"/>
                <w:sz w:val="20"/>
              </w:rPr>
              <w:t xml:space="preserve">(100uL of sample and 100 </w:t>
            </w:r>
            <w:proofErr w:type="spellStart"/>
            <w:r w:rsidR="00A919B2">
              <w:rPr>
                <w:rFonts w:ascii="Arial" w:hAnsi="Arial" w:cs="Arial"/>
                <w:sz w:val="20"/>
              </w:rPr>
              <w:t>uL</w:t>
            </w:r>
            <w:proofErr w:type="spellEnd"/>
            <w:r w:rsidR="00A919B2">
              <w:rPr>
                <w:rFonts w:ascii="Arial" w:hAnsi="Arial" w:cs="Arial"/>
                <w:sz w:val="20"/>
              </w:rPr>
              <w:t xml:space="preserve"> of sample diluent)</w:t>
            </w:r>
            <w:r>
              <w:rPr>
                <w:rFonts w:ascii="Arial" w:hAnsi="Arial" w:cs="Arial"/>
                <w:sz w:val="20"/>
              </w:rPr>
              <w:t xml:space="preserve"> to bring the result into the reportable range using MLA pipettes and tips and a new sample cup.</w:t>
            </w:r>
          </w:p>
          <w:p w:rsidR="003027C7" w:rsidRPr="009D00D1" w:rsidRDefault="003027C7" w:rsidP="003027C7">
            <w:pPr>
              <w:numPr>
                <w:ilvl w:val="0"/>
                <w:numId w:val="39"/>
              </w:numPr>
              <w:jc w:val="left"/>
              <w:rPr>
                <w:rFonts w:ascii="Arial" w:hAnsi="Arial" w:cs="Arial"/>
                <w:sz w:val="20"/>
              </w:rPr>
            </w:pPr>
            <w:r>
              <w:rPr>
                <w:rFonts w:ascii="Arial" w:hAnsi="Arial" w:cs="Arial"/>
                <w:sz w:val="20"/>
              </w:rPr>
              <w:t>Multiply the result by the diluting factor.</w:t>
            </w:r>
          </w:p>
        </w:tc>
      </w:tr>
      <w:tr w:rsidR="00302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Pr>
        <w:tc>
          <w:tcPr>
            <w:tcW w:w="1800" w:type="dxa"/>
            <w:tcBorders>
              <w:top w:val="nil"/>
              <w:left w:val="nil"/>
              <w:bottom w:val="nil"/>
              <w:right w:val="nil"/>
            </w:tcBorders>
          </w:tcPr>
          <w:p w:rsidR="003027C7" w:rsidRDefault="003027C7">
            <w:pPr>
              <w:rPr>
                <w:rFonts w:ascii="Arial" w:hAnsi="Arial" w:cs="Arial"/>
                <w:sz w:val="20"/>
              </w:rPr>
            </w:pPr>
          </w:p>
          <w:p w:rsidR="003027C7" w:rsidRDefault="003027C7">
            <w:pPr>
              <w:pStyle w:val="BodyText3"/>
              <w:jc w:val="left"/>
              <w:rPr>
                <w:rFonts w:ascii="Arial" w:hAnsi="Arial" w:cs="Arial"/>
                <w:sz w:val="20"/>
              </w:rPr>
            </w:pPr>
            <w:r>
              <w:rPr>
                <w:rFonts w:ascii="Arial" w:hAnsi="Arial" w:cs="Arial"/>
                <w:sz w:val="20"/>
              </w:rPr>
              <w:t>Limitations</w:t>
            </w:r>
          </w:p>
          <w:p w:rsidR="003027C7" w:rsidRDefault="003027C7">
            <w:pPr>
              <w:rPr>
                <w:rFonts w:ascii="Arial" w:hAnsi="Arial" w:cs="Arial"/>
                <w:sz w:val="20"/>
              </w:rPr>
            </w:pPr>
          </w:p>
        </w:tc>
        <w:tc>
          <w:tcPr>
            <w:tcW w:w="9360" w:type="dxa"/>
            <w:gridSpan w:val="4"/>
            <w:tcBorders>
              <w:top w:val="single" w:sz="4" w:space="0" w:color="auto"/>
              <w:left w:val="nil"/>
              <w:bottom w:val="single" w:sz="4" w:space="0" w:color="auto"/>
              <w:right w:val="nil"/>
            </w:tcBorders>
          </w:tcPr>
          <w:p w:rsidR="003027C7" w:rsidRDefault="003027C7">
            <w:pPr>
              <w:jc w:val="left"/>
              <w:rPr>
                <w:rFonts w:ascii="Arial" w:hAnsi="Arial" w:cs="Arial"/>
                <w:sz w:val="20"/>
              </w:rPr>
            </w:pPr>
          </w:p>
          <w:p w:rsidR="003027C7" w:rsidRDefault="003027C7">
            <w:pPr>
              <w:rPr>
                <w:rFonts w:ascii="Arial" w:hAnsi="Arial" w:cs="Arial"/>
                <w:sz w:val="20"/>
              </w:rPr>
            </w:pPr>
            <w:r>
              <w:rPr>
                <w:rFonts w:ascii="Arial" w:hAnsi="Arial" w:cs="Arial"/>
                <w:sz w:val="20"/>
              </w:rPr>
              <w:t>Sensitivity and Precision can be used to determine the instrumental detection limit. In furnace AAS this is defined as the concentration equivalent to three times the standard deviation of the blank measurement. This value is rounded to 1 mcg/dL for routine reporting purposes.</w:t>
            </w:r>
          </w:p>
          <w:p w:rsidR="003027C7" w:rsidRDefault="003027C7">
            <w:pPr>
              <w:rPr>
                <w:rFonts w:ascii="Arial" w:hAnsi="Arial" w:cs="Arial"/>
                <w:sz w:val="20"/>
              </w:rPr>
            </w:pPr>
          </w:p>
          <w:p w:rsidR="003027C7" w:rsidRDefault="003027C7">
            <w:pPr>
              <w:rPr>
                <w:rFonts w:ascii="Arial" w:hAnsi="Arial" w:cs="Arial"/>
                <w:sz w:val="20"/>
              </w:rPr>
            </w:pPr>
            <w:r>
              <w:rPr>
                <w:rFonts w:ascii="Arial" w:hAnsi="Arial" w:cs="Arial"/>
                <w:sz w:val="20"/>
              </w:rPr>
              <w:t>Only well-mixed whole blood may be used for these determinations. Clotted specimens or centrifuged specimens must not be used.</w:t>
            </w:r>
          </w:p>
          <w:p w:rsidR="003027C7" w:rsidRDefault="003027C7">
            <w:pPr>
              <w:rPr>
                <w:rFonts w:ascii="Arial" w:hAnsi="Arial" w:cs="Arial"/>
                <w:sz w:val="20"/>
              </w:rPr>
            </w:pPr>
          </w:p>
          <w:p w:rsidR="003027C7" w:rsidRDefault="003027C7">
            <w:pPr>
              <w:pStyle w:val="Heading3"/>
              <w:numPr>
                <w:ilvl w:val="0"/>
                <w:numId w:val="0"/>
              </w:numPr>
              <w:rPr>
                <w:rFonts w:ascii="Arial" w:hAnsi="Arial"/>
                <w:sz w:val="20"/>
              </w:rPr>
            </w:pPr>
            <w:r>
              <w:rPr>
                <w:rFonts w:ascii="Arial" w:hAnsi="Arial"/>
                <w:sz w:val="20"/>
              </w:rPr>
              <w:t>Specificity</w:t>
            </w:r>
          </w:p>
          <w:p w:rsidR="003027C7" w:rsidRDefault="003027C7">
            <w:pPr>
              <w:rPr>
                <w:rFonts w:ascii="Arial" w:hAnsi="Arial" w:cs="Arial"/>
                <w:sz w:val="20"/>
              </w:rPr>
            </w:pPr>
            <w:r>
              <w:rPr>
                <w:rFonts w:ascii="Arial" w:hAnsi="Arial" w:cs="Arial"/>
                <w:sz w:val="20"/>
              </w:rPr>
              <w:t>The assay is specific for elemental lead in whole blood.</w:t>
            </w:r>
          </w:p>
          <w:p w:rsidR="003027C7" w:rsidRDefault="003027C7">
            <w:pPr>
              <w:pStyle w:val="Heading"/>
              <w:jc w:val="left"/>
              <w:rPr>
                <w:rFonts w:ascii="Arial" w:hAnsi="Arial"/>
                <w:b w:val="0"/>
                <w:bCs w:val="0"/>
                <w:iCs/>
                <w:sz w:val="20"/>
              </w:rPr>
            </w:pPr>
          </w:p>
        </w:tc>
      </w:tr>
      <w:tr w:rsidR="00302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Pr>
        <w:tc>
          <w:tcPr>
            <w:tcW w:w="1800" w:type="dxa"/>
            <w:tcBorders>
              <w:top w:val="nil"/>
              <w:left w:val="nil"/>
              <w:bottom w:val="nil"/>
              <w:right w:val="nil"/>
            </w:tcBorders>
          </w:tcPr>
          <w:p w:rsidR="003027C7" w:rsidRDefault="003027C7">
            <w:pPr>
              <w:jc w:val="left"/>
              <w:rPr>
                <w:rFonts w:ascii="Arial" w:hAnsi="Arial" w:cs="Arial"/>
                <w:b/>
                <w:bCs/>
                <w:color w:val="0000FF"/>
                <w:sz w:val="20"/>
              </w:rPr>
            </w:pPr>
          </w:p>
          <w:p w:rsidR="003027C7" w:rsidRDefault="003027C7">
            <w:pPr>
              <w:jc w:val="left"/>
              <w:rPr>
                <w:rFonts w:ascii="Arial" w:hAnsi="Arial" w:cs="Arial"/>
                <w:b/>
                <w:bCs/>
                <w:color w:val="0000FF"/>
                <w:sz w:val="20"/>
              </w:rPr>
            </w:pPr>
            <w:r>
              <w:rPr>
                <w:rFonts w:ascii="Arial" w:hAnsi="Arial" w:cs="Arial"/>
                <w:b/>
                <w:bCs/>
                <w:color w:val="0000FF"/>
                <w:sz w:val="20"/>
              </w:rPr>
              <w:t>Result Reporting</w:t>
            </w:r>
          </w:p>
          <w:p w:rsidR="003027C7" w:rsidRDefault="003027C7">
            <w:pPr>
              <w:rPr>
                <w:rFonts w:ascii="Arial" w:hAnsi="Arial" w:cs="Arial"/>
                <w:b/>
                <w:bCs/>
                <w:sz w:val="20"/>
              </w:rPr>
            </w:pPr>
          </w:p>
        </w:tc>
        <w:tc>
          <w:tcPr>
            <w:tcW w:w="9360" w:type="dxa"/>
            <w:gridSpan w:val="4"/>
            <w:tcBorders>
              <w:left w:val="nil"/>
              <w:right w:val="nil"/>
            </w:tcBorders>
          </w:tcPr>
          <w:p w:rsidR="003027C7" w:rsidRDefault="003027C7">
            <w:pPr>
              <w:pStyle w:val="BodyText"/>
              <w:rPr>
                <w:rFonts w:ascii="Arial" w:hAnsi="Arial" w:cs="Arial"/>
                <w:sz w:val="20"/>
              </w:rPr>
            </w:pPr>
          </w:p>
          <w:p w:rsidR="003027C7" w:rsidRDefault="003027C7">
            <w:pPr>
              <w:pStyle w:val="BodyText"/>
              <w:rPr>
                <w:rFonts w:ascii="Arial" w:hAnsi="Arial" w:cs="Arial"/>
                <w:sz w:val="20"/>
              </w:rPr>
            </w:pPr>
            <w:r>
              <w:rPr>
                <w:rFonts w:ascii="Arial" w:hAnsi="Arial" w:cs="Arial"/>
                <w:sz w:val="20"/>
              </w:rPr>
              <w:t xml:space="preserve">Print and save Agilent patient, control, and calibration result sheets. Record lead results for controls and patients to the Sunquest worksheets rounding the decimal values for the patient samples to the nearest whole number. </w:t>
            </w:r>
          </w:p>
          <w:p w:rsidR="003027C7" w:rsidRDefault="003027C7">
            <w:pPr>
              <w:pStyle w:val="BodyText"/>
              <w:rPr>
                <w:rFonts w:ascii="Arial" w:hAnsi="Arial" w:cs="Arial"/>
                <w:sz w:val="20"/>
              </w:rPr>
            </w:pPr>
          </w:p>
          <w:p w:rsidR="003027C7" w:rsidRDefault="003027C7" w:rsidP="003027C7">
            <w:pPr>
              <w:pStyle w:val="BodyTextIndent"/>
              <w:numPr>
                <w:ilvl w:val="0"/>
                <w:numId w:val="38"/>
              </w:numPr>
              <w:tabs>
                <w:tab w:val="clear" w:pos="-1440"/>
              </w:tabs>
              <w:rPr>
                <w:rFonts w:cs="Arial"/>
              </w:rPr>
            </w:pPr>
            <w:r>
              <w:rPr>
                <w:rFonts w:cs="Arial"/>
              </w:rPr>
              <w:t>Results below the assay range are reported as &lt;1 mcg/dL</w:t>
            </w:r>
          </w:p>
          <w:p w:rsidR="003027C7" w:rsidRDefault="003027C7" w:rsidP="003027C7">
            <w:pPr>
              <w:pStyle w:val="BodyTextIndent"/>
              <w:numPr>
                <w:ilvl w:val="0"/>
                <w:numId w:val="38"/>
              </w:numPr>
              <w:tabs>
                <w:tab w:val="clear" w:pos="-1440"/>
              </w:tabs>
              <w:rPr>
                <w:rFonts w:cs="Arial"/>
              </w:rPr>
            </w:pPr>
            <w:r>
              <w:rPr>
                <w:rFonts w:cs="Arial"/>
              </w:rPr>
              <w:t>Results &gt; 50 mcg/dL are reported following proper dilution</w:t>
            </w:r>
          </w:p>
          <w:p w:rsidR="003027C7" w:rsidRDefault="003027C7">
            <w:pPr>
              <w:rPr>
                <w:rFonts w:ascii="Arial" w:hAnsi="Arial" w:cs="Arial"/>
                <w:sz w:val="20"/>
              </w:rPr>
            </w:pPr>
          </w:p>
          <w:p w:rsidR="003027C7" w:rsidRDefault="003027C7">
            <w:pPr>
              <w:rPr>
                <w:rFonts w:ascii="Arial" w:hAnsi="Arial" w:cs="Arial"/>
                <w:b/>
                <w:sz w:val="20"/>
              </w:rPr>
            </w:pPr>
            <w:r>
              <w:rPr>
                <w:rFonts w:ascii="Arial" w:hAnsi="Arial" w:cs="Arial"/>
                <w:b/>
                <w:sz w:val="20"/>
              </w:rPr>
              <w:t>Computer Entry:</w:t>
            </w:r>
          </w:p>
          <w:p w:rsidR="003027C7" w:rsidRDefault="003027C7">
            <w:pPr>
              <w:rPr>
                <w:rFonts w:ascii="Arial" w:hAnsi="Arial" w:cs="Arial"/>
                <w:sz w:val="20"/>
              </w:rPr>
            </w:pPr>
            <w:r>
              <w:rPr>
                <w:rFonts w:ascii="Arial" w:hAnsi="Arial" w:cs="Arial"/>
                <w:sz w:val="20"/>
              </w:rPr>
              <w:t>MEM (manual result entry)</w:t>
            </w:r>
          </w:p>
          <w:p w:rsidR="003027C7" w:rsidRDefault="003027C7">
            <w:pPr>
              <w:numPr>
                <w:ilvl w:val="0"/>
                <w:numId w:val="40"/>
              </w:numPr>
              <w:ind w:left="675"/>
              <w:rPr>
                <w:rFonts w:ascii="Arial" w:hAnsi="Arial" w:cs="Arial"/>
                <w:sz w:val="20"/>
              </w:rPr>
            </w:pPr>
            <w:r>
              <w:rPr>
                <w:rFonts w:ascii="Arial" w:hAnsi="Arial" w:cs="Arial"/>
                <w:sz w:val="20"/>
              </w:rPr>
              <w:t>In Sunquest, use function MEM.</w:t>
            </w:r>
          </w:p>
          <w:p w:rsidR="003027C7" w:rsidRDefault="003027C7">
            <w:pPr>
              <w:numPr>
                <w:ilvl w:val="0"/>
                <w:numId w:val="40"/>
              </w:numPr>
              <w:ind w:left="675"/>
              <w:rPr>
                <w:rFonts w:ascii="Arial" w:hAnsi="Arial" w:cs="Arial"/>
                <w:sz w:val="20"/>
              </w:rPr>
            </w:pPr>
            <w:r>
              <w:rPr>
                <w:rFonts w:ascii="Arial" w:hAnsi="Arial" w:cs="Arial"/>
                <w:sz w:val="20"/>
              </w:rPr>
              <w:t>Use worksheet PB.</w:t>
            </w:r>
          </w:p>
          <w:p w:rsidR="003027C7" w:rsidRDefault="003027C7">
            <w:pPr>
              <w:numPr>
                <w:ilvl w:val="0"/>
                <w:numId w:val="40"/>
              </w:numPr>
              <w:ind w:left="675"/>
              <w:rPr>
                <w:rFonts w:ascii="Arial" w:hAnsi="Arial" w:cs="Arial"/>
                <w:sz w:val="20"/>
              </w:rPr>
            </w:pPr>
            <w:r>
              <w:rPr>
                <w:rFonts w:ascii="Arial" w:hAnsi="Arial" w:cs="Arial"/>
                <w:sz w:val="20"/>
              </w:rPr>
              <w:t>Enter patient’s accession # and results.</w:t>
            </w:r>
          </w:p>
          <w:p w:rsidR="003027C7" w:rsidRDefault="003027C7">
            <w:pPr>
              <w:numPr>
                <w:ilvl w:val="0"/>
                <w:numId w:val="40"/>
              </w:numPr>
              <w:ind w:left="675"/>
              <w:rPr>
                <w:rFonts w:ascii="Arial" w:hAnsi="Arial" w:cs="Arial"/>
                <w:sz w:val="20"/>
              </w:rPr>
            </w:pPr>
            <w:r>
              <w:rPr>
                <w:rFonts w:ascii="Arial" w:hAnsi="Arial" w:cs="Arial"/>
                <w:sz w:val="20"/>
              </w:rPr>
              <w:t>When results are displayed on the screen, press “D” to display the previous results for comparison.</w:t>
            </w:r>
          </w:p>
          <w:p w:rsidR="003027C7" w:rsidRDefault="003027C7">
            <w:pPr>
              <w:numPr>
                <w:ilvl w:val="0"/>
                <w:numId w:val="40"/>
              </w:numPr>
              <w:ind w:left="675"/>
              <w:rPr>
                <w:rFonts w:ascii="Arial" w:hAnsi="Arial" w:cs="Arial"/>
                <w:sz w:val="20"/>
              </w:rPr>
            </w:pPr>
            <w:r>
              <w:rPr>
                <w:rFonts w:ascii="Arial" w:hAnsi="Arial" w:cs="Arial"/>
                <w:sz w:val="20"/>
              </w:rPr>
              <w:t>Press “M” to modify or remove the result (enter -), or to append a comment (-MIQ English text code.)</w:t>
            </w:r>
          </w:p>
          <w:p w:rsidR="003027C7" w:rsidRDefault="003027C7">
            <w:pPr>
              <w:numPr>
                <w:ilvl w:val="0"/>
                <w:numId w:val="40"/>
              </w:numPr>
              <w:ind w:left="675"/>
              <w:rPr>
                <w:rFonts w:ascii="Arial" w:hAnsi="Arial" w:cs="Arial"/>
                <w:sz w:val="20"/>
              </w:rPr>
            </w:pPr>
            <w:r>
              <w:rPr>
                <w:rFonts w:ascii="Arial" w:hAnsi="Arial" w:cs="Arial"/>
                <w:sz w:val="20"/>
              </w:rPr>
              <w:t>When the results are ready to be sent, press “A” to accept.</w:t>
            </w:r>
          </w:p>
          <w:p w:rsidR="003027C7" w:rsidRDefault="003027C7">
            <w:pPr>
              <w:numPr>
                <w:ilvl w:val="0"/>
                <w:numId w:val="40"/>
              </w:numPr>
              <w:ind w:left="675"/>
              <w:rPr>
                <w:rFonts w:ascii="Arial" w:hAnsi="Arial" w:cs="Arial"/>
                <w:sz w:val="20"/>
              </w:rPr>
            </w:pPr>
            <w:r>
              <w:rPr>
                <w:rFonts w:ascii="Arial" w:hAnsi="Arial" w:cs="Arial"/>
                <w:sz w:val="20"/>
              </w:rPr>
              <w:t>The next available result comes up for review and resulting.</w:t>
            </w:r>
          </w:p>
          <w:p w:rsidR="003027C7" w:rsidRDefault="003027C7">
            <w:pPr>
              <w:rPr>
                <w:rFonts w:ascii="Arial" w:hAnsi="Arial" w:cs="Arial"/>
                <w:sz w:val="20"/>
              </w:rPr>
            </w:pPr>
          </w:p>
          <w:p w:rsidR="003027C7" w:rsidRDefault="003027C7">
            <w:pPr>
              <w:rPr>
                <w:rFonts w:ascii="Arial" w:hAnsi="Arial" w:cs="Arial"/>
                <w:b/>
                <w:bCs/>
                <w:sz w:val="20"/>
              </w:rPr>
            </w:pPr>
            <w:r>
              <w:rPr>
                <w:rFonts w:ascii="Arial" w:hAnsi="Arial" w:cs="Arial"/>
                <w:b/>
                <w:bCs/>
                <w:sz w:val="20"/>
              </w:rPr>
              <w:t>MDH Notification:</w:t>
            </w:r>
          </w:p>
          <w:p w:rsidR="003027C7" w:rsidRDefault="003027C7">
            <w:pPr>
              <w:numPr>
                <w:ilvl w:val="0"/>
                <w:numId w:val="44"/>
              </w:numPr>
              <w:tabs>
                <w:tab w:val="num" w:pos="1080"/>
              </w:tabs>
              <w:rPr>
                <w:rFonts w:ascii="Arial" w:hAnsi="Arial" w:cs="Arial"/>
                <w:sz w:val="20"/>
              </w:rPr>
            </w:pPr>
            <w:r>
              <w:rPr>
                <w:rFonts w:ascii="Arial" w:hAnsi="Arial" w:cs="Arial"/>
                <w:sz w:val="20"/>
              </w:rPr>
              <w:t xml:space="preserve">Fax venous blood lead results of </w:t>
            </w:r>
            <w:r>
              <w:rPr>
                <w:rFonts w:ascii="Arial" w:hAnsi="Arial" w:cs="Arial"/>
                <w:b/>
                <w:bCs/>
                <w:sz w:val="20"/>
              </w:rPr>
              <w:t>15ug/dL</w:t>
            </w:r>
            <w:r>
              <w:rPr>
                <w:rFonts w:ascii="Arial" w:hAnsi="Arial" w:cs="Arial"/>
                <w:sz w:val="20"/>
              </w:rPr>
              <w:t xml:space="preserve"> or above to MDH 651-201-4909 </w:t>
            </w:r>
            <w:r>
              <w:rPr>
                <w:rFonts w:ascii="Arial" w:hAnsi="Arial" w:cs="Arial"/>
                <w:b/>
                <w:bCs/>
                <w:sz w:val="20"/>
              </w:rPr>
              <w:t>within 2 working days</w:t>
            </w:r>
            <w:r>
              <w:rPr>
                <w:rFonts w:ascii="Arial" w:hAnsi="Arial" w:cs="Arial"/>
                <w:sz w:val="20"/>
              </w:rPr>
              <w:t>.</w:t>
            </w:r>
          </w:p>
          <w:p w:rsidR="003027C7" w:rsidRDefault="003027C7">
            <w:pPr>
              <w:numPr>
                <w:ilvl w:val="0"/>
                <w:numId w:val="44"/>
              </w:numPr>
              <w:rPr>
                <w:rFonts w:ascii="Arial" w:hAnsi="Arial" w:cs="Arial"/>
                <w:sz w:val="20"/>
              </w:rPr>
            </w:pPr>
            <w:r>
              <w:rPr>
                <w:rFonts w:ascii="Arial" w:hAnsi="Arial" w:cs="Arial"/>
                <w:sz w:val="20"/>
              </w:rPr>
              <w:t xml:space="preserve">All blood lead results with the patients’ demographics are sent electronically by CSV file to MN Department of Health, HRA Blood Lead Surveillance, P0 Box 64975, St. Paul, </w:t>
            </w:r>
            <w:proofErr w:type="gramStart"/>
            <w:r>
              <w:rPr>
                <w:rFonts w:ascii="Arial" w:hAnsi="Arial" w:cs="Arial"/>
                <w:sz w:val="20"/>
              </w:rPr>
              <w:t>MN</w:t>
            </w:r>
            <w:proofErr w:type="gramEnd"/>
            <w:r>
              <w:rPr>
                <w:rFonts w:ascii="Arial" w:hAnsi="Arial" w:cs="Arial"/>
                <w:sz w:val="20"/>
              </w:rPr>
              <w:t xml:space="preserve"> 55164-0975 within one month of analysis.</w:t>
            </w:r>
          </w:p>
          <w:p w:rsidR="003027C7" w:rsidRDefault="003027C7">
            <w:pPr>
              <w:numPr>
                <w:ilvl w:val="0"/>
                <w:numId w:val="44"/>
              </w:numPr>
              <w:rPr>
                <w:rFonts w:ascii="Arial" w:hAnsi="Arial" w:cs="Arial"/>
                <w:sz w:val="20"/>
              </w:rPr>
            </w:pPr>
            <w:r>
              <w:rPr>
                <w:rFonts w:ascii="Arial" w:hAnsi="Arial" w:cs="Arial"/>
                <w:sz w:val="20"/>
              </w:rPr>
              <w:t>Minnesota Statutes, section 144.9502, Childhood Lead Poisoning Prevention Act, requires medical laboratories to report all blood lead analyses and related information to the Minnesota Department of Health.</w:t>
            </w:r>
          </w:p>
          <w:p w:rsidR="003027C7" w:rsidRDefault="003027C7">
            <w:pPr>
              <w:numPr>
                <w:ilvl w:val="0"/>
                <w:numId w:val="44"/>
              </w:numPr>
              <w:rPr>
                <w:rFonts w:ascii="Arial" w:hAnsi="Arial" w:cs="Arial"/>
                <w:sz w:val="20"/>
              </w:rPr>
            </w:pPr>
            <w:r>
              <w:rPr>
                <w:rFonts w:ascii="Arial" w:hAnsi="Arial" w:cs="Arial"/>
                <w:sz w:val="20"/>
              </w:rPr>
              <w:t>New guidelines for Minneapolis require MDH to notify a local health agency of blood lead levels &gt; 5 in order to provide education to the family.</w:t>
            </w:r>
          </w:p>
          <w:p w:rsidR="003027C7" w:rsidRDefault="003027C7">
            <w:pPr>
              <w:rPr>
                <w:rFonts w:ascii="Arial" w:hAnsi="Arial" w:cs="Arial"/>
                <w:b/>
                <w:bCs/>
                <w:sz w:val="20"/>
              </w:rPr>
            </w:pPr>
          </w:p>
          <w:p w:rsidR="003027C7" w:rsidRDefault="003027C7">
            <w:pPr>
              <w:rPr>
                <w:rFonts w:ascii="Arial" w:hAnsi="Arial" w:cs="Arial"/>
                <w:b/>
                <w:bCs/>
                <w:sz w:val="20"/>
              </w:rPr>
            </w:pPr>
            <w:r>
              <w:rPr>
                <w:rFonts w:ascii="Arial" w:hAnsi="Arial" w:cs="Arial"/>
                <w:b/>
                <w:bCs/>
                <w:sz w:val="20"/>
              </w:rPr>
              <w:t>Corrected Reports:</w:t>
            </w:r>
          </w:p>
          <w:p w:rsidR="003027C7" w:rsidRDefault="003027C7">
            <w:pPr>
              <w:rPr>
                <w:rFonts w:ascii="Arial" w:hAnsi="Arial" w:cs="Arial"/>
                <w:sz w:val="20"/>
              </w:rPr>
            </w:pPr>
            <w:r>
              <w:rPr>
                <w:rFonts w:ascii="Arial" w:hAnsi="Arial" w:cs="Arial"/>
                <w:sz w:val="20"/>
              </w:rPr>
              <w:t>MDH should be notified of all corrected reports by faxing the corrected results to 651-201-4909.</w:t>
            </w:r>
          </w:p>
          <w:p w:rsidR="003027C7" w:rsidRDefault="003027C7">
            <w:pPr>
              <w:jc w:val="left"/>
              <w:rPr>
                <w:rFonts w:ascii="Arial" w:hAnsi="Arial" w:cs="Arial"/>
                <w:iCs/>
                <w:sz w:val="20"/>
              </w:rPr>
            </w:pPr>
          </w:p>
        </w:tc>
      </w:tr>
      <w:tr w:rsidR="003027C7" w:rsidRPr="00FE50E6">
        <w:tblPrEx>
          <w:tblBorders>
            <w:top w:val="none" w:sz="0" w:space="0" w:color="auto"/>
            <w:left w:val="none" w:sz="0" w:space="0" w:color="auto"/>
            <w:bottom w:val="none" w:sz="0" w:space="0" w:color="auto"/>
            <w:right w:val="none" w:sz="0" w:space="0" w:color="auto"/>
          </w:tblBorders>
        </w:tblPrEx>
        <w:trPr>
          <w:tblHeader/>
        </w:trPr>
        <w:tc>
          <w:tcPr>
            <w:tcW w:w="1800" w:type="dxa"/>
            <w:vAlign w:val="center"/>
          </w:tcPr>
          <w:p w:rsidR="003027C7" w:rsidRPr="00FE50E6" w:rsidRDefault="003027C7" w:rsidP="003027C7">
            <w:pPr>
              <w:jc w:val="left"/>
              <w:rPr>
                <w:rFonts w:ascii="Arial" w:hAnsi="Arial" w:cs="Arial"/>
                <w:b/>
                <w:bCs/>
                <w:color w:val="0000FF"/>
                <w:sz w:val="20"/>
              </w:rPr>
            </w:pPr>
          </w:p>
          <w:p w:rsidR="003027C7" w:rsidRPr="00FE50E6" w:rsidRDefault="003027C7" w:rsidP="003027C7">
            <w:pPr>
              <w:jc w:val="left"/>
              <w:rPr>
                <w:rFonts w:ascii="Arial" w:hAnsi="Arial" w:cs="Arial"/>
                <w:b/>
                <w:bCs/>
                <w:color w:val="0000FF"/>
                <w:sz w:val="20"/>
              </w:rPr>
            </w:pPr>
            <w:r w:rsidRPr="00FE50E6">
              <w:rPr>
                <w:rFonts w:ascii="Arial" w:hAnsi="Arial" w:cs="Arial"/>
                <w:b/>
                <w:bCs/>
                <w:color w:val="0000FF"/>
                <w:sz w:val="20"/>
              </w:rPr>
              <w:t>Specimen Storage</w:t>
            </w:r>
          </w:p>
          <w:p w:rsidR="003027C7" w:rsidRPr="00FE50E6" w:rsidRDefault="003027C7" w:rsidP="003027C7">
            <w:pPr>
              <w:jc w:val="left"/>
              <w:rPr>
                <w:rFonts w:ascii="Arial" w:hAnsi="Arial" w:cs="Arial"/>
                <w:b/>
                <w:bCs/>
                <w:color w:val="0000FF"/>
                <w:sz w:val="20"/>
              </w:rPr>
            </w:pPr>
          </w:p>
        </w:tc>
        <w:tc>
          <w:tcPr>
            <w:tcW w:w="9438" w:type="dxa"/>
            <w:gridSpan w:val="5"/>
            <w:tcBorders>
              <w:top w:val="single" w:sz="4" w:space="0" w:color="auto"/>
              <w:bottom w:val="single" w:sz="4" w:space="0" w:color="auto"/>
            </w:tcBorders>
            <w:vAlign w:val="center"/>
          </w:tcPr>
          <w:p w:rsidR="003027C7" w:rsidRPr="00D36C2F" w:rsidRDefault="003027C7" w:rsidP="003027C7">
            <w:pPr>
              <w:jc w:val="left"/>
              <w:rPr>
                <w:rFonts w:ascii="Arial" w:hAnsi="Arial" w:cs="Arial"/>
                <w:iCs/>
                <w:sz w:val="20"/>
              </w:rPr>
            </w:pPr>
            <w:r>
              <w:rPr>
                <w:rFonts w:ascii="Arial" w:hAnsi="Arial" w:cs="Arial"/>
                <w:sz w:val="20"/>
              </w:rPr>
              <w:t>Patient specimens in their primary tubes are kept refrigerated for 1 week after analysis.</w:t>
            </w:r>
          </w:p>
        </w:tc>
      </w:tr>
      <w:tr w:rsidR="003027C7">
        <w:tblPrEx>
          <w:tblBorders>
            <w:top w:val="none" w:sz="0" w:space="0" w:color="auto"/>
            <w:left w:val="none" w:sz="0" w:space="0" w:color="auto"/>
            <w:bottom w:val="single" w:sz="4" w:space="0" w:color="auto"/>
            <w:right w:val="none" w:sz="0" w:space="0" w:color="auto"/>
          </w:tblBorders>
        </w:tblPrEx>
        <w:trPr>
          <w:gridAfter w:val="1"/>
          <w:wAfter w:w="78" w:type="dxa"/>
        </w:trPr>
        <w:tc>
          <w:tcPr>
            <w:tcW w:w="1800" w:type="dxa"/>
            <w:tcBorders>
              <w:left w:val="nil"/>
              <w:bottom w:val="nil"/>
            </w:tcBorders>
          </w:tcPr>
          <w:p w:rsidR="003027C7" w:rsidRDefault="003027C7">
            <w:pPr>
              <w:rPr>
                <w:rFonts w:ascii="Arial" w:hAnsi="Arial" w:cs="Arial"/>
                <w:b/>
                <w:bCs/>
                <w:sz w:val="20"/>
              </w:rPr>
            </w:pPr>
          </w:p>
          <w:p w:rsidR="003027C7" w:rsidRDefault="003027C7">
            <w:pPr>
              <w:jc w:val="left"/>
              <w:rPr>
                <w:rFonts w:ascii="Arial" w:hAnsi="Arial" w:cs="Arial"/>
                <w:b/>
                <w:bCs/>
                <w:color w:val="0000FF"/>
                <w:sz w:val="20"/>
              </w:rPr>
            </w:pPr>
            <w:r>
              <w:rPr>
                <w:rFonts w:ascii="Arial" w:hAnsi="Arial" w:cs="Arial"/>
                <w:b/>
                <w:bCs/>
                <w:color w:val="0000FF"/>
                <w:sz w:val="20"/>
              </w:rPr>
              <w:t>References</w:t>
            </w:r>
          </w:p>
        </w:tc>
        <w:tc>
          <w:tcPr>
            <w:tcW w:w="9360" w:type="dxa"/>
            <w:gridSpan w:val="4"/>
            <w:tcBorders>
              <w:top w:val="single" w:sz="4" w:space="0" w:color="auto"/>
              <w:bottom w:val="single" w:sz="4" w:space="0" w:color="auto"/>
              <w:right w:val="nil"/>
            </w:tcBorders>
          </w:tcPr>
          <w:p w:rsidR="003027C7" w:rsidRDefault="003027C7">
            <w:pPr>
              <w:jc w:val="left"/>
              <w:rPr>
                <w:rFonts w:ascii="Arial" w:hAnsi="Arial" w:cs="Arial"/>
                <w:iCs/>
                <w:sz w:val="20"/>
              </w:rPr>
            </w:pPr>
          </w:p>
          <w:p w:rsidR="003027C7" w:rsidRDefault="003027C7">
            <w:pPr>
              <w:numPr>
                <w:ilvl w:val="0"/>
                <w:numId w:val="41"/>
              </w:numPr>
              <w:rPr>
                <w:rFonts w:ascii="Arial" w:hAnsi="Arial" w:cs="Arial"/>
                <w:sz w:val="20"/>
              </w:rPr>
            </w:pPr>
            <w:r>
              <w:rPr>
                <w:rFonts w:ascii="Arial" w:hAnsi="Arial" w:cs="Arial"/>
                <w:sz w:val="20"/>
              </w:rPr>
              <w:t>Graphite Tube Atomizer- GTA-110/GTA/120 Operation Manual, Agilent Publication # 8510118500, June 2004</w:t>
            </w:r>
          </w:p>
          <w:p w:rsidR="003027C7" w:rsidRDefault="003027C7">
            <w:pPr>
              <w:numPr>
                <w:ilvl w:val="0"/>
                <w:numId w:val="41"/>
              </w:numPr>
              <w:rPr>
                <w:rFonts w:ascii="Arial" w:hAnsi="Arial" w:cs="Arial"/>
                <w:sz w:val="20"/>
              </w:rPr>
            </w:pPr>
            <w:r>
              <w:rPr>
                <w:rFonts w:ascii="Arial" w:hAnsi="Arial" w:cs="Arial"/>
                <w:sz w:val="20"/>
              </w:rPr>
              <w:t>Agilent AA140/240/280 series including Zeeman Operation Manual, Agilent Publication # 8510154700, May 2004</w:t>
            </w:r>
          </w:p>
          <w:p w:rsidR="003027C7" w:rsidRDefault="003027C7">
            <w:pPr>
              <w:numPr>
                <w:ilvl w:val="0"/>
                <w:numId w:val="41"/>
              </w:numPr>
              <w:rPr>
                <w:rFonts w:ascii="Arial" w:hAnsi="Arial" w:cs="Arial"/>
                <w:sz w:val="20"/>
              </w:rPr>
            </w:pPr>
            <w:r>
              <w:rPr>
                <w:rFonts w:ascii="Arial" w:hAnsi="Arial" w:cs="Arial"/>
                <w:sz w:val="20"/>
              </w:rPr>
              <w:t>Programmable Sample Dispenser (PSD120) Operation Manual, Agilent Publication # 8510121800, April 2004</w:t>
            </w:r>
          </w:p>
          <w:p w:rsidR="003027C7" w:rsidRDefault="003027C7">
            <w:pPr>
              <w:numPr>
                <w:ilvl w:val="0"/>
                <w:numId w:val="41"/>
              </w:numPr>
              <w:rPr>
                <w:rFonts w:ascii="Arial" w:hAnsi="Arial" w:cs="Arial"/>
                <w:sz w:val="20"/>
              </w:rPr>
            </w:pPr>
            <w:r>
              <w:rPr>
                <w:rFonts w:ascii="Arial" w:hAnsi="Arial" w:cs="Arial"/>
                <w:sz w:val="20"/>
              </w:rPr>
              <w:t>Agilent Techniques of Graphite Furnace AA Spectroscopy Course Manual, 8/28/2002.</w:t>
            </w:r>
          </w:p>
          <w:p w:rsidR="003027C7" w:rsidRDefault="003027C7">
            <w:pPr>
              <w:numPr>
                <w:ilvl w:val="0"/>
                <w:numId w:val="41"/>
              </w:numPr>
              <w:rPr>
                <w:rFonts w:ascii="Arial" w:hAnsi="Arial" w:cs="Arial"/>
                <w:sz w:val="20"/>
              </w:rPr>
            </w:pPr>
            <w:r>
              <w:rPr>
                <w:rFonts w:ascii="Arial" w:hAnsi="Arial" w:cs="Arial"/>
                <w:sz w:val="20"/>
              </w:rPr>
              <w:t>Minnesota Department of Health, Lead Program, PO Box 64975, St Paul, MN, 612-201-4610, 12/2005.</w:t>
            </w:r>
          </w:p>
          <w:p w:rsidR="003027C7" w:rsidRDefault="003027C7">
            <w:pPr>
              <w:numPr>
                <w:ilvl w:val="0"/>
                <w:numId w:val="41"/>
              </w:numPr>
              <w:rPr>
                <w:rFonts w:ascii="Arial" w:hAnsi="Arial" w:cs="Arial"/>
                <w:sz w:val="20"/>
              </w:rPr>
            </w:pPr>
            <w:r>
              <w:rPr>
                <w:rFonts w:ascii="Arial" w:hAnsi="Arial" w:cs="Arial"/>
                <w:sz w:val="20"/>
              </w:rPr>
              <w:t>NCCLS Approved Guideline C40-A, Analytical Procedures for the Determination of Lead in Blood and Urine Volume 21 No. 9, June 2001.</w:t>
            </w:r>
          </w:p>
          <w:p w:rsidR="003027C7" w:rsidRDefault="003027C7">
            <w:pPr>
              <w:numPr>
                <w:ilvl w:val="0"/>
                <w:numId w:val="41"/>
              </w:numPr>
              <w:rPr>
                <w:rFonts w:ascii="Arial" w:hAnsi="Arial" w:cs="Arial"/>
                <w:sz w:val="20"/>
              </w:rPr>
            </w:pPr>
            <w:r>
              <w:rPr>
                <w:rFonts w:ascii="Arial" w:hAnsi="Arial" w:cs="Arial"/>
                <w:sz w:val="20"/>
                <w:szCs w:val="23"/>
              </w:rPr>
              <w:t>CDC Response to Advisory Committee on Childhood Lead Poisoning Prevention Recommendations in “</w:t>
            </w:r>
            <w:r>
              <w:rPr>
                <w:rFonts w:ascii="Arial" w:hAnsi="Arial" w:cs="Arial"/>
                <w:i/>
                <w:iCs/>
                <w:sz w:val="20"/>
                <w:szCs w:val="23"/>
              </w:rPr>
              <w:t xml:space="preserve">Low Level Lead Exposure Harms Children: </w:t>
            </w:r>
            <w:proofErr w:type="gramStart"/>
            <w:r>
              <w:rPr>
                <w:rFonts w:ascii="Arial" w:hAnsi="Arial" w:cs="Arial"/>
                <w:i/>
                <w:iCs/>
                <w:sz w:val="20"/>
                <w:szCs w:val="23"/>
              </w:rPr>
              <w:t>A</w:t>
            </w:r>
            <w:proofErr w:type="gramEnd"/>
            <w:r>
              <w:rPr>
                <w:rFonts w:ascii="Arial" w:hAnsi="Arial" w:cs="Arial"/>
                <w:i/>
                <w:iCs/>
                <w:sz w:val="20"/>
                <w:szCs w:val="23"/>
              </w:rPr>
              <w:t xml:space="preserve"> Renewed Call of Primary Prevention</w:t>
            </w:r>
            <w:r>
              <w:rPr>
                <w:rFonts w:ascii="Arial" w:hAnsi="Arial" w:cs="Arial"/>
                <w:sz w:val="20"/>
                <w:szCs w:val="23"/>
              </w:rPr>
              <w:t>”, 6/7/12 (reference range).</w:t>
            </w:r>
          </w:p>
          <w:p w:rsidR="003027C7" w:rsidRDefault="003027C7">
            <w:pPr>
              <w:pStyle w:val="TableText"/>
              <w:autoSpaceDE/>
              <w:autoSpaceDN/>
              <w:rPr>
                <w:rFonts w:ascii="Arial" w:hAnsi="Arial" w:cs="Arial"/>
                <w:iCs/>
              </w:rPr>
            </w:pPr>
          </w:p>
        </w:tc>
      </w:tr>
      <w:tr w:rsidR="003027C7">
        <w:tblPrEx>
          <w:tblBorders>
            <w:top w:val="none" w:sz="0" w:space="0" w:color="auto"/>
            <w:left w:val="none" w:sz="0" w:space="0" w:color="auto"/>
            <w:bottom w:val="single" w:sz="4" w:space="0" w:color="auto"/>
            <w:right w:val="none" w:sz="0" w:space="0" w:color="auto"/>
          </w:tblBorders>
        </w:tblPrEx>
        <w:trPr>
          <w:gridAfter w:val="1"/>
          <w:wAfter w:w="78" w:type="dxa"/>
          <w:trHeight w:val="225"/>
        </w:trPr>
        <w:tc>
          <w:tcPr>
            <w:tcW w:w="1800" w:type="dxa"/>
            <w:tcBorders>
              <w:left w:val="nil"/>
              <w:bottom w:val="nil"/>
              <w:right w:val="nil"/>
            </w:tcBorders>
          </w:tcPr>
          <w:p w:rsidR="003027C7" w:rsidRDefault="003027C7">
            <w:pPr>
              <w:jc w:val="left"/>
              <w:rPr>
                <w:rFonts w:ascii="Arial" w:hAnsi="Arial" w:cs="Arial"/>
                <w:b/>
                <w:bCs/>
                <w:color w:val="0000FF"/>
                <w:sz w:val="20"/>
              </w:rPr>
            </w:pPr>
            <w:bookmarkStart w:id="0" w:name="_Toc184727277"/>
          </w:p>
        </w:tc>
        <w:tc>
          <w:tcPr>
            <w:tcW w:w="9360" w:type="dxa"/>
            <w:gridSpan w:val="4"/>
            <w:tcBorders>
              <w:top w:val="single" w:sz="4" w:space="0" w:color="auto"/>
              <w:left w:val="nil"/>
              <w:bottom w:val="single" w:sz="4" w:space="0" w:color="auto"/>
              <w:right w:val="nil"/>
            </w:tcBorders>
          </w:tcPr>
          <w:p w:rsidR="003027C7" w:rsidRDefault="003027C7">
            <w:pPr>
              <w:jc w:val="left"/>
              <w:rPr>
                <w:rFonts w:ascii="Arial" w:hAnsi="Arial" w:cs="Arial"/>
                <w:b/>
                <w:bCs/>
                <w:iCs/>
                <w:sz w:val="20"/>
              </w:rPr>
            </w:pPr>
          </w:p>
        </w:tc>
      </w:tr>
      <w:bookmarkEnd w:id="0"/>
      <w:tr w:rsidR="003027C7">
        <w:tblPrEx>
          <w:tblBorders>
            <w:top w:val="none" w:sz="0" w:space="0" w:color="auto"/>
            <w:left w:val="none" w:sz="0" w:space="0" w:color="auto"/>
            <w:bottom w:val="single" w:sz="4" w:space="0" w:color="auto"/>
            <w:right w:val="none" w:sz="0" w:space="0" w:color="auto"/>
          </w:tblBorders>
        </w:tblPrEx>
        <w:trPr>
          <w:gridAfter w:val="1"/>
          <w:wAfter w:w="78" w:type="dxa"/>
          <w:trHeight w:val="225"/>
        </w:trPr>
        <w:tc>
          <w:tcPr>
            <w:tcW w:w="1800" w:type="dxa"/>
            <w:vMerge w:val="restart"/>
            <w:tcBorders>
              <w:left w:val="nil"/>
              <w:bottom w:val="nil"/>
              <w:right w:val="single" w:sz="4" w:space="0" w:color="auto"/>
            </w:tcBorders>
          </w:tcPr>
          <w:p w:rsidR="003027C7" w:rsidRDefault="003027C7">
            <w:pPr>
              <w:jc w:val="left"/>
              <w:rPr>
                <w:rFonts w:ascii="Arial" w:hAnsi="Arial" w:cs="Arial"/>
                <w:b/>
                <w:bCs/>
                <w:color w:val="3366FF"/>
                <w:sz w:val="20"/>
              </w:rPr>
            </w:pPr>
            <w:r>
              <w:rPr>
                <w:rFonts w:ascii="Arial" w:hAnsi="Arial" w:cs="Arial"/>
                <w:b/>
                <w:bCs/>
                <w:color w:val="0000FF"/>
                <w:sz w:val="20"/>
              </w:rPr>
              <w:t>Historical Record</w:t>
            </w:r>
          </w:p>
        </w:tc>
        <w:tc>
          <w:tcPr>
            <w:tcW w:w="1080" w:type="dxa"/>
            <w:tcBorders>
              <w:top w:val="single" w:sz="4" w:space="0" w:color="auto"/>
              <w:left w:val="single" w:sz="4" w:space="0" w:color="auto"/>
              <w:bottom w:val="single" w:sz="4" w:space="0" w:color="auto"/>
              <w:right w:val="single" w:sz="4" w:space="0" w:color="auto"/>
            </w:tcBorders>
          </w:tcPr>
          <w:p w:rsidR="003027C7" w:rsidRDefault="003027C7">
            <w:pPr>
              <w:jc w:val="left"/>
              <w:rPr>
                <w:rFonts w:ascii="Arial" w:hAnsi="Arial" w:cs="Arial"/>
                <w:b/>
                <w:bCs/>
                <w:sz w:val="20"/>
              </w:rPr>
            </w:pPr>
            <w:r>
              <w:rPr>
                <w:rFonts w:ascii="Arial" w:hAnsi="Arial" w:cs="Arial"/>
                <w:b/>
                <w:bCs/>
                <w:sz w:val="20"/>
              </w:rPr>
              <w:t>Version</w:t>
            </w:r>
          </w:p>
        </w:tc>
        <w:tc>
          <w:tcPr>
            <w:tcW w:w="2160" w:type="dxa"/>
            <w:tcBorders>
              <w:top w:val="single" w:sz="4" w:space="0" w:color="auto"/>
              <w:left w:val="single" w:sz="4" w:space="0" w:color="auto"/>
              <w:bottom w:val="single" w:sz="4" w:space="0" w:color="auto"/>
              <w:right w:val="single" w:sz="4" w:space="0" w:color="auto"/>
            </w:tcBorders>
          </w:tcPr>
          <w:p w:rsidR="003027C7" w:rsidRDefault="003027C7">
            <w:pPr>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3027C7" w:rsidRDefault="003027C7">
            <w:pPr>
              <w:jc w:val="left"/>
              <w:rPr>
                <w:rFonts w:ascii="Arial" w:hAnsi="Arial" w:cs="Arial"/>
                <w:b/>
                <w:bCs/>
                <w:iCs/>
                <w:sz w:val="20"/>
              </w:rPr>
            </w:pPr>
            <w:r>
              <w:rPr>
                <w:rFonts w:ascii="Arial" w:hAnsi="Arial" w:cs="Arial"/>
                <w:b/>
                <w:bCs/>
                <w:iCs/>
                <w:sz w:val="20"/>
              </w:rPr>
              <w:t>Effective Date:</w:t>
            </w:r>
          </w:p>
        </w:tc>
        <w:tc>
          <w:tcPr>
            <w:tcW w:w="4500" w:type="dxa"/>
            <w:tcBorders>
              <w:top w:val="single" w:sz="4" w:space="0" w:color="auto"/>
              <w:left w:val="single" w:sz="4" w:space="0" w:color="auto"/>
              <w:bottom w:val="single" w:sz="4" w:space="0" w:color="auto"/>
              <w:right w:val="single" w:sz="4" w:space="0" w:color="auto"/>
            </w:tcBorders>
          </w:tcPr>
          <w:p w:rsidR="003027C7" w:rsidRDefault="003027C7">
            <w:pPr>
              <w:jc w:val="left"/>
              <w:rPr>
                <w:rFonts w:ascii="Arial" w:hAnsi="Arial" w:cs="Arial"/>
                <w:b/>
                <w:bCs/>
                <w:iCs/>
                <w:sz w:val="20"/>
              </w:rPr>
            </w:pPr>
            <w:r>
              <w:rPr>
                <w:rFonts w:ascii="Arial" w:hAnsi="Arial" w:cs="Arial"/>
                <w:b/>
                <w:bCs/>
                <w:iCs/>
                <w:sz w:val="20"/>
              </w:rPr>
              <w:t>Summary of Revisions</w:t>
            </w:r>
          </w:p>
        </w:tc>
      </w:tr>
      <w:tr w:rsidR="003027C7">
        <w:tblPrEx>
          <w:tblBorders>
            <w:top w:val="none" w:sz="0" w:space="0" w:color="auto"/>
            <w:left w:val="none" w:sz="0" w:space="0" w:color="auto"/>
            <w:bottom w:val="single" w:sz="4" w:space="0" w:color="auto"/>
            <w:right w:val="none" w:sz="0" w:space="0" w:color="auto"/>
          </w:tblBorders>
        </w:tblPrEx>
        <w:trPr>
          <w:gridAfter w:val="1"/>
          <w:wAfter w:w="78" w:type="dxa"/>
          <w:trHeight w:val="135"/>
        </w:trPr>
        <w:tc>
          <w:tcPr>
            <w:tcW w:w="1800" w:type="dxa"/>
            <w:vMerge/>
            <w:tcBorders>
              <w:top w:val="single" w:sz="4" w:space="0" w:color="auto"/>
              <w:left w:val="nil"/>
              <w:bottom w:val="nil"/>
              <w:right w:val="single" w:sz="4" w:space="0" w:color="auto"/>
            </w:tcBorders>
          </w:tcPr>
          <w:p w:rsidR="003027C7" w:rsidRDefault="003027C7">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3027C7" w:rsidRDefault="003027C7">
            <w:pPr>
              <w:numPr>
                <w:ilvl w:val="0"/>
                <w:numId w:val="45"/>
              </w:numPr>
              <w:jc w:val="cente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tcPr>
          <w:p w:rsidR="003027C7" w:rsidRDefault="003027C7">
            <w:pPr>
              <w:jc w:val="left"/>
              <w:rPr>
                <w:rFonts w:ascii="Arial" w:hAnsi="Arial" w:cs="Arial"/>
                <w:iCs/>
                <w:sz w:val="20"/>
              </w:rPr>
            </w:pPr>
            <w:r>
              <w:rPr>
                <w:rFonts w:ascii="Arial" w:hAnsi="Arial" w:cs="Arial"/>
                <w:iCs/>
                <w:sz w:val="20"/>
              </w:rPr>
              <w:t>Unknown</w:t>
            </w:r>
          </w:p>
        </w:tc>
        <w:tc>
          <w:tcPr>
            <w:tcW w:w="1620" w:type="dxa"/>
            <w:tcBorders>
              <w:top w:val="single" w:sz="4" w:space="0" w:color="auto"/>
              <w:left w:val="single" w:sz="4" w:space="0" w:color="auto"/>
              <w:bottom w:val="single" w:sz="4" w:space="0" w:color="auto"/>
              <w:right w:val="single" w:sz="4" w:space="0" w:color="auto"/>
            </w:tcBorders>
          </w:tcPr>
          <w:p w:rsidR="003027C7" w:rsidRDefault="003027C7">
            <w:pPr>
              <w:jc w:val="left"/>
              <w:rPr>
                <w:rFonts w:ascii="Arial" w:hAnsi="Arial" w:cs="Arial"/>
                <w:iCs/>
                <w:sz w:val="20"/>
              </w:rPr>
            </w:pPr>
          </w:p>
        </w:tc>
        <w:tc>
          <w:tcPr>
            <w:tcW w:w="4500" w:type="dxa"/>
            <w:tcBorders>
              <w:top w:val="single" w:sz="4" w:space="0" w:color="auto"/>
              <w:left w:val="single" w:sz="4" w:space="0" w:color="auto"/>
              <w:bottom w:val="single" w:sz="4" w:space="0" w:color="auto"/>
              <w:right w:val="single" w:sz="4" w:space="0" w:color="auto"/>
            </w:tcBorders>
          </w:tcPr>
          <w:p w:rsidR="003027C7" w:rsidRDefault="003027C7">
            <w:pPr>
              <w:jc w:val="left"/>
              <w:rPr>
                <w:rFonts w:ascii="Arial" w:hAnsi="Arial" w:cs="Arial"/>
                <w:iCs/>
                <w:sz w:val="20"/>
              </w:rPr>
            </w:pPr>
            <w:r>
              <w:rPr>
                <w:rFonts w:ascii="Arial" w:hAnsi="Arial" w:cs="Arial"/>
                <w:iCs/>
                <w:sz w:val="20"/>
              </w:rPr>
              <w:t>Initial Version</w:t>
            </w:r>
          </w:p>
        </w:tc>
      </w:tr>
      <w:tr w:rsidR="003027C7">
        <w:tblPrEx>
          <w:tblBorders>
            <w:top w:val="none" w:sz="0" w:space="0" w:color="auto"/>
            <w:left w:val="none" w:sz="0" w:space="0" w:color="auto"/>
            <w:bottom w:val="single" w:sz="4" w:space="0" w:color="auto"/>
            <w:right w:val="none" w:sz="0" w:space="0" w:color="auto"/>
          </w:tblBorders>
        </w:tblPrEx>
        <w:trPr>
          <w:gridAfter w:val="1"/>
          <w:wAfter w:w="78" w:type="dxa"/>
          <w:trHeight w:val="143"/>
        </w:trPr>
        <w:tc>
          <w:tcPr>
            <w:tcW w:w="1800" w:type="dxa"/>
            <w:vMerge/>
            <w:tcBorders>
              <w:top w:val="single" w:sz="4" w:space="0" w:color="auto"/>
              <w:left w:val="nil"/>
              <w:bottom w:val="nil"/>
              <w:right w:val="single" w:sz="4" w:space="0" w:color="auto"/>
            </w:tcBorders>
          </w:tcPr>
          <w:p w:rsidR="003027C7" w:rsidRDefault="003027C7">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3027C7" w:rsidRDefault="003027C7">
            <w:pPr>
              <w:numPr>
                <w:ilvl w:val="0"/>
                <w:numId w:val="45"/>
              </w:numPr>
              <w:jc w:val="center"/>
              <w:rPr>
                <w:rFonts w:ascii="Arial" w:hAnsi="Arial" w:cs="Arial"/>
                <w:iCs/>
                <w:sz w:val="20"/>
              </w:rPr>
            </w:pPr>
          </w:p>
        </w:tc>
        <w:tc>
          <w:tcPr>
            <w:tcW w:w="2160" w:type="dxa"/>
            <w:tcBorders>
              <w:top w:val="single" w:sz="4" w:space="0" w:color="auto"/>
              <w:left w:val="single" w:sz="4" w:space="0" w:color="auto"/>
              <w:bottom w:val="single" w:sz="4" w:space="0" w:color="auto"/>
              <w:right w:val="single" w:sz="4" w:space="0" w:color="auto"/>
            </w:tcBorders>
          </w:tcPr>
          <w:p w:rsidR="003027C7" w:rsidRDefault="003027C7">
            <w:pPr>
              <w:jc w:val="left"/>
              <w:rPr>
                <w:rFonts w:ascii="Arial" w:hAnsi="Arial" w:cs="Arial"/>
                <w:iCs/>
                <w:sz w:val="20"/>
              </w:rPr>
            </w:pPr>
            <w:r>
              <w:rPr>
                <w:rFonts w:ascii="Arial" w:hAnsi="Arial" w:cs="Arial"/>
                <w:sz w:val="20"/>
              </w:rPr>
              <w:t xml:space="preserve"> J. Murrow</w:t>
            </w:r>
          </w:p>
        </w:tc>
        <w:tc>
          <w:tcPr>
            <w:tcW w:w="1620" w:type="dxa"/>
            <w:tcBorders>
              <w:top w:val="single" w:sz="4" w:space="0" w:color="auto"/>
              <w:left w:val="single" w:sz="4" w:space="0" w:color="auto"/>
              <w:bottom w:val="single" w:sz="4" w:space="0" w:color="auto"/>
              <w:right w:val="single" w:sz="4" w:space="0" w:color="auto"/>
            </w:tcBorders>
          </w:tcPr>
          <w:p w:rsidR="003027C7" w:rsidRDefault="003027C7">
            <w:pPr>
              <w:jc w:val="left"/>
              <w:rPr>
                <w:rFonts w:ascii="Arial" w:hAnsi="Arial" w:cs="Arial"/>
                <w:iCs/>
                <w:sz w:val="20"/>
              </w:rPr>
            </w:pPr>
            <w:r>
              <w:rPr>
                <w:rFonts w:ascii="Arial" w:hAnsi="Arial" w:cs="Arial"/>
                <w:sz w:val="20"/>
              </w:rPr>
              <w:t>10/1996</w:t>
            </w:r>
          </w:p>
        </w:tc>
        <w:tc>
          <w:tcPr>
            <w:tcW w:w="4500" w:type="dxa"/>
            <w:tcBorders>
              <w:top w:val="single" w:sz="4" w:space="0" w:color="auto"/>
              <w:left w:val="single" w:sz="4" w:space="0" w:color="auto"/>
              <w:bottom w:val="single" w:sz="4" w:space="0" w:color="auto"/>
              <w:right w:val="single" w:sz="4" w:space="0" w:color="auto"/>
            </w:tcBorders>
          </w:tcPr>
          <w:p w:rsidR="003027C7" w:rsidRDefault="003027C7">
            <w:pPr>
              <w:jc w:val="left"/>
              <w:rPr>
                <w:rFonts w:ascii="Arial" w:hAnsi="Arial" w:cs="Arial"/>
                <w:iCs/>
                <w:sz w:val="20"/>
              </w:rPr>
            </w:pPr>
            <w:r>
              <w:rPr>
                <w:rFonts w:ascii="Arial" w:hAnsi="Arial" w:cs="Arial"/>
                <w:sz w:val="20"/>
              </w:rPr>
              <w:t>Replaces Version 1</w:t>
            </w:r>
          </w:p>
        </w:tc>
      </w:tr>
      <w:tr w:rsidR="003027C7">
        <w:tblPrEx>
          <w:tblBorders>
            <w:top w:val="none" w:sz="0" w:space="0" w:color="auto"/>
            <w:left w:val="none" w:sz="0" w:space="0" w:color="auto"/>
            <w:bottom w:val="single" w:sz="4" w:space="0" w:color="auto"/>
            <w:right w:val="none" w:sz="0" w:space="0" w:color="auto"/>
          </w:tblBorders>
        </w:tblPrEx>
        <w:trPr>
          <w:gridAfter w:val="1"/>
          <w:wAfter w:w="78" w:type="dxa"/>
          <w:trHeight w:val="165"/>
        </w:trPr>
        <w:tc>
          <w:tcPr>
            <w:tcW w:w="1800" w:type="dxa"/>
            <w:vMerge/>
            <w:tcBorders>
              <w:top w:val="single" w:sz="4" w:space="0" w:color="auto"/>
              <w:left w:val="nil"/>
              <w:bottom w:val="nil"/>
              <w:right w:val="single" w:sz="4" w:space="0" w:color="auto"/>
            </w:tcBorders>
          </w:tcPr>
          <w:p w:rsidR="003027C7" w:rsidRDefault="003027C7">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3027C7" w:rsidRDefault="003027C7">
            <w:pPr>
              <w:numPr>
                <w:ilvl w:val="0"/>
                <w:numId w:val="45"/>
              </w:numPr>
              <w:jc w:val="center"/>
              <w:rPr>
                <w:rFonts w:ascii="Arial" w:hAnsi="Arial" w:cs="Arial"/>
                <w:iCs/>
                <w:sz w:val="20"/>
              </w:rPr>
            </w:pPr>
          </w:p>
        </w:tc>
        <w:tc>
          <w:tcPr>
            <w:tcW w:w="2160" w:type="dxa"/>
            <w:tcBorders>
              <w:top w:val="single" w:sz="4" w:space="0" w:color="auto"/>
              <w:left w:val="single" w:sz="4" w:space="0" w:color="auto"/>
              <w:bottom w:val="single" w:sz="4" w:space="0" w:color="auto"/>
              <w:right w:val="single" w:sz="4" w:space="0" w:color="auto"/>
            </w:tcBorders>
          </w:tcPr>
          <w:p w:rsidR="003027C7" w:rsidRDefault="003027C7">
            <w:pPr>
              <w:jc w:val="left"/>
              <w:rPr>
                <w:rFonts w:ascii="Arial" w:hAnsi="Arial" w:cs="Arial"/>
                <w:iCs/>
                <w:sz w:val="20"/>
              </w:rPr>
            </w:pPr>
            <w:r>
              <w:rPr>
                <w:rFonts w:ascii="Arial" w:hAnsi="Arial" w:cs="Arial"/>
                <w:sz w:val="20"/>
              </w:rPr>
              <w:t xml:space="preserve">J. Murrow </w:t>
            </w:r>
          </w:p>
        </w:tc>
        <w:tc>
          <w:tcPr>
            <w:tcW w:w="1620" w:type="dxa"/>
            <w:tcBorders>
              <w:top w:val="single" w:sz="4" w:space="0" w:color="auto"/>
              <w:left w:val="single" w:sz="4" w:space="0" w:color="auto"/>
              <w:bottom w:val="single" w:sz="4" w:space="0" w:color="auto"/>
              <w:right w:val="single" w:sz="4" w:space="0" w:color="auto"/>
            </w:tcBorders>
          </w:tcPr>
          <w:p w:rsidR="003027C7" w:rsidRDefault="003027C7">
            <w:pPr>
              <w:jc w:val="left"/>
              <w:rPr>
                <w:rFonts w:ascii="Arial" w:hAnsi="Arial" w:cs="Arial"/>
                <w:iCs/>
                <w:sz w:val="20"/>
              </w:rPr>
            </w:pPr>
            <w:r>
              <w:rPr>
                <w:rFonts w:ascii="Arial" w:hAnsi="Arial" w:cs="Arial"/>
                <w:sz w:val="20"/>
              </w:rPr>
              <w:t>9/3/2003</w:t>
            </w:r>
          </w:p>
        </w:tc>
        <w:tc>
          <w:tcPr>
            <w:tcW w:w="4500" w:type="dxa"/>
            <w:tcBorders>
              <w:top w:val="single" w:sz="4" w:space="0" w:color="auto"/>
              <w:left w:val="single" w:sz="4" w:space="0" w:color="auto"/>
              <w:bottom w:val="single" w:sz="4" w:space="0" w:color="auto"/>
              <w:right w:val="single" w:sz="4" w:space="0" w:color="auto"/>
            </w:tcBorders>
          </w:tcPr>
          <w:p w:rsidR="003027C7" w:rsidRDefault="003027C7">
            <w:pPr>
              <w:jc w:val="left"/>
              <w:rPr>
                <w:rFonts w:ascii="Arial" w:hAnsi="Arial" w:cs="Arial"/>
                <w:iCs/>
                <w:sz w:val="20"/>
              </w:rPr>
            </w:pPr>
            <w:r>
              <w:rPr>
                <w:rFonts w:ascii="Arial" w:hAnsi="Arial" w:cs="Arial"/>
                <w:sz w:val="20"/>
              </w:rPr>
              <w:t>Revised Version 2</w:t>
            </w:r>
          </w:p>
        </w:tc>
      </w:tr>
      <w:tr w:rsidR="003027C7">
        <w:tblPrEx>
          <w:tblBorders>
            <w:top w:val="none" w:sz="0" w:space="0" w:color="auto"/>
            <w:left w:val="none" w:sz="0" w:space="0" w:color="auto"/>
            <w:bottom w:val="single" w:sz="4" w:space="0" w:color="auto"/>
            <w:right w:val="none" w:sz="0" w:space="0" w:color="auto"/>
          </w:tblBorders>
        </w:tblPrEx>
        <w:trPr>
          <w:gridAfter w:val="1"/>
          <w:wAfter w:w="78" w:type="dxa"/>
          <w:trHeight w:val="255"/>
        </w:trPr>
        <w:tc>
          <w:tcPr>
            <w:tcW w:w="1800" w:type="dxa"/>
            <w:vMerge/>
            <w:tcBorders>
              <w:top w:val="single" w:sz="4" w:space="0" w:color="auto"/>
              <w:left w:val="nil"/>
              <w:bottom w:val="nil"/>
              <w:right w:val="single" w:sz="4" w:space="0" w:color="auto"/>
            </w:tcBorders>
          </w:tcPr>
          <w:p w:rsidR="003027C7" w:rsidRDefault="003027C7">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3027C7" w:rsidRDefault="003027C7">
            <w:pPr>
              <w:numPr>
                <w:ilvl w:val="0"/>
                <w:numId w:val="45"/>
              </w:numPr>
              <w:jc w:val="center"/>
              <w:rPr>
                <w:rFonts w:ascii="Arial" w:hAnsi="Arial" w:cs="Arial"/>
                <w:iCs/>
                <w:sz w:val="20"/>
              </w:rPr>
            </w:pPr>
          </w:p>
        </w:tc>
        <w:tc>
          <w:tcPr>
            <w:tcW w:w="2160" w:type="dxa"/>
            <w:tcBorders>
              <w:top w:val="single" w:sz="4" w:space="0" w:color="auto"/>
              <w:left w:val="single" w:sz="4" w:space="0" w:color="auto"/>
              <w:bottom w:val="single" w:sz="4" w:space="0" w:color="auto"/>
              <w:right w:val="single" w:sz="4" w:space="0" w:color="auto"/>
            </w:tcBorders>
          </w:tcPr>
          <w:p w:rsidR="003027C7" w:rsidRDefault="003027C7">
            <w:pPr>
              <w:jc w:val="left"/>
              <w:rPr>
                <w:rFonts w:ascii="Arial" w:hAnsi="Arial" w:cs="Arial"/>
                <w:iCs/>
                <w:sz w:val="20"/>
              </w:rPr>
            </w:pPr>
            <w:r>
              <w:rPr>
                <w:rFonts w:ascii="Arial" w:hAnsi="Arial" w:cs="Arial"/>
                <w:sz w:val="20"/>
              </w:rPr>
              <w:t>J. Murrow</w:t>
            </w:r>
          </w:p>
        </w:tc>
        <w:tc>
          <w:tcPr>
            <w:tcW w:w="1620" w:type="dxa"/>
            <w:tcBorders>
              <w:top w:val="single" w:sz="4" w:space="0" w:color="auto"/>
              <w:left w:val="single" w:sz="4" w:space="0" w:color="auto"/>
              <w:bottom w:val="single" w:sz="4" w:space="0" w:color="auto"/>
              <w:right w:val="single" w:sz="4" w:space="0" w:color="auto"/>
            </w:tcBorders>
          </w:tcPr>
          <w:p w:rsidR="003027C7" w:rsidRDefault="003027C7">
            <w:pPr>
              <w:jc w:val="left"/>
              <w:rPr>
                <w:rFonts w:ascii="Arial" w:hAnsi="Arial" w:cs="Arial"/>
                <w:iCs/>
                <w:sz w:val="20"/>
              </w:rPr>
            </w:pPr>
            <w:r>
              <w:rPr>
                <w:rFonts w:ascii="Arial" w:hAnsi="Arial" w:cs="Arial"/>
                <w:sz w:val="20"/>
              </w:rPr>
              <w:t>8/3/05</w:t>
            </w:r>
          </w:p>
        </w:tc>
        <w:tc>
          <w:tcPr>
            <w:tcW w:w="4500" w:type="dxa"/>
            <w:tcBorders>
              <w:top w:val="single" w:sz="4" w:space="0" w:color="auto"/>
              <w:left w:val="single" w:sz="4" w:space="0" w:color="auto"/>
              <w:bottom w:val="single" w:sz="4" w:space="0" w:color="auto"/>
              <w:right w:val="single" w:sz="4" w:space="0" w:color="auto"/>
            </w:tcBorders>
          </w:tcPr>
          <w:p w:rsidR="003027C7" w:rsidRDefault="003027C7">
            <w:pPr>
              <w:jc w:val="left"/>
              <w:rPr>
                <w:rFonts w:ascii="Arial" w:hAnsi="Arial" w:cs="Arial"/>
                <w:iCs/>
                <w:sz w:val="20"/>
              </w:rPr>
            </w:pPr>
            <w:r>
              <w:rPr>
                <w:rFonts w:ascii="Arial" w:hAnsi="Arial" w:cs="Arial"/>
                <w:sz w:val="20"/>
              </w:rPr>
              <w:t>BLLRS QC omitted, no longer available</w:t>
            </w:r>
          </w:p>
        </w:tc>
      </w:tr>
      <w:tr w:rsidR="003027C7">
        <w:tblPrEx>
          <w:tblBorders>
            <w:top w:val="none" w:sz="0" w:space="0" w:color="auto"/>
            <w:left w:val="none" w:sz="0" w:space="0" w:color="auto"/>
            <w:bottom w:val="single" w:sz="4" w:space="0" w:color="auto"/>
            <w:right w:val="none" w:sz="0" w:space="0" w:color="auto"/>
          </w:tblBorders>
        </w:tblPrEx>
        <w:trPr>
          <w:gridAfter w:val="1"/>
          <w:wAfter w:w="78" w:type="dxa"/>
          <w:trHeight w:val="255"/>
        </w:trPr>
        <w:tc>
          <w:tcPr>
            <w:tcW w:w="1800" w:type="dxa"/>
            <w:vMerge/>
            <w:tcBorders>
              <w:top w:val="single" w:sz="4" w:space="0" w:color="auto"/>
              <w:left w:val="nil"/>
              <w:bottom w:val="nil"/>
              <w:right w:val="single" w:sz="4" w:space="0" w:color="auto"/>
            </w:tcBorders>
          </w:tcPr>
          <w:p w:rsidR="003027C7" w:rsidRDefault="003027C7">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3027C7" w:rsidRDefault="003027C7">
            <w:pPr>
              <w:numPr>
                <w:ilvl w:val="0"/>
                <w:numId w:val="45"/>
              </w:numPr>
              <w:jc w:val="center"/>
              <w:rPr>
                <w:rFonts w:ascii="Arial" w:hAnsi="Arial" w:cs="Arial"/>
                <w:iCs/>
                <w:sz w:val="20"/>
              </w:rPr>
            </w:pPr>
          </w:p>
        </w:tc>
        <w:tc>
          <w:tcPr>
            <w:tcW w:w="2160" w:type="dxa"/>
            <w:tcBorders>
              <w:top w:val="single" w:sz="4" w:space="0" w:color="auto"/>
              <w:left w:val="single" w:sz="4" w:space="0" w:color="auto"/>
              <w:bottom w:val="single" w:sz="4" w:space="0" w:color="auto"/>
              <w:right w:val="single" w:sz="4" w:space="0" w:color="auto"/>
            </w:tcBorders>
          </w:tcPr>
          <w:p w:rsidR="003027C7" w:rsidRDefault="003027C7">
            <w:pPr>
              <w:jc w:val="left"/>
              <w:rPr>
                <w:rFonts w:ascii="Arial" w:hAnsi="Arial" w:cs="Arial"/>
                <w:iCs/>
                <w:sz w:val="20"/>
              </w:rPr>
            </w:pPr>
            <w:r>
              <w:rPr>
                <w:rFonts w:ascii="Arial" w:hAnsi="Arial" w:cs="Arial"/>
                <w:sz w:val="20"/>
              </w:rPr>
              <w:t>L. Lichty</w:t>
            </w:r>
          </w:p>
        </w:tc>
        <w:tc>
          <w:tcPr>
            <w:tcW w:w="1620" w:type="dxa"/>
            <w:tcBorders>
              <w:top w:val="single" w:sz="4" w:space="0" w:color="auto"/>
              <w:left w:val="single" w:sz="4" w:space="0" w:color="auto"/>
              <w:bottom w:val="single" w:sz="4" w:space="0" w:color="auto"/>
              <w:right w:val="single" w:sz="4" w:space="0" w:color="auto"/>
            </w:tcBorders>
          </w:tcPr>
          <w:p w:rsidR="003027C7" w:rsidRDefault="003027C7">
            <w:pPr>
              <w:jc w:val="left"/>
              <w:rPr>
                <w:rFonts w:ascii="Arial" w:hAnsi="Arial" w:cs="Arial"/>
                <w:iCs/>
                <w:sz w:val="20"/>
              </w:rPr>
            </w:pPr>
            <w:r>
              <w:rPr>
                <w:rFonts w:ascii="Arial" w:hAnsi="Arial" w:cs="Arial"/>
                <w:sz w:val="20"/>
              </w:rPr>
              <w:t>9/19/2005</w:t>
            </w:r>
          </w:p>
        </w:tc>
        <w:tc>
          <w:tcPr>
            <w:tcW w:w="4500" w:type="dxa"/>
            <w:tcBorders>
              <w:top w:val="single" w:sz="4" w:space="0" w:color="auto"/>
              <w:left w:val="single" w:sz="4" w:space="0" w:color="auto"/>
              <w:bottom w:val="single" w:sz="4" w:space="0" w:color="auto"/>
              <w:right w:val="single" w:sz="4" w:space="0" w:color="auto"/>
            </w:tcBorders>
          </w:tcPr>
          <w:p w:rsidR="003027C7" w:rsidRDefault="003027C7">
            <w:pPr>
              <w:jc w:val="left"/>
              <w:rPr>
                <w:rFonts w:ascii="Arial" w:hAnsi="Arial" w:cs="Arial"/>
                <w:iCs/>
                <w:sz w:val="20"/>
              </w:rPr>
            </w:pPr>
            <w:r>
              <w:rPr>
                <w:rFonts w:ascii="Arial" w:hAnsi="Arial" w:cs="Arial"/>
                <w:sz w:val="20"/>
              </w:rPr>
              <w:t>Added maintenance criteria.</w:t>
            </w:r>
          </w:p>
        </w:tc>
      </w:tr>
      <w:tr w:rsidR="003027C7">
        <w:tblPrEx>
          <w:tblBorders>
            <w:top w:val="none" w:sz="0" w:space="0" w:color="auto"/>
            <w:left w:val="none" w:sz="0" w:space="0" w:color="auto"/>
            <w:bottom w:val="single" w:sz="4" w:space="0" w:color="auto"/>
            <w:right w:val="none" w:sz="0" w:space="0" w:color="auto"/>
          </w:tblBorders>
        </w:tblPrEx>
        <w:trPr>
          <w:gridAfter w:val="1"/>
          <w:wAfter w:w="78" w:type="dxa"/>
          <w:trHeight w:val="255"/>
        </w:trPr>
        <w:tc>
          <w:tcPr>
            <w:tcW w:w="1800" w:type="dxa"/>
            <w:vMerge/>
            <w:tcBorders>
              <w:top w:val="single" w:sz="4" w:space="0" w:color="auto"/>
              <w:left w:val="nil"/>
              <w:bottom w:val="nil"/>
              <w:right w:val="single" w:sz="4" w:space="0" w:color="auto"/>
            </w:tcBorders>
          </w:tcPr>
          <w:p w:rsidR="003027C7" w:rsidRDefault="003027C7">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3027C7" w:rsidRDefault="003027C7">
            <w:pPr>
              <w:numPr>
                <w:ilvl w:val="0"/>
                <w:numId w:val="45"/>
              </w:numPr>
              <w:jc w:val="center"/>
              <w:rPr>
                <w:rFonts w:ascii="Arial" w:hAnsi="Arial" w:cs="Arial"/>
                <w:iCs/>
                <w:sz w:val="20"/>
              </w:rPr>
            </w:pPr>
          </w:p>
        </w:tc>
        <w:tc>
          <w:tcPr>
            <w:tcW w:w="2160" w:type="dxa"/>
            <w:tcBorders>
              <w:top w:val="single" w:sz="4" w:space="0" w:color="auto"/>
              <w:left w:val="single" w:sz="4" w:space="0" w:color="auto"/>
              <w:bottom w:val="single" w:sz="4" w:space="0" w:color="auto"/>
              <w:right w:val="single" w:sz="4" w:space="0" w:color="auto"/>
            </w:tcBorders>
          </w:tcPr>
          <w:p w:rsidR="003027C7" w:rsidRDefault="003027C7">
            <w:pPr>
              <w:jc w:val="left"/>
              <w:rPr>
                <w:rFonts w:ascii="Arial" w:hAnsi="Arial" w:cs="Arial"/>
                <w:sz w:val="20"/>
              </w:rPr>
            </w:pPr>
            <w:r>
              <w:rPr>
                <w:rFonts w:ascii="Arial" w:hAnsi="Arial" w:cs="Arial"/>
                <w:sz w:val="20"/>
              </w:rPr>
              <w:t>J. Murrow, L. Lichty</w:t>
            </w:r>
          </w:p>
        </w:tc>
        <w:tc>
          <w:tcPr>
            <w:tcW w:w="1620" w:type="dxa"/>
            <w:tcBorders>
              <w:top w:val="single" w:sz="4" w:space="0" w:color="auto"/>
              <w:left w:val="single" w:sz="4" w:space="0" w:color="auto"/>
              <w:bottom w:val="single" w:sz="4" w:space="0" w:color="auto"/>
              <w:right w:val="single" w:sz="4" w:space="0" w:color="auto"/>
            </w:tcBorders>
          </w:tcPr>
          <w:p w:rsidR="003027C7" w:rsidRDefault="003027C7">
            <w:pPr>
              <w:jc w:val="left"/>
              <w:rPr>
                <w:rFonts w:ascii="Arial" w:hAnsi="Arial" w:cs="Arial"/>
                <w:sz w:val="20"/>
              </w:rPr>
            </w:pPr>
            <w:r>
              <w:rPr>
                <w:rFonts w:ascii="Arial" w:hAnsi="Arial" w:cs="Arial"/>
                <w:sz w:val="20"/>
              </w:rPr>
              <w:t>3/16/2006</w:t>
            </w:r>
          </w:p>
        </w:tc>
        <w:tc>
          <w:tcPr>
            <w:tcW w:w="4500" w:type="dxa"/>
            <w:tcBorders>
              <w:top w:val="single" w:sz="4" w:space="0" w:color="auto"/>
              <w:left w:val="single" w:sz="4" w:space="0" w:color="auto"/>
              <w:bottom w:val="single" w:sz="4" w:space="0" w:color="auto"/>
              <w:right w:val="single" w:sz="4" w:space="0" w:color="auto"/>
            </w:tcBorders>
          </w:tcPr>
          <w:p w:rsidR="003027C7" w:rsidRDefault="003027C7">
            <w:pPr>
              <w:jc w:val="left"/>
              <w:rPr>
                <w:rFonts w:ascii="Arial" w:hAnsi="Arial" w:cs="Arial"/>
                <w:sz w:val="20"/>
              </w:rPr>
            </w:pPr>
            <w:r>
              <w:rPr>
                <w:rFonts w:ascii="Arial" w:hAnsi="Arial" w:cs="Arial"/>
                <w:sz w:val="20"/>
              </w:rPr>
              <w:t>Instrument replacement</w:t>
            </w:r>
          </w:p>
        </w:tc>
      </w:tr>
      <w:tr w:rsidR="003027C7">
        <w:tblPrEx>
          <w:tblBorders>
            <w:top w:val="none" w:sz="0" w:space="0" w:color="auto"/>
            <w:left w:val="none" w:sz="0" w:space="0" w:color="auto"/>
            <w:bottom w:val="single" w:sz="4" w:space="0" w:color="auto"/>
            <w:right w:val="none" w:sz="0" w:space="0" w:color="auto"/>
          </w:tblBorders>
        </w:tblPrEx>
        <w:trPr>
          <w:gridAfter w:val="1"/>
          <w:wAfter w:w="78" w:type="dxa"/>
          <w:trHeight w:val="255"/>
        </w:trPr>
        <w:tc>
          <w:tcPr>
            <w:tcW w:w="1800" w:type="dxa"/>
            <w:vMerge/>
            <w:tcBorders>
              <w:top w:val="single" w:sz="4" w:space="0" w:color="auto"/>
              <w:left w:val="nil"/>
              <w:bottom w:val="nil"/>
              <w:right w:val="single" w:sz="4" w:space="0" w:color="auto"/>
            </w:tcBorders>
          </w:tcPr>
          <w:p w:rsidR="003027C7" w:rsidRDefault="003027C7">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3027C7" w:rsidRDefault="003027C7">
            <w:pPr>
              <w:numPr>
                <w:ilvl w:val="0"/>
                <w:numId w:val="45"/>
              </w:numPr>
              <w:jc w:val="center"/>
              <w:rPr>
                <w:rFonts w:ascii="Arial" w:hAnsi="Arial" w:cs="Arial"/>
                <w:iCs/>
                <w:sz w:val="20"/>
              </w:rPr>
            </w:pPr>
          </w:p>
        </w:tc>
        <w:tc>
          <w:tcPr>
            <w:tcW w:w="2160" w:type="dxa"/>
            <w:tcBorders>
              <w:top w:val="single" w:sz="4" w:space="0" w:color="auto"/>
              <w:left w:val="single" w:sz="4" w:space="0" w:color="auto"/>
              <w:bottom w:val="single" w:sz="4" w:space="0" w:color="auto"/>
              <w:right w:val="single" w:sz="4" w:space="0" w:color="auto"/>
            </w:tcBorders>
          </w:tcPr>
          <w:p w:rsidR="003027C7" w:rsidRDefault="003027C7">
            <w:pPr>
              <w:jc w:val="left"/>
              <w:rPr>
                <w:rFonts w:ascii="Arial" w:hAnsi="Arial" w:cs="Arial"/>
                <w:sz w:val="20"/>
              </w:rPr>
            </w:pPr>
            <w:r>
              <w:rPr>
                <w:rFonts w:ascii="Arial" w:hAnsi="Arial" w:cs="Arial"/>
                <w:sz w:val="20"/>
              </w:rPr>
              <w:t>L. Lichty</w:t>
            </w:r>
          </w:p>
        </w:tc>
        <w:tc>
          <w:tcPr>
            <w:tcW w:w="1620" w:type="dxa"/>
            <w:tcBorders>
              <w:top w:val="single" w:sz="4" w:space="0" w:color="auto"/>
              <w:left w:val="single" w:sz="4" w:space="0" w:color="auto"/>
              <w:bottom w:val="single" w:sz="4" w:space="0" w:color="auto"/>
              <w:right w:val="single" w:sz="4" w:space="0" w:color="auto"/>
            </w:tcBorders>
          </w:tcPr>
          <w:p w:rsidR="003027C7" w:rsidRDefault="003027C7">
            <w:pPr>
              <w:jc w:val="left"/>
              <w:rPr>
                <w:rFonts w:ascii="Arial" w:hAnsi="Arial" w:cs="Arial"/>
                <w:sz w:val="20"/>
              </w:rPr>
            </w:pPr>
            <w:r>
              <w:rPr>
                <w:rFonts w:ascii="Arial" w:hAnsi="Arial" w:cs="Arial"/>
                <w:sz w:val="20"/>
              </w:rPr>
              <w:t>9/16/2009</w:t>
            </w:r>
          </w:p>
        </w:tc>
        <w:tc>
          <w:tcPr>
            <w:tcW w:w="4500" w:type="dxa"/>
            <w:tcBorders>
              <w:top w:val="single" w:sz="4" w:space="0" w:color="auto"/>
              <w:left w:val="single" w:sz="4" w:space="0" w:color="auto"/>
              <w:bottom w:val="single" w:sz="4" w:space="0" w:color="auto"/>
              <w:right w:val="single" w:sz="4" w:space="0" w:color="auto"/>
            </w:tcBorders>
          </w:tcPr>
          <w:p w:rsidR="003027C7" w:rsidRDefault="003027C7">
            <w:pPr>
              <w:jc w:val="left"/>
              <w:rPr>
                <w:rFonts w:ascii="Arial" w:hAnsi="Arial" w:cs="Arial"/>
                <w:sz w:val="20"/>
              </w:rPr>
            </w:pPr>
            <w:r>
              <w:rPr>
                <w:rFonts w:ascii="Arial" w:hAnsi="Arial" w:cs="Arial"/>
                <w:sz w:val="20"/>
              </w:rPr>
              <w:t>Added PSD precision specification</w:t>
            </w:r>
          </w:p>
        </w:tc>
      </w:tr>
      <w:tr w:rsidR="003027C7">
        <w:tblPrEx>
          <w:tblBorders>
            <w:top w:val="none" w:sz="0" w:space="0" w:color="auto"/>
            <w:left w:val="none" w:sz="0" w:space="0" w:color="auto"/>
            <w:bottom w:val="single" w:sz="4" w:space="0" w:color="auto"/>
            <w:right w:val="none" w:sz="0" w:space="0" w:color="auto"/>
          </w:tblBorders>
        </w:tblPrEx>
        <w:trPr>
          <w:gridAfter w:val="1"/>
          <w:wAfter w:w="78" w:type="dxa"/>
          <w:trHeight w:val="255"/>
        </w:trPr>
        <w:tc>
          <w:tcPr>
            <w:tcW w:w="1800" w:type="dxa"/>
            <w:vMerge/>
            <w:tcBorders>
              <w:top w:val="single" w:sz="4" w:space="0" w:color="auto"/>
              <w:left w:val="nil"/>
              <w:bottom w:val="nil"/>
              <w:right w:val="single" w:sz="4" w:space="0" w:color="auto"/>
            </w:tcBorders>
          </w:tcPr>
          <w:p w:rsidR="003027C7" w:rsidRDefault="003027C7">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3027C7" w:rsidRDefault="003027C7">
            <w:pPr>
              <w:numPr>
                <w:ilvl w:val="0"/>
                <w:numId w:val="45"/>
              </w:numPr>
              <w:jc w:val="center"/>
              <w:rPr>
                <w:rFonts w:ascii="Arial" w:hAnsi="Arial" w:cs="Arial"/>
                <w:iCs/>
                <w:sz w:val="20"/>
              </w:rPr>
            </w:pPr>
          </w:p>
        </w:tc>
        <w:tc>
          <w:tcPr>
            <w:tcW w:w="2160" w:type="dxa"/>
            <w:tcBorders>
              <w:top w:val="single" w:sz="4" w:space="0" w:color="auto"/>
              <w:left w:val="single" w:sz="4" w:space="0" w:color="auto"/>
              <w:bottom w:val="single" w:sz="4" w:space="0" w:color="auto"/>
              <w:right w:val="single" w:sz="4" w:space="0" w:color="auto"/>
            </w:tcBorders>
          </w:tcPr>
          <w:p w:rsidR="003027C7" w:rsidRDefault="003027C7">
            <w:pPr>
              <w:jc w:val="left"/>
              <w:rPr>
                <w:rFonts w:ascii="Arial" w:hAnsi="Arial" w:cs="Arial"/>
                <w:sz w:val="20"/>
              </w:rPr>
            </w:pPr>
            <w:r>
              <w:rPr>
                <w:rFonts w:ascii="Arial" w:hAnsi="Arial" w:cs="Arial"/>
                <w:sz w:val="20"/>
              </w:rPr>
              <w:t xml:space="preserve">D. </w:t>
            </w:r>
            <w:proofErr w:type="spellStart"/>
            <w:r>
              <w:rPr>
                <w:rFonts w:ascii="Arial" w:hAnsi="Arial" w:cs="Arial"/>
                <w:sz w:val="20"/>
              </w:rPr>
              <w:t>Helfinstine</w:t>
            </w:r>
            <w:proofErr w:type="spellEnd"/>
            <w:r>
              <w:rPr>
                <w:rFonts w:ascii="Arial" w:hAnsi="Arial" w:cs="Arial"/>
                <w:sz w:val="20"/>
              </w:rPr>
              <w:t>/L. Lichty</w:t>
            </w:r>
          </w:p>
        </w:tc>
        <w:tc>
          <w:tcPr>
            <w:tcW w:w="1620" w:type="dxa"/>
            <w:tcBorders>
              <w:top w:val="single" w:sz="4" w:space="0" w:color="auto"/>
              <w:left w:val="single" w:sz="4" w:space="0" w:color="auto"/>
              <w:bottom w:val="single" w:sz="4" w:space="0" w:color="auto"/>
              <w:right w:val="single" w:sz="4" w:space="0" w:color="auto"/>
            </w:tcBorders>
          </w:tcPr>
          <w:p w:rsidR="003027C7" w:rsidRDefault="003027C7">
            <w:pPr>
              <w:jc w:val="left"/>
              <w:rPr>
                <w:rFonts w:ascii="Arial" w:hAnsi="Arial" w:cs="Arial"/>
                <w:sz w:val="20"/>
              </w:rPr>
            </w:pPr>
            <w:r>
              <w:rPr>
                <w:rFonts w:ascii="Arial" w:hAnsi="Arial" w:cs="Arial"/>
                <w:sz w:val="20"/>
              </w:rPr>
              <w:t>April 1, 2011</w:t>
            </w:r>
          </w:p>
        </w:tc>
        <w:tc>
          <w:tcPr>
            <w:tcW w:w="4500" w:type="dxa"/>
            <w:tcBorders>
              <w:top w:val="single" w:sz="4" w:space="0" w:color="auto"/>
              <w:left w:val="single" w:sz="4" w:space="0" w:color="auto"/>
              <w:bottom w:val="single" w:sz="4" w:space="0" w:color="auto"/>
              <w:right w:val="single" w:sz="4" w:space="0" w:color="auto"/>
            </w:tcBorders>
          </w:tcPr>
          <w:p w:rsidR="003027C7" w:rsidRDefault="003027C7">
            <w:pPr>
              <w:jc w:val="left"/>
              <w:rPr>
                <w:rFonts w:ascii="Arial" w:hAnsi="Arial" w:cs="Arial"/>
                <w:sz w:val="20"/>
              </w:rPr>
            </w:pPr>
            <w:r>
              <w:rPr>
                <w:rFonts w:ascii="Arial" w:hAnsi="Arial" w:cs="Arial"/>
                <w:sz w:val="20"/>
              </w:rPr>
              <w:t>New format. Removed operating procedure. Vendor name change from “Varian” to “Agilent Technologies”. Updated language. Renumbered from CH 6.09</w:t>
            </w:r>
          </w:p>
        </w:tc>
      </w:tr>
      <w:tr w:rsidR="003027C7">
        <w:tblPrEx>
          <w:tblBorders>
            <w:top w:val="none" w:sz="0" w:space="0" w:color="auto"/>
            <w:left w:val="none" w:sz="0" w:space="0" w:color="auto"/>
            <w:bottom w:val="single" w:sz="4" w:space="0" w:color="auto"/>
            <w:right w:val="none" w:sz="0" w:space="0" w:color="auto"/>
          </w:tblBorders>
        </w:tblPrEx>
        <w:trPr>
          <w:gridAfter w:val="1"/>
          <w:wAfter w:w="78" w:type="dxa"/>
          <w:trHeight w:val="255"/>
        </w:trPr>
        <w:tc>
          <w:tcPr>
            <w:tcW w:w="1800" w:type="dxa"/>
            <w:vMerge/>
            <w:tcBorders>
              <w:top w:val="single" w:sz="4" w:space="0" w:color="auto"/>
              <w:left w:val="nil"/>
              <w:bottom w:val="nil"/>
              <w:right w:val="single" w:sz="4" w:space="0" w:color="auto"/>
            </w:tcBorders>
          </w:tcPr>
          <w:p w:rsidR="003027C7" w:rsidRDefault="003027C7">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3027C7" w:rsidRDefault="003027C7">
            <w:pPr>
              <w:numPr>
                <w:ilvl w:val="0"/>
                <w:numId w:val="45"/>
              </w:numPr>
              <w:jc w:val="center"/>
              <w:rPr>
                <w:rFonts w:ascii="Arial" w:hAnsi="Arial" w:cs="Arial"/>
                <w:iCs/>
                <w:sz w:val="20"/>
              </w:rPr>
            </w:pPr>
          </w:p>
        </w:tc>
        <w:tc>
          <w:tcPr>
            <w:tcW w:w="2160" w:type="dxa"/>
            <w:tcBorders>
              <w:top w:val="single" w:sz="4" w:space="0" w:color="auto"/>
              <w:left w:val="single" w:sz="4" w:space="0" w:color="auto"/>
              <w:bottom w:val="single" w:sz="4" w:space="0" w:color="auto"/>
              <w:right w:val="single" w:sz="4" w:space="0" w:color="auto"/>
            </w:tcBorders>
          </w:tcPr>
          <w:p w:rsidR="003027C7" w:rsidRDefault="003027C7">
            <w:pPr>
              <w:jc w:val="left"/>
              <w:rPr>
                <w:rFonts w:ascii="Arial" w:hAnsi="Arial" w:cs="Arial"/>
                <w:sz w:val="20"/>
              </w:rPr>
            </w:pPr>
            <w:r>
              <w:rPr>
                <w:rFonts w:ascii="Arial" w:hAnsi="Arial" w:cs="Arial"/>
                <w:sz w:val="20"/>
              </w:rPr>
              <w:t>L. Lichty</w:t>
            </w:r>
          </w:p>
        </w:tc>
        <w:tc>
          <w:tcPr>
            <w:tcW w:w="1620" w:type="dxa"/>
            <w:tcBorders>
              <w:top w:val="single" w:sz="4" w:space="0" w:color="auto"/>
              <w:left w:val="single" w:sz="4" w:space="0" w:color="auto"/>
              <w:bottom w:val="single" w:sz="4" w:space="0" w:color="auto"/>
              <w:right w:val="single" w:sz="4" w:space="0" w:color="auto"/>
            </w:tcBorders>
          </w:tcPr>
          <w:p w:rsidR="003027C7" w:rsidRDefault="003027C7">
            <w:pPr>
              <w:jc w:val="left"/>
              <w:rPr>
                <w:rFonts w:ascii="Arial" w:hAnsi="Arial" w:cs="Arial"/>
                <w:sz w:val="20"/>
              </w:rPr>
            </w:pPr>
            <w:r>
              <w:rPr>
                <w:rFonts w:ascii="Arial" w:hAnsi="Arial" w:cs="Arial"/>
                <w:sz w:val="20"/>
              </w:rPr>
              <w:t>May 13, 2011</w:t>
            </w:r>
          </w:p>
        </w:tc>
        <w:tc>
          <w:tcPr>
            <w:tcW w:w="4500" w:type="dxa"/>
            <w:tcBorders>
              <w:top w:val="single" w:sz="4" w:space="0" w:color="auto"/>
              <w:left w:val="single" w:sz="4" w:space="0" w:color="auto"/>
              <w:bottom w:val="single" w:sz="4" w:space="0" w:color="auto"/>
              <w:right w:val="single" w:sz="4" w:space="0" w:color="auto"/>
            </w:tcBorders>
          </w:tcPr>
          <w:p w:rsidR="003027C7" w:rsidRDefault="003027C7">
            <w:pPr>
              <w:jc w:val="left"/>
              <w:rPr>
                <w:rFonts w:ascii="Arial" w:hAnsi="Arial" w:cs="Arial"/>
                <w:sz w:val="20"/>
              </w:rPr>
            </w:pPr>
            <w:r>
              <w:rPr>
                <w:rFonts w:ascii="Arial" w:hAnsi="Arial" w:cs="Arial"/>
                <w:sz w:val="20"/>
              </w:rPr>
              <w:t>Revised Reporting section, fax corrected reports to MDH</w:t>
            </w:r>
          </w:p>
        </w:tc>
      </w:tr>
      <w:tr w:rsidR="00D71601">
        <w:tblPrEx>
          <w:tblBorders>
            <w:top w:val="none" w:sz="0" w:space="0" w:color="auto"/>
            <w:left w:val="none" w:sz="0" w:space="0" w:color="auto"/>
            <w:bottom w:val="single" w:sz="4" w:space="0" w:color="auto"/>
            <w:right w:val="none" w:sz="0" w:space="0" w:color="auto"/>
          </w:tblBorders>
        </w:tblPrEx>
        <w:trPr>
          <w:gridAfter w:val="1"/>
          <w:wAfter w:w="78" w:type="dxa"/>
          <w:trHeight w:val="255"/>
        </w:trPr>
        <w:tc>
          <w:tcPr>
            <w:tcW w:w="1800" w:type="dxa"/>
            <w:vMerge/>
            <w:tcBorders>
              <w:top w:val="single" w:sz="4" w:space="0" w:color="auto"/>
              <w:left w:val="nil"/>
              <w:bottom w:val="nil"/>
              <w:right w:val="single" w:sz="4" w:space="0" w:color="auto"/>
            </w:tcBorders>
          </w:tcPr>
          <w:p w:rsidR="00D71601" w:rsidRDefault="00D71601">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D71601" w:rsidRDefault="00D71601">
            <w:pPr>
              <w:numPr>
                <w:ilvl w:val="0"/>
                <w:numId w:val="45"/>
              </w:numPr>
              <w:jc w:val="center"/>
              <w:rPr>
                <w:rFonts w:ascii="Arial" w:hAnsi="Arial" w:cs="Arial"/>
                <w:iCs/>
                <w:sz w:val="20"/>
              </w:rPr>
            </w:pPr>
          </w:p>
        </w:tc>
        <w:tc>
          <w:tcPr>
            <w:tcW w:w="2160" w:type="dxa"/>
            <w:tcBorders>
              <w:top w:val="single" w:sz="4" w:space="0" w:color="auto"/>
              <w:left w:val="single" w:sz="4" w:space="0" w:color="auto"/>
              <w:bottom w:val="single" w:sz="4" w:space="0" w:color="auto"/>
              <w:right w:val="single" w:sz="4" w:space="0" w:color="auto"/>
            </w:tcBorders>
          </w:tcPr>
          <w:p w:rsidR="00D71601" w:rsidRDefault="00D71601">
            <w:pPr>
              <w:jc w:val="left"/>
              <w:rPr>
                <w:rFonts w:ascii="Arial" w:hAnsi="Arial" w:cs="Arial"/>
                <w:sz w:val="20"/>
              </w:rPr>
            </w:pPr>
            <w:r>
              <w:rPr>
                <w:rFonts w:ascii="Arial" w:hAnsi="Arial" w:cs="Arial"/>
                <w:sz w:val="20"/>
              </w:rPr>
              <w:t xml:space="preserve">L. </w:t>
            </w:r>
            <w:proofErr w:type="spellStart"/>
            <w:r>
              <w:rPr>
                <w:rFonts w:ascii="Arial" w:hAnsi="Arial" w:cs="Arial"/>
                <w:sz w:val="20"/>
              </w:rPr>
              <w:t>Lichty</w:t>
            </w:r>
            <w:proofErr w:type="spellEnd"/>
          </w:p>
        </w:tc>
        <w:tc>
          <w:tcPr>
            <w:tcW w:w="1620" w:type="dxa"/>
            <w:tcBorders>
              <w:top w:val="single" w:sz="4" w:space="0" w:color="auto"/>
              <w:left w:val="single" w:sz="4" w:space="0" w:color="auto"/>
              <w:bottom w:val="single" w:sz="4" w:space="0" w:color="auto"/>
              <w:right w:val="single" w:sz="4" w:space="0" w:color="auto"/>
            </w:tcBorders>
          </w:tcPr>
          <w:p w:rsidR="00D71601" w:rsidRDefault="00D71601">
            <w:pPr>
              <w:jc w:val="left"/>
              <w:rPr>
                <w:rFonts w:ascii="Arial" w:hAnsi="Arial" w:cs="Arial"/>
                <w:sz w:val="20"/>
              </w:rPr>
            </w:pPr>
            <w:r>
              <w:rPr>
                <w:rFonts w:ascii="Arial" w:hAnsi="Arial" w:cs="Arial"/>
                <w:sz w:val="20"/>
              </w:rPr>
              <w:t>March 12, 2013</w:t>
            </w:r>
          </w:p>
        </w:tc>
        <w:tc>
          <w:tcPr>
            <w:tcW w:w="4500" w:type="dxa"/>
            <w:tcBorders>
              <w:top w:val="single" w:sz="4" w:space="0" w:color="auto"/>
              <w:left w:val="single" w:sz="4" w:space="0" w:color="auto"/>
              <w:bottom w:val="single" w:sz="4" w:space="0" w:color="auto"/>
              <w:right w:val="single" w:sz="4" w:space="0" w:color="auto"/>
            </w:tcBorders>
          </w:tcPr>
          <w:p w:rsidR="00D71601" w:rsidRDefault="00D71601">
            <w:pPr>
              <w:jc w:val="left"/>
              <w:rPr>
                <w:rFonts w:ascii="Arial" w:hAnsi="Arial" w:cs="Arial"/>
                <w:sz w:val="20"/>
              </w:rPr>
            </w:pPr>
            <w:r>
              <w:rPr>
                <w:rFonts w:ascii="Arial" w:hAnsi="Arial" w:cs="Arial"/>
                <w:sz w:val="20"/>
              </w:rPr>
              <w:t>Changed reference range to CDC and MDH level</w:t>
            </w:r>
          </w:p>
        </w:tc>
      </w:tr>
      <w:tr w:rsidR="003027C7">
        <w:tblPrEx>
          <w:tblBorders>
            <w:top w:val="none" w:sz="0" w:space="0" w:color="auto"/>
            <w:left w:val="none" w:sz="0" w:space="0" w:color="auto"/>
            <w:bottom w:val="single" w:sz="4" w:space="0" w:color="auto"/>
            <w:right w:val="none" w:sz="0" w:space="0" w:color="auto"/>
          </w:tblBorders>
        </w:tblPrEx>
        <w:trPr>
          <w:gridAfter w:val="1"/>
          <w:wAfter w:w="78" w:type="dxa"/>
          <w:trHeight w:val="255"/>
        </w:trPr>
        <w:tc>
          <w:tcPr>
            <w:tcW w:w="1800" w:type="dxa"/>
            <w:vMerge/>
            <w:tcBorders>
              <w:top w:val="single" w:sz="4" w:space="0" w:color="auto"/>
              <w:left w:val="nil"/>
              <w:bottom w:val="nil"/>
              <w:right w:val="single" w:sz="4" w:space="0" w:color="auto"/>
            </w:tcBorders>
          </w:tcPr>
          <w:p w:rsidR="003027C7" w:rsidRDefault="003027C7">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3027C7" w:rsidRDefault="003027C7">
            <w:pPr>
              <w:numPr>
                <w:ilvl w:val="0"/>
                <w:numId w:val="45"/>
              </w:numPr>
              <w:jc w:val="center"/>
              <w:rPr>
                <w:rFonts w:ascii="Arial" w:hAnsi="Arial" w:cs="Arial"/>
                <w:iCs/>
                <w:sz w:val="20"/>
              </w:rPr>
            </w:pPr>
          </w:p>
        </w:tc>
        <w:tc>
          <w:tcPr>
            <w:tcW w:w="2160" w:type="dxa"/>
            <w:tcBorders>
              <w:top w:val="single" w:sz="4" w:space="0" w:color="auto"/>
              <w:left w:val="single" w:sz="4" w:space="0" w:color="auto"/>
              <w:bottom w:val="single" w:sz="4" w:space="0" w:color="auto"/>
              <w:right w:val="single" w:sz="4" w:space="0" w:color="auto"/>
            </w:tcBorders>
          </w:tcPr>
          <w:p w:rsidR="003027C7" w:rsidRDefault="00D71601">
            <w:pPr>
              <w:jc w:val="left"/>
              <w:rPr>
                <w:rFonts w:ascii="Arial" w:hAnsi="Arial" w:cs="Arial"/>
                <w:sz w:val="20"/>
              </w:rPr>
            </w:pPr>
            <w:r>
              <w:rPr>
                <w:rFonts w:ascii="Arial" w:hAnsi="Arial" w:cs="Arial"/>
                <w:sz w:val="20"/>
              </w:rPr>
              <w:t>Kelsi Brown</w:t>
            </w:r>
          </w:p>
        </w:tc>
        <w:tc>
          <w:tcPr>
            <w:tcW w:w="1620" w:type="dxa"/>
            <w:tcBorders>
              <w:top w:val="single" w:sz="4" w:space="0" w:color="auto"/>
              <w:left w:val="single" w:sz="4" w:space="0" w:color="auto"/>
              <w:bottom w:val="single" w:sz="4" w:space="0" w:color="auto"/>
              <w:right w:val="single" w:sz="4" w:space="0" w:color="auto"/>
            </w:tcBorders>
          </w:tcPr>
          <w:p w:rsidR="003027C7" w:rsidRDefault="00D71601">
            <w:pPr>
              <w:jc w:val="left"/>
              <w:rPr>
                <w:rFonts w:ascii="Arial" w:hAnsi="Arial" w:cs="Arial"/>
                <w:sz w:val="20"/>
              </w:rPr>
            </w:pPr>
            <w:r>
              <w:rPr>
                <w:rFonts w:ascii="Arial" w:hAnsi="Arial" w:cs="Arial"/>
                <w:sz w:val="20"/>
              </w:rPr>
              <w:t>June 27, 2017</w:t>
            </w:r>
          </w:p>
        </w:tc>
        <w:tc>
          <w:tcPr>
            <w:tcW w:w="4500" w:type="dxa"/>
            <w:tcBorders>
              <w:top w:val="single" w:sz="4" w:space="0" w:color="auto"/>
              <w:left w:val="single" w:sz="4" w:space="0" w:color="auto"/>
              <w:bottom w:val="single" w:sz="4" w:space="0" w:color="auto"/>
              <w:right w:val="single" w:sz="4" w:space="0" w:color="auto"/>
            </w:tcBorders>
          </w:tcPr>
          <w:p w:rsidR="003027C7" w:rsidRDefault="00D71601">
            <w:pPr>
              <w:jc w:val="left"/>
              <w:rPr>
                <w:rFonts w:ascii="Arial" w:hAnsi="Arial" w:cs="Arial"/>
                <w:sz w:val="20"/>
              </w:rPr>
            </w:pPr>
            <w:r>
              <w:rPr>
                <w:rFonts w:ascii="Arial" w:hAnsi="Arial" w:cs="Arial"/>
                <w:sz w:val="20"/>
              </w:rPr>
              <w:t>Biennial Review</w:t>
            </w:r>
          </w:p>
        </w:tc>
      </w:tr>
      <w:tr w:rsidR="009F10FC">
        <w:tblPrEx>
          <w:tblBorders>
            <w:top w:val="none" w:sz="0" w:space="0" w:color="auto"/>
            <w:left w:val="none" w:sz="0" w:space="0" w:color="auto"/>
            <w:bottom w:val="single" w:sz="4" w:space="0" w:color="auto"/>
            <w:right w:val="none" w:sz="0" w:space="0" w:color="auto"/>
          </w:tblBorders>
        </w:tblPrEx>
        <w:trPr>
          <w:gridAfter w:val="1"/>
          <w:wAfter w:w="78" w:type="dxa"/>
          <w:trHeight w:val="255"/>
        </w:trPr>
        <w:tc>
          <w:tcPr>
            <w:tcW w:w="1800" w:type="dxa"/>
            <w:tcBorders>
              <w:top w:val="single" w:sz="4" w:space="0" w:color="auto"/>
              <w:left w:val="nil"/>
              <w:bottom w:val="nil"/>
              <w:right w:val="single" w:sz="4" w:space="0" w:color="auto"/>
            </w:tcBorders>
          </w:tcPr>
          <w:p w:rsidR="009F10FC" w:rsidRDefault="009F10FC">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9F10FC" w:rsidRDefault="009F10FC">
            <w:pPr>
              <w:numPr>
                <w:ilvl w:val="0"/>
                <w:numId w:val="45"/>
              </w:numPr>
              <w:jc w:val="center"/>
              <w:rPr>
                <w:rFonts w:ascii="Arial" w:hAnsi="Arial" w:cs="Arial"/>
                <w:iCs/>
                <w:sz w:val="20"/>
              </w:rPr>
            </w:pPr>
          </w:p>
        </w:tc>
        <w:tc>
          <w:tcPr>
            <w:tcW w:w="2160" w:type="dxa"/>
            <w:tcBorders>
              <w:top w:val="single" w:sz="4" w:space="0" w:color="auto"/>
              <w:left w:val="single" w:sz="4" w:space="0" w:color="auto"/>
              <w:bottom w:val="single" w:sz="4" w:space="0" w:color="auto"/>
              <w:right w:val="single" w:sz="4" w:space="0" w:color="auto"/>
            </w:tcBorders>
          </w:tcPr>
          <w:p w:rsidR="009F10FC" w:rsidRDefault="009F10FC">
            <w:pPr>
              <w:jc w:val="left"/>
              <w:rPr>
                <w:rFonts w:ascii="Arial" w:hAnsi="Arial" w:cs="Arial"/>
                <w:sz w:val="20"/>
              </w:rPr>
            </w:pPr>
            <w:r>
              <w:rPr>
                <w:rFonts w:ascii="Arial" w:hAnsi="Arial" w:cs="Arial"/>
                <w:sz w:val="20"/>
              </w:rPr>
              <w:t>Erin Bartos</w:t>
            </w:r>
          </w:p>
        </w:tc>
        <w:tc>
          <w:tcPr>
            <w:tcW w:w="1620" w:type="dxa"/>
            <w:tcBorders>
              <w:top w:val="single" w:sz="4" w:space="0" w:color="auto"/>
              <w:left w:val="single" w:sz="4" w:space="0" w:color="auto"/>
              <w:bottom w:val="single" w:sz="4" w:space="0" w:color="auto"/>
              <w:right w:val="single" w:sz="4" w:space="0" w:color="auto"/>
            </w:tcBorders>
          </w:tcPr>
          <w:p w:rsidR="009F10FC" w:rsidRDefault="009F10FC">
            <w:pPr>
              <w:jc w:val="left"/>
              <w:rPr>
                <w:rFonts w:ascii="Arial" w:hAnsi="Arial" w:cs="Arial"/>
                <w:sz w:val="20"/>
              </w:rPr>
            </w:pPr>
            <w:r>
              <w:rPr>
                <w:rFonts w:ascii="Arial" w:hAnsi="Arial" w:cs="Arial"/>
                <w:sz w:val="20"/>
              </w:rPr>
              <w:t>June 29, 2018</w:t>
            </w:r>
          </w:p>
        </w:tc>
        <w:tc>
          <w:tcPr>
            <w:tcW w:w="4500" w:type="dxa"/>
            <w:tcBorders>
              <w:top w:val="single" w:sz="4" w:space="0" w:color="auto"/>
              <w:left w:val="single" w:sz="4" w:space="0" w:color="auto"/>
              <w:bottom w:val="single" w:sz="4" w:space="0" w:color="auto"/>
              <w:right w:val="single" w:sz="4" w:space="0" w:color="auto"/>
            </w:tcBorders>
          </w:tcPr>
          <w:p w:rsidR="009F10FC" w:rsidRDefault="009F10FC">
            <w:pPr>
              <w:jc w:val="left"/>
              <w:rPr>
                <w:rFonts w:ascii="Arial" w:hAnsi="Arial" w:cs="Arial"/>
                <w:sz w:val="20"/>
              </w:rPr>
            </w:pPr>
            <w:r>
              <w:rPr>
                <w:rFonts w:ascii="Arial" w:hAnsi="Arial" w:cs="Arial"/>
                <w:sz w:val="20"/>
              </w:rPr>
              <w:t xml:space="preserve">Clarified directions for dilutions </w:t>
            </w:r>
          </w:p>
        </w:tc>
      </w:tr>
      <w:tr w:rsidR="003027C7">
        <w:tblPrEx>
          <w:tblBorders>
            <w:top w:val="none" w:sz="0" w:space="0" w:color="auto"/>
            <w:left w:val="none" w:sz="0" w:space="0" w:color="auto"/>
            <w:bottom w:val="single" w:sz="4" w:space="0" w:color="auto"/>
            <w:right w:val="none" w:sz="0" w:space="0" w:color="auto"/>
          </w:tblBorders>
        </w:tblPrEx>
        <w:trPr>
          <w:gridAfter w:val="1"/>
          <w:wAfter w:w="78" w:type="dxa"/>
          <w:trHeight w:val="255"/>
        </w:trPr>
        <w:tc>
          <w:tcPr>
            <w:tcW w:w="1800" w:type="dxa"/>
            <w:tcBorders>
              <w:top w:val="nil"/>
              <w:left w:val="nil"/>
              <w:bottom w:val="nil"/>
              <w:right w:val="nil"/>
            </w:tcBorders>
          </w:tcPr>
          <w:p w:rsidR="003027C7" w:rsidRDefault="003027C7">
            <w:pPr>
              <w:rPr>
                <w:rFonts w:ascii="Arial" w:hAnsi="Arial" w:cs="Arial"/>
                <w:b/>
                <w:bCs/>
                <w:color w:val="3366FF"/>
              </w:rPr>
            </w:pPr>
          </w:p>
        </w:tc>
        <w:tc>
          <w:tcPr>
            <w:tcW w:w="9360" w:type="dxa"/>
            <w:gridSpan w:val="4"/>
            <w:tcBorders>
              <w:top w:val="single" w:sz="4" w:space="0" w:color="auto"/>
              <w:left w:val="nil"/>
              <w:bottom w:val="single" w:sz="4" w:space="0" w:color="auto"/>
              <w:right w:val="nil"/>
            </w:tcBorders>
          </w:tcPr>
          <w:p w:rsidR="003027C7" w:rsidRDefault="003027C7">
            <w:pPr>
              <w:jc w:val="left"/>
              <w:rPr>
                <w:rFonts w:ascii="Arial" w:hAnsi="Arial" w:cs="Arial"/>
                <w:sz w:val="20"/>
              </w:rPr>
            </w:pPr>
          </w:p>
        </w:tc>
      </w:tr>
    </w:tbl>
    <w:p w:rsidR="003027C7" w:rsidRDefault="003027C7">
      <w:pPr>
        <w:rPr>
          <w:rFonts w:ascii="Arial" w:hAnsi="Arial" w:cs="Arial"/>
        </w:rPr>
      </w:pPr>
    </w:p>
    <w:sectPr w:rsidR="003027C7" w:rsidSect="006C4D9A">
      <w:headerReference w:type="default" r:id="rId7"/>
      <w:footerReference w:type="default" r:id="rId8"/>
      <w:pgSz w:w="12240" w:h="15840" w:code="1"/>
      <w:pgMar w:top="576" w:right="1800" w:bottom="576"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7C7" w:rsidRDefault="003027C7">
      <w:r>
        <w:separator/>
      </w:r>
    </w:p>
  </w:endnote>
  <w:endnote w:type="continuationSeparator" w:id="0">
    <w:p w:rsidR="003027C7" w:rsidRDefault="003027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7C7" w:rsidRDefault="003027C7">
    <w:pPr>
      <w:ind w:left="-1260" w:right="-1260"/>
      <w:rPr>
        <w:rFonts w:ascii="Arial" w:hAnsi="Arial" w:cs="Arial"/>
        <w:sz w:val="16"/>
      </w:rPr>
    </w:pPr>
    <w:r>
      <w:rPr>
        <w:rFonts w:ascii="Arial" w:hAnsi="Arial" w:cs="Arial"/>
        <w:sz w:val="16"/>
      </w:rPr>
      <w:t>Laboratory, Children’s Hospitals and Clinics of Minnesota, Minneapolis/St. Paul, MN</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Page </w:t>
    </w:r>
    <w:r w:rsidR="006C4D9A">
      <w:rPr>
        <w:rFonts w:ascii="Arial" w:hAnsi="Arial" w:cs="Arial"/>
        <w:sz w:val="16"/>
      </w:rPr>
      <w:fldChar w:fldCharType="begin"/>
    </w:r>
    <w:r>
      <w:rPr>
        <w:rFonts w:ascii="Arial" w:hAnsi="Arial" w:cs="Arial"/>
        <w:sz w:val="16"/>
      </w:rPr>
      <w:instrText xml:space="preserve"> PAGE </w:instrText>
    </w:r>
    <w:r w:rsidR="006C4D9A">
      <w:rPr>
        <w:rFonts w:ascii="Arial" w:hAnsi="Arial" w:cs="Arial"/>
        <w:sz w:val="16"/>
      </w:rPr>
      <w:fldChar w:fldCharType="separate"/>
    </w:r>
    <w:r w:rsidR="009F10FC">
      <w:rPr>
        <w:rFonts w:ascii="Arial" w:hAnsi="Arial" w:cs="Arial"/>
        <w:noProof/>
        <w:sz w:val="16"/>
      </w:rPr>
      <w:t>5</w:t>
    </w:r>
    <w:r w:rsidR="006C4D9A">
      <w:rPr>
        <w:rFonts w:ascii="Arial" w:hAnsi="Arial" w:cs="Arial"/>
        <w:sz w:val="16"/>
      </w:rPr>
      <w:fldChar w:fldCharType="end"/>
    </w:r>
    <w:r>
      <w:rPr>
        <w:rFonts w:ascii="Arial" w:hAnsi="Arial" w:cs="Arial"/>
        <w:sz w:val="16"/>
      </w:rPr>
      <w:t xml:space="preserve"> of </w:t>
    </w:r>
    <w:r w:rsidR="006C4D9A">
      <w:rPr>
        <w:rFonts w:ascii="Arial" w:hAnsi="Arial" w:cs="Arial"/>
        <w:sz w:val="16"/>
      </w:rPr>
      <w:fldChar w:fldCharType="begin"/>
    </w:r>
    <w:r>
      <w:rPr>
        <w:rFonts w:ascii="Arial" w:hAnsi="Arial" w:cs="Arial"/>
        <w:sz w:val="16"/>
      </w:rPr>
      <w:instrText xml:space="preserve"> NUMPAGES </w:instrText>
    </w:r>
    <w:r w:rsidR="006C4D9A">
      <w:rPr>
        <w:rFonts w:ascii="Arial" w:hAnsi="Arial" w:cs="Arial"/>
        <w:sz w:val="16"/>
      </w:rPr>
      <w:fldChar w:fldCharType="separate"/>
    </w:r>
    <w:r w:rsidR="009F10FC">
      <w:rPr>
        <w:rFonts w:ascii="Arial" w:hAnsi="Arial" w:cs="Arial"/>
        <w:noProof/>
        <w:sz w:val="16"/>
      </w:rPr>
      <w:t>5</w:t>
    </w:r>
    <w:r w:rsidR="006C4D9A">
      <w:rPr>
        <w:rFonts w:ascii="Arial" w:hAnsi="Arial" w:cs="Arial"/>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7C7" w:rsidRDefault="003027C7">
      <w:r>
        <w:separator/>
      </w:r>
    </w:p>
  </w:footnote>
  <w:footnote w:type="continuationSeparator" w:id="0">
    <w:p w:rsidR="003027C7" w:rsidRDefault="003027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7C7" w:rsidRDefault="00A919B2">
    <w:pPr>
      <w:ind w:left="-1260" w:right="-1260"/>
      <w:rPr>
        <w:rFonts w:ascii="Arial" w:hAnsi="Arial" w:cs="Arial"/>
        <w:sz w:val="18"/>
      </w:rPr>
    </w:pPr>
    <w:r>
      <w:rPr>
        <w:noProof/>
      </w:rPr>
      <w:drawing>
        <wp:anchor distT="0" distB="0" distL="114300" distR="114300" simplePos="0" relativeHeight="251657728" behindDoc="1" locked="0" layoutInCell="1" allowOverlap="1">
          <wp:simplePos x="0" y="0"/>
          <wp:positionH relativeFrom="column">
            <wp:posOffset>5016500</wp:posOffset>
          </wp:positionH>
          <wp:positionV relativeFrom="paragraph">
            <wp:posOffset>-124460</wp:posOffset>
          </wp:positionV>
          <wp:extent cx="1422400" cy="459105"/>
          <wp:effectExtent l="19050" t="0" r="6350" b="0"/>
          <wp:wrapTight wrapText="bothSides">
            <wp:wrapPolygon edited="0">
              <wp:start x="-289" y="0"/>
              <wp:lineTo x="-289" y="20614"/>
              <wp:lineTo x="21696" y="20614"/>
              <wp:lineTo x="21696" y="0"/>
              <wp:lineTo x="-289" y="0"/>
            </wp:wrapPolygon>
          </wp:wrapTight>
          <wp:docPr id="4" name="Picture 4"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ildrens_MN_2015_logo_2c_RGB_800x257"/>
                  <pic:cNvPicPr>
                    <a:picLocks noChangeAspect="1" noChangeArrowheads="1"/>
                  </pic:cNvPicPr>
                </pic:nvPicPr>
                <pic:blipFill>
                  <a:blip r:embed="rId1"/>
                  <a:srcRect/>
                  <a:stretch>
                    <a:fillRect/>
                  </a:stretch>
                </pic:blipFill>
                <pic:spPr bwMode="auto">
                  <a:xfrm>
                    <a:off x="0" y="0"/>
                    <a:ext cx="1422400" cy="459105"/>
                  </a:xfrm>
                  <a:prstGeom prst="rect">
                    <a:avLst/>
                  </a:prstGeom>
                  <a:noFill/>
                </pic:spPr>
              </pic:pic>
            </a:graphicData>
          </a:graphic>
        </wp:anchor>
      </w:drawing>
    </w:r>
    <w:r w:rsidR="003027C7">
      <w:rPr>
        <w:rFonts w:ascii="Arial" w:hAnsi="Arial" w:cs="Arial"/>
        <w:sz w:val="18"/>
      </w:rPr>
      <w:t>CH 6.54 Lead (</w:t>
    </w:r>
    <w:proofErr w:type="spellStart"/>
    <w:r w:rsidR="003027C7">
      <w:rPr>
        <w:rFonts w:ascii="Arial" w:hAnsi="Arial" w:cs="Arial"/>
        <w:sz w:val="18"/>
      </w:rPr>
      <w:t>Pb</w:t>
    </w:r>
    <w:proofErr w:type="spellEnd"/>
    <w:r w:rsidR="003027C7">
      <w:rPr>
        <w:rFonts w:ascii="Arial" w:hAnsi="Arial" w:cs="Arial"/>
        <w:sz w:val="18"/>
      </w:rPr>
      <w:t>)</w:t>
    </w:r>
  </w:p>
  <w:p w:rsidR="003027C7" w:rsidRDefault="00D71601">
    <w:pPr>
      <w:ind w:left="-1260" w:right="-1260"/>
      <w:rPr>
        <w:rFonts w:ascii="Arial" w:hAnsi="Arial" w:cs="Arial"/>
        <w:sz w:val="18"/>
      </w:rPr>
    </w:pPr>
    <w:r>
      <w:rPr>
        <w:rFonts w:ascii="Arial" w:hAnsi="Arial" w:cs="Arial"/>
        <w:sz w:val="18"/>
      </w:rPr>
      <w:t>Version 11</w:t>
    </w:r>
  </w:p>
  <w:p w:rsidR="003027C7" w:rsidRDefault="003027C7">
    <w:pPr>
      <w:ind w:left="-1260" w:right="-1260"/>
      <w:rPr>
        <w:rFonts w:ascii="Arial" w:hAnsi="Arial" w:cs="Arial"/>
        <w:sz w:val="18"/>
      </w:rPr>
    </w:pPr>
    <w:r>
      <w:rPr>
        <w:rFonts w:ascii="Arial" w:hAnsi="Arial" w:cs="Arial"/>
        <w:sz w:val="18"/>
      </w:rPr>
      <w:t xml:space="preserve">Effective Date: </w:t>
    </w:r>
    <w:r w:rsidR="00D71601">
      <w:rPr>
        <w:rFonts w:ascii="Arial" w:hAnsi="Arial" w:cs="Arial"/>
        <w:sz w:val="18"/>
      </w:rPr>
      <w:t>June 26, 2017</w:t>
    </w:r>
  </w:p>
  <w:p w:rsidR="003027C7" w:rsidRDefault="003027C7">
    <w:pPr>
      <w:pStyle w:val="Header"/>
      <w:tabs>
        <w:tab w:val="clear" w:pos="8640"/>
        <w:tab w:val="right" w:pos="9900"/>
      </w:tabs>
      <w:ind w:left="-1260"/>
      <w:jc w:val="center"/>
      <w:rPr>
        <w:b/>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0A72"/>
    <w:multiLevelType w:val="hybridMultilevel"/>
    <w:tmpl w:val="AB80B9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2E404A5"/>
    <w:multiLevelType w:val="hybridMultilevel"/>
    <w:tmpl w:val="D958C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6B562B"/>
    <w:multiLevelType w:val="hybridMultilevel"/>
    <w:tmpl w:val="DEDC5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CD162FA"/>
    <w:multiLevelType w:val="hybridMultilevel"/>
    <w:tmpl w:val="B3AA25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2F56A7"/>
    <w:multiLevelType w:val="hybridMultilevel"/>
    <w:tmpl w:val="002877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E2F5C68"/>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102E697A"/>
    <w:multiLevelType w:val="hybridMultilevel"/>
    <w:tmpl w:val="878C72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0C16281"/>
    <w:multiLevelType w:val="hybridMultilevel"/>
    <w:tmpl w:val="93269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15E63C1"/>
    <w:multiLevelType w:val="hybridMultilevel"/>
    <w:tmpl w:val="AEEE9218"/>
    <w:lvl w:ilvl="0" w:tplc="04090003">
      <w:start w:val="1"/>
      <w:numFmt w:val="bullet"/>
      <w:lvlText w:val="o"/>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11B44A37"/>
    <w:multiLevelType w:val="hybridMultilevel"/>
    <w:tmpl w:val="AEEE9218"/>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EE9162F"/>
    <w:multiLevelType w:val="hybridMultilevel"/>
    <w:tmpl w:val="5FAE1D9C"/>
    <w:lvl w:ilvl="0" w:tplc="1D884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F0A7694"/>
    <w:multiLevelType w:val="singleLevel"/>
    <w:tmpl w:val="0409000F"/>
    <w:lvl w:ilvl="0">
      <w:start w:val="1"/>
      <w:numFmt w:val="decimal"/>
      <w:lvlText w:val="%1."/>
      <w:lvlJc w:val="left"/>
      <w:pPr>
        <w:tabs>
          <w:tab w:val="num" w:pos="360"/>
        </w:tabs>
        <w:ind w:left="360" w:hanging="360"/>
      </w:pPr>
    </w:lvl>
  </w:abstractNum>
  <w:abstractNum w:abstractNumId="15">
    <w:nsid w:val="243B1F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54045BA"/>
    <w:multiLevelType w:val="singleLevel"/>
    <w:tmpl w:val="0409000F"/>
    <w:lvl w:ilvl="0">
      <w:start w:val="1"/>
      <w:numFmt w:val="decimal"/>
      <w:lvlText w:val="%1."/>
      <w:lvlJc w:val="left"/>
      <w:pPr>
        <w:tabs>
          <w:tab w:val="num" w:pos="360"/>
        </w:tabs>
        <w:ind w:left="360" w:hanging="360"/>
      </w:pPr>
      <w:rPr>
        <w:rFonts w:hint="default"/>
      </w:rPr>
    </w:lvl>
  </w:abstractNum>
  <w:abstractNum w:abstractNumId="17">
    <w:nsid w:val="2B8E1ABB"/>
    <w:multiLevelType w:val="hybridMultilevel"/>
    <w:tmpl w:val="76E6C5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2E3012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02363AD"/>
    <w:multiLevelType w:val="hybridMultilevel"/>
    <w:tmpl w:val="597EC4F4"/>
    <w:lvl w:ilvl="0" w:tplc="1D884B2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7711F23"/>
    <w:multiLevelType w:val="multilevel"/>
    <w:tmpl w:val="C23C0B38"/>
    <w:lvl w:ilvl="0">
      <w:start w:val="1"/>
      <w:numFmt w:val="decimal"/>
      <w:lvlText w:val="%1."/>
      <w:lvlJc w:val="left"/>
      <w:pPr>
        <w:tabs>
          <w:tab w:val="num" w:pos="360"/>
        </w:tabs>
        <w:ind w:left="360" w:hanging="360"/>
      </w:pPr>
    </w:lvl>
    <w:lvl w:ilv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nsid w:val="39C15498"/>
    <w:multiLevelType w:val="hybridMultilevel"/>
    <w:tmpl w:val="21A63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AAA4410"/>
    <w:multiLevelType w:val="hybridMultilevel"/>
    <w:tmpl w:val="ACF83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B0D2D08"/>
    <w:multiLevelType w:val="hybridMultilevel"/>
    <w:tmpl w:val="85BCF946"/>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411200EA"/>
    <w:multiLevelType w:val="hybridMultilevel"/>
    <w:tmpl w:val="995CFA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451D36DE"/>
    <w:multiLevelType w:val="singleLevel"/>
    <w:tmpl w:val="0409000F"/>
    <w:lvl w:ilvl="0">
      <w:start w:val="1"/>
      <w:numFmt w:val="decimal"/>
      <w:lvlText w:val="%1."/>
      <w:lvlJc w:val="left"/>
      <w:pPr>
        <w:tabs>
          <w:tab w:val="num" w:pos="360"/>
        </w:tabs>
        <w:ind w:left="360" w:hanging="360"/>
      </w:pPr>
    </w:lvl>
  </w:abstractNum>
  <w:abstractNum w:abstractNumId="27">
    <w:nsid w:val="45AD3A71"/>
    <w:multiLevelType w:val="hybridMultilevel"/>
    <w:tmpl w:val="8CA039A2"/>
    <w:lvl w:ilvl="0" w:tplc="C1D233E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305"/>
        </w:tabs>
        <w:ind w:left="1305" w:hanging="360"/>
      </w:pPr>
      <w:rPr>
        <w:rFonts w:ascii="Courier New" w:hAnsi="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28">
    <w:nsid w:val="47C10541"/>
    <w:multiLevelType w:val="singleLevel"/>
    <w:tmpl w:val="0409000F"/>
    <w:lvl w:ilvl="0">
      <w:start w:val="1"/>
      <w:numFmt w:val="decimal"/>
      <w:lvlText w:val="%1."/>
      <w:lvlJc w:val="left"/>
      <w:pPr>
        <w:tabs>
          <w:tab w:val="num" w:pos="360"/>
        </w:tabs>
        <w:ind w:left="360" w:hanging="360"/>
      </w:pPr>
    </w:lvl>
  </w:abstractNum>
  <w:abstractNum w:abstractNumId="29">
    <w:nsid w:val="492F4282"/>
    <w:multiLevelType w:val="singleLevel"/>
    <w:tmpl w:val="0409000F"/>
    <w:lvl w:ilvl="0">
      <w:start w:val="1"/>
      <w:numFmt w:val="decimal"/>
      <w:lvlText w:val="%1."/>
      <w:lvlJc w:val="left"/>
      <w:pPr>
        <w:tabs>
          <w:tab w:val="num" w:pos="360"/>
        </w:tabs>
        <w:ind w:left="360" w:hanging="360"/>
      </w:pPr>
    </w:lvl>
  </w:abstractNum>
  <w:abstractNum w:abstractNumId="30">
    <w:nsid w:val="4AC36E0C"/>
    <w:multiLevelType w:val="hybridMultilevel"/>
    <w:tmpl w:val="12886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3744303"/>
    <w:multiLevelType w:val="hybridMultilevel"/>
    <w:tmpl w:val="2E46AD7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45802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5380745"/>
    <w:multiLevelType w:val="hybridMultilevel"/>
    <w:tmpl w:val="002877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E454757"/>
    <w:multiLevelType w:val="hybridMultilevel"/>
    <w:tmpl w:val="49548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EDD0A53"/>
    <w:multiLevelType w:val="hybridMultilevel"/>
    <w:tmpl w:val="6AA23B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25B06EC"/>
    <w:multiLevelType w:val="singleLevel"/>
    <w:tmpl w:val="7B88B010"/>
    <w:lvl w:ilvl="0">
      <w:start w:val="1"/>
      <w:numFmt w:val="decimal"/>
      <w:lvlText w:val="%1."/>
      <w:lvlJc w:val="left"/>
      <w:pPr>
        <w:tabs>
          <w:tab w:val="num" w:pos="705"/>
        </w:tabs>
        <w:ind w:left="705" w:hanging="360"/>
      </w:pPr>
      <w:rPr>
        <w:rFonts w:hint="default"/>
      </w:rPr>
    </w:lvl>
  </w:abstractNum>
  <w:abstractNum w:abstractNumId="39">
    <w:nsid w:val="66DF56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672C56E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7621125B"/>
    <w:multiLevelType w:val="hybridMultilevel"/>
    <w:tmpl w:val="E12CD9A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7BCE6620"/>
    <w:multiLevelType w:val="hybridMultilevel"/>
    <w:tmpl w:val="BE5C7D44"/>
    <w:lvl w:ilvl="0" w:tplc="06E26B1A">
      <w:start w:val="1"/>
      <w:numFmt w:val="decimal"/>
      <w:lvlText w:val="%1."/>
      <w:lvlJc w:val="left"/>
      <w:pPr>
        <w:tabs>
          <w:tab w:val="num" w:pos="360"/>
        </w:tabs>
        <w:ind w:left="360" w:hanging="360"/>
      </w:pPr>
      <w:rPr>
        <w:rFonts w:cs="Times New Roman" w:hint="default"/>
        <w:b w:val="0"/>
        <w:sz w:val="22"/>
      </w:rPr>
    </w:lvl>
    <w:lvl w:ilvl="1" w:tplc="399EE74E">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7DE03DAC"/>
    <w:multiLevelType w:val="singleLevel"/>
    <w:tmpl w:val="6F86FF80"/>
    <w:lvl w:ilvl="0">
      <w:start w:val="1"/>
      <w:numFmt w:val="decimal"/>
      <w:lvlText w:val="%1."/>
      <w:lvlJc w:val="left"/>
      <w:pPr>
        <w:tabs>
          <w:tab w:val="num" w:pos="705"/>
        </w:tabs>
        <w:ind w:left="705" w:hanging="360"/>
      </w:pPr>
      <w:rPr>
        <w:rFonts w:hint="default"/>
      </w:rPr>
    </w:lvl>
  </w:abstractNum>
  <w:num w:numId="1">
    <w:abstractNumId w:val="35"/>
  </w:num>
  <w:num w:numId="2">
    <w:abstractNumId w:val="24"/>
  </w:num>
  <w:num w:numId="3">
    <w:abstractNumId w:val="41"/>
  </w:num>
  <w:num w:numId="4">
    <w:abstractNumId w:val="4"/>
  </w:num>
  <w:num w:numId="5">
    <w:abstractNumId w:val="1"/>
  </w:num>
  <w:num w:numId="6">
    <w:abstractNumId w:val="31"/>
  </w:num>
  <w:num w:numId="7">
    <w:abstractNumId w:val="12"/>
  </w:num>
  <w:num w:numId="8">
    <w:abstractNumId w:val="22"/>
  </w:num>
  <w:num w:numId="9">
    <w:abstractNumId w:val="34"/>
  </w:num>
  <w:num w:numId="10">
    <w:abstractNumId w:val="20"/>
  </w:num>
  <w:num w:numId="11">
    <w:abstractNumId w:val="3"/>
  </w:num>
  <w:num w:numId="12">
    <w:abstractNumId w:val="21"/>
  </w:num>
  <w:num w:numId="13">
    <w:abstractNumId w:val="30"/>
  </w:num>
  <w:num w:numId="14">
    <w:abstractNumId w:val="9"/>
  </w:num>
  <w:num w:numId="15">
    <w:abstractNumId w:val="6"/>
  </w:num>
  <w:num w:numId="16">
    <w:abstractNumId w:val="10"/>
  </w:num>
  <w:num w:numId="17">
    <w:abstractNumId w:val="23"/>
  </w:num>
  <w:num w:numId="18">
    <w:abstractNumId w:val="36"/>
  </w:num>
  <w:num w:numId="19">
    <w:abstractNumId w:val="2"/>
  </w:num>
  <w:num w:numId="20">
    <w:abstractNumId w:val="11"/>
  </w:num>
  <w:num w:numId="21">
    <w:abstractNumId w:val="32"/>
  </w:num>
  <w:num w:numId="22">
    <w:abstractNumId w:val="40"/>
  </w:num>
  <w:num w:numId="23">
    <w:abstractNumId w:val="43"/>
  </w:num>
  <w:num w:numId="24">
    <w:abstractNumId w:val="28"/>
  </w:num>
  <w:num w:numId="25">
    <w:abstractNumId w:val="7"/>
  </w:num>
  <w:num w:numId="26">
    <w:abstractNumId w:val="0"/>
  </w:num>
  <w:num w:numId="27">
    <w:abstractNumId w:val="18"/>
  </w:num>
  <w:num w:numId="28">
    <w:abstractNumId w:val="42"/>
  </w:num>
  <w:num w:numId="29">
    <w:abstractNumId w:val="14"/>
  </w:num>
  <w:num w:numId="30">
    <w:abstractNumId w:val="17"/>
  </w:num>
  <w:num w:numId="31">
    <w:abstractNumId w:val="25"/>
  </w:num>
  <w:num w:numId="32">
    <w:abstractNumId w:val="16"/>
  </w:num>
  <w:num w:numId="33">
    <w:abstractNumId w:val="15"/>
  </w:num>
  <w:num w:numId="34">
    <w:abstractNumId w:val="33"/>
  </w:num>
  <w:num w:numId="35">
    <w:abstractNumId w:val="26"/>
  </w:num>
  <w:num w:numId="36">
    <w:abstractNumId w:val="38"/>
  </w:num>
  <w:num w:numId="37">
    <w:abstractNumId w:val="39"/>
  </w:num>
  <w:num w:numId="38">
    <w:abstractNumId w:val="27"/>
  </w:num>
  <w:num w:numId="39">
    <w:abstractNumId w:val="8"/>
  </w:num>
  <w:num w:numId="40">
    <w:abstractNumId w:val="44"/>
  </w:num>
  <w:num w:numId="41">
    <w:abstractNumId w:val="29"/>
  </w:num>
  <w:num w:numId="42">
    <w:abstractNumId w:val="19"/>
  </w:num>
  <w:num w:numId="43">
    <w:abstractNumId w:val="13"/>
  </w:num>
  <w:num w:numId="44">
    <w:abstractNumId w:val="37"/>
  </w:num>
  <w:num w:numId="4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stylePaneSortMethod w:val="0000"/>
  <w:defaultTabStop w:val="720"/>
  <w:characterSpacingControl w:val="doNotCompress"/>
  <w:hdrShapeDefaults>
    <o:shapedefaults v:ext="edit" spidmax="2053"/>
  </w:hdrShapeDefaults>
  <w:footnotePr>
    <w:footnote w:id="-1"/>
    <w:footnote w:id="0"/>
  </w:footnotePr>
  <w:endnotePr>
    <w:endnote w:id="-1"/>
    <w:endnote w:id="0"/>
  </w:endnotePr>
  <w:compat/>
  <w:rsids>
    <w:rsidRoot w:val="000B3AFE"/>
    <w:rsid w:val="000B3AFE"/>
    <w:rsid w:val="003027C7"/>
    <w:rsid w:val="006C4D9A"/>
    <w:rsid w:val="009F10FC"/>
    <w:rsid w:val="00A919B2"/>
    <w:rsid w:val="00D71601"/>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6C4D9A"/>
    <w:pPr>
      <w:jc w:val="both"/>
    </w:pPr>
    <w:rPr>
      <w:sz w:val="22"/>
      <w:szCs w:val="24"/>
    </w:rPr>
  </w:style>
  <w:style w:type="paragraph" w:styleId="Heading1">
    <w:name w:val="heading 1"/>
    <w:basedOn w:val="Normal"/>
    <w:next w:val="Normal"/>
    <w:qFormat/>
    <w:rsid w:val="006C4D9A"/>
    <w:pPr>
      <w:keepNext/>
      <w:numPr>
        <w:numId w:val="5"/>
      </w:numPr>
      <w:outlineLvl w:val="0"/>
    </w:pPr>
    <w:rPr>
      <w:rFonts w:cs="Arial"/>
      <w:b/>
      <w:bCs/>
      <w:kern w:val="32"/>
      <w:sz w:val="26"/>
      <w:szCs w:val="32"/>
    </w:rPr>
  </w:style>
  <w:style w:type="paragraph" w:styleId="Heading2">
    <w:name w:val="heading 2"/>
    <w:basedOn w:val="Normal"/>
    <w:next w:val="Normal"/>
    <w:qFormat/>
    <w:rsid w:val="006C4D9A"/>
    <w:pPr>
      <w:keepNext/>
      <w:numPr>
        <w:ilvl w:val="1"/>
        <w:numId w:val="5"/>
      </w:numPr>
      <w:outlineLvl w:val="1"/>
    </w:pPr>
    <w:rPr>
      <w:rFonts w:cs="Arial"/>
      <w:b/>
      <w:bCs/>
      <w:iCs/>
      <w:sz w:val="24"/>
      <w:szCs w:val="28"/>
    </w:rPr>
  </w:style>
  <w:style w:type="paragraph" w:styleId="Heading3">
    <w:name w:val="heading 3"/>
    <w:basedOn w:val="Normal"/>
    <w:next w:val="Normal"/>
    <w:qFormat/>
    <w:rsid w:val="006C4D9A"/>
    <w:pPr>
      <w:keepNext/>
      <w:numPr>
        <w:ilvl w:val="2"/>
        <w:numId w:val="5"/>
      </w:numPr>
      <w:outlineLvl w:val="2"/>
    </w:pPr>
    <w:rPr>
      <w:rFonts w:cs="Arial"/>
      <w:b/>
      <w:bCs/>
      <w:szCs w:val="26"/>
    </w:rPr>
  </w:style>
  <w:style w:type="paragraph" w:styleId="Heading4">
    <w:name w:val="heading 4"/>
    <w:aliases w:val="Map Title"/>
    <w:basedOn w:val="Normal"/>
    <w:next w:val="Normal"/>
    <w:qFormat/>
    <w:rsid w:val="006C4D9A"/>
    <w:pPr>
      <w:keepNext/>
      <w:numPr>
        <w:ilvl w:val="3"/>
        <w:numId w:val="5"/>
      </w:numPr>
      <w:outlineLvl w:val="3"/>
    </w:pPr>
    <w:rPr>
      <w:bCs/>
      <w:szCs w:val="28"/>
    </w:rPr>
  </w:style>
  <w:style w:type="paragraph" w:styleId="Heading5">
    <w:name w:val="heading 5"/>
    <w:aliases w:val="Block Label"/>
    <w:basedOn w:val="Normal"/>
    <w:next w:val="Normal"/>
    <w:qFormat/>
    <w:rsid w:val="006C4D9A"/>
    <w:pPr>
      <w:keepNext/>
      <w:numPr>
        <w:ilvl w:val="4"/>
        <w:numId w:val="5"/>
      </w:numPr>
      <w:spacing w:before="20"/>
      <w:outlineLvl w:val="4"/>
    </w:pPr>
  </w:style>
  <w:style w:type="paragraph" w:styleId="Heading6">
    <w:name w:val="heading 6"/>
    <w:basedOn w:val="Normal"/>
    <w:next w:val="Normal"/>
    <w:qFormat/>
    <w:rsid w:val="006C4D9A"/>
    <w:pPr>
      <w:keepNext/>
      <w:numPr>
        <w:ilvl w:val="5"/>
        <w:numId w:val="5"/>
      </w:numPr>
      <w:outlineLvl w:val="5"/>
    </w:pPr>
    <w:rPr>
      <w:b/>
      <w:bCs/>
      <w:sz w:val="18"/>
    </w:rPr>
  </w:style>
  <w:style w:type="paragraph" w:styleId="Heading7">
    <w:name w:val="heading 7"/>
    <w:basedOn w:val="Normal"/>
    <w:next w:val="Normal"/>
    <w:qFormat/>
    <w:rsid w:val="006C4D9A"/>
    <w:pPr>
      <w:keepNext/>
      <w:numPr>
        <w:ilvl w:val="6"/>
        <w:numId w:val="5"/>
      </w:numPr>
      <w:outlineLvl w:val="6"/>
    </w:pPr>
    <w:rPr>
      <w:sz w:val="28"/>
    </w:rPr>
  </w:style>
  <w:style w:type="paragraph" w:styleId="Heading8">
    <w:name w:val="heading 8"/>
    <w:basedOn w:val="Normal"/>
    <w:next w:val="Normal"/>
    <w:qFormat/>
    <w:rsid w:val="006C4D9A"/>
    <w:pPr>
      <w:keepNext/>
      <w:numPr>
        <w:ilvl w:val="7"/>
        <w:numId w:val="5"/>
      </w:numPr>
      <w:jc w:val="center"/>
      <w:outlineLvl w:val="7"/>
    </w:pPr>
    <w:rPr>
      <w:b/>
      <w:bCs/>
    </w:rPr>
  </w:style>
  <w:style w:type="paragraph" w:styleId="Heading9">
    <w:name w:val="heading 9"/>
    <w:basedOn w:val="Normal"/>
    <w:next w:val="Normal"/>
    <w:qFormat/>
    <w:rsid w:val="006C4D9A"/>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C4D9A"/>
    <w:rPr>
      <w:bCs/>
      <w:iCs/>
      <w:color w:val="000000"/>
    </w:rPr>
  </w:style>
  <w:style w:type="paragraph" w:styleId="Header">
    <w:name w:val="header"/>
    <w:basedOn w:val="Normal"/>
    <w:rsid w:val="006C4D9A"/>
    <w:pPr>
      <w:tabs>
        <w:tab w:val="center" w:pos="4320"/>
        <w:tab w:val="right" w:pos="8640"/>
      </w:tabs>
    </w:pPr>
  </w:style>
  <w:style w:type="paragraph" w:styleId="List">
    <w:name w:val="List"/>
    <w:basedOn w:val="Normal"/>
    <w:rsid w:val="006C4D9A"/>
    <w:pPr>
      <w:ind w:left="360" w:hanging="360"/>
    </w:pPr>
  </w:style>
  <w:style w:type="paragraph" w:styleId="Title">
    <w:name w:val="Title"/>
    <w:basedOn w:val="Normal"/>
    <w:qFormat/>
    <w:rsid w:val="006C4D9A"/>
    <w:pPr>
      <w:spacing w:before="240" w:after="60"/>
      <w:jc w:val="center"/>
    </w:pPr>
    <w:rPr>
      <w:rFonts w:cs="Arial"/>
      <w:b/>
      <w:bCs/>
      <w:kern w:val="28"/>
      <w:sz w:val="28"/>
      <w:szCs w:val="32"/>
    </w:rPr>
  </w:style>
  <w:style w:type="paragraph" w:styleId="BodyText2">
    <w:name w:val="Body Text 2"/>
    <w:basedOn w:val="Normal"/>
    <w:rsid w:val="006C4D9A"/>
    <w:pPr>
      <w:jc w:val="left"/>
    </w:pPr>
    <w:rPr>
      <w:b/>
      <w:bCs/>
      <w:color w:val="0000FF"/>
    </w:rPr>
  </w:style>
  <w:style w:type="paragraph" w:styleId="Footer">
    <w:name w:val="footer"/>
    <w:basedOn w:val="Normal"/>
    <w:rsid w:val="006C4D9A"/>
    <w:pPr>
      <w:tabs>
        <w:tab w:val="center" w:pos="4320"/>
        <w:tab w:val="right" w:pos="8640"/>
      </w:tabs>
    </w:pPr>
  </w:style>
  <w:style w:type="character" w:styleId="FootnoteReference">
    <w:name w:val="footnote reference"/>
    <w:basedOn w:val="DefaultParagraphFont"/>
    <w:semiHidden/>
    <w:rsid w:val="006C4D9A"/>
    <w:rPr>
      <w:rFonts w:ascii="Times New Roman" w:hAnsi="Times New Roman"/>
      <w:sz w:val="18"/>
      <w:vertAlign w:val="superscript"/>
    </w:rPr>
  </w:style>
  <w:style w:type="paragraph" w:customStyle="1" w:styleId="Heading">
    <w:name w:val="Heading"/>
    <w:basedOn w:val="Heading1"/>
    <w:next w:val="Normal"/>
    <w:rsid w:val="006C4D9A"/>
    <w:pPr>
      <w:numPr>
        <w:numId w:val="0"/>
      </w:numPr>
    </w:pPr>
  </w:style>
  <w:style w:type="paragraph" w:customStyle="1" w:styleId="TableText">
    <w:name w:val="Table Text"/>
    <w:basedOn w:val="Normal"/>
    <w:rsid w:val="006C4D9A"/>
    <w:pPr>
      <w:autoSpaceDE w:val="0"/>
      <w:autoSpaceDN w:val="0"/>
      <w:jc w:val="left"/>
    </w:pPr>
    <w:rPr>
      <w:sz w:val="20"/>
    </w:rPr>
  </w:style>
  <w:style w:type="paragraph" w:customStyle="1" w:styleId="TableHeaderText">
    <w:name w:val="Table Header Text"/>
    <w:basedOn w:val="TableText"/>
    <w:rsid w:val="006C4D9A"/>
    <w:pPr>
      <w:jc w:val="center"/>
    </w:pPr>
    <w:rPr>
      <w:b/>
      <w:bCs/>
    </w:rPr>
  </w:style>
  <w:style w:type="paragraph" w:styleId="BodyText3">
    <w:name w:val="Body Text 3"/>
    <w:basedOn w:val="Normal"/>
    <w:rsid w:val="006C4D9A"/>
    <w:rPr>
      <w:b/>
      <w:color w:val="0000FF"/>
    </w:rPr>
  </w:style>
  <w:style w:type="paragraph" w:styleId="BodyTextIndent">
    <w:name w:val="Body Text Indent"/>
    <w:basedOn w:val="Normal"/>
    <w:rsid w:val="006C4D9A"/>
    <w:pPr>
      <w:widowControl w:val="0"/>
      <w:tabs>
        <w:tab w:val="left" w:pos="-1440"/>
      </w:tabs>
      <w:ind w:left="720"/>
      <w:jc w:val="left"/>
    </w:pPr>
    <w:rPr>
      <w:rFonts w:ascii="Arial" w:hAnsi="Arial"/>
      <w:snapToGrid w:val="0"/>
      <w:sz w:val="20"/>
      <w:szCs w:val="20"/>
    </w:rPr>
  </w:style>
  <w:style w:type="paragraph" w:styleId="BodyTextIndent3">
    <w:name w:val="Body Text Indent 3"/>
    <w:basedOn w:val="Normal"/>
    <w:rsid w:val="006C4D9A"/>
    <w:pPr>
      <w:widowControl w:val="0"/>
      <w:ind w:left="1440"/>
      <w:jc w:val="left"/>
    </w:pPr>
    <w:rPr>
      <w:rFonts w:ascii="Arial" w:hAnsi="Arial"/>
      <w:snapToGrid w:val="0"/>
      <w:sz w:val="20"/>
      <w:szCs w:val="20"/>
    </w:rPr>
  </w:style>
  <w:style w:type="paragraph" w:styleId="BodyTextIndent2">
    <w:name w:val="Body Text Indent 2"/>
    <w:basedOn w:val="Normal"/>
    <w:rsid w:val="006C4D9A"/>
    <w:pPr>
      <w:widowControl w:val="0"/>
      <w:ind w:left="360"/>
    </w:pPr>
    <w:rPr>
      <w:rFonts w:ascii="Arial" w:hAnsi="Arial"/>
      <w:snapToGrid w:val="0"/>
      <w:sz w:val="20"/>
      <w:szCs w:val="20"/>
    </w:rPr>
  </w:style>
  <w:style w:type="paragraph" w:customStyle="1" w:styleId="Default">
    <w:name w:val="Default"/>
    <w:rsid w:val="006C4D9A"/>
    <w:pPr>
      <w:autoSpaceDE w:val="0"/>
      <w:autoSpaceDN w:val="0"/>
      <w:adjustRightInd w:val="0"/>
    </w:pPr>
    <w:rPr>
      <w:color w:val="000000"/>
      <w:sz w:val="24"/>
      <w:szCs w:val="24"/>
    </w:rPr>
  </w:style>
  <w:style w:type="character" w:styleId="Emphasis">
    <w:name w:val="Emphasis"/>
    <w:basedOn w:val="DefaultParagraphFont"/>
    <w:qFormat/>
    <w:rsid w:val="006C4D9A"/>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2141</Words>
  <Characters>11616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Blood Lead</vt:lpstr>
    </vt:vector>
  </TitlesOfParts>
  <Company>***</Company>
  <LinksUpToDate>false</LinksUpToDate>
  <CharactersWithSpaces>13730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 Lead</dc:title>
  <dc:creator>CE080372</dc:creator>
  <cp:lastModifiedBy>CE155076</cp:lastModifiedBy>
  <cp:revision>3</cp:revision>
  <cp:lastPrinted>2011-05-04T21:06:00Z</cp:lastPrinted>
  <dcterms:created xsi:type="dcterms:W3CDTF">2018-06-29T12:23:00Z</dcterms:created>
  <dcterms:modified xsi:type="dcterms:W3CDTF">2018-06-29T12:24:00Z</dcterms:modified>
</cp:coreProperties>
</file>