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Layout w:type="fixed"/>
        <w:tblLook w:val="0000"/>
      </w:tblPr>
      <w:tblGrid>
        <w:gridCol w:w="1800"/>
        <w:gridCol w:w="90"/>
        <w:gridCol w:w="990"/>
        <w:gridCol w:w="2160"/>
        <w:gridCol w:w="180"/>
        <w:gridCol w:w="1800"/>
        <w:gridCol w:w="2355"/>
        <w:gridCol w:w="1785"/>
      </w:tblGrid>
      <w:tr w:rsidR="00B032F7">
        <w:trPr>
          <w:cantSplit/>
          <w:tblHeader/>
        </w:trPr>
        <w:tc>
          <w:tcPr>
            <w:tcW w:w="11160" w:type="dxa"/>
            <w:gridSpan w:val="8"/>
          </w:tcPr>
          <w:p w:rsidR="00B032F7" w:rsidRDefault="00B032F7">
            <w:pPr>
              <w:pStyle w:val="Heading2"/>
              <w:rPr>
                <w:rFonts w:cs="Arial"/>
              </w:rPr>
            </w:pPr>
            <w:r>
              <w:rPr>
                <w:rFonts w:cs="Arial"/>
              </w:rPr>
              <w:t>Alcohol, Medical</w:t>
            </w:r>
          </w:p>
          <w:p w:rsidR="00B032F7" w:rsidRDefault="00B032F7">
            <w:pPr>
              <w:rPr>
                <w:rFonts w:cs="Arial"/>
              </w:rPr>
            </w:pPr>
          </w:p>
        </w:tc>
      </w:tr>
      <w:tr w:rsidR="00B032F7" w:rsidTr="00B501B8">
        <w:trPr>
          <w:trHeight w:val="1178"/>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Purpose</w:t>
            </w:r>
          </w:p>
        </w:tc>
        <w:tc>
          <w:tcPr>
            <w:tcW w:w="9270" w:type="dxa"/>
            <w:gridSpan w:val="6"/>
            <w:tcBorders>
              <w:top w:val="single" w:sz="4" w:space="0" w:color="auto"/>
              <w:bottom w:val="single" w:sz="4" w:space="0" w:color="auto"/>
            </w:tcBorders>
            <w:vAlign w:val="center"/>
          </w:tcPr>
          <w:p w:rsidR="00B032F7" w:rsidRPr="00B501B8" w:rsidRDefault="00B032F7" w:rsidP="00951C35">
            <w:pPr>
              <w:autoSpaceDE w:val="0"/>
              <w:autoSpaceDN w:val="0"/>
              <w:adjustRightInd w:val="0"/>
              <w:jc w:val="both"/>
              <w:rPr>
                <w:rFonts w:cs="Arial"/>
                <w:szCs w:val="20"/>
              </w:rPr>
            </w:pPr>
            <w:r w:rsidRPr="00B501B8">
              <w:rPr>
                <w:rFonts w:cs="Arial"/>
                <w:szCs w:val="20"/>
              </w:rPr>
              <w:t xml:space="preserve">This procedure provides instructions for performing </w:t>
            </w:r>
            <w:r w:rsidR="00B501B8" w:rsidRPr="00B501B8">
              <w:rPr>
                <w:rFonts w:cs="Arial"/>
                <w:szCs w:val="20"/>
              </w:rPr>
              <w:t xml:space="preserve">ALCOHOL, MEDICAL using the ETOH method, an </w:t>
            </w:r>
            <w:r w:rsidR="00B501B8" w:rsidRPr="00B501B8">
              <w:rPr>
                <w:rFonts w:cs="Arial"/>
                <w:i/>
                <w:iCs/>
                <w:szCs w:val="20"/>
              </w:rPr>
              <w:t xml:space="preserve">in vitro </w:t>
            </w:r>
            <w:r w:rsidR="00B501B8" w:rsidRPr="00B501B8">
              <w:rPr>
                <w:rFonts w:cs="Arial"/>
                <w:szCs w:val="20"/>
              </w:rPr>
              <w:t>diagnostic test for the quantitative measurement of ethyl alcohol in human serum</w:t>
            </w:r>
            <w:r w:rsidR="00951C35" w:rsidRPr="00B501B8">
              <w:rPr>
                <w:rFonts w:cs="Arial"/>
                <w:szCs w:val="20"/>
              </w:rPr>
              <w:t xml:space="preserve"> and</w:t>
            </w:r>
            <w:r w:rsidR="00B501B8" w:rsidRPr="00B501B8">
              <w:rPr>
                <w:rFonts w:cs="Arial"/>
                <w:szCs w:val="20"/>
              </w:rPr>
              <w:t xml:space="preserve"> plasma on the Dimension Vista® System. Ethyl alcohol test results may be used in the diagnosis and treatment of alcohol intoxication and poisoning.</w:t>
            </w:r>
          </w:p>
        </w:tc>
      </w:tr>
      <w:tr w:rsidR="00B032F7" w:rsidTr="005B6AA2">
        <w:trPr>
          <w:trHeight w:val="872"/>
          <w:tblHeader/>
        </w:trPr>
        <w:tc>
          <w:tcPr>
            <w:tcW w:w="1890" w:type="dxa"/>
            <w:gridSpan w:val="2"/>
            <w:vAlign w:val="center"/>
          </w:tcPr>
          <w:p w:rsidR="00B032F7" w:rsidRDefault="00B032F7">
            <w:pPr>
              <w:rPr>
                <w:rFonts w:cs="Arial"/>
                <w:b/>
                <w:bCs/>
                <w:color w:val="0000FF"/>
              </w:rPr>
            </w:pPr>
            <w:r>
              <w:rPr>
                <w:rFonts w:cs="Arial"/>
                <w:b/>
                <w:bCs/>
                <w:color w:val="0000FF"/>
              </w:rPr>
              <w:t>Policy Statements</w:t>
            </w:r>
          </w:p>
        </w:tc>
        <w:tc>
          <w:tcPr>
            <w:tcW w:w="9270" w:type="dxa"/>
            <w:gridSpan w:val="6"/>
            <w:tcBorders>
              <w:top w:val="single" w:sz="4" w:space="0" w:color="auto"/>
              <w:bottom w:val="single" w:sz="4" w:space="0" w:color="auto"/>
            </w:tcBorders>
            <w:vAlign w:val="center"/>
          </w:tcPr>
          <w:p w:rsidR="00DE6D48" w:rsidRDefault="00B032F7" w:rsidP="00DE6D48">
            <w:pPr>
              <w:pStyle w:val="Header"/>
              <w:tabs>
                <w:tab w:val="clear" w:pos="4320"/>
                <w:tab w:val="clear" w:pos="8640"/>
              </w:tabs>
              <w:rPr>
                <w:rFonts w:cs="Arial"/>
              </w:rPr>
            </w:pPr>
            <w:r>
              <w:rPr>
                <w:rFonts w:cs="Arial"/>
              </w:rPr>
              <w:t>This procedure applies to all personnel who run</w:t>
            </w:r>
            <w:r w:rsidR="00DE6D48">
              <w:rPr>
                <w:rFonts w:cs="Arial"/>
              </w:rPr>
              <w:t xml:space="preserve"> the Siemens Dimension Vista</w:t>
            </w:r>
            <w:r w:rsidR="00B501B8">
              <w:rPr>
                <w:rFonts w:cs="Arial"/>
              </w:rPr>
              <w:t>®</w:t>
            </w:r>
          </w:p>
          <w:p w:rsidR="00B501B8" w:rsidRPr="00C14E44" w:rsidRDefault="00B501B8" w:rsidP="00DE6D48">
            <w:pPr>
              <w:pStyle w:val="Header"/>
              <w:tabs>
                <w:tab w:val="clear" w:pos="4320"/>
                <w:tab w:val="clear" w:pos="8640"/>
              </w:tabs>
              <w:rPr>
                <w:rFonts w:cs="Arial"/>
                <w:b/>
              </w:rPr>
            </w:pPr>
            <w:r w:rsidRPr="00C14E44">
              <w:rPr>
                <w:rFonts w:cs="Arial"/>
                <w:b/>
              </w:rPr>
              <w:t>This procedure is not intended for use in legal testing</w:t>
            </w:r>
            <w:r w:rsidR="00C14E44">
              <w:rPr>
                <w:rFonts w:cs="Arial"/>
                <w:b/>
              </w:rPr>
              <w:t xml:space="preserve"> and is for medical use only.</w:t>
            </w:r>
          </w:p>
        </w:tc>
      </w:tr>
      <w:tr w:rsidR="00B032F7" w:rsidTr="005B6AA2">
        <w:trPr>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Principle</w:t>
            </w:r>
          </w:p>
          <w:p w:rsidR="00B032F7" w:rsidRDefault="00B032F7">
            <w:pPr>
              <w:rPr>
                <w:rFonts w:cs="Arial"/>
                <w:b/>
                <w:bCs/>
                <w:color w:val="0000FF"/>
              </w:rPr>
            </w:pPr>
          </w:p>
        </w:tc>
        <w:tc>
          <w:tcPr>
            <w:tcW w:w="9270" w:type="dxa"/>
            <w:gridSpan w:val="6"/>
            <w:tcBorders>
              <w:top w:val="single" w:sz="4" w:space="0" w:color="auto"/>
              <w:bottom w:val="single" w:sz="4" w:space="0" w:color="auto"/>
            </w:tcBorders>
          </w:tcPr>
          <w:p w:rsidR="00B032F7" w:rsidRDefault="00B032F7" w:rsidP="00951C35">
            <w:pPr>
              <w:pStyle w:val="BodyText"/>
              <w:spacing w:after="0"/>
              <w:jc w:val="both"/>
              <w:rPr>
                <w:rFonts w:cs="Arial"/>
              </w:rPr>
            </w:pPr>
          </w:p>
          <w:p w:rsidR="00B032F7" w:rsidRDefault="00B032F7" w:rsidP="00951C35">
            <w:pPr>
              <w:autoSpaceDE w:val="0"/>
              <w:autoSpaceDN w:val="0"/>
              <w:adjustRightInd w:val="0"/>
              <w:jc w:val="both"/>
              <w:rPr>
                <w:rFonts w:cs="Arial"/>
                <w:szCs w:val="20"/>
              </w:rPr>
            </w:pPr>
            <w:r w:rsidRPr="00B032F7">
              <w:rPr>
                <w:rFonts w:cs="Arial"/>
                <w:szCs w:val="20"/>
              </w:rPr>
              <w:t>The ETOH method is based on an enzymatic reaction. Reagent 1 contains the buffering system. Reagent 2 contains alcohol dehydrogenase (ADH), the coenzyme nicotinamide adenine dinucleotide (NAD), buffer, preservatives, and stabilizers. The ADH catalyzes the oxidation of ethyl alcohol to acetaldehyde. During this reaction, NAD is reduced to NADH. The absorbance due to NADH (and thus</w:t>
            </w:r>
            <w:r w:rsidR="00B501B8">
              <w:rPr>
                <w:rFonts w:cs="Arial"/>
                <w:szCs w:val="20"/>
              </w:rPr>
              <w:t xml:space="preserve"> </w:t>
            </w:r>
            <w:r w:rsidRPr="00B032F7">
              <w:rPr>
                <w:rFonts w:cs="Arial"/>
                <w:szCs w:val="20"/>
              </w:rPr>
              <w:t>the alcohol concentration) is determined using a two-filter (340–383 nm) bichromatic rate technique.</w:t>
            </w:r>
          </w:p>
          <w:p w:rsidR="00B032F7" w:rsidRDefault="00B032F7" w:rsidP="00951C35">
            <w:pPr>
              <w:jc w:val="both"/>
              <w:rPr>
                <w:rFonts w:cs="Arial"/>
              </w:rPr>
            </w:pPr>
          </w:p>
        </w:tc>
      </w:tr>
      <w:tr w:rsidR="00B032F7" w:rsidTr="005B6AA2">
        <w:trPr>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Clinical Significance</w:t>
            </w:r>
          </w:p>
          <w:p w:rsidR="00B032F7" w:rsidRDefault="00B032F7">
            <w:pPr>
              <w:rPr>
                <w:rFonts w:cs="Arial"/>
                <w:b/>
                <w:bCs/>
                <w:color w:val="0000FF"/>
              </w:rPr>
            </w:pPr>
          </w:p>
        </w:tc>
        <w:tc>
          <w:tcPr>
            <w:tcW w:w="9270" w:type="dxa"/>
            <w:gridSpan w:val="6"/>
            <w:tcBorders>
              <w:top w:val="single" w:sz="4" w:space="0" w:color="auto"/>
              <w:bottom w:val="single" w:sz="4" w:space="0" w:color="auto"/>
            </w:tcBorders>
          </w:tcPr>
          <w:p w:rsidR="00B032F7" w:rsidRDefault="00B032F7" w:rsidP="00951C35">
            <w:pPr>
              <w:autoSpaceDE w:val="0"/>
              <w:autoSpaceDN w:val="0"/>
              <w:adjustRightInd w:val="0"/>
              <w:jc w:val="both"/>
              <w:rPr>
                <w:rFonts w:cs="Arial"/>
                <w:szCs w:val="15"/>
              </w:rPr>
            </w:pPr>
          </w:p>
          <w:p w:rsidR="00B032F7" w:rsidRDefault="00B032F7" w:rsidP="00951C35">
            <w:pPr>
              <w:autoSpaceDE w:val="0"/>
              <w:autoSpaceDN w:val="0"/>
              <w:adjustRightInd w:val="0"/>
              <w:jc w:val="both"/>
              <w:rPr>
                <w:rFonts w:cs="Arial"/>
                <w:szCs w:val="9"/>
              </w:rPr>
            </w:pPr>
            <w:r>
              <w:rPr>
                <w:rFonts w:cs="Arial"/>
                <w:szCs w:val="20"/>
              </w:rPr>
              <w:t>Ethanol (e</w:t>
            </w:r>
            <w:r w:rsidRPr="00B032F7">
              <w:rPr>
                <w:rFonts w:cs="Arial"/>
                <w:szCs w:val="20"/>
              </w:rPr>
              <w:t>thyl</w:t>
            </w:r>
            <w:r>
              <w:rPr>
                <w:rFonts w:cs="Arial"/>
                <w:szCs w:val="15"/>
              </w:rPr>
              <w:t xml:space="preserve"> alcohol) is the most common toxic substance encountered an</w:t>
            </w:r>
            <w:r w:rsidR="00B501B8">
              <w:rPr>
                <w:rFonts w:cs="Arial"/>
                <w:szCs w:val="15"/>
              </w:rPr>
              <w:t>d</w:t>
            </w:r>
            <w:r>
              <w:rPr>
                <w:rFonts w:cs="Arial"/>
                <w:szCs w:val="15"/>
              </w:rPr>
              <w:t xml:space="preserve"> the most widespread and heavily consumed drug in human experience. It produces a loss of equilibrium, a sense of euphoria and loss of inhibition. </w:t>
            </w:r>
            <w:r w:rsidRPr="00B032F7">
              <w:rPr>
                <w:rFonts w:cs="Arial"/>
                <w:szCs w:val="20"/>
              </w:rPr>
              <w:t xml:space="preserve">The rate of ethanol absorption is dependent on the emptying time of the stomach. </w:t>
            </w:r>
            <w:r>
              <w:rPr>
                <w:rFonts w:cs="Arial"/>
                <w:szCs w:val="15"/>
              </w:rPr>
              <w:t xml:space="preserve">While some ethanol is absorbed through the stomach, the primary site of absorption is the small intestine. The presence of food in the stomach results in a smaller peak concentration being reached. </w:t>
            </w:r>
            <w:r w:rsidRPr="00B032F7">
              <w:rPr>
                <w:rFonts w:cs="Arial"/>
                <w:szCs w:val="20"/>
              </w:rPr>
              <w:t>Since ethanol distributes</w:t>
            </w:r>
            <w:r>
              <w:rPr>
                <w:rFonts w:cs="Arial"/>
                <w:szCs w:val="20"/>
              </w:rPr>
              <w:t xml:space="preserve"> </w:t>
            </w:r>
            <w:r w:rsidRPr="00B032F7">
              <w:rPr>
                <w:rFonts w:cs="Arial"/>
                <w:szCs w:val="20"/>
              </w:rPr>
              <w:t>evenly throughout the body water, its concentration in blood following a known dose may be estimated</w:t>
            </w:r>
            <w:r>
              <w:rPr>
                <w:rFonts w:cs="Arial"/>
                <w:szCs w:val="20"/>
              </w:rPr>
              <w:t xml:space="preserve"> </w:t>
            </w:r>
            <w:r w:rsidRPr="00B032F7">
              <w:rPr>
                <w:rFonts w:cs="Arial"/>
                <w:szCs w:val="20"/>
              </w:rPr>
              <w:t xml:space="preserve">indirectly by measuring concentrations in serum, plasma or urine. </w:t>
            </w:r>
            <w:r>
              <w:rPr>
                <w:rFonts w:cs="Arial"/>
                <w:szCs w:val="20"/>
              </w:rPr>
              <w:t>Ethanol</w:t>
            </w:r>
            <w:r>
              <w:rPr>
                <w:rFonts w:cs="Arial"/>
                <w:szCs w:val="15"/>
              </w:rPr>
              <w:t xml:space="preserve"> readily crosses the blood-brain barrier. In addition, ethanol crosses the placenta of pregnant women, a phenomenon that may cause a potentially serious disorder known as fetal alcohol syndrome.</w:t>
            </w:r>
            <w:r>
              <w:rPr>
                <w:rFonts w:cs="Arial"/>
                <w:szCs w:val="9"/>
              </w:rPr>
              <w:t xml:space="preserve"> Other deleterious effects are cardiac conditions, high blood pressure, liver disease and mental deterioration. </w:t>
            </w:r>
            <w:r>
              <w:rPr>
                <w:rFonts w:cs="Arial"/>
                <w:szCs w:val="15"/>
              </w:rPr>
              <w:t>Ethyl alcohol is metabolized to acetaldehyde and then to acetic acid by liver enzymes. About 95% of a dose undergoes metabolism by the liver.</w:t>
            </w:r>
            <w:r w:rsidRPr="00B032F7">
              <w:rPr>
                <w:rFonts w:cs="Arial"/>
                <w:szCs w:val="20"/>
              </w:rPr>
              <w:t xml:space="preserve"> Ethanol is rapidly metabolized so that a</w:t>
            </w:r>
            <w:r>
              <w:rPr>
                <w:rFonts w:cs="Arial"/>
                <w:szCs w:val="20"/>
              </w:rPr>
              <w:t xml:space="preserve"> </w:t>
            </w:r>
            <w:r w:rsidRPr="00B032F7">
              <w:rPr>
                <w:rFonts w:cs="Arial"/>
                <w:szCs w:val="20"/>
              </w:rPr>
              <w:t>moderate dose will clear from the blood in approximately one hour</w:t>
            </w:r>
            <w:r>
              <w:rPr>
                <w:rFonts w:cs="Arial"/>
                <w:szCs w:val="20"/>
              </w:rPr>
              <w:t>.</w:t>
            </w:r>
          </w:p>
          <w:p w:rsidR="00B032F7" w:rsidRDefault="00B032F7" w:rsidP="00951C35">
            <w:pPr>
              <w:jc w:val="both"/>
              <w:rPr>
                <w:rFonts w:cs="Arial"/>
                <w:szCs w:val="9"/>
              </w:rPr>
            </w:pPr>
          </w:p>
          <w:p w:rsidR="00B032F7" w:rsidRDefault="00B032F7" w:rsidP="00951C35">
            <w:pPr>
              <w:autoSpaceDE w:val="0"/>
              <w:autoSpaceDN w:val="0"/>
              <w:adjustRightInd w:val="0"/>
              <w:jc w:val="both"/>
              <w:rPr>
                <w:rFonts w:cs="Arial"/>
                <w:szCs w:val="9"/>
              </w:rPr>
            </w:pPr>
            <w:r>
              <w:rPr>
                <w:rFonts w:cs="Arial"/>
              </w:rPr>
              <w:t>Ethyl alcohol test results may be used in the diagnosis and treatment of alcohol intoxication and poisoning.</w:t>
            </w:r>
            <w:r>
              <w:rPr>
                <w:rFonts w:cs="Arial"/>
                <w:szCs w:val="15"/>
              </w:rPr>
              <w:t xml:space="preserve"> The pharmacological response to blood alcohol levels may vary from individual to individual. The fatal concentration has been reported to be greater than 400 mg/dL.</w:t>
            </w:r>
            <w:r>
              <w:rPr>
                <w:rFonts w:cs="Arial"/>
              </w:rPr>
              <w:t xml:space="preserve"> </w:t>
            </w:r>
          </w:p>
          <w:p w:rsidR="00B032F7" w:rsidRDefault="00B032F7" w:rsidP="00951C35">
            <w:pPr>
              <w:jc w:val="both"/>
              <w:rPr>
                <w:rFonts w:cs="Arial"/>
              </w:rPr>
            </w:pPr>
          </w:p>
        </w:tc>
      </w:tr>
      <w:tr w:rsidR="00B501B8" w:rsidTr="00B50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blHeader/>
        </w:trPr>
        <w:tc>
          <w:tcPr>
            <w:tcW w:w="1800" w:type="dxa"/>
            <w:tcBorders>
              <w:top w:val="nil"/>
              <w:left w:val="nil"/>
              <w:bottom w:val="nil"/>
              <w:right w:val="nil"/>
            </w:tcBorders>
            <w:vAlign w:val="center"/>
          </w:tcPr>
          <w:p w:rsidR="00B501B8" w:rsidRDefault="00B501B8" w:rsidP="00B501B8">
            <w:pPr>
              <w:rPr>
                <w:rFonts w:cs="Arial"/>
                <w:b/>
                <w:bCs/>
                <w:color w:val="0000FF"/>
              </w:rPr>
            </w:pPr>
            <w:r>
              <w:rPr>
                <w:rFonts w:cs="Arial"/>
                <w:b/>
                <w:bCs/>
                <w:color w:val="0000FF"/>
              </w:rPr>
              <w:t xml:space="preserve">Instrument </w:t>
            </w:r>
          </w:p>
        </w:tc>
        <w:tc>
          <w:tcPr>
            <w:tcW w:w="9360" w:type="dxa"/>
            <w:gridSpan w:val="7"/>
            <w:tcBorders>
              <w:left w:val="nil"/>
              <w:bottom w:val="single" w:sz="4" w:space="0" w:color="auto"/>
              <w:right w:val="nil"/>
            </w:tcBorders>
            <w:vAlign w:val="center"/>
          </w:tcPr>
          <w:p w:rsidR="00B501B8" w:rsidRDefault="00B501B8" w:rsidP="00B501B8">
            <w:pPr>
              <w:rPr>
                <w:rFonts w:cs="Arial"/>
                <w:b/>
                <w:color w:val="5F497A"/>
                <w:szCs w:val="20"/>
              </w:rPr>
            </w:pPr>
          </w:p>
          <w:p w:rsidR="00B501B8" w:rsidRPr="00A55968" w:rsidRDefault="00B501B8" w:rsidP="00B501B8">
            <w:pPr>
              <w:rPr>
                <w:rFonts w:cs="Arial"/>
                <w:iCs/>
                <w:szCs w:val="20"/>
              </w:rPr>
            </w:pPr>
            <w:r w:rsidRPr="00B52D8C">
              <w:rPr>
                <w:rFonts w:cs="Arial"/>
                <w:b/>
                <w:color w:val="5F497A"/>
                <w:szCs w:val="20"/>
              </w:rPr>
              <w:t>PRIMARY METHOD:</w:t>
            </w:r>
            <w:r w:rsidRPr="00B52D8C">
              <w:rPr>
                <w:rFonts w:cs="Arial"/>
                <w:szCs w:val="20"/>
              </w:rPr>
              <w:t xml:space="preserve"> </w:t>
            </w:r>
            <w:r w:rsidRPr="00A55968">
              <w:rPr>
                <w:rFonts w:cs="Arial"/>
                <w:iCs/>
                <w:szCs w:val="20"/>
              </w:rPr>
              <w:t xml:space="preserve">Siemens </w:t>
            </w:r>
            <w:r w:rsidRPr="00A55968">
              <w:rPr>
                <w:rFonts w:cs="Arial"/>
                <w:szCs w:val="20"/>
              </w:rPr>
              <w:t xml:space="preserve">Dimension Vista® </w:t>
            </w:r>
            <w:r w:rsidRPr="00986520">
              <w:rPr>
                <w:rFonts w:cs="Arial"/>
                <w:szCs w:val="20"/>
              </w:rPr>
              <w:t>500</w:t>
            </w:r>
            <w:r>
              <w:rPr>
                <w:rFonts w:cs="Arial"/>
                <w:szCs w:val="20"/>
              </w:rPr>
              <w:t xml:space="preserve"> </w:t>
            </w:r>
            <w:r w:rsidRPr="00A55968">
              <w:rPr>
                <w:rFonts w:cs="Arial"/>
                <w:szCs w:val="20"/>
              </w:rPr>
              <w:t>System</w:t>
            </w:r>
          </w:p>
          <w:p w:rsidR="00B501B8" w:rsidRPr="003F09A3" w:rsidRDefault="00B501B8" w:rsidP="00B501B8">
            <w:pPr>
              <w:pStyle w:val="BodyText2"/>
              <w:rPr>
                <w:rFonts w:cs="Arial"/>
                <w:szCs w:val="20"/>
              </w:rPr>
            </w:pPr>
            <w:r w:rsidRPr="00B52D8C">
              <w:rPr>
                <w:rFonts w:cs="Arial"/>
                <w:b/>
                <w:color w:val="76923C"/>
                <w:szCs w:val="20"/>
              </w:rPr>
              <w:t>SECONDARY (BACKUP) METHOD:</w:t>
            </w:r>
            <w:r w:rsidRPr="00B52D8C">
              <w:rPr>
                <w:rFonts w:cs="Arial"/>
                <w:szCs w:val="20"/>
              </w:rPr>
              <w:t xml:space="preserve"> </w:t>
            </w:r>
            <w:r w:rsidRPr="003F09A3">
              <w:rPr>
                <w:rFonts w:cs="Arial"/>
                <w:szCs w:val="20"/>
              </w:rPr>
              <w:t>Siemens Dimension Vista</w:t>
            </w:r>
            <w:r>
              <w:rPr>
                <w:rFonts w:cs="Arial"/>
                <w:szCs w:val="20"/>
              </w:rPr>
              <w:t>®</w:t>
            </w:r>
            <w:r w:rsidRPr="003F09A3">
              <w:rPr>
                <w:rFonts w:cs="Arial"/>
                <w:szCs w:val="20"/>
              </w:rPr>
              <w:t xml:space="preserve"> 500 on opposite campus</w:t>
            </w:r>
          </w:p>
        </w:tc>
      </w:tr>
      <w:tr w:rsidR="00B032F7" w:rsidTr="005B6AA2">
        <w:trPr>
          <w:trHeight w:val="728"/>
          <w:tblHeader/>
        </w:trPr>
        <w:tc>
          <w:tcPr>
            <w:tcW w:w="1890" w:type="dxa"/>
            <w:gridSpan w:val="2"/>
            <w:vAlign w:val="center"/>
          </w:tcPr>
          <w:p w:rsidR="00B032F7" w:rsidRDefault="00B032F7">
            <w:pPr>
              <w:rPr>
                <w:rFonts w:cs="Arial"/>
                <w:b/>
                <w:bCs/>
                <w:color w:val="0000FF"/>
              </w:rPr>
            </w:pPr>
            <w:r>
              <w:rPr>
                <w:rFonts w:cs="Arial"/>
                <w:b/>
                <w:bCs/>
                <w:color w:val="0000FF"/>
              </w:rPr>
              <w:t>Sunquest Test Code</w:t>
            </w:r>
          </w:p>
        </w:tc>
        <w:tc>
          <w:tcPr>
            <w:tcW w:w="9270" w:type="dxa"/>
            <w:gridSpan w:val="6"/>
            <w:tcBorders>
              <w:top w:val="single" w:sz="4" w:space="0" w:color="auto"/>
              <w:bottom w:val="single" w:sz="4" w:space="0" w:color="auto"/>
            </w:tcBorders>
            <w:vAlign w:val="center"/>
          </w:tcPr>
          <w:p w:rsidR="00B032F7" w:rsidRPr="00B501B8" w:rsidRDefault="00B032F7" w:rsidP="00B501B8">
            <w:pPr>
              <w:pStyle w:val="Heading1"/>
              <w:jc w:val="left"/>
            </w:pPr>
            <w:r>
              <w:t>ALCO</w:t>
            </w:r>
            <w:r w:rsidR="00B501B8">
              <w:tab/>
            </w:r>
            <w:r w:rsidRPr="00B501B8">
              <w:rPr>
                <w:b w:val="0"/>
              </w:rPr>
              <w:t>Alcohol (Medical) in plasma or serum</w:t>
            </w:r>
          </w:p>
        </w:tc>
      </w:tr>
      <w:tr w:rsidR="00B032F7" w:rsidTr="005B6AA2">
        <w:trPr>
          <w:cantSplit/>
          <w:trHeight w:val="6235"/>
          <w:tblHeader/>
        </w:trPr>
        <w:tc>
          <w:tcPr>
            <w:tcW w:w="1890" w:type="dxa"/>
            <w:gridSpan w:val="2"/>
            <w:tcBorders>
              <w:bottom w:val="nil"/>
            </w:tcBorders>
          </w:tcPr>
          <w:p w:rsidR="00B032F7" w:rsidRDefault="00B032F7">
            <w:pPr>
              <w:rPr>
                <w:rFonts w:cs="Arial"/>
                <w:b/>
                <w:bCs/>
                <w:color w:val="0000FF"/>
              </w:rPr>
            </w:pPr>
          </w:p>
          <w:p w:rsidR="00B032F7" w:rsidRDefault="00B032F7">
            <w:pPr>
              <w:rPr>
                <w:rFonts w:cs="Arial"/>
                <w:b/>
                <w:bCs/>
                <w:color w:val="0000FF"/>
              </w:rPr>
            </w:pPr>
            <w:r>
              <w:rPr>
                <w:rFonts w:cs="Arial"/>
                <w:b/>
                <w:bCs/>
                <w:color w:val="0000FF"/>
              </w:rPr>
              <w:t>Specimen</w:t>
            </w:r>
          </w:p>
          <w:p w:rsidR="00B032F7" w:rsidRDefault="00B032F7">
            <w:pPr>
              <w:ind w:right="-108"/>
              <w:rPr>
                <w:rFonts w:cs="Arial"/>
                <w:b/>
                <w:bCs/>
                <w:color w:val="0000FF"/>
              </w:rPr>
            </w:pPr>
          </w:p>
        </w:tc>
        <w:tc>
          <w:tcPr>
            <w:tcW w:w="9270" w:type="dxa"/>
            <w:gridSpan w:val="6"/>
            <w:tcBorders>
              <w:top w:val="single" w:sz="4" w:space="0" w:color="auto"/>
              <w:bottom w:val="single" w:sz="4" w:space="0" w:color="auto"/>
            </w:tcBorders>
          </w:tcPr>
          <w:p w:rsidR="00563FFB" w:rsidRDefault="00563FFB" w:rsidP="00951C35">
            <w:pPr>
              <w:pStyle w:val="BodyText"/>
              <w:spacing w:after="0"/>
              <w:jc w:val="both"/>
              <w:rPr>
                <w:rFonts w:cs="Arial"/>
                <w:b/>
                <w:bCs/>
              </w:rPr>
            </w:pPr>
          </w:p>
          <w:p w:rsidR="00ED4DBE" w:rsidRDefault="00563FFB" w:rsidP="00951C35">
            <w:pPr>
              <w:pStyle w:val="BodyText"/>
              <w:spacing w:after="0"/>
              <w:jc w:val="both"/>
              <w:rPr>
                <w:rFonts w:cs="Arial"/>
              </w:rPr>
            </w:pPr>
            <w:r>
              <w:rPr>
                <w:rFonts w:cs="Arial"/>
                <w:b/>
                <w:bCs/>
              </w:rPr>
              <w:t xml:space="preserve">Special </w:t>
            </w:r>
            <w:r w:rsidR="00ED4DBE">
              <w:rPr>
                <w:rFonts w:cs="Arial"/>
                <w:b/>
                <w:bCs/>
              </w:rPr>
              <w:t>Collection</w:t>
            </w:r>
            <w:r>
              <w:rPr>
                <w:rFonts w:cs="Arial"/>
                <w:b/>
                <w:bCs/>
              </w:rPr>
              <w:t xml:space="preserve"> Procedure</w:t>
            </w:r>
            <w:r w:rsidR="00ED4DBE">
              <w:rPr>
                <w:rFonts w:cs="Arial"/>
                <w:b/>
                <w:bCs/>
              </w:rPr>
              <w:t>:</w:t>
            </w:r>
          </w:p>
          <w:p w:rsidR="00ED4DBE" w:rsidRDefault="00ED4DBE" w:rsidP="00951C35">
            <w:pPr>
              <w:pStyle w:val="BodyText"/>
              <w:spacing w:after="0"/>
              <w:jc w:val="both"/>
              <w:rPr>
                <w:rFonts w:cs="Arial"/>
              </w:rPr>
            </w:pPr>
          </w:p>
          <w:p w:rsidR="00ED4DBE" w:rsidRDefault="00ED4DBE" w:rsidP="00951C35">
            <w:pPr>
              <w:autoSpaceDE w:val="0"/>
              <w:autoSpaceDN w:val="0"/>
              <w:adjustRightInd w:val="0"/>
              <w:jc w:val="both"/>
            </w:pPr>
            <w:r>
              <w:rPr>
                <w:b/>
                <w:bCs/>
              </w:rPr>
              <w:t xml:space="preserve">Use non-alcohol germicidal </w:t>
            </w:r>
            <w:r w:rsidR="009E3697">
              <w:rPr>
                <w:b/>
                <w:bCs/>
              </w:rPr>
              <w:t xml:space="preserve">solution to cleanse the skin. </w:t>
            </w:r>
            <w:r w:rsidR="00C14E44">
              <w:rPr>
                <w:b/>
                <w:bCs/>
              </w:rPr>
              <w:t xml:space="preserve"> </w:t>
            </w:r>
            <w:r w:rsidR="009E3697">
              <w:rPr>
                <w:b/>
                <w:bCs/>
              </w:rPr>
              <w:t>P</w:t>
            </w:r>
            <w:r>
              <w:rPr>
                <w:b/>
                <w:bCs/>
              </w:rPr>
              <w:t>ovidone Iodine preparation pads are recommended.</w:t>
            </w:r>
            <w:r>
              <w:t xml:space="preserve"> </w:t>
            </w:r>
            <w:r w:rsidR="00C14E44">
              <w:t xml:space="preserve"> Do not use alcohol-containing germicidal.  </w:t>
            </w:r>
            <w:r>
              <w:t>Serum and plasma can be collected using recommended procedures for collection of diagnostic blood specimens by venipuncture. See Specimen Collection Manual.</w:t>
            </w:r>
          </w:p>
          <w:p w:rsidR="00B032F7" w:rsidRDefault="00B032F7" w:rsidP="00951C35">
            <w:pPr>
              <w:pStyle w:val="BodyText"/>
              <w:spacing w:after="0"/>
              <w:jc w:val="both"/>
              <w:rPr>
                <w:rFonts w:cs="Arial"/>
              </w:rPr>
            </w:pPr>
          </w:p>
          <w:p w:rsidR="00ED4DBE" w:rsidRDefault="00ED4DBE" w:rsidP="00951C35">
            <w:pPr>
              <w:pStyle w:val="Header"/>
              <w:tabs>
                <w:tab w:val="clear" w:pos="4320"/>
                <w:tab w:val="clear" w:pos="8640"/>
                <w:tab w:val="left" w:pos="14693"/>
              </w:tabs>
              <w:jc w:val="both"/>
              <w:rPr>
                <w:rFonts w:cs="Arial"/>
              </w:rPr>
            </w:pPr>
            <w:r>
              <w:rPr>
                <w:rFonts w:cs="Arial"/>
              </w:rPr>
              <w:t>Plasma (lithium hepar</w:t>
            </w:r>
            <w:r w:rsidR="001D06AF">
              <w:rPr>
                <w:rFonts w:cs="Arial"/>
              </w:rPr>
              <w:t>in) preferred, or Serum</w:t>
            </w:r>
            <w:r>
              <w:rPr>
                <w:rFonts w:cs="Arial"/>
              </w:rPr>
              <w:t>. Plasma (Sodium heparin and EDTA) are also acceptable specimens. Refer to specimen collection procedures.</w:t>
            </w:r>
          </w:p>
          <w:p w:rsidR="00ED4DBE" w:rsidRDefault="00ED4DBE" w:rsidP="00951C35">
            <w:pPr>
              <w:pStyle w:val="Header"/>
              <w:tabs>
                <w:tab w:val="clear" w:pos="4320"/>
                <w:tab w:val="clear" w:pos="8640"/>
                <w:tab w:val="left" w:pos="14693"/>
              </w:tabs>
              <w:jc w:val="both"/>
            </w:pPr>
          </w:p>
          <w:p w:rsidR="00ED4DBE" w:rsidRDefault="00ED4DBE" w:rsidP="00951C35">
            <w:pPr>
              <w:tabs>
                <w:tab w:val="left" w:pos="3758"/>
                <w:tab w:val="left" w:pos="14693"/>
              </w:tabs>
              <w:jc w:val="both"/>
              <w:rPr>
                <w:rFonts w:cs="Arial"/>
              </w:rPr>
            </w:pPr>
            <w:r>
              <w:rPr>
                <w:rFonts w:cs="Arial"/>
                <w:b/>
                <w:bCs/>
              </w:rPr>
              <w:t>Minimum volume:</w:t>
            </w:r>
          </w:p>
          <w:p w:rsidR="00ED4DBE" w:rsidRDefault="000B66F5" w:rsidP="00951C35">
            <w:pPr>
              <w:tabs>
                <w:tab w:val="left" w:pos="3758"/>
                <w:tab w:val="left" w:pos="14693"/>
              </w:tabs>
              <w:jc w:val="both"/>
              <w:rPr>
                <w:rFonts w:cs="Arial"/>
              </w:rPr>
            </w:pPr>
            <w:r>
              <w:rPr>
                <w:rFonts w:cs="Arial"/>
              </w:rPr>
              <w:t>0.2 mL, plasma/ serum, 4 uL actual test volume</w:t>
            </w:r>
          </w:p>
          <w:p w:rsidR="00ED4DBE" w:rsidRDefault="00ED4DBE" w:rsidP="00951C35">
            <w:pPr>
              <w:tabs>
                <w:tab w:val="left" w:pos="3758"/>
                <w:tab w:val="left" w:pos="14693"/>
              </w:tabs>
              <w:jc w:val="both"/>
              <w:rPr>
                <w:rFonts w:cs="Arial"/>
              </w:rPr>
            </w:pPr>
          </w:p>
          <w:p w:rsidR="00ED4DBE" w:rsidRDefault="00ED4DBE" w:rsidP="00951C35">
            <w:pPr>
              <w:pStyle w:val="Header"/>
              <w:tabs>
                <w:tab w:val="clear" w:pos="4320"/>
                <w:tab w:val="clear" w:pos="8640"/>
                <w:tab w:val="right" w:pos="3758"/>
                <w:tab w:val="right" w:pos="14693"/>
              </w:tabs>
              <w:jc w:val="both"/>
              <w:rPr>
                <w:rFonts w:cs="Arial"/>
              </w:rPr>
            </w:pPr>
            <w:r>
              <w:rPr>
                <w:rFonts w:cs="Arial"/>
                <w:b/>
                <w:bCs/>
              </w:rPr>
              <w:t>Stability</w:t>
            </w:r>
            <w:r>
              <w:rPr>
                <w:rFonts w:cs="Arial"/>
              </w:rPr>
              <w:t>:</w:t>
            </w:r>
          </w:p>
          <w:p w:rsidR="00ED4DBE" w:rsidRDefault="00ED4DBE" w:rsidP="00951C35">
            <w:pPr>
              <w:jc w:val="both"/>
              <w:rPr>
                <w:rFonts w:cs="Arial"/>
              </w:rPr>
            </w:pPr>
            <w:r>
              <w:rPr>
                <w:rFonts w:cs="Arial"/>
              </w:rPr>
              <w:t xml:space="preserve">The specimen tube should be completely filled and stored </w:t>
            </w:r>
            <w:r w:rsidR="00C14E44">
              <w:rPr>
                <w:rFonts w:cs="Arial"/>
              </w:rPr>
              <w:t xml:space="preserve">unopened </w:t>
            </w:r>
            <w:r>
              <w:rPr>
                <w:rFonts w:cs="Arial"/>
              </w:rPr>
              <w:t>under refrigeration until analyzed</w:t>
            </w:r>
            <w:r w:rsidR="00C14E44">
              <w:rPr>
                <w:rFonts w:cs="Arial"/>
              </w:rPr>
              <w:t xml:space="preserve"> if there is a delay in testing</w:t>
            </w:r>
            <w:r>
              <w:rPr>
                <w:rFonts w:cs="Arial"/>
              </w:rPr>
              <w:t>.</w:t>
            </w:r>
            <w:r>
              <w:rPr>
                <w:rFonts w:cs="Arial"/>
                <w:position w:val="3"/>
              </w:rPr>
              <w:t xml:space="preserve"> </w:t>
            </w:r>
          </w:p>
          <w:p w:rsidR="00ED4DBE" w:rsidRDefault="00ED4DBE" w:rsidP="00951C35">
            <w:pPr>
              <w:pStyle w:val="Header"/>
              <w:tabs>
                <w:tab w:val="clear" w:pos="4320"/>
                <w:tab w:val="clear" w:pos="8640"/>
                <w:tab w:val="right" w:pos="3758"/>
                <w:tab w:val="right" w:pos="14693"/>
              </w:tabs>
              <w:jc w:val="both"/>
              <w:rPr>
                <w:rFonts w:cs="Arial"/>
              </w:rPr>
            </w:pPr>
          </w:p>
          <w:p w:rsidR="00ED4DBE" w:rsidRDefault="00ED4DBE" w:rsidP="00951C35">
            <w:pPr>
              <w:autoSpaceDE w:val="0"/>
              <w:autoSpaceDN w:val="0"/>
              <w:adjustRightInd w:val="0"/>
              <w:jc w:val="both"/>
            </w:pPr>
            <w:r>
              <w:rPr>
                <w:rFonts w:cs="Arial"/>
              </w:rPr>
              <w:t xml:space="preserve">RT / not recommended, 2-8 </w:t>
            </w:r>
            <w:r>
              <w:rPr>
                <w:rFonts w:cs="Arial"/>
              </w:rPr>
              <w:sym w:font="Symbol" w:char="F0B0"/>
            </w:r>
            <w:r>
              <w:rPr>
                <w:rFonts w:cs="Arial"/>
              </w:rPr>
              <w:t>C / 3 days, &lt; -20</w:t>
            </w:r>
            <w:r>
              <w:rPr>
                <w:rFonts w:cs="Arial"/>
              </w:rPr>
              <w:sym w:font="Symbol" w:char="F0B0"/>
            </w:r>
            <w:r>
              <w:rPr>
                <w:rFonts w:cs="Arial"/>
              </w:rPr>
              <w:t>C / stable indefinitely</w:t>
            </w:r>
          </w:p>
          <w:p w:rsidR="00ED4DBE" w:rsidRDefault="00ED4DBE" w:rsidP="00951C35">
            <w:pPr>
              <w:pStyle w:val="Header"/>
              <w:tabs>
                <w:tab w:val="clear" w:pos="4320"/>
                <w:tab w:val="clear" w:pos="8640"/>
                <w:tab w:val="right" w:pos="3758"/>
                <w:tab w:val="right" w:pos="14693"/>
              </w:tabs>
              <w:jc w:val="both"/>
              <w:rPr>
                <w:rFonts w:cs="Arial"/>
                <w:szCs w:val="14"/>
              </w:rPr>
            </w:pPr>
          </w:p>
          <w:p w:rsidR="00ED4DBE" w:rsidRDefault="00ED4DBE" w:rsidP="00951C35">
            <w:pPr>
              <w:pStyle w:val="Header"/>
              <w:tabs>
                <w:tab w:val="clear" w:pos="4320"/>
                <w:tab w:val="clear" w:pos="8640"/>
                <w:tab w:val="right" w:pos="3758"/>
                <w:tab w:val="right" w:pos="14693"/>
              </w:tabs>
              <w:jc w:val="both"/>
              <w:rPr>
                <w:rFonts w:cs="Arial"/>
              </w:rPr>
            </w:pPr>
            <w:r>
              <w:rPr>
                <w:rFonts w:cs="Arial"/>
                <w:b/>
                <w:bCs/>
              </w:rPr>
              <w:t xml:space="preserve">Rejection criteria: </w:t>
            </w:r>
            <w:r>
              <w:rPr>
                <w:rFonts w:cs="Arial"/>
              </w:rPr>
              <w:tab/>
              <w:t xml:space="preserve">Unlabelled specimens, samples other than serum or plasma, improper </w:t>
            </w:r>
            <w:r w:rsidR="00563FFB">
              <w:rPr>
                <w:rFonts w:cs="Arial"/>
              </w:rPr>
              <w:t xml:space="preserve">storage, or </w:t>
            </w:r>
            <w:r>
              <w:rPr>
                <w:rFonts w:cs="Arial"/>
              </w:rPr>
              <w:t>collection using alcohol to cleanse the skin.</w:t>
            </w:r>
          </w:p>
          <w:p w:rsidR="00ED4DBE" w:rsidRDefault="00ED4DBE" w:rsidP="00951C35">
            <w:pPr>
              <w:pStyle w:val="Header"/>
              <w:tabs>
                <w:tab w:val="clear" w:pos="4320"/>
                <w:tab w:val="clear" w:pos="8640"/>
                <w:tab w:val="right" w:pos="3758"/>
                <w:tab w:val="right" w:pos="14693"/>
              </w:tabs>
              <w:jc w:val="both"/>
              <w:rPr>
                <w:rFonts w:cs="Arial"/>
              </w:rPr>
            </w:pPr>
          </w:p>
          <w:p w:rsidR="00ED4DBE" w:rsidRDefault="00ED4DBE" w:rsidP="00951C35">
            <w:pPr>
              <w:autoSpaceDE w:val="0"/>
              <w:autoSpaceDN w:val="0"/>
              <w:adjustRightInd w:val="0"/>
              <w:jc w:val="both"/>
              <w:rPr>
                <w:rFonts w:cs="Arial"/>
                <w:szCs w:val="14"/>
              </w:rPr>
            </w:pPr>
            <w:r>
              <w:rPr>
                <w:rFonts w:cs="Arial"/>
                <w:b/>
                <w:bCs/>
              </w:rPr>
              <w:t>Preparation</w:t>
            </w:r>
          </w:p>
          <w:p w:rsidR="00C14E44" w:rsidRPr="00693A0E" w:rsidRDefault="00C14E44" w:rsidP="00C14E44">
            <w:pPr>
              <w:numPr>
                <w:ilvl w:val="0"/>
                <w:numId w:val="26"/>
              </w:numPr>
              <w:autoSpaceDE w:val="0"/>
              <w:autoSpaceDN w:val="0"/>
              <w:adjustRightInd w:val="0"/>
              <w:jc w:val="both"/>
              <w:rPr>
                <w:rFonts w:cs="Arial"/>
                <w:szCs w:val="14"/>
              </w:rPr>
            </w:pPr>
            <w:r>
              <w:rPr>
                <w:rFonts w:cs="Arial"/>
              </w:rPr>
              <w:t>Do not open the sample tube to make an aliquot until ready to test the sample.</w:t>
            </w:r>
          </w:p>
          <w:p w:rsidR="00ED4DBE" w:rsidRDefault="00ED4DBE" w:rsidP="00951C35">
            <w:pPr>
              <w:numPr>
                <w:ilvl w:val="0"/>
                <w:numId w:val="26"/>
              </w:numPr>
              <w:autoSpaceDE w:val="0"/>
              <w:autoSpaceDN w:val="0"/>
              <w:adjustRightInd w:val="0"/>
              <w:jc w:val="both"/>
              <w:rPr>
                <w:rFonts w:cs="Arial"/>
                <w:szCs w:val="14"/>
              </w:rPr>
            </w:pPr>
            <w:r>
              <w:rPr>
                <w:rFonts w:cs="Arial"/>
                <w:szCs w:val="15"/>
              </w:rPr>
              <w:t>Complete clot formation should take place before centrifugation. Serum or plasma should be physically separated from cells with a maximum limit of 2 hours from the time of collection.</w:t>
            </w:r>
            <w:r>
              <w:rPr>
                <w:rFonts w:cs="Arial"/>
                <w:szCs w:val="9"/>
              </w:rPr>
              <w:t xml:space="preserve"> </w:t>
            </w:r>
            <w:r>
              <w:rPr>
                <w:rFonts w:cs="Arial"/>
                <w:szCs w:val="15"/>
              </w:rPr>
              <w:t>Specimens should be free of particulate matter.</w:t>
            </w:r>
          </w:p>
          <w:p w:rsidR="00693A0E" w:rsidRDefault="00ED4DBE" w:rsidP="00951C35">
            <w:pPr>
              <w:numPr>
                <w:ilvl w:val="0"/>
                <w:numId w:val="26"/>
              </w:numPr>
              <w:autoSpaceDE w:val="0"/>
              <w:autoSpaceDN w:val="0"/>
              <w:adjustRightInd w:val="0"/>
              <w:jc w:val="both"/>
              <w:rPr>
                <w:rFonts w:cs="Arial"/>
                <w:szCs w:val="14"/>
              </w:rPr>
            </w:pPr>
            <w:r>
              <w:rPr>
                <w:rFonts w:cs="Arial"/>
                <w:szCs w:val="14"/>
              </w:rPr>
              <w:t>Whole blood specimens should be centrifuged according to Specimen Processing procedures prior to analysis. See Processing Procedure Manual.</w:t>
            </w:r>
          </w:p>
          <w:p w:rsidR="00693A0E" w:rsidRDefault="00693A0E" w:rsidP="00951C35">
            <w:pPr>
              <w:numPr>
                <w:ilvl w:val="0"/>
                <w:numId w:val="26"/>
              </w:numPr>
              <w:autoSpaceDE w:val="0"/>
              <w:autoSpaceDN w:val="0"/>
              <w:adjustRightInd w:val="0"/>
              <w:jc w:val="both"/>
              <w:rPr>
                <w:rFonts w:cs="Arial"/>
                <w:szCs w:val="14"/>
              </w:rPr>
            </w:pPr>
            <w:r w:rsidRPr="00693A0E">
              <w:rPr>
                <w:rFonts w:cs="Arial"/>
                <w:szCs w:val="14"/>
              </w:rPr>
              <w:t>T</w:t>
            </w:r>
            <w:r w:rsidR="00ED4DBE" w:rsidRPr="00693A0E">
              <w:rPr>
                <w:rFonts w:cs="Arial"/>
                <w:szCs w:val="14"/>
              </w:rPr>
              <w:t>ransfer serum or plasma to a properly labeled Siemens SSC nested on a bar-coded pilot tube. Minimum labeling includes sample accession ID, and/ or patient name, medical record number, collection date and time.</w:t>
            </w:r>
          </w:p>
          <w:p w:rsidR="00ED4DBE" w:rsidRPr="00693A0E" w:rsidRDefault="00693A0E" w:rsidP="00951C35">
            <w:pPr>
              <w:numPr>
                <w:ilvl w:val="0"/>
                <w:numId w:val="26"/>
              </w:numPr>
              <w:autoSpaceDE w:val="0"/>
              <w:autoSpaceDN w:val="0"/>
              <w:adjustRightInd w:val="0"/>
              <w:jc w:val="both"/>
              <w:rPr>
                <w:rFonts w:cs="Arial"/>
                <w:szCs w:val="14"/>
              </w:rPr>
            </w:pPr>
            <w:r>
              <w:rPr>
                <w:rFonts w:cs="Arial"/>
                <w:szCs w:val="14"/>
              </w:rPr>
              <w:t>T</w:t>
            </w:r>
            <w:r w:rsidR="00ED4DBE" w:rsidRPr="00693A0E">
              <w:rPr>
                <w:rFonts w:cs="Arial"/>
              </w:rPr>
              <w:t xml:space="preserve">o minimize the loss of alcohol in a sample due to evaporation, open and process samples in </w:t>
            </w:r>
            <w:r w:rsidR="00ED4DBE" w:rsidRPr="00693A0E">
              <w:rPr>
                <w:rFonts w:cs="Arial"/>
                <w:b/>
              </w:rPr>
              <w:t>STAT</w:t>
            </w:r>
            <w:r w:rsidR="00C14E44">
              <w:rPr>
                <w:rFonts w:cs="Arial"/>
              </w:rPr>
              <w:t xml:space="preserve"> mode.</w:t>
            </w:r>
          </w:p>
          <w:p w:rsidR="00B032F7" w:rsidRDefault="00B032F7" w:rsidP="00951C35">
            <w:pPr>
              <w:autoSpaceDE w:val="0"/>
              <w:autoSpaceDN w:val="0"/>
              <w:adjustRightInd w:val="0"/>
              <w:jc w:val="both"/>
              <w:rPr>
                <w:rFonts w:cs="Arial"/>
              </w:rPr>
            </w:pPr>
          </w:p>
        </w:tc>
      </w:tr>
      <w:tr w:rsidR="00B032F7" w:rsidTr="00992196">
        <w:trPr>
          <w:trHeight w:val="5237"/>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Reagents</w:t>
            </w:r>
          </w:p>
          <w:p w:rsidR="00B032F7" w:rsidRDefault="00B032F7">
            <w:pPr>
              <w:rPr>
                <w:rFonts w:cs="Arial"/>
                <w:b/>
                <w:bCs/>
                <w:color w:val="0000FF"/>
              </w:rPr>
            </w:pPr>
          </w:p>
        </w:tc>
        <w:tc>
          <w:tcPr>
            <w:tcW w:w="9270" w:type="dxa"/>
            <w:gridSpan w:val="6"/>
            <w:tcBorders>
              <w:top w:val="single" w:sz="4" w:space="0" w:color="auto"/>
              <w:bottom w:val="single" w:sz="4" w:space="0" w:color="auto"/>
            </w:tcBorders>
          </w:tcPr>
          <w:p w:rsidR="00B032F7" w:rsidRDefault="00B032F7">
            <w:pPr>
              <w:rPr>
                <w:rFonts w:cs="Arial"/>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620"/>
              <w:gridCol w:w="4837"/>
            </w:tblGrid>
            <w:tr w:rsidR="00693A0E" w:rsidRPr="00DB1AC3" w:rsidTr="00693A0E">
              <w:tc>
                <w:tcPr>
                  <w:tcW w:w="2677" w:type="dxa"/>
                </w:tcPr>
                <w:p w:rsidR="00693A0E" w:rsidRPr="00DB1AC3" w:rsidRDefault="00693A0E" w:rsidP="00693A0E">
                  <w:pPr>
                    <w:jc w:val="center"/>
                    <w:rPr>
                      <w:rFonts w:cs="Arial"/>
                      <w:b/>
                      <w:bCs/>
                      <w:i/>
                      <w:szCs w:val="20"/>
                    </w:rPr>
                  </w:pPr>
                  <w:r w:rsidRPr="00DB1AC3">
                    <w:rPr>
                      <w:rFonts w:cs="Arial"/>
                      <w:b/>
                      <w:bCs/>
                      <w:i/>
                      <w:szCs w:val="20"/>
                    </w:rPr>
                    <w:t>Product Description</w:t>
                  </w:r>
                </w:p>
              </w:tc>
              <w:tc>
                <w:tcPr>
                  <w:tcW w:w="1620" w:type="dxa"/>
                </w:tcPr>
                <w:p w:rsidR="00693A0E" w:rsidRPr="00DB1AC3" w:rsidRDefault="00693A0E" w:rsidP="00693A0E">
                  <w:pPr>
                    <w:jc w:val="center"/>
                    <w:rPr>
                      <w:rFonts w:cs="Arial"/>
                      <w:b/>
                      <w:bCs/>
                      <w:i/>
                      <w:szCs w:val="20"/>
                    </w:rPr>
                  </w:pPr>
                  <w:r w:rsidRPr="00DB1AC3">
                    <w:rPr>
                      <w:rFonts w:cs="Arial"/>
                      <w:b/>
                      <w:bCs/>
                      <w:i/>
                      <w:szCs w:val="20"/>
                    </w:rPr>
                    <w:t>Product Code</w:t>
                  </w:r>
                </w:p>
              </w:tc>
              <w:tc>
                <w:tcPr>
                  <w:tcW w:w="4837" w:type="dxa"/>
                </w:tcPr>
                <w:p w:rsidR="00693A0E" w:rsidRPr="00DB1AC3" w:rsidRDefault="00693A0E" w:rsidP="00693A0E">
                  <w:pPr>
                    <w:jc w:val="center"/>
                    <w:rPr>
                      <w:rFonts w:cs="Arial"/>
                      <w:b/>
                      <w:bCs/>
                      <w:i/>
                      <w:szCs w:val="20"/>
                    </w:rPr>
                  </w:pPr>
                  <w:r w:rsidRPr="00DB1AC3">
                    <w:rPr>
                      <w:rFonts w:cs="Arial"/>
                      <w:b/>
                      <w:bCs/>
                      <w:i/>
                      <w:szCs w:val="20"/>
                    </w:rPr>
                    <w:t>Stability</w:t>
                  </w:r>
                </w:p>
              </w:tc>
            </w:tr>
            <w:tr w:rsidR="00693A0E" w:rsidRPr="00DB1AC3" w:rsidTr="00693A0E">
              <w:trPr>
                <w:trHeight w:val="836"/>
              </w:trPr>
              <w:tc>
                <w:tcPr>
                  <w:tcW w:w="2677" w:type="dxa"/>
                </w:tcPr>
                <w:p w:rsidR="00693A0E" w:rsidRDefault="00693A0E" w:rsidP="00693A0E">
                  <w:pPr>
                    <w:autoSpaceDE w:val="0"/>
                    <w:autoSpaceDN w:val="0"/>
                    <w:adjustRightInd w:val="0"/>
                    <w:rPr>
                      <w:rFonts w:cs="Arial"/>
                      <w:szCs w:val="20"/>
                    </w:rPr>
                  </w:pPr>
                  <w:r>
                    <w:rPr>
                      <w:rFonts w:cs="Arial"/>
                      <w:szCs w:val="20"/>
                    </w:rPr>
                    <w:t>ETOH</w:t>
                  </w:r>
                  <w:r w:rsidRPr="00DB1AC3">
                    <w:rPr>
                      <w:rFonts w:cs="Arial"/>
                      <w:szCs w:val="20"/>
                    </w:rPr>
                    <w:t xml:space="preserve"> Flex Reagent Cartridge (Vista)</w:t>
                  </w:r>
                </w:p>
                <w:p w:rsidR="001E407F" w:rsidRPr="00DB1AC3" w:rsidRDefault="001E407F" w:rsidP="00693A0E">
                  <w:pPr>
                    <w:autoSpaceDE w:val="0"/>
                    <w:autoSpaceDN w:val="0"/>
                    <w:adjustRightInd w:val="0"/>
                    <w:rPr>
                      <w:rFonts w:cs="Arial"/>
                      <w:szCs w:val="20"/>
                    </w:rPr>
                  </w:pPr>
                  <w:r>
                    <w:rPr>
                      <w:rFonts w:cs="Arial"/>
                      <w:szCs w:val="20"/>
                    </w:rPr>
                    <w:t>Liquid, ready to use</w:t>
                  </w:r>
                </w:p>
              </w:tc>
              <w:tc>
                <w:tcPr>
                  <w:tcW w:w="1620" w:type="dxa"/>
                </w:tcPr>
                <w:p w:rsidR="00693A0E" w:rsidRPr="00DB1AC3" w:rsidRDefault="00693A0E" w:rsidP="00693A0E">
                  <w:pPr>
                    <w:autoSpaceDE w:val="0"/>
                    <w:autoSpaceDN w:val="0"/>
                    <w:adjustRightInd w:val="0"/>
                    <w:rPr>
                      <w:rFonts w:cs="Arial"/>
                      <w:szCs w:val="20"/>
                    </w:rPr>
                  </w:pPr>
                  <w:r w:rsidRPr="00DB1AC3">
                    <w:rPr>
                      <w:rFonts w:cs="Arial"/>
                      <w:szCs w:val="20"/>
                    </w:rPr>
                    <w:t>K</w:t>
                  </w:r>
                  <w:r>
                    <w:rPr>
                      <w:rFonts w:cs="Arial"/>
                      <w:szCs w:val="20"/>
                    </w:rPr>
                    <w:t>5022</w:t>
                  </w:r>
                </w:p>
              </w:tc>
              <w:tc>
                <w:tcPr>
                  <w:tcW w:w="4837" w:type="dxa"/>
                </w:tcPr>
                <w:p w:rsidR="00693A0E" w:rsidRPr="00DB1AC3" w:rsidRDefault="00693A0E" w:rsidP="00693A0E">
                  <w:pPr>
                    <w:autoSpaceDE w:val="0"/>
                    <w:autoSpaceDN w:val="0"/>
                    <w:adjustRightInd w:val="0"/>
                    <w:spacing w:after="120"/>
                    <w:rPr>
                      <w:rFonts w:cs="Arial"/>
                      <w:szCs w:val="20"/>
                    </w:rPr>
                  </w:pPr>
                  <w:r w:rsidRPr="00DB1AC3">
                    <w:rPr>
                      <w:rFonts w:cs="Arial"/>
                      <w:b/>
                      <w:bCs/>
                      <w:szCs w:val="20"/>
                    </w:rPr>
                    <w:t xml:space="preserve">Store at: </w:t>
                  </w:r>
                  <w:r w:rsidRPr="00DB1AC3">
                    <w:rPr>
                      <w:rFonts w:cs="Arial"/>
                      <w:szCs w:val="20"/>
                    </w:rPr>
                    <w:t>2 - 8 °C.</w:t>
                  </w:r>
                </w:p>
                <w:p w:rsidR="00693A0E" w:rsidRPr="00DB1AC3" w:rsidRDefault="00693A0E" w:rsidP="00693A0E">
                  <w:pPr>
                    <w:autoSpaceDE w:val="0"/>
                    <w:autoSpaceDN w:val="0"/>
                    <w:adjustRightInd w:val="0"/>
                    <w:spacing w:after="120"/>
                    <w:rPr>
                      <w:rFonts w:cs="Arial"/>
                      <w:szCs w:val="20"/>
                    </w:rPr>
                  </w:pPr>
                  <w:r w:rsidRPr="00DB1AC3">
                    <w:rPr>
                      <w:rFonts w:cs="Arial"/>
                      <w:b/>
                      <w:bCs/>
                      <w:szCs w:val="20"/>
                    </w:rPr>
                    <w:t>Unopened:</w:t>
                  </w:r>
                  <w:r>
                    <w:rPr>
                      <w:rFonts w:cs="Arial"/>
                      <w:b/>
                      <w:bCs/>
                      <w:szCs w:val="20"/>
                    </w:rPr>
                    <w:t xml:space="preserve"> </w:t>
                  </w:r>
                  <w:r w:rsidRPr="00DB1AC3">
                    <w:rPr>
                      <w:rFonts w:cs="Arial"/>
                      <w:szCs w:val="20"/>
                    </w:rPr>
                    <w:t xml:space="preserve">Refer to carton for expiration date of individual unopened reagent cartridges. </w:t>
                  </w:r>
                </w:p>
                <w:p w:rsidR="00693A0E" w:rsidRPr="00DB1AC3" w:rsidRDefault="00693A0E" w:rsidP="00693A0E">
                  <w:pPr>
                    <w:autoSpaceDE w:val="0"/>
                    <w:autoSpaceDN w:val="0"/>
                    <w:adjustRightInd w:val="0"/>
                    <w:spacing w:after="120"/>
                    <w:rPr>
                      <w:rFonts w:cs="Arial"/>
                      <w:szCs w:val="20"/>
                    </w:rPr>
                  </w:pPr>
                  <w:r w:rsidRPr="00DB1AC3">
                    <w:rPr>
                      <w:rFonts w:cs="Arial"/>
                      <w:b/>
                      <w:szCs w:val="20"/>
                    </w:rPr>
                    <w:t>On-board:</w:t>
                  </w:r>
                  <w:r>
                    <w:rPr>
                      <w:rFonts w:cs="Arial"/>
                      <w:szCs w:val="20"/>
                    </w:rPr>
                    <w:t xml:space="preserve"> </w:t>
                  </w:r>
                  <w:r w:rsidRPr="00DB1AC3">
                    <w:rPr>
                      <w:rFonts w:cs="Arial"/>
                      <w:szCs w:val="20"/>
                    </w:rPr>
                    <w:t xml:space="preserve">Sealed wells on the instrument are stable for </w:t>
                  </w:r>
                  <w:r>
                    <w:rPr>
                      <w:rFonts w:cs="Arial"/>
                      <w:szCs w:val="20"/>
                    </w:rPr>
                    <w:t>3</w:t>
                  </w:r>
                  <w:r w:rsidRPr="00DB1AC3">
                    <w:rPr>
                      <w:rFonts w:cs="Arial"/>
                      <w:szCs w:val="20"/>
                    </w:rPr>
                    <w:t>0 days.</w:t>
                  </w:r>
                </w:p>
                <w:p w:rsidR="00693A0E" w:rsidRDefault="00693A0E" w:rsidP="00693A0E">
                  <w:pPr>
                    <w:tabs>
                      <w:tab w:val="left" w:pos="1872"/>
                    </w:tabs>
                    <w:autoSpaceDE w:val="0"/>
                    <w:autoSpaceDN w:val="0"/>
                    <w:adjustRightInd w:val="0"/>
                    <w:rPr>
                      <w:rFonts w:cs="Arial"/>
                      <w:szCs w:val="20"/>
                    </w:rPr>
                  </w:pPr>
                  <w:r w:rsidRPr="00DB1AC3">
                    <w:rPr>
                      <w:rFonts w:cs="Arial"/>
                      <w:b/>
                      <w:bCs/>
                      <w:szCs w:val="20"/>
                    </w:rPr>
                    <w:t>Open well stability:</w:t>
                  </w:r>
                  <w:r>
                    <w:rPr>
                      <w:rFonts w:cs="Arial"/>
                      <w:b/>
                      <w:bCs/>
                      <w:szCs w:val="20"/>
                    </w:rPr>
                    <w:tab/>
                  </w:r>
                  <w:r w:rsidRPr="002C4F36">
                    <w:rPr>
                      <w:rFonts w:cs="Arial"/>
                      <w:szCs w:val="20"/>
                    </w:rPr>
                    <w:t xml:space="preserve">5 days for </w:t>
                  </w:r>
                  <w:r>
                    <w:rPr>
                      <w:rFonts w:cs="Arial"/>
                      <w:szCs w:val="20"/>
                    </w:rPr>
                    <w:t>all wells</w:t>
                  </w:r>
                </w:p>
                <w:p w:rsidR="00693A0E" w:rsidRPr="00693A0E" w:rsidRDefault="00693A0E" w:rsidP="00693A0E">
                  <w:pPr>
                    <w:tabs>
                      <w:tab w:val="left" w:pos="1872"/>
                    </w:tabs>
                    <w:autoSpaceDE w:val="0"/>
                    <w:autoSpaceDN w:val="0"/>
                    <w:adjustRightInd w:val="0"/>
                    <w:rPr>
                      <w:rFonts w:cs="Arial"/>
                      <w:szCs w:val="20"/>
                    </w:rPr>
                  </w:pPr>
                </w:p>
              </w:tc>
            </w:tr>
            <w:tr w:rsidR="00693A0E" w:rsidRPr="00DB1AC3" w:rsidTr="00693A0E">
              <w:trPr>
                <w:trHeight w:val="837"/>
              </w:trPr>
              <w:tc>
                <w:tcPr>
                  <w:tcW w:w="2677" w:type="dxa"/>
                </w:tcPr>
                <w:p w:rsidR="00693A0E" w:rsidRPr="002C4F36" w:rsidRDefault="00693A0E" w:rsidP="00693A0E">
                  <w:pPr>
                    <w:autoSpaceDE w:val="0"/>
                    <w:autoSpaceDN w:val="0"/>
                    <w:adjustRightInd w:val="0"/>
                    <w:rPr>
                      <w:rFonts w:eastAsia="Arial Unicode MS" w:cs="Arial"/>
                      <w:szCs w:val="20"/>
                    </w:rPr>
                  </w:pPr>
                  <w:r>
                    <w:rPr>
                      <w:rFonts w:cs="Arial"/>
                      <w:szCs w:val="20"/>
                    </w:rPr>
                    <w:t>CHEM 3 CAL</w:t>
                  </w:r>
                </w:p>
              </w:tc>
              <w:tc>
                <w:tcPr>
                  <w:tcW w:w="1620" w:type="dxa"/>
                </w:tcPr>
                <w:p w:rsidR="00693A0E" w:rsidRPr="00DB1AC3" w:rsidRDefault="00693A0E" w:rsidP="00693A0E">
                  <w:pPr>
                    <w:autoSpaceDE w:val="0"/>
                    <w:autoSpaceDN w:val="0"/>
                    <w:adjustRightInd w:val="0"/>
                    <w:rPr>
                      <w:rFonts w:eastAsia="Arial Unicode MS" w:cs="Arial"/>
                      <w:szCs w:val="20"/>
                    </w:rPr>
                  </w:pPr>
                  <w:r>
                    <w:rPr>
                      <w:rFonts w:cs="Arial"/>
                      <w:szCs w:val="20"/>
                    </w:rPr>
                    <w:t>KC130A</w:t>
                  </w:r>
                </w:p>
              </w:tc>
              <w:tc>
                <w:tcPr>
                  <w:tcW w:w="4837" w:type="dxa"/>
                </w:tcPr>
                <w:p w:rsidR="00693A0E" w:rsidRPr="00DB1AC3" w:rsidRDefault="00693A0E" w:rsidP="00693A0E">
                  <w:pPr>
                    <w:autoSpaceDE w:val="0"/>
                    <w:autoSpaceDN w:val="0"/>
                    <w:adjustRightInd w:val="0"/>
                    <w:spacing w:after="120"/>
                    <w:rPr>
                      <w:rFonts w:cs="Arial"/>
                      <w:szCs w:val="20"/>
                    </w:rPr>
                  </w:pPr>
                  <w:r w:rsidRPr="00DB1AC3">
                    <w:rPr>
                      <w:rFonts w:cs="Arial"/>
                      <w:b/>
                      <w:bCs/>
                      <w:szCs w:val="20"/>
                    </w:rPr>
                    <w:t xml:space="preserve">Store at: </w:t>
                  </w:r>
                  <w:r w:rsidRPr="00DB1AC3">
                    <w:rPr>
                      <w:rFonts w:cs="Arial"/>
                      <w:szCs w:val="20"/>
                    </w:rPr>
                    <w:t>2 - 8 °C.</w:t>
                  </w:r>
                </w:p>
                <w:p w:rsidR="00693A0E" w:rsidRDefault="00693A0E" w:rsidP="00693A0E">
                  <w:pPr>
                    <w:autoSpaceDE w:val="0"/>
                    <w:autoSpaceDN w:val="0"/>
                    <w:adjustRightInd w:val="0"/>
                    <w:spacing w:after="120"/>
                    <w:rPr>
                      <w:rFonts w:cs="Arial"/>
                      <w:b/>
                      <w:szCs w:val="20"/>
                    </w:rPr>
                  </w:pPr>
                  <w:r w:rsidRPr="00DB1AC3">
                    <w:rPr>
                      <w:rFonts w:cs="Arial"/>
                      <w:b/>
                      <w:bCs/>
                      <w:szCs w:val="20"/>
                    </w:rPr>
                    <w:t>Unopened:</w:t>
                  </w:r>
                  <w:r>
                    <w:rPr>
                      <w:rFonts w:cs="Arial"/>
                      <w:b/>
                      <w:bCs/>
                      <w:szCs w:val="20"/>
                    </w:rPr>
                    <w:t xml:space="preserve"> </w:t>
                  </w:r>
                  <w:r w:rsidRPr="00DB1AC3">
                    <w:rPr>
                      <w:rFonts w:cs="Arial"/>
                      <w:szCs w:val="20"/>
                    </w:rPr>
                    <w:t>Refer to carton for expiration date.</w:t>
                  </w:r>
                  <w:r w:rsidRPr="00DB1AC3">
                    <w:rPr>
                      <w:rFonts w:cs="Arial"/>
                      <w:b/>
                      <w:szCs w:val="20"/>
                    </w:rPr>
                    <w:t xml:space="preserve"> </w:t>
                  </w:r>
                </w:p>
                <w:p w:rsidR="00693A0E" w:rsidRDefault="00693A0E" w:rsidP="00E75099">
                  <w:pPr>
                    <w:autoSpaceDE w:val="0"/>
                    <w:autoSpaceDN w:val="0"/>
                    <w:adjustRightInd w:val="0"/>
                    <w:spacing w:after="120"/>
                    <w:rPr>
                      <w:rFonts w:cs="Arial"/>
                      <w:szCs w:val="20"/>
                    </w:rPr>
                  </w:pPr>
                  <w:r w:rsidRPr="00DB1AC3">
                    <w:rPr>
                      <w:rFonts w:cs="Arial"/>
                      <w:b/>
                      <w:szCs w:val="20"/>
                    </w:rPr>
                    <w:t>On-board:</w:t>
                  </w:r>
                  <w:r>
                    <w:rPr>
                      <w:rFonts w:cs="Arial"/>
                      <w:szCs w:val="20"/>
                    </w:rPr>
                    <w:t xml:space="preserve"> </w:t>
                  </w:r>
                  <w:r w:rsidRPr="00DB1AC3">
                    <w:rPr>
                      <w:rFonts w:cs="Arial"/>
                      <w:szCs w:val="20"/>
                    </w:rPr>
                    <w:t xml:space="preserve">Once the vial stopper is punctured, assigned values are stable for </w:t>
                  </w:r>
                  <w:r w:rsidR="00E75099">
                    <w:rPr>
                      <w:rFonts w:cs="Arial"/>
                      <w:szCs w:val="20"/>
                    </w:rPr>
                    <w:t>24 hours</w:t>
                  </w:r>
                  <w:r w:rsidRPr="00DB1AC3">
                    <w:rPr>
                      <w:rFonts w:cs="Arial"/>
                      <w:szCs w:val="20"/>
                    </w:rPr>
                    <w:t xml:space="preserve"> when stored on board the Dimension Vista</w:t>
                  </w:r>
                  <w:r w:rsidRPr="00DB1AC3">
                    <w:rPr>
                      <w:rStyle w:val="A5"/>
                      <w:rFonts w:cs="Arial"/>
                      <w:szCs w:val="20"/>
                    </w:rPr>
                    <w:t xml:space="preserve">® </w:t>
                  </w:r>
                  <w:r w:rsidRPr="00DB1AC3">
                    <w:rPr>
                      <w:rFonts w:cs="Arial"/>
                      <w:szCs w:val="20"/>
                    </w:rPr>
                    <w:t>System</w:t>
                  </w:r>
                </w:p>
                <w:p w:rsidR="00992196" w:rsidRPr="00DB1AC3" w:rsidRDefault="00992196" w:rsidP="00E75099">
                  <w:pPr>
                    <w:autoSpaceDE w:val="0"/>
                    <w:autoSpaceDN w:val="0"/>
                    <w:adjustRightInd w:val="0"/>
                    <w:spacing w:after="120"/>
                    <w:rPr>
                      <w:rFonts w:cs="Arial"/>
                      <w:szCs w:val="20"/>
                    </w:rPr>
                  </w:pPr>
                  <w:r w:rsidRPr="00B64898">
                    <w:rPr>
                      <w:rFonts w:cs="Arial"/>
                      <w:b/>
                      <w:szCs w:val="20"/>
                    </w:rPr>
                    <w:t>Opened:</w:t>
                  </w:r>
                  <w:r w:rsidRPr="00B64898">
                    <w:rPr>
                      <w:rFonts w:cs="Arial"/>
                      <w:szCs w:val="20"/>
                    </w:rPr>
                    <w:t xml:space="preserve"> Once the cap is removed, the assigned values are stable for 30 days when recapped immediately and stored at 2 - 8 °C. Do not use this vial on board.</w:t>
                  </w:r>
                </w:p>
              </w:tc>
            </w:tr>
          </w:tbl>
          <w:p w:rsidR="00B032F7" w:rsidRDefault="00B032F7">
            <w:pPr>
              <w:rPr>
                <w:rFonts w:cs="Arial"/>
              </w:rPr>
            </w:pPr>
          </w:p>
        </w:tc>
      </w:tr>
      <w:tr w:rsidR="00B032F7" w:rsidTr="005B6AA2">
        <w:trPr>
          <w:tblHeader/>
        </w:trPr>
        <w:tc>
          <w:tcPr>
            <w:tcW w:w="1890" w:type="dxa"/>
            <w:gridSpan w:val="2"/>
          </w:tcPr>
          <w:p w:rsidR="00B032F7" w:rsidRDefault="00B032F7">
            <w:pPr>
              <w:pStyle w:val="Header"/>
              <w:tabs>
                <w:tab w:val="clear" w:pos="4320"/>
                <w:tab w:val="clear" w:pos="8640"/>
              </w:tabs>
              <w:rPr>
                <w:rFonts w:cs="Arial"/>
                <w:b/>
                <w:bCs/>
                <w:color w:val="0000FF"/>
                <w:szCs w:val="15"/>
              </w:rPr>
            </w:pPr>
          </w:p>
          <w:p w:rsidR="00B032F7" w:rsidRDefault="00B032F7">
            <w:pPr>
              <w:pStyle w:val="Header"/>
              <w:tabs>
                <w:tab w:val="clear" w:pos="4320"/>
                <w:tab w:val="clear" w:pos="8640"/>
              </w:tabs>
              <w:rPr>
                <w:rFonts w:cs="Arial"/>
                <w:b/>
                <w:bCs/>
                <w:color w:val="0000FF"/>
              </w:rPr>
            </w:pPr>
            <w:r>
              <w:rPr>
                <w:rFonts w:cs="Arial"/>
                <w:b/>
                <w:bCs/>
                <w:color w:val="0000FF"/>
                <w:szCs w:val="15"/>
              </w:rPr>
              <w:t>Risk and Safety:</w:t>
            </w:r>
          </w:p>
        </w:tc>
        <w:tc>
          <w:tcPr>
            <w:tcW w:w="9270" w:type="dxa"/>
            <w:gridSpan w:val="6"/>
            <w:tcBorders>
              <w:top w:val="single" w:sz="4" w:space="0" w:color="auto"/>
              <w:bottom w:val="single" w:sz="4" w:space="0" w:color="auto"/>
            </w:tcBorders>
          </w:tcPr>
          <w:p w:rsidR="00B032F7" w:rsidRDefault="00B032F7">
            <w:pPr>
              <w:pStyle w:val="Pa4"/>
              <w:rPr>
                <w:rFonts w:ascii="Arial" w:hAnsi="Arial" w:cs="Arial"/>
                <w:color w:val="000000"/>
                <w:sz w:val="20"/>
                <w:szCs w:val="15"/>
              </w:rPr>
            </w:pPr>
          </w:p>
          <w:p w:rsidR="00992196" w:rsidRDefault="00992196" w:rsidP="00992196">
            <w:pPr>
              <w:autoSpaceDE w:val="0"/>
              <w:autoSpaceDN w:val="0"/>
              <w:adjustRightInd w:val="0"/>
              <w:rPr>
                <w:rFonts w:cs="Arial"/>
                <w:szCs w:val="20"/>
              </w:rPr>
            </w:pPr>
            <w:r>
              <w:rPr>
                <w:rFonts w:cs="Arial"/>
                <w:szCs w:val="20"/>
              </w:rPr>
              <w:t xml:space="preserve">CHEM 3 CAL is an </w:t>
            </w:r>
            <w:r w:rsidRPr="00B64898">
              <w:rPr>
                <w:rFonts w:cs="Arial"/>
                <w:szCs w:val="20"/>
              </w:rPr>
              <w:t>Irritant. Contains a mixture of 5-chloro-2-methyl-2H-isothiazol-3-one and 2-methyl-2H</w:t>
            </w:r>
            <w:r>
              <w:rPr>
                <w:rFonts w:cs="Arial"/>
                <w:szCs w:val="20"/>
              </w:rPr>
              <w:t>-</w:t>
            </w:r>
            <w:r w:rsidRPr="00B64898">
              <w:rPr>
                <w:rFonts w:cs="Arial"/>
                <w:szCs w:val="20"/>
              </w:rPr>
              <w:t>isothiazol-3-one (3:1)</w:t>
            </w:r>
          </w:p>
          <w:p w:rsidR="00992196" w:rsidRPr="00B64898" w:rsidRDefault="00992196" w:rsidP="00992196">
            <w:pPr>
              <w:numPr>
                <w:ilvl w:val="0"/>
                <w:numId w:val="31"/>
              </w:numPr>
              <w:autoSpaceDE w:val="0"/>
              <w:autoSpaceDN w:val="0"/>
              <w:adjustRightInd w:val="0"/>
              <w:rPr>
                <w:rFonts w:cs="Arial"/>
                <w:szCs w:val="20"/>
              </w:rPr>
            </w:pPr>
            <w:r w:rsidRPr="00B64898">
              <w:rPr>
                <w:rFonts w:cs="Arial"/>
                <w:szCs w:val="20"/>
              </w:rPr>
              <w:t>May cause sensitization by skin contact.</w:t>
            </w:r>
          </w:p>
          <w:p w:rsidR="00992196" w:rsidRPr="00B64898" w:rsidRDefault="00992196" w:rsidP="00992196">
            <w:pPr>
              <w:numPr>
                <w:ilvl w:val="0"/>
                <w:numId w:val="31"/>
              </w:numPr>
              <w:autoSpaceDE w:val="0"/>
              <w:autoSpaceDN w:val="0"/>
              <w:adjustRightInd w:val="0"/>
              <w:rPr>
                <w:rFonts w:cs="Arial"/>
                <w:szCs w:val="20"/>
              </w:rPr>
            </w:pPr>
            <w:r w:rsidRPr="00B64898">
              <w:rPr>
                <w:rFonts w:cs="Arial"/>
                <w:szCs w:val="20"/>
              </w:rPr>
              <w:t>Avoid contact with skin.</w:t>
            </w:r>
          </w:p>
          <w:p w:rsidR="00992196" w:rsidRDefault="00992196" w:rsidP="00992196">
            <w:pPr>
              <w:numPr>
                <w:ilvl w:val="0"/>
                <w:numId w:val="31"/>
              </w:numPr>
              <w:autoSpaceDE w:val="0"/>
              <w:autoSpaceDN w:val="0"/>
              <w:adjustRightInd w:val="0"/>
            </w:pPr>
            <w:r w:rsidRPr="00B64898">
              <w:rPr>
                <w:rFonts w:cs="Arial"/>
                <w:szCs w:val="20"/>
              </w:rPr>
              <w:t>Wear suitable gloves</w:t>
            </w:r>
          </w:p>
          <w:p w:rsidR="00E75099" w:rsidRDefault="00B032F7" w:rsidP="00992196">
            <w:pPr>
              <w:autoSpaceDE w:val="0"/>
              <w:autoSpaceDN w:val="0"/>
              <w:adjustRightInd w:val="0"/>
              <w:rPr>
                <w:rFonts w:cs="Arial"/>
              </w:rPr>
            </w:pPr>
            <w:r>
              <w:t>Used cuvettes contain human body fluids; handle with appropriate care to avoid skin contact or ingestion</w:t>
            </w:r>
          </w:p>
          <w:p w:rsidR="00E75099" w:rsidRDefault="00E75099">
            <w:pPr>
              <w:rPr>
                <w:rFonts w:cs="Arial"/>
              </w:rPr>
            </w:pPr>
          </w:p>
        </w:tc>
      </w:tr>
      <w:tr w:rsidR="00E75099" w:rsidTr="00563FFB">
        <w:trPr>
          <w:cantSplit/>
          <w:trHeight w:val="3320"/>
          <w:tblHeader/>
        </w:trPr>
        <w:tc>
          <w:tcPr>
            <w:tcW w:w="1890" w:type="dxa"/>
            <w:gridSpan w:val="2"/>
          </w:tcPr>
          <w:p w:rsidR="00E75099" w:rsidRDefault="00E75099">
            <w:pPr>
              <w:rPr>
                <w:rFonts w:cs="Arial"/>
                <w:b/>
                <w:bCs/>
                <w:color w:val="0000FF"/>
              </w:rPr>
            </w:pPr>
          </w:p>
          <w:p w:rsidR="00E75099" w:rsidRDefault="00E75099">
            <w:pPr>
              <w:rPr>
                <w:rFonts w:cs="Arial"/>
                <w:b/>
                <w:bCs/>
                <w:color w:val="0000FF"/>
              </w:rPr>
            </w:pPr>
            <w:r>
              <w:rPr>
                <w:rFonts w:cs="Arial"/>
                <w:b/>
                <w:bCs/>
                <w:color w:val="0000FF"/>
              </w:rPr>
              <w:t>Calibration</w:t>
            </w:r>
          </w:p>
        </w:tc>
        <w:tc>
          <w:tcPr>
            <w:tcW w:w="9270" w:type="dxa"/>
            <w:gridSpan w:val="6"/>
            <w:tcBorders>
              <w:bottom w:val="single" w:sz="4" w:space="0" w:color="auto"/>
            </w:tcBorders>
            <w:vAlign w:val="center"/>
          </w:tcPr>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7"/>
              <w:gridCol w:w="6120"/>
            </w:tblGrid>
            <w:tr w:rsidR="00E75099" w:rsidTr="00563FFB">
              <w:tc>
                <w:tcPr>
                  <w:tcW w:w="3037" w:type="dxa"/>
                </w:tcPr>
                <w:p w:rsidR="00E75099" w:rsidRDefault="00E75099" w:rsidP="00563FFB">
                  <w:pPr>
                    <w:pStyle w:val="CalVerTable"/>
                    <w:ind w:left="0" w:firstLine="0"/>
                    <w:rPr>
                      <w:rFonts w:ascii="Arial" w:hAnsi="Arial" w:cs="Arial"/>
                    </w:rPr>
                  </w:pPr>
                  <w:r>
                    <w:rPr>
                      <w:rFonts w:ascii="Arial" w:hAnsi="Arial" w:cs="Arial"/>
                    </w:rPr>
                    <w:t>Assay Range:</w:t>
                  </w:r>
                </w:p>
              </w:tc>
              <w:tc>
                <w:tcPr>
                  <w:tcW w:w="6120" w:type="dxa"/>
                </w:tcPr>
                <w:p w:rsidR="00E75099" w:rsidRDefault="00C14E44" w:rsidP="00563FFB">
                  <w:pPr>
                    <w:pStyle w:val="CalVerTable"/>
                    <w:ind w:left="0" w:firstLine="0"/>
                    <w:rPr>
                      <w:rFonts w:ascii="Arial" w:hAnsi="Arial" w:cs="Arial"/>
                    </w:rPr>
                  </w:pPr>
                  <w:r>
                    <w:rPr>
                      <w:rFonts w:ascii="Arial" w:hAnsi="Arial" w:cs="Arial"/>
                    </w:rPr>
                    <w:t>10</w:t>
                  </w:r>
                  <w:r w:rsidR="00E75099">
                    <w:rPr>
                      <w:rFonts w:ascii="Arial" w:hAnsi="Arial" w:cs="Arial"/>
                    </w:rPr>
                    <w:t xml:space="preserve"> - 300 mg/dL</w:t>
                  </w:r>
                </w:p>
              </w:tc>
            </w:tr>
            <w:tr w:rsidR="00E75099" w:rsidTr="00563FFB">
              <w:tc>
                <w:tcPr>
                  <w:tcW w:w="3037" w:type="dxa"/>
                </w:tcPr>
                <w:p w:rsidR="00E75099" w:rsidRDefault="00E75099" w:rsidP="00563FFB">
                  <w:pPr>
                    <w:pStyle w:val="CalVerTable"/>
                    <w:ind w:left="0" w:firstLine="0"/>
                    <w:rPr>
                      <w:rFonts w:ascii="Arial" w:hAnsi="Arial" w:cs="Arial"/>
                    </w:rPr>
                  </w:pPr>
                  <w:r>
                    <w:rPr>
                      <w:rFonts w:ascii="Arial" w:hAnsi="Arial" w:cs="Arial"/>
                    </w:rPr>
                    <w:t>Reference Material:</w:t>
                  </w:r>
                </w:p>
              </w:tc>
              <w:tc>
                <w:tcPr>
                  <w:tcW w:w="6120" w:type="dxa"/>
                </w:tcPr>
                <w:p w:rsidR="00E75099" w:rsidRDefault="00E75099" w:rsidP="00563FFB">
                  <w:pPr>
                    <w:pStyle w:val="Header"/>
                    <w:tabs>
                      <w:tab w:val="clear" w:pos="4320"/>
                      <w:tab w:val="clear" w:pos="8640"/>
                    </w:tabs>
                    <w:autoSpaceDE w:val="0"/>
                    <w:autoSpaceDN w:val="0"/>
                    <w:adjustRightInd w:val="0"/>
                    <w:rPr>
                      <w:rFonts w:cs="Arial"/>
                      <w:szCs w:val="12"/>
                    </w:rPr>
                  </w:pPr>
                  <w:r>
                    <w:rPr>
                      <w:rFonts w:cs="Arial"/>
                      <w:szCs w:val="15"/>
                    </w:rPr>
                    <w:t>CHEM 3 CAL, Cat. No. KC130A</w:t>
                  </w:r>
                </w:p>
              </w:tc>
            </w:tr>
            <w:tr w:rsidR="00E75099" w:rsidTr="00563FFB">
              <w:tc>
                <w:tcPr>
                  <w:tcW w:w="3037" w:type="dxa"/>
                </w:tcPr>
                <w:p w:rsidR="00E75099" w:rsidRDefault="00E75099" w:rsidP="00563FFB">
                  <w:pPr>
                    <w:pStyle w:val="CalVerTable"/>
                    <w:ind w:left="0" w:firstLine="0"/>
                    <w:rPr>
                      <w:rFonts w:ascii="Arial" w:hAnsi="Arial" w:cs="Arial"/>
                    </w:rPr>
                  </w:pPr>
                  <w:r>
                    <w:rPr>
                      <w:rFonts w:ascii="Arial" w:hAnsi="Arial" w:cs="Arial"/>
                    </w:rPr>
                    <w:t>Typical Calibration Levels:</w:t>
                  </w:r>
                </w:p>
              </w:tc>
              <w:tc>
                <w:tcPr>
                  <w:tcW w:w="6120" w:type="dxa"/>
                </w:tcPr>
                <w:p w:rsidR="00992196" w:rsidRPr="00992196" w:rsidRDefault="00992196" w:rsidP="00563FFB">
                  <w:pPr>
                    <w:autoSpaceDE w:val="0"/>
                    <w:autoSpaceDN w:val="0"/>
                    <w:adjustRightInd w:val="0"/>
                    <w:rPr>
                      <w:rFonts w:cs="Arial"/>
                      <w:szCs w:val="20"/>
                    </w:rPr>
                  </w:pPr>
                  <w:r w:rsidRPr="00992196">
                    <w:rPr>
                      <w:rFonts w:cs="Arial"/>
                      <w:szCs w:val="20"/>
                    </w:rPr>
                    <w:t>Level 1 (Calibrator A): 0 mg/dL</w:t>
                  </w:r>
                </w:p>
                <w:p w:rsidR="00E75099" w:rsidRPr="00992196" w:rsidRDefault="00992196" w:rsidP="00563FFB">
                  <w:pPr>
                    <w:pStyle w:val="CalVerTable"/>
                    <w:ind w:left="0" w:firstLine="0"/>
                    <w:rPr>
                      <w:rFonts w:ascii="Arial" w:hAnsi="Arial" w:cs="Arial"/>
                    </w:rPr>
                  </w:pPr>
                  <w:r w:rsidRPr="00992196">
                    <w:rPr>
                      <w:rFonts w:ascii="Arial" w:hAnsi="Arial" w:cs="Arial"/>
                    </w:rPr>
                    <w:t>Level 2 (Calibrator B): 303 mg/dL</w:t>
                  </w:r>
                </w:p>
              </w:tc>
            </w:tr>
            <w:tr w:rsidR="00E75099" w:rsidTr="00563FFB">
              <w:tc>
                <w:tcPr>
                  <w:tcW w:w="3037" w:type="dxa"/>
                </w:tcPr>
                <w:p w:rsidR="00E75099" w:rsidRDefault="00E75099" w:rsidP="00563FFB">
                  <w:pPr>
                    <w:pStyle w:val="CalVerTable"/>
                    <w:ind w:left="0" w:firstLine="0"/>
                    <w:rPr>
                      <w:rFonts w:ascii="Arial" w:hAnsi="Arial" w:cs="Arial"/>
                    </w:rPr>
                  </w:pPr>
                  <w:r>
                    <w:rPr>
                      <w:rFonts w:ascii="Arial" w:hAnsi="Arial" w:cs="Arial"/>
                    </w:rPr>
                    <w:t>Calibration Scheme:</w:t>
                  </w:r>
                </w:p>
              </w:tc>
              <w:tc>
                <w:tcPr>
                  <w:tcW w:w="6120" w:type="dxa"/>
                </w:tcPr>
                <w:p w:rsidR="00E75099" w:rsidRDefault="00E75099" w:rsidP="00563FFB">
                  <w:pPr>
                    <w:pStyle w:val="CalVerTable"/>
                    <w:ind w:left="0" w:firstLine="0"/>
                    <w:rPr>
                      <w:rFonts w:ascii="Arial" w:hAnsi="Arial" w:cs="Arial"/>
                    </w:rPr>
                  </w:pPr>
                  <w:r>
                    <w:rPr>
                      <w:rFonts w:ascii="Arial" w:hAnsi="Arial" w:cs="Arial"/>
                      <w:szCs w:val="12"/>
                    </w:rPr>
                    <w:t>Two levels, n=3</w:t>
                  </w:r>
                </w:p>
              </w:tc>
            </w:tr>
            <w:tr w:rsidR="00E75099" w:rsidRPr="0038195B" w:rsidTr="00563FFB">
              <w:tc>
                <w:tcPr>
                  <w:tcW w:w="3037" w:type="dxa"/>
                </w:tcPr>
                <w:p w:rsidR="00E75099" w:rsidRDefault="00E75099" w:rsidP="00563FFB">
                  <w:pPr>
                    <w:pStyle w:val="CalVerTable"/>
                    <w:ind w:left="0" w:firstLine="0"/>
                    <w:rPr>
                      <w:rFonts w:ascii="Arial" w:hAnsi="Arial" w:cs="Arial"/>
                    </w:rPr>
                  </w:pPr>
                  <w:r>
                    <w:rPr>
                      <w:rFonts w:ascii="Arial" w:hAnsi="Arial" w:cs="Arial"/>
                    </w:rPr>
                    <w:t>Calibration Frequency:</w:t>
                  </w:r>
                </w:p>
              </w:tc>
              <w:tc>
                <w:tcPr>
                  <w:tcW w:w="6120" w:type="dxa"/>
                </w:tcPr>
                <w:p w:rsidR="00E75099" w:rsidRPr="0038195B" w:rsidRDefault="00E75099" w:rsidP="00563FFB">
                  <w:pPr>
                    <w:numPr>
                      <w:ilvl w:val="0"/>
                      <w:numId w:val="34"/>
                    </w:numPr>
                    <w:autoSpaceDE w:val="0"/>
                    <w:autoSpaceDN w:val="0"/>
                    <w:adjustRightInd w:val="0"/>
                    <w:rPr>
                      <w:rFonts w:cs="Arial"/>
                      <w:szCs w:val="20"/>
                    </w:rPr>
                  </w:pPr>
                  <w:r w:rsidRPr="0038195B">
                    <w:rPr>
                      <w:rFonts w:cs="Arial"/>
                      <w:szCs w:val="20"/>
                    </w:rPr>
                    <w:t>For each new lot of Flex® reagent cartridges</w:t>
                  </w:r>
                </w:p>
                <w:p w:rsidR="00E75099" w:rsidRPr="0038195B" w:rsidRDefault="00E75099" w:rsidP="00563FFB">
                  <w:pPr>
                    <w:numPr>
                      <w:ilvl w:val="0"/>
                      <w:numId w:val="34"/>
                    </w:numPr>
                    <w:autoSpaceDE w:val="0"/>
                    <w:autoSpaceDN w:val="0"/>
                    <w:adjustRightInd w:val="0"/>
                    <w:rPr>
                      <w:rFonts w:cs="Arial"/>
                      <w:szCs w:val="20"/>
                    </w:rPr>
                  </w:pPr>
                  <w:r>
                    <w:rPr>
                      <w:rFonts w:cs="Arial"/>
                      <w:szCs w:val="20"/>
                    </w:rPr>
                    <w:t>Every 3</w:t>
                  </w:r>
                  <w:r w:rsidRPr="0038195B">
                    <w:rPr>
                      <w:rFonts w:cs="Arial"/>
                      <w:szCs w:val="20"/>
                    </w:rPr>
                    <w:t>0 days for any one lot.</w:t>
                  </w:r>
                </w:p>
                <w:p w:rsidR="00E75099" w:rsidRPr="0038195B" w:rsidRDefault="00E75099" w:rsidP="00563FFB">
                  <w:pPr>
                    <w:numPr>
                      <w:ilvl w:val="0"/>
                      <w:numId w:val="34"/>
                    </w:numPr>
                    <w:autoSpaceDE w:val="0"/>
                    <w:autoSpaceDN w:val="0"/>
                    <w:adjustRightInd w:val="0"/>
                    <w:rPr>
                      <w:rFonts w:cs="Arial"/>
                      <w:szCs w:val="20"/>
                    </w:rPr>
                  </w:pPr>
                  <w:r w:rsidRPr="0038195B">
                    <w:rPr>
                      <w:rFonts w:cs="Arial"/>
                      <w:szCs w:val="20"/>
                    </w:rPr>
                    <w:t>After major maintenance or service, if indicated by QC results</w:t>
                  </w:r>
                </w:p>
                <w:p w:rsidR="00E75099" w:rsidRPr="0038195B" w:rsidRDefault="00E75099" w:rsidP="00563FFB">
                  <w:pPr>
                    <w:pStyle w:val="Header"/>
                    <w:numPr>
                      <w:ilvl w:val="0"/>
                      <w:numId w:val="34"/>
                    </w:numPr>
                    <w:tabs>
                      <w:tab w:val="clear" w:pos="4320"/>
                      <w:tab w:val="clear" w:pos="8640"/>
                    </w:tabs>
                    <w:autoSpaceDE w:val="0"/>
                    <w:autoSpaceDN w:val="0"/>
                    <w:adjustRightInd w:val="0"/>
                    <w:rPr>
                      <w:rFonts w:cs="Arial"/>
                      <w:szCs w:val="20"/>
                    </w:rPr>
                  </w:pPr>
                  <w:r w:rsidRPr="0038195B">
                    <w:rPr>
                      <w:rFonts w:cs="Arial"/>
                      <w:szCs w:val="20"/>
                    </w:rPr>
                    <w:t>As indicated in laboratory quality control procedures</w:t>
                  </w:r>
                </w:p>
                <w:p w:rsidR="00E75099" w:rsidRPr="0038195B" w:rsidRDefault="00E75099" w:rsidP="00563FFB">
                  <w:pPr>
                    <w:pStyle w:val="Pa4"/>
                    <w:numPr>
                      <w:ilvl w:val="0"/>
                      <w:numId w:val="34"/>
                    </w:numPr>
                    <w:rPr>
                      <w:sz w:val="20"/>
                      <w:szCs w:val="20"/>
                    </w:rPr>
                  </w:pPr>
                  <w:r w:rsidRPr="0038195B">
                    <w:rPr>
                      <w:rFonts w:ascii="Arial" w:hAnsi="Arial" w:cs="Arial"/>
                      <w:sz w:val="20"/>
                      <w:szCs w:val="20"/>
                    </w:rPr>
                    <w:t>When required by government regulations</w:t>
                  </w:r>
                </w:p>
              </w:tc>
            </w:tr>
            <w:tr w:rsidR="00E75099" w:rsidTr="00563FFB">
              <w:tc>
                <w:tcPr>
                  <w:tcW w:w="3037" w:type="dxa"/>
                </w:tcPr>
                <w:p w:rsidR="00E75099" w:rsidRDefault="00E75099" w:rsidP="00563FFB">
                  <w:pPr>
                    <w:pStyle w:val="CalVerTable"/>
                    <w:ind w:left="0" w:firstLine="0"/>
                    <w:rPr>
                      <w:rFonts w:ascii="Arial" w:hAnsi="Arial" w:cs="Arial"/>
                    </w:rPr>
                  </w:pPr>
                  <w:r>
                    <w:rPr>
                      <w:rFonts w:ascii="Arial" w:hAnsi="Arial" w:cs="Arial"/>
                    </w:rPr>
                    <w:t>Analytical Measuring Range</w:t>
                  </w:r>
                </w:p>
              </w:tc>
              <w:tc>
                <w:tcPr>
                  <w:tcW w:w="6120" w:type="dxa"/>
                </w:tcPr>
                <w:p w:rsidR="00E75099" w:rsidRDefault="00C14E44" w:rsidP="00563FFB">
                  <w:pPr>
                    <w:pStyle w:val="CalVerTable"/>
                    <w:ind w:left="0" w:firstLine="0"/>
                    <w:rPr>
                      <w:rFonts w:ascii="Arial" w:hAnsi="Arial" w:cs="Arial"/>
                    </w:rPr>
                  </w:pPr>
                  <w:r>
                    <w:rPr>
                      <w:rFonts w:ascii="Arial" w:hAnsi="Arial" w:cs="Arial"/>
                    </w:rPr>
                    <w:t>10</w:t>
                  </w:r>
                  <w:r w:rsidR="00E75099">
                    <w:rPr>
                      <w:rFonts w:ascii="Arial" w:hAnsi="Arial" w:cs="Arial"/>
                    </w:rPr>
                    <w:t xml:space="preserve"> - 300 mg/dL</w:t>
                  </w:r>
                </w:p>
              </w:tc>
            </w:tr>
          </w:tbl>
          <w:p w:rsidR="00E75099" w:rsidRDefault="00E75099" w:rsidP="00563FFB">
            <w:pPr>
              <w:rPr>
                <w:rFonts w:cs="Arial"/>
              </w:rPr>
            </w:pPr>
          </w:p>
        </w:tc>
      </w:tr>
      <w:tr w:rsidR="00B032F7" w:rsidTr="00563FFB">
        <w:trPr>
          <w:cantSplit/>
          <w:trHeight w:val="1169"/>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Analytical Measuring Range (AMR)</w:t>
            </w:r>
          </w:p>
        </w:tc>
        <w:tc>
          <w:tcPr>
            <w:tcW w:w="9270" w:type="dxa"/>
            <w:gridSpan w:val="6"/>
            <w:tcBorders>
              <w:top w:val="single" w:sz="4" w:space="0" w:color="auto"/>
              <w:bottom w:val="single" w:sz="4" w:space="0" w:color="auto"/>
            </w:tcBorders>
            <w:vAlign w:val="center"/>
          </w:tcPr>
          <w:p w:rsidR="00E75099" w:rsidRDefault="00E75099" w:rsidP="00563FFB">
            <w:pPr>
              <w:numPr>
                <w:ilvl w:val="0"/>
                <w:numId w:val="27"/>
              </w:numPr>
            </w:pPr>
            <w:r w:rsidRPr="00192FFA">
              <w:t>Cal Verification and AMR</w:t>
            </w:r>
            <w:r>
              <w:t xml:space="preserve"> verification are performed at least once every six (6) months.</w:t>
            </w:r>
          </w:p>
          <w:p w:rsidR="00E75099" w:rsidRDefault="00E75099" w:rsidP="00563FFB">
            <w:pPr>
              <w:numPr>
                <w:ilvl w:val="0"/>
                <w:numId w:val="27"/>
              </w:numPr>
            </w:pPr>
            <w:r>
              <w:t xml:space="preserve">Touch  Advanced </w:t>
            </w:r>
            <w:r>
              <w:sym w:font="Wingdings" w:char="F0E0"/>
            </w:r>
            <w:r>
              <w:t xml:space="preserve"> Calibrations </w:t>
            </w:r>
            <w:r>
              <w:sym w:font="Wingdings" w:char="F0E0"/>
            </w:r>
            <w:r>
              <w:t xml:space="preserve"> Calibrations by Lot, select method ETOH and “</w:t>
            </w:r>
            <w:r>
              <w:rPr>
                <w:rFonts w:cs="Arial"/>
              </w:rPr>
              <w:t>Order a Linearity Study”</w:t>
            </w:r>
          </w:p>
          <w:p w:rsidR="00B032F7" w:rsidRPr="00563FFB" w:rsidRDefault="00E75099" w:rsidP="00563FFB">
            <w:pPr>
              <w:numPr>
                <w:ilvl w:val="0"/>
                <w:numId w:val="27"/>
              </w:numPr>
            </w:pPr>
            <w:r>
              <w:t>See iGuide “Calibration by Lot” for more information.</w:t>
            </w:r>
          </w:p>
        </w:tc>
      </w:tr>
      <w:tr w:rsidR="00B032F7" w:rsidTr="005B6AA2">
        <w:trPr>
          <w:cantSplit/>
          <w:trHeight w:val="1860"/>
          <w:tblHeader/>
        </w:trPr>
        <w:tc>
          <w:tcPr>
            <w:tcW w:w="1890" w:type="dxa"/>
            <w:gridSpan w:val="2"/>
            <w:tcBorders>
              <w:bottom w:val="nil"/>
            </w:tcBorders>
          </w:tcPr>
          <w:p w:rsidR="00B032F7" w:rsidRDefault="00B032F7">
            <w:pPr>
              <w:ind w:left="-108" w:right="-108"/>
              <w:rPr>
                <w:rFonts w:cs="Arial"/>
                <w:b/>
                <w:bCs/>
                <w:color w:val="0000FF"/>
              </w:rPr>
            </w:pPr>
          </w:p>
          <w:p w:rsidR="00B032F7" w:rsidRDefault="00B032F7">
            <w:pPr>
              <w:ind w:left="-108" w:right="-108"/>
              <w:rPr>
                <w:rFonts w:cs="Arial"/>
                <w:b/>
                <w:bCs/>
                <w:color w:val="0000FF"/>
              </w:rPr>
            </w:pPr>
            <w:r>
              <w:rPr>
                <w:rFonts w:cs="Arial"/>
                <w:b/>
                <w:bCs/>
                <w:color w:val="0000FF"/>
              </w:rPr>
              <w:t>Quality Control</w:t>
            </w:r>
          </w:p>
          <w:p w:rsidR="00B032F7" w:rsidRDefault="00B032F7">
            <w:pPr>
              <w:ind w:left="-108" w:right="-108"/>
              <w:rPr>
                <w:rFonts w:cs="Arial"/>
                <w:b/>
                <w:bCs/>
                <w:color w:val="0000FF"/>
              </w:rPr>
            </w:pPr>
          </w:p>
          <w:p w:rsidR="00B032F7" w:rsidRDefault="00B032F7">
            <w:pPr>
              <w:ind w:left="-108" w:right="-108"/>
              <w:rPr>
                <w:rFonts w:cs="Arial"/>
                <w:b/>
                <w:bCs/>
                <w:color w:val="0000FF"/>
              </w:rPr>
            </w:pPr>
          </w:p>
        </w:tc>
        <w:tc>
          <w:tcPr>
            <w:tcW w:w="9270" w:type="dxa"/>
            <w:gridSpan w:val="6"/>
            <w:tcBorders>
              <w:top w:val="single" w:sz="4" w:space="0" w:color="auto"/>
              <w:bottom w:val="single" w:sz="4" w:space="0" w:color="auto"/>
            </w:tcBorders>
          </w:tcPr>
          <w:p w:rsidR="00B032F7" w:rsidRDefault="00B032F7" w:rsidP="00563FFB">
            <w:pPr>
              <w:pStyle w:val="Header"/>
              <w:tabs>
                <w:tab w:val="clear" w:pos="4320"/>
                <w:tab w:val="clear" w:pos="8640"/>
              </w:tabs>
              <w:jc w:val="both"/>
              <w:rPr>
                <w:rFonts w:cs="Arial"/>
              </w:rPr>
            </w:pPr>
          </w:p>
          <w:p w:rsidR="005B6AA2" w:rsidRDefault="005B6AA2" w:rsidP="00563FFB">
            <w:pPr>
              <w:pStyle w:val="Header"/>
              <w:tabs>
                <w:tab w:val="clear" w:pos="4320"/>
                <w:tab w:val="clear" w:pos="8640"/>
              </w:tabs>
              <w:jc w:val="both"/>
              <w:rPr>
                <w:rFonts w:cs="Arial"/>
              </w:rPr>
            </w:pPr>
            <w:r>
              <w:rPr>
                <w:rFonts w:cs="Arial"/>
              </w:rPr>
              <w:t>Bio-Rad Liquichek</w:t>
            </w:r>
            <w:r>
              <w:rPr>
                <w:rFonts w:cs="Arial"/>
              </w:rPr>
              <w:sym w:font="Symbol" w:char="F0E4"/>
            </w:r>
            <w:r>
              <w:rPr>
                <w:rFonts w:cs="Arial"/>
              </w:rPr>
              <w:t xml:space="preserve"> Ethanol/Ammonia Control, Level 1 &amp; 3, </w:t>
            </w:r>
            <w:r w:rsidR="00992196">
              <w:rPr>
                <w:rFonts w:cs="Arial"/>
              </w:rPr>
              <w:t>c</w:t>
            </w:r>
            <w:r>
              <w:rPr>
                <w:rFonts w:cs="Arial"/>
              </w:rPr>
              <w:t>ontained in Vista Vials</w:t>
            </w:r>
          </w:p>
          <w:p w:rsidR="005B6AA2" w:rsidRDefault="005B6AA2" w:rsidP="00563FFB">
            <w:pPr>
              <w:jc w:val="both"/>
              <w:rPr>
                <w:rFonts w:cs="Arial"/>
                <w:b/>
                <w:bCs/>
              </w:rPr>
            </w:pPr>
          </w:p>
          <w:p w:rsidR="005B6AA2" w:rsidRDefault="005B6AA2" w:rsidP="00563FFB">
            <w:pPr>
              <w:jc w:val="both"/>
              <w:rPr>
                <w:rFonts w:cs="Arial"/>
              </w:rPr>
            </w:pPr>
            <w:r>
              <w:rPr>
                <w:rFonts w:cs="Arial"/>
                <w:b/>
                <w:bCs/>
              </w:rPr>
              <w:t>Frequency:</w:t>
            </w:r>
            <w:r>
              <w:rPr>
                <w:rFonts w:cs="Arial"/>
              </w:rPr>
              <w:t xml:space="preserve"> Two levels each day of use</w:t>
            </w:r>
          </w:p>
          <w:p w:rsidR="005B6AA2" w:rsidRDefault="005B6AA2" w:rsidP="00563FFB">
            <w:pPr>
              <w:jc w:val="both"/>
              <w:rPr>
                <w:rFonts w:cs="Arial"/>
                <w:b/>
                <w:bCs/>
              </w:rPr>
            </w:pPr>
          </w:p>
          <w:p w:rsidR="005B6AA2" w:rsidRDefault="005B6AA2" w:rsidP="00563FFB">
            <w:pPr>
              <w:jc w:val="both"/>
              <w:rPr>
                <w:rFonts w:cs="Arial"/>
              </w:rPr>
            </w:pPr>
            <w:r>
              <w:rPr>
                <w:rFonts w:cs="Arial"/>
                <w:b/>
                <w:bCs/>
              </w:rPr>
              <w:t>Stability:</w:t>
            </w:r>
            <w:r>
              <w:rPr>
                <w:rFonts w:cs="Arial"/>
              </w:rPr>
              <w:t xml:space="preserve"> Refer to the current lot product insert</w:t>
            </w:r>
          </w:p>
          <w:p w:rsidR="005B6AA2" w:rsidRDefault="005B6AA2" w:rsidP="00563FFB">
            <w:pPr>
              <w:ind w:right="-108"/>
              <w:jc w:val="both"/>
              <w:rPr>
                <w:rFonts w:cs="Arial"/>
                <w:b/>
                <w:bCs/>
              </w:rPr>
            </w:pPr>
          </w:p>
          <w:p w:rsidR="005B6AA2" w:rsidRDefault="005B6AA2" w:rsidP="00563FFB">
            <w:pPr>
              <w:ind w:right="-108"/>
              <w:jc w:val="both"/>
              <w:rPr>
                <w:rFonts w:cs="Arial"/>
              </w:rPr>
            </w:pPr>
            <w:r>
              <w:rPr>
                <w:rFonts w:cs="Arial"/>
                <w:b/>
                <w:bCs/>
              </w:rPr>
              <w:t xml:space="preserve">Sunquest Control names: </w:t>
            </w:r>
            <w:r>
              <w:rPr>
                <w:rFonts w:cs="Arial"/>
              </w:rPr>
              <w:t>Level 1 = C-NHL, Level 3 = C-NHH</w:t>
            </w:r>
          </w:p>
          <w:p w:rsidR="005B6AA2" w:rsidRDefault="005B6AA2" w:rsidP="00563FFB">
            <w:pPr>
              <w:pStyle w:val="Header"/>
              <w:jc w:val="both"/>
              <w:rPr>
                <w:rFonts w:cs="Arial"/>
                <w:b/>
                <w:bCs/>
              </w:rPr>
            </w:pPr>
          </w:p>
          <w:p w:rsidR="005B6AA2" w:rsidRPr="001036DA" w:rsidRDefault="005B6AA2" w:rsidP="00563FFB">
            <w:pPr>
              <w:jc w:val="both"/>
              <w:rPr>
                <w:rFonts w:cs="Arial"/>
              </w:rPr>
            </w:pPr>
            <w:r>
              <w:rPr>
                <w:rFonts w:cs="Arial"/>
                <w:b/>
                <w:bCs/>
              </w:rPr>
              <w:t xml:space="preserve">Acceptable ranges: </w:t>
            </w:r>
          </w:p>
          <w:p w:rsidR="005B6AA2" w:rsidRDefault="005B6AA2" w:rsidP="00563FFB">
            <w:pPr>
              <w:numPr>
                <w:ilvl w:val="0"/>
                <w:numId w:val="28"/>
              </w:numPr>
              <w:jc w:val="both"/>
              <w:rPr>
                <w:rFonts w:cs="Arial"/>
              </w:rPr>
            </w:pPr>
            <w:r>
              <w:rPr>
                <w:rFonts w:cs="Arial"/>
              </w:rPr>
              <w:t>Ranges are current in Sunquest and the instrument. Refer to the Quality Control Procedure for QC exception codes.</w:t>
            </w:r>
          </w:p>
          <w:p w:rsidR="005B6AA2" w:rsidRDefault="005B6AA2" w:rsidP="00563FFB">
            <w:pPr>
              <w:numPr>
                <w:ilvl w:val="0"/>
                <w:numId w:val="28"/>
              </w:numPr>
              <w:autoSpaceDE w:val="0"/>
              <w:autoSpaceDN w:val="0"/>
              <w:adjustRightInd w:val="0"/>
              <w:jc w:val="both"/>
              <w:rPr>
                <w:rFonts w:eastAsia="Arial Unicode MS" w:cs="Arial"/>
                <w:szCs w:val="22"/>
              </w:rPr>
            </w:pPr>
            <w:r>
              <w:rPr>
                <w:rFonts w:eastAsia="Arial Unicode MS" w:cs="Arial"/>
                <w:szCs w:val="22"/>
              </w:rPr>
              <w:t xml:space="preserve">If a control value is outside the confidence interval, the determination must be repeated. If the repeated determination confirms the deviation, a new reference curve should be established. </w:t>
            </w:r>
          </w:p>
          <w:p w:rsidR="005B6AA2" w:rsidRDefault="005B6AA2" w:rsidP="00563FFB">
            <w:pPr>
              <w:numPr>
                <w:ilvl w:val="0"/>
                <w:numId w:val="28"/>
              </w:numPr>
              <w:jc w:val="both"/>
              <w:rPr>
                <w:rFonts w:eastAsia="Arial Unicode MS" w:cs="Arial"/>
                <w:szCs w:val="22"/>
              </w:rPr>
            </w:pPr>
            <w:r>
              <w:rPr>
                <w:rFonts w:eastAsia="Arial Unicode MS" w:cs="Arial"/>
                <w:szCs w:val="22"/>
              </w:rPr>
              <w:t>Do not release patient results until the cause of deviation has been identified and corrected</w:t>
            </w:r>
          </w:p>
          <w:p w:rsidR="005B6AA2" w:rsidRDefault="005B6AA2" w:rsidP="00563FFB">
            <w:pPr>
              <w:numPr>
                <w:ilvl w:val="0"/>
                <w:numId w:val="28"/>
              </w:numPr>
              <w:jc w:val="both"/>
              <w:rPr>
                <w:rFonts w:cs="Arial"/>
                <w:iCs/>
              </w:rPr>
            </w:pPr>
            <w:r>
              <w:rPr>
                <w:rFonts w:eastAsia="Arial Unicode MS" w:cs="Arial"/>
                <w:szCs w:val="13"/>
              </w:rPr>
              <w:t>When a new lot of control is received, validate the manufacturer’s insert range by running the new lot in parallel with the current lot, and confirming that the results obtained are within the stated range</w:t>
            </w:r>
          </w:p>
          <w:p w:rsidR="00B032F7" w:rsidRDefault="00B032F7" w:rsidP="00563FFB">
            <w:pPr>
              <w:pStyle w:val="Header"/>
              <w:tabs>
                <w:tab w:val="clear" w:pos="4320"/>
                <w:tab w:val="clear" w:pos="8640"/>
              </w:tabs>
              <w:jc w:val="both"/>
              <w:rPr>
                <w:rFonts w:cs="Arial"/>
              </w:rPr>
            </w:pPr>
          </w:p>
        </w:tc>
      </w:tr>
      <w:tr w:rsidR="00B032F7" w:rsidTr="005B6AA2">
        <w:trPr>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Calculations</w:t>
            </w:r>
          </w:p>
          <w:p w:rsidR="00B032F7" w:rsidRDefault="00B032F7">
            <w:pPr>
              <w:rPr>
                <w:rFonts w:cs="Arial"/>
                <w:b/>
                <w:bCs/>
                <w:color w:val="0000FF"/>
              </w:rPr>
            </w:pPr>
          </w:p>
        </w:tc>
        <w:tc>
          <w:tcPr>
            <w:tcW w:w="9270" w:type="dxa"/>
            <w:gridSpan w:val="6"/>
            <w:tcBorders>
              <w:top w:val="single" w:sz="4" w:space="0" w:color="auto"/>
              <w:bottom w:val="single" w:sz="4" w:space="0" w:color="auto"/>
            </w:tcBorders>
          </w:tcPr>
          <w:p w:rsidR="00B032F7" w:rsidRDefault="00B032F7" w:rsidP="00563FFB">
            <w:pPr>
              <w:pStyle w:val="Header"/>
              <w:tabs>
                <w:tab w:val="clear" w:pos="4320"/>
                <w:tab w:val="clear" w:pos="8640"/>
              </w:tabs>
              <w:jc w:val="both"/>
              <w:rPr>
                <w:rFonts w:cs="Arial"/>
              </w:rPr>
            </w:pPr>
          </w:p>
          <w:p w:rsidR="00B032F7" w:rsidRDefault="00B032F7" w:rsidP="00563FFB">
            <w:pPr>
              <w:pStyle w:val="Header"/>
              <w:tabs>
                <w:tab w:val="clear" w:pos="4320"/>
                <w:tab w:val="clear" w:pos="8640"/>
              </w:tabs>
              <w:jc w:val="both"/>
              <w:rPr>
                <w:rFonts w:cs="Arial"/>
              </w:rPr>
            </w:pPr>
            <w:r>
              <w:rPr>
                <w:rFonts w:cs="Arial"/>
              </w:rPr>
              <w:t xml:space="preserve">The State of Minnesota defines alcohol concentration as grams of alcohol per 100 milliliters of blood, or grams of alcohol per 210 liters of breath. These two concentrations are roughly equivalent to alleviate confusion. To convert milligrams/dL to grams/dL (may be referred to as % for legal needs, </w:t>
            </w:r>
            <w:r w:rsidR="00C14E44">
              <w:rPr>
                <w:rFonts w:cs="Arial"/>
              </w:rPr>
              <w:t>i.e.</w:t>
            </w:r>
            <w:r>
              <w:rPr>
                <w:rFonts w:cs="Arial"/>
              </w:rPr>
              <w:t xml:space="preserve"> driving statutes) divide the </w:t>
            </w:r>
            <w:r w:rsidR="00992196">
              <w:rPr>
                <w:rFonts w:cs="Arial"/>
              </w:rPr>
              <w:t>Siemens Dimension Vista®</w:t>
            </w:r>
            <w:r>
              <w:rPr>
                <w:rFonts w:cs="Arial"/>
              </w:rPr>
              <w:t xml:space="preserve"> final result in mg/dL by 1000. Then for example, 80 mg/dL would be the same as .08%. Children’s method is for medical purposes only.</w:t>
            </w:r>
          </w:p>
          <w:p w:rsidR="00B032F7" w:rsidRDefault="00B032F7" w:rsidP="00563FFB">
            <w:pPr>
              <w:pStyle w:val="Header"/>
              <w:tabs>
                <w:tab w:val="clear" w:pos="4320"/>
                <w:tab w:val="clear" w:pos="8640"/>
              </w:tabs>
              <w:jc w:val="both"/>
              <w:rPr>
                <w:rFonts w:cs="Arial"/>
              </w:rPr>
            </w:pPr>
          </w:p>
        </w:tc>
      </w:tr>
      <w:tr w:rsidR="00B032F7" w:rsidTr="005B6AA2">
        <w:trPr>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Interferences</w:t>
            </w:r>
          </w:p>
          <w:p w:rsidR="00B032F7" w:rsidRDefault="00B032F7">
            <w:pPr>
              <w:rPr>
                <w:rFonts w:cs="Arial"/>
                <w:b/>
                <w:bCs/>
                <w:color w:val="0000FF"/>
              </w:rPr>
            </w:pPr>
          </w:p>
        </w:tc>
        <w:tc>
          <w:tcPr>
            <w:tcW w:w="9270" w:type="dxa"/>
            <w:gridSpan w:val="6"/>
            <w:tcBorders>
              <w:top w:val="single" w:sz="4" w:space="0" w:color="auto"/>
              <w:bottom w:val="single" w:sz="4" w:space="0" w:color="auto"/>
            </w:tcBorders>
          </w:tcPr>
          <w:p w:rsidR="00B032F7" w:rsidRDefault="00B032F7">
            <w:pPr>
              <w:pStyle w:val="Pa4"/>
              <w:rPr>
                <w:rFonts w:ascii="Arial" w:hAnsi="Arial" w:cs="Arial"/>
                <w:sz w:val="20"/>
                <w:szCs w:val="15"/>
              </w:rPr>
            </w:pPr>
          </w:p>
          <w:p w:rsidR="005B6AA2" w:rsidRPr="005B6AA2" w:rsidRDefault="009C49BA" w:rsidP="005B6AA2">
            <w:pPr>
              <w:pStyle w:val="TableText"/>
              <w:adjustRightInd w:val="0"/>
              <w:spacing w:after="120"/>
              <w:rPr>
                <w:rFonts w:ascii="Arial" w:hAnsi="Arial" w:cs="Arial"/>
                <w:szCs w:val="12"/>
              </w:rPr>
            </w:pPr>
            <w:r>
              <w:rPr>
                <w:rFonts w:ascii="Arial" w:hAnsi="Arial"/>
              </w:rPr>
              <w:t xml:space="preserve">ETOH </w:t>
            </w:r>
            <w:r w:rsidR="005B6AA2" w:rsidRPr="005B6AA2">
              <w:rPr>
                <w:rFonts w:ascii="Arial" w:hAnsi="Arial"/>
              </w:rPr>
              <w:t>Hemolysis, Icterus &amp; Lipemia (HIL) Index Values</w:t>
            </w:r>
            <w:r w:rsidR="005B6AA2" w:rsidRPr="005B6AA2">
              <w:rPr>
                <w:rFonts w:ascii="Arial" w:hAnsi="Arial" w:cs="Arial"/>
                <w:szCs w:val="1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450"/>
              <w:gridCol w:w="450"/>
            </w:tblGrid>
            <w:tr w:rsidR="005B6AA2" w:rsidRPr="00173A10" w:rsidTr="005B6AA2">
              <w:tc>
                <w:tcPr>
                  <w:tcW w:w="517" w:type="dxa"/>
                </w:tcPr>
                <w:p w:rsidR="005B6AA2" w:rsidRPr="00173A10" w:rsidRDefault="005B6AA2" w:rsidP="005B6AA2">
                  <w:pPr>
                    <w:autoSpaceDE w:val="0"/>
                    <w:autoSpaceDN w:val="0"/>
                    <w:adjustRightInd w:val="0"/>
                    <w:jc w:val="center"/>
                    <w:rPr>
                      <w:rFonts w:cs="Arial"/>
                      <w:b/>
                      <w:szCs w:val="12"/>
                    </w:rPr>
                  </w:pPr>
                  <w:r w:rsidRPr="00173A10">
                    <w:rPr>
                      <w:rFonts w:cs="Arial"/>
                      <w:b/>
                      <w:szCs w:val="12"/>
                    </w:rPr>
                    <w:t>H</w:t>
                  </w:r>
                </w:p>
              </w:tc>
              <w:tc>
                <w:tcPr>
                  <w:tcW w:w="450" w:type="dxa"/>
                </w:tcPr>
                <w:p w:rsidR="005B6AA2" w:rsidRPr="00173A10" w:rsidRDefault="005B6AA2" w:rsidP="005B6AA2">
                  <w:pPr>
                    <w:autoSpaceDE w:val="0"/>
                    <w:autoSpaceDN w:val="0"/>
                    <w:adjustRightInd w:val="0"/>
                    <w:jc w:val="center"/>
                    <w:rPr>
                      <w:rFonts w:cs="Arial"/>
                      <w:b/>
                      <w:szCs w:val="12"/>
                    </w:rPr>
                  </w:pPr>
                  <w:r w:rsidRPr="00173A10">
                    <w:rPr>
                      <w:rFonts w:cs="Arial"/>
                      <w:b/>
                      <w:szCs w:val="12"/>
                    </w:rPr>
                    <w:t>I</w:t>
                  </w:r>
                </w:p>
              </w:tc>
              <w:tc>
                <w:tcPr>
                  <w:tcW w:w="450" w:type="dxa"/>
                </w:tcPr>
                <w:p w:rsidR="005B6AA2" w:rsidRPr="00173A10" w:rsidRDefault="005B6AA2" w:rsidP="005B6AA2">
                  <w:pPr>
                    <w:autoSpaceDE w:val="0"/>
                    <w:autoSpaceDN w:val="0"/>
                    <w:adjustRightInd w:val="0"/>
                    <w:jc w:val="center"/>
                    <w:rPr>
                      <w:rFonts w:cs="Arial"/>
                      <w:b/>
                      <w:szCs w:val="12"/>
                    </w:rPr>
                  </w:pPr>
                  <w:r w:rsidRPr="00173A10">
                    <w:rPr>
                      <w:rFonts w:cs="Arial"/>
                      <w:b/>
                      <w:szCs w:val="12"/>
                    </w:rPr>
                    <w:t>L</w:t>
                  </w:r>
                </w:p>
              </w:tc>
            </w:tr>
            <w:tr w:rsidR="005B6AA2" w:rsidRPr="00173A10" w:rsidTr="005B6AA2">
              <w:tc>
                <w:tcPr>
                  <w:tcW w:w="517" w:type="dxa"/>
                </w:tcPr>
                <w:p w:rsidR="005B6AA2" w:rsidRPr="00173A10" w:rsidRDefault="005B6AA2" w:rsidP="005B6AA2">
                  <w:pPr>
                    <w:autoSpaceDE w:val="0"/>
                    <w:autoSpaceDN w:val="0"/>
                    <w:adjustRightInd w:val="0"/>
                    <w:jc w:val="center"/>
                    <w:rPr>
                      <w:rFonts w:cs="Arial"/>
                      <w:szCs w:val="12"/>
                    </w:rPr>
                  </w:pPr>
                  <w:r>
                    <w:rPr>
                      <w:rFonts w:cs="Arial"/>
                      <w:szCs w:val="12"/>
                    </w:rPr>
                    <w:t>-</w:t>
                  </w:r>
                </w:p>
              </w:tc>
              <w:tc>
                <w:tcPr>
                  <w:tcW w:w="450" w:type="dxa"/>
                </w:tcPr>
                <w:p w:rsidR="005B6AA2" w:rsidRPr="00173A10" w:rsidRDefault="005B6AA2" w:rsidP="005B6AA2">
                  <w:pPr>
                    <w:autoSpaceDE w:val="0"/>
                    <w:autoSpaceDN w:val="0"/>
                    <w:adjustRightInd w:val="0"/>
                    <w:jc w:val="center"/>
                    <w:rPr>
                      <w:rFonts w:cs="Arial"/>
                      <w:szCs w:val="12"/>
                    </w:rPr>
                  </w:pPr>
                  <w:r>
                    <w:rPr>
                      <w:rFonts w:cs="Arial"/>
                      <w:szCs w:val="12"/>
                    </w:rPr>
                    <w:t>-</w:t>
                  </w:r>
                </w:p>
              </w:tc>
              <w:tc>
                <w:tcPr>
                  <w:tcW w:w="450" w:type="dxa"/>
                </w:tcPr>
                <w:p w:rsidR="005B6AA2" w:rsidRPr="00173A10" w:rsidRDefault="005B6AA2" w:rsidP="005B6AA2">
                  <w:pPr>
                    <w:autoSpaceDE w:val="0"/>
                    <w:autoSpaceDN w:val="0"/>
                    <w:adjustRightInd w:val="0"/>
                    <w:jc w:val="center"/>
                    <w:rPr>
                      <w:rFonts w:cs="Arial"/>
                      <w:szCs w:val="12"/>
                    </w:rPr>
                  </w:pPr>
                  <w:r>
                    <w:rPr>
                      <w:rFonts w:cs="Arial"/>
                      <w:szCs w:val="12"/>
                    </w:rPr>
                    <w:t>-</w:t>
                  </w:r>
                </w:p>
              </w:tc>
            </w:tr>
          </w:tbl>
          <w:p w:rsidR="005B6AA2" w:rsidRDefault="005B6AA2" w:rsidP="005B6AA2">
            <w:pPr>
              <w:autoSpaceDE w:val="0"/>
              <w:autoSpaceDN w:val="0"/>
              <w:adjustRightInd w:val="0"/>
              <w:rPr>
                <w:rFonts w:cs="Arial"/>
                <w:szCs w:val="12"/>
              </w:rPr>
            </w:pPr>
          </w:p>
          <w:p w:rsidR="009C49BA" w:rsidRPr="009F03A9" w:rsidRDefault="009C49BA" w:rsidP="009C49BA">
            <w:pPr>
              <w:pStyle w:val="TableText"/>
              <w:adjustRightInd w:val="0"/>
              <w:rPr>
                <w:rFonts w:ascii="Arial" w:hAnsi="Arial" w:cs="Arial"/>
                <w:szCs w:val="20"/>
              </w:rPr>
            </w:pPr>
            <w:r w:rsidRPr="009F03A9">
              <w:rPr>
                <w:rFonts w:ascii="Arial" w:hAnsi="Arial" w:cs="Arial"/>
                <w:szCs w:val="20"/>
              </w:rPr>
              <w:t>No interference was found for:</w:t>
            </w:r>
          </w:p>
          <w:p w:rsidR="009C49BA" w:rsidRPr="009F03A9" w:rsidRDefault="009C49BA" w:rsidP="009C49BA">
            <w:pPr>
              <w:pStyle w:val="TableText"/>
              <w:adjustRightInd w:val="0"/>
              <w:rPr>
                <w:rFonts w:ascii="Arial" w:hAnsi="Arial" w:cs="Arial"/>
                <w:szCs w:val="20"/>
              </w:rPr>
            </w:pPr>
            <w:r w:rsidRPr="009F03A9">
              <w:rPr>
                <w:rFonts w:ascii="Arial" w:hAnsi="Arial" w:cs="Arial"/>
                <w:szCs w:val="20"/>
              </w:rPr>
              <w:t>HIL:</w:t>
            </w:r>
          </w:p>
          <w:p w:rsidR="009C49BA" w:rsidRPr="009F03A9" w:rsidRDefault="009C49BA" w:rsidP="009C49BA">
            <w:pPr>
              <w:numPr>
                <w:ilvl w:val="0"/>
                <w:numId w:val="33"/>
              </w:numPr>
              <w:autoSpaceDE w:val="0"/>
              <w:autoSpaceDN w:val="0"/>
              <w:adjustRightInd w:val="0"/>
              <w:rPr>
                <w:rFonts w:cs="Arial"/>
                <w:szCs w:val="20"/>
              </w:rPr>
            </w:pPr>
            <w:r w:rsidRPr="009F03A9">
              <w:rPr>
                <w:rFonts w:cs="Arial"/>
                <w:szCs w:val="20"/>
              </w:rPr>
              <w:t xml:space="preserve">Hemoglobin (free) up to </w:t>
            </w:r>
            <w:r>
              <w:rPr>
                <w:rFonts w:cs="Arial"/>
                <w:szCs w:val="20"/>
              </w:rPr>
              <w:t>1000</w:t>
            </w:r>
            <w:r w:rsidRPr="009F03A9">
              <w:rPr>
                <w:rFonts w:cs="Arial"/>
                <w:szCs w:val="20"/>
              </w:rPr>
              <w:t xml:space="preserve"> g/dL</w:t>
            </w:r>
          </w:p>
          <w:p w:rsidR="009C49BA" w:rsidRDefault="009C49BA" w:rsidP="009C49BA">
            <w:pPr>
              <w:numPr>
                <w:ilvl w:val="0"/>
                <w:numId w:val="33"/>
              </w:numPr>
              <w:autoSpaceDE w:val="0"/>
              <w:autoSpaceDN w:val="0"/>
              <w:adjustRightInd w:val="0"/>
              <w:rPr>
                <w:rFonts w:cs="Arial"/>
                <w:szCs w:val="20"/>
              </w:rPr>
            </w:pPr>
            <w:r w:rsidRPr="009F03A9">
              <w:rPr>
                <w:rFonts w:cs="Arial"/>
                <w:szCs w:val="20"/>
              </w:rPr>
              <w:t xml:space="preserve">Bilirubin (conjugated or unconjugated) up to </w:t>
            </w:r>
            <w:r>
              <w:rPr>
                <w:rFonts w:cs="Arial"/>
                <w:szCs w:val="20"/>
              </w:rPr>
              <w:t>80</w:t>
            </w:r>
            <w:r w:rsidRPr="009F03A9">
              <w:rPr>
                <w:rFonts w:cs="Arial"/>
                <w:szCs w:val="20"/>
              </w:rPr>
              <w:t xml:space="preserve"> mg/dL</w:t>
            </w:r>
          </w:p>
          <w:p w:rsidR="009C49BA" w:rsidRDefault="009C49BA" w:rsidP="009C49BA">
            <w:pPr>
              <w:pStyle w:val="Pa4"/>
              <w:numPr>
                <w:ilvl w:val="0"/>
                <w:numId w:val="33"/>
              </w:numPr>
              <w:rPr>
                <w:rFonts w:ascii="Arial" w:hAnsi="Arial" w:cs="Arial"/>
                <w:sz w:val="20"/>
                <w:szCs w:val="15"/>
              </w:rPr>
            </w:pPr>
            <w:r>
              <w:rPr>
                <w:rFonts w:ascii="Arial" w:hAnsi="Arial" w:cs="Arial"/>
                <w:sz w:val="20"/>
                <w:szCs w:val="20"/>
              </w:rPr>
              <w:t>Lipemia</w:t>
            </w:r>
            <w:r>
              <w:rPr>
                <w:rFonts w:ascii="HelenPro-Cond" w:hAnsi="HelenPro-Cond" w:cs="HelenPro-Cond"/>
                <w:sz w:val="14"/>
                <w:szCs w:val="14"/>
              </w:rPr>
              <w:t xml:space="preserve"> (Intralipid®)</w:t>
            </w:r>
            <w:r>
              <w:rPr>
                <w:rFonts w:ascii="Arial" w:hAnsi="Arial" w:cs="Arial"/>
                <w:sz w:val="20"/>
                <w:szCs w:val="20"/>
              </w:rPr>
              <w:t xml:space="preserve"> up to 3000 mg/dL</w:t>
            </w:r>
            <w:r>
              <w:rPr>
                <w:rFonts w:ascii="Arial" w:hAnsi="Arial" w:cs="Arial"/>
                <w:sz w:val="20"/>
                <w:szCs w:val="15"/>
              </w:rPr>
              <w:t xml:space="preserve"> </w:t>
            </w:r>
          </w:p>
          <w:p w:rsidR="005B6AA2" w:rsidRPr="005B6AA2" w:rsidRDefault="005B6AA2" w:rsidP="005B6AA2"/>
          <w:p w:rsidR="005B6AA2" w:rsidRDefault="005B6AA2" w:rsidP="005B6AA2">
            <w:r>
              <w:t>Refer to the Siemens IFU for a list of non-interfering substances.</w:t>
            </w:r>
          </w:p>
          <w:p w:rsidR="005B6AA2" w:rsidRDefault="005B6AA2">
            <w:pPr>
              <w:pStyle w:val="Pa4"/>
              <w:rPr>
                <w:rFonts w:ascii="Arial" w:hAnsi="Arial" w:cs="Arial"/>
                <w:sz w:val="20"/>
                <w:szCs w:val="15"/>
              </w:rPr>
            </w:pPr>
          </w:p>
          <w:p w:rsidR="00B032F7" w:rsidRDefault="00B032F7">
            <w:pPr>
              <w:pStyle w:val="Pa4"/>
              <w:rPr>
                <w:rFonts w:ascii="Arial" w:hAnsi="Arial" w:cs="Arial"/>
                <w:color w:val="000000"/>
                <w:sz w:val="20"/>
                <w:szCs w:val="15"/>
              </w:rPr>
            </w:pPr>
            <w:r>
              <w:rPr>
                <w:rFonts w:ascii="Arial" w:hAnsi="Arial" w:cs="Arial"/>
                <w:b/>
                <w:bCs/>
                <w:sz w:val="20"/>
                <w:szCs w:val="15"/>
              </w:rPr>
              <w:t>Specificity</w:t>
            </w:r>
          </w:p>
          <w:p w:rsidR="00B032F7" w:rsidRDefault="00B032F7" w:rsidP="00992196">
            <w:pPr>
              <w:pStyle w:val="Pa4"/>
              <w:rPr>
                <w:rFonts w:ascii="Arial" w:hAnsi="Arial" w:cs="Arial"/>
                <w:color w:val="000000"/>
                <w:sz w:val="20"/>
                <w:szCs w:val="15"/>
              </w:rPr>
            </w:pPr>
            <w:r>
              <w:rPr>
                <w:rFonts w:ascii="Arial" w:hAnsi="Arial" w:cs="Arial"/>
                <w:color w:val="000000"/>
                <w:sz w:val="20"/>
                <w:szCs w:val="15"/>
              </w:rPr>
              <w:t>n-butanol, and n-propanol are substances that cross react with the ethyl alcohol result. See product insert</w:t>
            </w:r>
            <w:r w:rsidR="005B6AA2">
              <w:rPr>
                <w:rFonts w:ascii="Arial" w:hAnsi="Arial" w:cs="Arial"/>
                <w:color w:val="000000"/>
                <w:sz w:val="20"/>
                <w:szCs w:val="15"/>
              </w:rPr>
              <w:t xml:space="preserve"> for more information</w:t>
            </w:r>
            <w:r>
              <w:rPr>
                <w:rFonts w:ascii="Arial" w:hAnsi="Arial" w:cs="Arial"/>
                <w:color w:val="000000"/>
                <w:sz w:val="20"/>
                <w:szCs w:val="15"/>
              </w:rPr>
              <w:t>.</w:t>
            </w:r>
          </w:p>
          <w:p w:rsidR="00B032F7" w:rsidRDefault="00B032F7">
            <w:pPr>
              <w:rPr>
                <w:rFonts w:cs="Arial"/>
              </w:rPr>
            </w:pPr>
          </w:p>
        </w:tc>
      </w:tr>
      <w:tr w:rsidR="00B032F7" w:rsidTr="005B6AA2">
        <w:trPr>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Reference Range</w:t>
            </w:r>
          </w:p>
          <w:p w:rsidR="005B6AA2" w:rsidRDefault="005B6AA2">
            <w:pPr>
              <w:rPr>
                <w:rFonts w:cs="Arial"/>
                <w:b/>
                <w:bCs/>
                <w:color w:val="0000FF"/>
              </w:rPr>
            </w:pPr>
          </w:p>
        </w:tc>
        <w:tc>
          <w:tcPr>
            <w:tcW w:w="9270" w:type="dxa"/>
            <w:gridSpan w:val="6"/>
            <w:tcBorders>
              <w:top w:val="single" w:sz="4" w:space="0" w:color="auto"/>
              <w:bottom w:val="single" w:sz="4" w:space="0" w:color="auto"/>
            </w:tcBorders>
          </w:tcPr>
          <w:p w:rsidR="00B032F7" w:rsidRDefault="00B032F7">
            <w:pPr>
              <w:rPr>
                <w:rFonts w:cs="Arial"/>
              </w:rPr>
            </w:pPr>
          </w:p>
          <w:p w:rsidR="00B032F7" w:rsidRDefault="00B032F7" w:rsidP="00992196">
            <w:pPr>
              <w:rPr>
                <w:rFonts w:cs="Arial"/>
              </w:rPr>
            </w:pPr>
            <w:r>
              <w:rPr>
                <w:rFonts w:cs="Arial"/>
              </w:rPr>
              <w:t xml:space="preserve">&lt; </w:t>
            </w:r>
            <w:r w:rsidR="00C14E44">
              <w:rPr>
                <w:rFonts w:cs="Arial"/>
              </w:rPr>
              <w:t>10</w:t>
            </w:r>
            <w:r>
              <w:rPr>
                <w:rFonts w:cs="Arial"/>
              </w:rPr>
              <w:t xml:space="preserve"> mg/dL</w:t>
            </w:r>
          </w:p>
        </w:tc>
      </w:tr>
      <w:tr w:rsidR="00B032F7" w:rsidTr="005B6AA2">
        <w:trPr>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Critical Values</w:t>
            </w:r>
          </w:p>
          <w:p w:rsidR="00B032F7" w:rsidRDefault="00B032F7">
            <w:pPr>
              <w:rPr>
                <w:rFonts w:cs="Arial"/>
                <w:b/>
                <w:bCs/>
                <w:color w:val="0000FF"/>
              </w:rPr>
            </w:pPr>
          </w:p>
        </w:tc>
        <w:tc>
          <w:tcPr>
            <w:tcW w:w="9270" w:type="dxa"/>
            <w:gridSpan w:val="6"/>
            <w:tcBorders>
              <w:top w:val="single" w:sz="4" w:space="0" w:color="auto"/>
              <w:bottom w:val="single" w:sz="4" w:space="0" w:color="auto"/>
            </w:tcBorders>
          </w:tcPr>
          <w:p w:rsidR="00B032F7" w:rsidRDefault="00B032F7">
            <w:pPr>
              <w:rPr>
                <w:rFonts w:cs="Arial"/>
              </w:rPr>
            </w:pPr>
          </w:p>
          <w:p w:rsidR="00B032F7" w:rsidRDefault="00B032F7">
            <w:pPr>
              <w:rPr>
                <w:rFonts w:cs="Arial"/>
              </w:rPr>
            </w:pPr>
            <w:r>
              <w:rPr>
                <w:rFonts w:cs="Arial"/>
              </w:rPr>
              <w:t>None specified</w:t>
            </w:r>
          </w:p>
        </w:tc>
      </w:tr>
      <w:tr w:rsidR="00B032F7" w:rsidTr="005B6AA2">
        <w:trPr>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Limitations</w:t>
            </w:r>
          </w:p>
          <w:p w:rsidR="00B032F7" w:rsidRDefault="00B032F7">
            <w:pPr>
              <w:rPr>
                <w:rFonts w:cs="Arial"/>
                <w:b/>
                <w:bCs/>
                <w:color w:val="0000FF"/>
              </w:rPr>
            </w:pPr>
          </w:p>
        </w:tc>
        <w:tc>
          <w:tcPr>
            <w:tcW w:w="9270" w:type="dxa"/>
            <w:gridSpan w:val="6"/>
            <w:tcBorders>
              <w:top w:val="single" w:sz="4" w:space="0" w:color="auto"/>
              <w:bottom w:val="single" w:sz="4" w:space="0" w:color="auto"/>
            </w:tcBorders>
          </w:tcPr>
          <w:p w:rsidR="00B032F7" w:rsidRDefault="00B032F7" w:rsidP="00563FFB">
            <w:pPr>
              <w:jc w:val="both"/>
              <w:rPr>
                <w:rFonts w:cs="Arial"/>
              </w:rPr>
            </w:pPr>
          </w:p>
          <w:p w:rsidR="00B032F7" w:rsidRDefault="00C14E44" w:rsidP="00563FFB">
            <w:pPr>
              <w:jc w:val="both"/>
              <w:rPr>
                <w:rFonts w:cs="Arial"/>
              </w:rPr>
            </w:pPr>
            <w:r>
              <w:rPr>
                <w:rFonts w:cs="Arial"/>
              </w:rPr>
              <w:t>Linear range of detection: 10</w:t>
            </w:r>
            <w:r w:rsidR="00B032F7">
              <w:rPr>
                <w:rFonts w:cs="Arial"/>
                <w:b/>
                <w:bCs/>
                <w:color w:val="FF00FF"/>
              </w:rPr>
              <w:t xml:space="preserve"> </w:t>
            </w:r>
            <w:r w:rsidR="00B032F7">
              <w:rPr>
                <w:rFonts w:cs="Arial"/>
              </w:rPr>
              <w:t>– 300 mg/dL</w:t>
            </w:r>
          </w:p>
          <w:p w:rsidR="00B032F7" w:rsidRDefault="00B032F7" w:rsidP="00563FFB">
            <w:pPr>
              <w:jc w:val="both"/>
              <w:rPr>
                <w:rFonts w:cs="Arial"/>
              </w:rPr>
            </w:pPr>
          </w:p>
          <w:p w:rsidR="00B032F7" w:rsidRDefault="005B6AA2" w:rsidP="00563FFB">
            <w:pPr>
              <w:jc w:val="both"/>
              <w:rPr>
                <w:rFonts w:cs="Arial"/>
                <w:szCs w:val="20"/>
              </w:rPr>
            </w:pPr>
            <w:r w:rsidRPr="00941576">
              <w:rPr>
                <w:rFonts w:cs="Arial"/>
                <w:szCs w:val="20"/>
              </w:rPr>
              <w:t xml:space="preserve">The instrument reporting system contains flags and comments to provide the user with information regarding instrument processing errors, instrument status information and potential errors in </w:t>
            </w:r>
            <w:r>
              <w:rPr>
                <w:rFonts w:cs="Arial"/>
                <w:szCs w:val="20"/>
              </w:rPr>
              <w:t>Ethyl Alcohol</w:t>
            </w:r>
            <w:r w:rsidRPr="00941576">
              <w:rPr>
                <w:rFonts w:cs="Arial"/>
                <w:szCs w:val="20"/>
              </w:rPr>
              <w:t xml:space="preserve"> results. Refer to the Dimension Vista® iGuide for the meaning of report flags and comments. Any report containing flags and/or comments should be addressed and not reported.</w:t>
            </w:r>
          </w:p>
          <w:p w:rsidR="005B6AA2" w:rsidRDefault="005B6AA2" w:rsidP="00563FFB">
            <w:pPr>
              <w:jc w:val="both"/>
              <w:rPr>
                <w:rFonts w:cs="Arial"/>
              </w:rPr>
            </w:pPr>
          </w:p>
        </w:tc>
      </w:tr>
      <w:tr w:rsidR="00B032F7" w:rsidTr="005B6AA2">
        <w:trPr>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Dilutions</w:t>
            </w:r>
          </w:p>
          <w:p w:rsidR="00B032F7" w:rsidRDefault="00B032F7">
            <w:pPr>
              <w:pStyle w:val="Header"/>
              <w:tabs>
                <w:tab w:val="clear" w:pos="4320"/>
                <w:tab w:val="clear" w:pos="8640"/>
              </w:tabs>
              <w:rPr>
                <w:rFonts w:cs="Arial"/>
                <w:b/>
                <w:bCs/>
                <w:color w:val="0000FF"/>
              </w:rPr>
            </w:pPr>
          </w:p>
        </w:tc>
        <w:tc>
          <w:tcPr>
            <w:tcW w:w="9270" w:type="dxa"/>
            <w:gridSpan w:val="6"/>
            <w:tcBorders>
              <w:top w:val="single" w:sz="4" w:space="0" w:color="auto"/>
              <w:bottom w:val="single" w:sz="4" w:space="0" w:color="auto"/>
            </w:tcBorders>
          </w:tcPr>
          <w:p w:rsidR="00B032F7" w:rsidRDefault="00B032F7">
            <w:pPr>
              <w:rPr>
                <w:rFonts w:cs="Arial"/>
                <w:b/>
                <w:bCs/>
              </w:rPr>
            </w:pP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7"/>
              <w:gridCol w:w="7020"/>
            </w:tblGrid>
            <w:tr w:rsidR="005B6AA2" w:rsidRPr="007A579D" w:rsidTr="00563FFB">
              <w:tc>
                <w:tcPr>
                  <w:tcW w:w="2137" w:type="dxa"/>
                </w:tcPr>
                <w:p w:rsidR="005B6AA2" w:rsidRPr="007A579D" w:rsidRDefault="005B6AA2" w:rsidP="005B6AA2">
                  <w:pPr>
                    <w:pStyle w:val="BodyText"/>
                    <w:rPr>
                      <w:rFonts w:cs="Arial"/>
                    </w:rPr>
                  </w:pPr>
                  <w:r w:rsidRPr="007A579D">
                    <w:rPr>
                      <w:rFonts w:cs="Arial"/>
                    </w:rPr>
                    <w:t xml:space="preserve">Initial </w:t>
                  </w:r>
                  <w:r>
                    <w:rPr>
                      <w:rFonts w:cs="Arial"/>
                    </w:rPr>
                    <w:t xml:space="preserve">Vista </w:t>
                  </w:r>
                  <w:r w:rsidRPr="007A579D">
                    <w:rPr>
                      <w:rFonts w:cs="Arial"/>
                    </w:rPr>
                    <w:t>Dilution</w:t>
                  </w:r>
                  <w:r>
                    <w:rPr>
                      <w:rFonts w:cs="Arial"/>
                    </w:rPr>
                    <w:t>:</w:t>
                  </w:r>
                </w:p>
              </w:tc>
              <w:tc>
                <w:tcPr>
                  <w:tcW w:w="7020" w:type="dxa"/>
                </w:tcPr>
                <w:p w:rsidR="005B6AA2" w:rsidRPr="007A579D" w:rsidRDefault="005B6AA2" w:rsidP="005B6AA2">
                  <w:pPr>
                    <w:pStyle w:val="BodyText"/>
                    <w:rPr>
                      <w:rFonts w:cs="Arial"/>
                    </w:rPr>
                  </w:pPr>
                  <w:r>
                    <w:rPr>
                      <w:rFonts w:cs="Arial"/>
                    </w:rPr>
                    <w:t>None</w:t>
                  </w:r>
                </w:p>
              </w:tc>
            </w:tr>
            <w:tr w:rsidR="005B6AA2" w:rsidTr="00563FFB">
              <w:tc>
                <w:tcPr>
                  <w:tcW w:w="2137" w:type="dxa"/>
                </w:tcPr>
                <w:p w:rsidR="005B6AA2" w:rsidRPr="007A579D" w:rsidRDefault="005B6AA2" w:rsidP="005B6AA2">
                  <w:pPr>
                    <w:pStyle w:val="BodyText"/>
                    <w:rPr>
                      <w:rFonts w:cs="Arial"/>
                    </w:rPr>
                  </w:pPr>
                  <w:r>
                    <w:rPr>
                      <w:rFonts w:cs="Arial"/>
                    </w:rPr>
                    <w:t>Maximum Dilution:</w:t>
                  </w:r>
                </w:p>
              </w:tc>
              <w:tc>
                <w:tcPr>
                  <w:tcW w:w="7020" w:type="dxa"/>
                </w:tcPr>
                <w:p w:rsidR="005B6AA2" w:rsidRDefault="005B6AA2" w:rsidP="005B6AA2">
                  <w:pPr>
                    <w:pStyle w:val="BodyText"/>
                    <w:rPr>
                      <w:rFonts w:cs="Arial"/>
                    </w:rPr>
                  </w:pPr>
                  <w:r>
                    <w:rPr>
                      <w:rFonts w:cs="Arial"/>
                    </w:rPr>
                    <w:t>1:4</w:t>
                  </w:r>
                </w:p>
              </w:tc>
            </w:tr>
            <w:tr w:rsidR="005B6AA2" w:rsidRPr="007A579D" w:rsidTr="00C60994">
              <w:trPr>
                <w:trHeight w:val="467"/>
              </w:trPr>
              <w:tc>
                <w:tcPr>
                  <w:tcW w:w="2137" w:type="dxa"/>
                  <w:vAlign w:val="center"/>
                </w:tcPr>
                <w:p w:rsidR="005B6AA2" w:rsidRPr="007A579D" w:rsidRDefault="005B6AA2" w:rsidP="00C60994">
                  <w:pPr>
                    <w:pStyle w:val="BodyText"/>
                    <w:rPr>
                      <w:rFonts w:cs="Arial"/>
                    </w:rPr>
                  </w:pPr>
                  <w:r w:rsidRPr="007A579D">
                    <w:rPr>
                      <w:rFonts w:cs="Arial"/>
                    </w:rPr>
                    <w:t>Surplus Rack</w:t>
                  </w:r>
                  <w:r>
                    <w:rPr>
                      <w:rFonts w:cs="Arial"/>
                    </w:rPr>
                    <w:t>:</w:t>
                  </w:r>
                </w:p>
              </w:tc>
              <w:tc>
                <w:tcPr>
                  <w:tcW w:w="7020" w:type="dxa"/>
                  <w:vAlign w:val="center"/>
                </w:tcPr>
                <w:p w:rsidR="005B6AA2" w:rsidRPr="007A579D" w:rsidRDefault="005B6AA2" w:rsidP="00C60994">
                  <w:pPr>
                    <w:autoSpaceDE w:val="0"/>
                    <w:autoSpaceDN w:val="0"/>
                    <w:adjustRightInd w:val="0"/>
                    <w:rPr>
                      <w:rFonts w:cs="Arial"/>
                      <w:szCs w:val="20"/>
                    </w:rPr>
                  </w:pPr>
                  <w:r w:rsidRPr="007A579D">
                    <w:rPr>
                      <w:rFonts w:cs="Arial"/>
                      <w:szCs w:val="20"/>
                    </w:rPr>
                    <w:t>Samples with results &gt;</w:t>
                  </w:r>
                  <w:r>
                    <w:rPr>
                      <w:rFonts w:cs="Arial"/>
                      <w:szCs w:val="20"/>
                    </w:rPr>
                    <w:t xml:space="preserve">300 mg/dL reflex to a 1:4 automatically. </w:t>
                  </w:r>
                </w:p>
              </w:tc>
            </w:tr>
            <w:tr w:rsidR="005B6AA2" w:rsidRPr="0090549B" w:rsidTr="00C60994">
              <w:trPr>
                <w:trHeight w:val="710"/>
              </w:trPr>
              <w:tc>
                <w:tcPr>
                  <w:tcW w:w="2137" w:type="dxa"/>
                  <w:vAlign w:val="center"/>
                </w:tcPr>
                <w:p w:rsidR="005B6AA2" w:rsidRPr="007A579D" w:rsidRDefault="005B6AA2" w:rsidP="00C60994">
                  <w:pPr>
                    <w:pStyle w:val="BodyText"/>
                    <w:rPr>
                      <w:rFonts w:cs="Arial"/>
                    </w:rPr>
                  </w:pPr>
                  <w:r w:rsidRPr="007A579D">
                    <w:rPr>
                      <w:rFonts w:cs="Arial"/>
                    </w:rPr>
                    <w:t>Limited Rack</w:t>
                  </w:r>
                  <w:r>
                    <w:rPr>
                      <w:rFonts w:cs="Arial"/>
                    </w:rPr>
                    <w:t>:</w:t>
                  </w:r>
                </w:p>
              </w:tc>
              <w:tc>
                <w:tcPr>
                  <w:tcW w:w="7020" w:type="dxa"/>
                  <w:vAlign w:val="center"/>
                </w:tcPr>
                <w:p w:rsidR="005B6AA2" w:rsidRPr="0090549B" w:rsidRDefault="005B6AA2" w:rsidP="00C60994">
                  <w:pPr>
                    <w:autoSpaceDE w:val="0"/>
                    <w:autoSpaceDN w:val="0"/>
                    <w:adjustRightInd w:val="0"/>
                    <w:rPr>
                      <w:rFonts w:cs="Arial"/>
                      <w:szCs w:val="20"/>
                    </w:rPr>
                  </w:pPr>
                  <w:r w:rsidRPr="007A579D">
                    <w:rPr>
                      <w:rFonts w:cs="Arial"/>
                      <w:szCs w:val="20"/>
                    </w:rPr>
                    <w:t>Samples with results &gt;</w:t>
                  </w:r>
                  <w:r w:rsidR="00F173A2">
                    <w:rPr>
                      <w:rFonts w:cs="Arial"/>
                      <w:szCs w:val="20"/>
                    </w:rPr>
                    <w:t>300 mg</w:t>
                  </w:r>
                  <w:r>
                    <w:rPr>
                      <w:rFonts w:cs="Arial"/>
                      <w:szCs w:val="20"/>
                    </w:rPr>
                    <w:t>/</w:t>
                  </w:r>
                  <w:r w:rsidR="00F173A2">
                    <w:rPr>
                      <w:rFonts w:cs="Arial"/>
                      <w:szCs w:val="20"/>
                    </w:rPr>
                    <w:t>d</w:t>
                  </w:r>
                  <w:r>
                    <w:rPr>
                      <w:rFonts w:cs="Arial"/>
                      <w:szCs w:val="20"/>
                    </w:rPr>
                    <w:t>L</w:t>
                  </w:r>
                  <w:r w:rsidRPr="007A579D">
                    <w:rPr>
                      <w:rFonts w:cs="Arial"/>
                      <w:szCs w:val="20"/>
                    </w:rPr>
                    <w:t xml:space="preserve"> should be repeated as an Add-On Test </w:t>
                  </w:r>
                  <w:r w:rsidR="00F173A2">
                    <w:rPr>
                      <w:rFonts w:cs="Arial"/>
                      <w:szCs w:val="20"/>
                    </w:rPr>
                    <w:t>with a Special Dilution of 1:4</w:t>
                  </w:r>
                  <w:r>
                    <w:rPr>
                      <w:rFonts w:cs="Arial"/>
                      <w:szCs w:val="20"/>
                    </w:rPr>
                    <w:t xml:space="preserve">. </w:t>
                  </w:r>
                </w:p>
              </w:tc>
            </w:tr>
            <w:tr w:rsidR="00F173A2" w:rsidRPr="0090549B" w:rsidTr="00C60994">
              <w:trPr>
                <w:trHeight w:val="395"/>
              </w:trPr>
              <w:tc>
                <w:tcPr>
                  <w:tcW w:w="2137" w:type="dxa"/>
                  <w:vAlign w:val="center"/>
                </w:tcPr>
                <w:p w:rsidR="00F173A2" w:rsidRPr="007A579D" w:rsidRDefault="00F173A2" w:rsidP="00C60994">
                  <w:pPr>
                    <w:pStyle w:val="BodyText"/>
                    <w:rPr>
                      <w:rFonts w:cs="Arial"/>
                    </w:rPr>
                  </w:pPr>
                  <w:r>
                    <w:rPr>
                      <w:rFonts w:cs="Arial"/>
                    </w:rPr>
                    <w:t>Manual Dilution:</w:t>
                  </w:r>
                </w:p>
              </w:tc>
              <w:tc>
                <w:tcPr>
                  <w:tcW w:w="7020" w:type="dxa"/>
                  <w:vAlign w:val="center"/>
                </w:tcPr>
                <w:p w:rsidR="00F173A2" w:rsidRPr="007A579D" w:rsidRDefault="00F173A2" w:rsidP="00C60994">
                  <w:pPr>
                    <w:autoSpaceDE w:val="0"/>
                    <w:autoSpaceDN w:val="0"/>
                    <w:adjustRightInd w:val="0"/>
                    <w:rPr>
                      <w:rFonts w:cs="Arial"/>
                      <w:szCs w:val="20"/>
                    </w:rPr>
                  </w:pPr>
                  <w:r>
                    <w:rPr>
                      <w:rFonts w:cs="Arial"/>
                      <w:szCs w:val="20"/>
                    </w:rPr>
                    <w:t>DO NOT PREPARE MANUAL DILUTIONS.</w:t>
                  </w:r>
                </w:p>
              </w:tc>
            </w:tr>
          </w:tbl>
          <w:p w:rsidR="00C14E44" w:rsidRPr="00C14E44" w:rsidRDefault="00C14E44" w:rsidP="00C14E44">
            <w:pPr>
              <w:rPr>
                <w:rFonts w:cs="Arial"/>
              </w:rPr>
            </w:pPr>
          </w:p>
        </w:tc>
      </w:tr>
      <w:tr w:rsidR="00B032F7" w:rsidTr="00563FFB">
        <w:trPr>
          <w:trHeight w:val="1196"/>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Result Reporting</w:t>
            </w:r>
          </w:p>
          <w:p w:rsidR="00B032F7" w:rsidRDefault="00B032F7">
            <w:pPr>
              <w:rPr>
                <w:rFonts w:cs="Arial"/>
                <w:b/>
                <w:bCs/>
                <w:color w:val="0000FF"/>
              </w:rPr>
            </w:pPr>
          </w:p>
        </w:tc>
        <w:tc>
          <w:tcPr>
            <w:tcW w:w="9270" w:type="dxa"/>
            <w:gridSpan w:val="6"/>
            <w:tcBorders>
              <w:top w:val="single" w:sz="4" w:space="0" w:color="auto"/>
              <w:bottom w:val="single" w:sz="4" w:space="0" w:color="auto"/>
            </w:tcBorders>
            <w:vAlign w:val="center"/>
          </w:tcPr>
          <w:p w:rsidR="00B032F7" w:rsidRDefault="00B032F7" w:rsidP="00563FFB">
            <w:pPr>
              <w:pStyle w:val="Header"/>
              <w:numPr>
                <w:ilvl w:val="0"/>
                <w:numId w:val="7"/>
              </w:numPr>
              <w:tabs>
                <w:tab w:val="clear" w:pos="4320"/>
                <w:tab w:val="clear" w:pos="8640"/>
              </w:tabs>
              <w:jc w:val="both"/>
              <w:rPr>
                <w:rFonts w:cs="Arial"/>
              </w:rPr>
            </w:pPr>
            <w:r>
              <w:rPr>
                <w:rFonts w:cs="Arial"/>
              </w:rPr>
              <w:t xml:space="preserve">Results between </w:t>
            </w:r>
            <w:r w:rsidR="00C14E44">
              <w:rPr>
                <w:rFonts w:cs="Arial"/>
                <w:b/>
                <w:bCs/>
              </w:rPr>
              <w:t>10</w:t>
            </w:r>
            <w:r>
              <w:rPr>
                <w:rFonts w:cs="Arial"/>
                <w:b/>
                <w:bCs/>
              </w:rPr>
              <w:t xml:space="preserve"> – 300 mg/dL</w:t>
            </w:r>
            <w:r>
              <w:rPr>
                <w:rFonts w:cs="Arial"/>
              </w:rPr>
              <w:t xml:space="preserve"> without error messages are released.</w:t>
            </w:r>
          </w:p>
          <w:p w:rsidR="00B032F7" w:rsidRDefault="00B032F7" w:rsidP="00563FFB">
            <w:pPr>
              <w:pStyle w:val="Header"/>
              <w:numPr>
                <w:ilvl w:val="0"/>
                <w:numId w:val="7"/>
              </w:numPr>
              <w:tabs>
                <w:tab w:val="clear" w:pos="4320"/>
                <w:tab w:val="clear" w:pos="8640"/>
              </w:tabs>
              <w:jc w:val="both"/>
              <w:rPr>
                <w:rFonts w:cs="Arial"/>
              </w:rPr>
            </w:pPr>
            <w:r>
              <w:rPr>
                <w:rFonts w:cs="Arial"/>
              </w:rPr>
              <w:t xml:space="preserve">Results below </w:t>
            </w:r>
            <w:r w:rsidR="00C14E44">
              <w:rPr>
                <w:rFonts w:cs="Arial"/>
                <w:b/>
                <w:bCs/>
              </w:rPr>
              <w:t>10</w:t>
            </w:r>
            <w:r>
              <w:rPr>
                <w:rFonts w:cs="Arial"/>
                <w:b/>
                <w:bCs/>
              </w:rPr>
              <w:t xml:space="preserve"> mg/dL</w:t>
            </w:r>
            <w:r>
              <w:rPr>
                <w:rFonts w:cs="Arial"/>
              </w:rPr>
              <w:t xml:space="preserve"> are reported as </w:t>
            </w:r>
            <w:r>
              <w:rPr>
                <w:rFonts w:cs="Arial"/>
                <w:b/>
                <w:bCs/>
              </w:rPr>
              <w:t>&lt;</w:t>
            </w:r>
            <w:r w:rsidR="00C14E44">
              <w:rPr>
                <w:rFonts w:cs="Arial"/>
                <w:b/>
                <w:bCs/>
              </w:rPr>
              <w:t>10</w:t>
            </w:r>
            <w:r>
              <w:rPr>
                <w:rFonts w:cs="Arial"/>
                <w:b/>
                <w:bCs/>
              </w:rPr>
              <w:t xml:space="preserve"> mg/dL</w:t>
            </w:r>
            <w:r>
              <w:rPr>
                <w:rFonts w:cs="Arial"/>
              </w:rPr>
              <w:t>.</w:t>
            </w:r>
            <w:r w:rsidR="00C14E44">
              <w:rPr>
                <w:rFonts w:cs="Arial"/>
              </w:rPr>
              <w:t xml:space="preserve">  The Vista may give a numerical result less than 10 mg/dL, such as 5 mg/dL.  Report </w:t>
            </w:r>
            <w:r w:rsidR="00C14E44" w:rsidRPr="00C14E44">
              <w:rPr>
                <w:rFonts w:cs="Arial"/>
                <w:b/>
              </w:rPr>
              <w:t>&lt;10</w:t>
            </w:r>
            <w:r w:rsidR="00C14E44">
              <w:rPr>
                <w:rFonts w:cs="Arial"/>
              </w:rPr>
              <w:t xml:space="preserve"> instead of the numerical value.  </w:t>
            </w:r>
          </w:p>
          <w:p w:rsidR="00B032F7" w:rsidRDefault="00B032F7" w:rsidP="00563FFB">
            <w:pPr>
              <w:pStyle w:val="Header"/>
              <w:numPr>
                <w:ilvl w:val="0"/>
                <w:numId w:val="7"/>
              </w:numPr>
              <w:tabs>
                <w:tab w:val="clear" w:pos="4320"/>
                <w:tab w:val="clear" w:pos="8640"/>
              </w:tabs>
              <w:jc w:val="both"/>
              <w:rPr>
                <w:rFonts w:cs="Arial"/>
              </w:rPr>
            </w:pPr>
            <w:r>
              <w:rPr>
                <w:rFonts w:cs="Arial"/>
              </w:rPr>
              <w:t>Results &gt; 300 mg/dL without error messages following dilution may be reported.</w:t>
            </w:r>
          </w:p>
          <w:p w:rsidR="00B032F7" w:rsidRPr="00563FFB" w:rsidRDefault="00563FFB" w:rsidP="00563FFB">
            <w:pPr>
              <w:pStyle w:val="Header"/>
              <w:numPr>
                <w:ilvl w:val="0"/>
                <w:numId w:val="7"/>
              </w:numPr>
              <w:tabs>
                <w:tab w:val="clear" w:pos="4320"/>
                <w:tab w:val="clear" w:pos="8640"/>
              </w:tabs>
              <w:jc w:val="both"/>
              <w:rPr>
                <w:rFonts w:cs="Arial"/>
              </w:rPr>
            </w:pPr>
            <w:r>
              <w:rPr>
                <w:rFonts w:cs="Arial"/>
                <w:szCs w:val="20"/>
              </w:rPr>
              <w:t xml:space="preserve">Results &gt;1200 mg/dL after autodilution or Special Dilution should be reported as </w:t>
            </w:r>
            <w:r w:rsidRPr="00563FFB">
              <w:rPr>
                <w:rFonts w:cs="Arial"/>
                <w:b/>
                <w:szCs w:val="20"/>
              </w:rPr>
              <w:t>&gt;1200 mg/dL.</w:t>
            </w:r>
          </w:p>
        </w:tc>
      </w:tr>
      <w:tr w:rsidR="00B032F7" w:rsidTr="005B6AA2">
        <w:trPr>
          <w:tblHeader/>
        </w:trPr>
        <w:tc>
          <w:tcPr>
            <w:tcW w:w="1890" w:type="dxa"/>
            <w:gridSpan w:val="2"/>
          </w:tcPr>
          <w:p w:rsidR="00B032F7" w:rsidRDefault="00B032F7">
            <w:pPr>
              <w:rPr>
                <w:rFonts w:cs="Arial"/>
                <w:b/>
                <w:bCs/>
                <w:color w:val="0000FF"/>
              </w:rPr>
            </w:pPr>
          </w:p>
          <w:p w:rsidR="00B032F7" w:rsidRDefault="00B032F7">
            <w:pPr>
              <w:rPr>
                <w:rFonts w:cs="Arial"/>
                <w:b/>
                <w:bCs/>
                <w:color w:val="0000FF"/>
              </w:rPr>
            </w:pPr>
            <w:r>
              <w:rPr>
                <w:rFonts w:cs="Arial"/>
                <w:b/>
                <w:bCs/>
                <w:color w:val="0000FF"/>
              </w:rPr>
              <w:t>Specimen Storage</w:t>
            </w:r>
          </w:p>
          <w:p w:rsidR="00B032F7" w:rsidRDefault="00B032F7">
            <w:pPr>
              <w:rPr>
                <w:rFonts w:cs="Arial"/>
                <w:b/>
                <w:bCs/>
                <w:color w:val="0000FF"/>
              </w:rPr>
            </w:pPr>
          </w:p>
        </w:tc>
        <w:tc>
          <w:tcPr>
            <w:tcW w:w="9270" w:type="dxa"/>
            <w:gridSpan w:val="6"/>
            <w:tcBorders>
              <w:top w:val="single" w:sz="4" w:space="0" w:color="auto"/>
              <w:bottom w:val="single" w:sz="4" w:space="0" w:color="auto"/>
            </w:tcBorders>
          </w:tcPr>
          <w:p w:rsidR="00B032F7" w:rsidRDefault="00B032F7" w:rsidP="009C49BA">
            <w:pPr>
              <w:pStyle w:val="Header"/>
              <w:tabs>
                <w:tab w:val="clear" w:pos="4320"/>
                <w:tab w:val="clear" w:pos="8640"/>
              </w:tabs>
              <w:jc w:val="both"/>
              <w:rPr>
                <w:rFonts w:cs="Arial"/>
              </w:rPr>
            </w:pPr>
          </w:p>
          <w:p w:rsidR="00B032F7" w:rsidRDefault="00B032F7" w:rsidP="009C49BA">
            <w:pPr>
              <w:pStyle w:val="Header"/>
              <w:tabs>
                <w:tab w:val="clear" w:pos="4320"/>
                <w:tab w:val="clear" w:pos="8640"/>
              </w:tabs>
              <w:jc w:val="both"/>
              <w:rPr>
                <w:rFonts w:cs="Arial"/>
              </w:rPr>
            </w:pPr>
            <w:r>
              <w:rPr>
                <w:rFonts w:cs="Arial"/>
              </w:rPr>
              <w:t>Promptly stopper tested specimen and store upright in numbered specimen rack by accession number. Every 8 hours remove specimens to refrigerat</w:t>
            </w:r>
            <w:r w:rsidR="009C49BA">
              <w:rPr>
                <w:rFonts w:cs="Arial"/>
              </w:rPr>
              <w:t>or</w:t>
            </w:r>
            <w:r>
              <w:rPr>
                <w:rFonts w:cs="Arial"/>
              </w:rPr>
              <w:t>/freezer storage. Samples are retained 7 days in specimen storage freezer.</w:t>
            </w:r>
          </w:p>
          <w:p w:rsidR="00B032F7" w:rsidRDefault="00B032F7" w:rsidP="009C49BA">
            <w:pPr>
              <w:pStyle w:val="Header"/>
              <w:tabs>
                <w:tab w:val="clear" w:pos="4320"/>
                <w:tab w:val="clear" w:pos="8640"/>
              </w:tabs>
              <w:jc w:val="both"/>
              <w:rPr>
                <w:rFonts w:cs="Arial"/>
              </w:rPr>
            </w:pPr>
          </w:p>
        </w:tc>
      </w:tr>
      <w:tr w:rsidR="00B032F7" w:rsidTr="00831260">
        <w:trPr>
          <w:trHeight w:val="1826"/>
          <w:tblHeader/>
        </w:trPr>
        <w:tc>
          <w:tcPr>
            <w:tcW w:w="1890" w:type="dxa"/>
            <w:gridSpan w:val="2"/>
          </w:tcPr>
          <w:p w:rsidR="00B032F7" w:rsidRDefault="00B032F7">
            <w:pPr>
              <w:ind w:right="-108"/>
              <w:rPr>
                <w:rFonts w:cs="Arial"/>
                <w:b/>
                <w:bCs/>
                <w:color w:val="0000FF"/>
              </w:rPr>
            </w:pPr>
            <w:r>
              <w:rPr>
                <w:rFonts w:cs="Arial"/>
                <w:b/>
                <w:bCs/>
                <w:color w:val="0000FF"/>
              </w:rPr>
              <w:t>References</w:t>
            </w:r>
          </w:p>
        </w:tc>
        <w:tc>
          <w:tcPr>
            <w:tcW w:w="9270" w:type="dxa"/>
            <w:gridSpan w:val="6"/>
            <w:tcBorders>
              <w:top w:val="single" w:sz="4" w:space="0" w:color="auto"/>
              <w:bottom w:val="single" w:sz="4" w:space="0" w:color="auto"/>
            </w:tcBorders>
            <w:vAlign w:val="center"/>
          </w:tcPr>
          <w:p w:rsidR="00F173A2" w:rsidRPr="00831260" w:rsidRDefault="009C49BA" w:rsidP="00831260">
            <w:pPr>
              <w:numPr>
                <w:ilvl w:val="0"/>
                <w:numId w:val="30"/>
              </w:numPr>
              <w:jc w:val="both"/>
              <w:rPr>
                <w:rFonts w:cs="Arial"/>
                <w:szCs w:val="20"/>
              </w:rPr>
            </w:pPr>
            <w:r w:rsidRPr="00831260">
              <w:rPr>
                <w:rFonts w:cs="Arial"/>
                <w:szCs w:val="20"/>
              </w:rPr>
              <w:t xml:space="preserve">Siemens Dimension Vista ® </w:t>
            </w:r>
            <w:r w:rsidR="00F173A2" w:rsidRPr="00831260">
              <w:rPr>
                <w:rFonts w:cs="Arial"/>
                <w:szCs w:val="20"/>
              </w:rPr>
              <w:t xml:space="preserve">ETOH Flex® reagent cartridge </w:t>
            </w:r>
            <w:r w:rsidRPr="00831260">
              <w:rPr>
                <w:rFonts w:cs="Arial"/>
                <w:szCs w:val="20"/>
              </w:rPr>
              <w:t>Instructions for Use,</w:t>
            </w:r>
            <w:r w:rsidR="00F173A2" w:rsidRPr="00831260">
              <w:rPr>
                <w:rFonts w:cs="Arial"/>
                <w:szCs w:val="20"/>
              </w:rPr>
              <w:t xml:space="preserve"> </w:t>
            </w:r>
            <w:r w:rsidRPr="00831260">
              <w:rPr>
                <w:rFonts w:cs="Arial"/>
                <w:szCs w:val="20"/>
              </w:rPr>
              <w:t xml:space="preserve">Siemens Healthcare Diagnostics, </w:t>
            </w:r>
            <w:r w:rsidR="00F173A2" w:rsidRPr="00831260">
              <w:rPr>
                <w:rFonts w:cs="Arial"/>
                <w:szCs w:val="20"/>
              </w:rPr>
              <w:t>PN 781022.001 Issued 2013-04-29, REV G</w:t>
            </w:r>
          </w:p>
          <w:p w:rsidR="009C49BA" w:rsidRPr="00831260" w:rsidRDefault="009C49BA" w:rsidP="00831260">
            <w:pPr>
              <w:numPr>
                <w:ilvl w:val="0"/>
                <w:numId w:val="30"/>
              </w:numPr>
              <w:jc w:val="both"/>
              <w:rPr>
                <w:rFonts w:cs="Arial"/>
                <w:szCs w:val="20"/>
              </w:rPr>
            </w:pPr>
            <w:r w:rsidRPr="00831260">
              <w:rPr>
                <w:rFonts w:cs="Arial"/>
                <w:szCs w:val="20"/>
              </w:rPr>
              <w:t>Siemens Dimension Vista ® CHEM CAL 3 Instructions for Use, Siemens Healthcare Diagnostics, 6/1/2014</w:t>
            </w:r>
          </w:p>
          <w:p w:rsidR="00B032F7" w:rsidRPr="00831260" w:rsidRDefault="00B032F7" w:rsidP="00831260">
            <w:pPr>
              <w:numPr>
                <w:ilvl w:val="0"/>
                <w:numId w:val="30"/>
              </w:numPr>
              <w:jc w:val="both"/>
              <w:rPr>
                <w:rFonts w:cs="Arial"/>
                <w:szCs w:val="20"/>
              </w:rPr>
            </w:pPr>
            <w:r w:rsidRPr="00831260">
              <w:rPr>
                <w:rFonts w:cs="Arial"/>
                <w:szCs w:val="20"/>
              </w:rPr>
              <w:t>Jacobs &amp; DeMott Laboratory Test Handbook, Lexi-Comp, Inc, Hudson, OH, 5</w:t>
            </w:r>
            <w:r w:rsidRPr="00831260">
              <w:rPr>
                <w:rFonts w:cs="Arial"/>
                <w:szCs w:val="20"/>
                <w:vertAlign w:val="superscript"/>
              </w:rPr>
              <w:t>th</w:t>
            </w:r>
            <w:r w:rsidRPr="00831260">
              <w:rPr>
                <w:rFonts w:cs="Arial"/>
                <w:szCs w:val="20"/>
              </w:rPr>
              <w:t xml:space="preserve"> Edition, 2001</w:t>
            </w:r>
          </w:p>
          <w:p w:rsidR="00B032F7" w:rsidRPr="00831260" w:rsidRDefault="00C14E44" w:rsidP="00831260">
            <w:pPr>
              <w:pStyle w:val="Heading5"/>
              <w:numPr>
                <w:ilvl w:val="0"/>
                <w:numId w:val="30"/>
              </w:numPr>
              <w:rPr>
                <w:rFonts w:ascii="Arial" w:hAnsi="Arial" w:cs="Arial"/>
                <w:sz w:val="20"/>
                <w:szCs w:val="20"/>
              </w:rPr>
            </w:pPr>
            <w:r w:rsidRPr="00831260">
              <w:rPr>
                <w:rFonts w:ascii="Arial" w:hAnsi="Arial" w:cs="Arial"/>
                <w:sz w:val="20"/>
                <w:szCs w:val="20"/>
              </w:rPr>
              <w:t>Bio-Rad</w:t>
            </w:r>
            <w:r w:rsidR="00B032F7" w:rsidRPr="00831260">
              <w:rPr>
                <w:rFonts w:ascii="Arial" w:hAnsi="Arial" w:cs="Arial"/>
                <w:sz w:val="20"/>
                <w:szCs w:val="20"/>
              </w:rPr>
              <w:t xml:space="preserve"> Liquichek Ethanol/Ammonia Control Product Insert, Bio-Rad Laboratories, Irvine, CA 92618 </w:t>
            </w:r>
            <w:r w:rsidR="007B5077" w:rsidRPr="00831260">
              <w:rPr>
                <w:rFonts w:ascii="Arial" w:hAnsi="Arial" w:cs="Arial"/>
                <w:sz w:val="20"/>
                <w:szCs w:val="20"/>
              </w:rPr>
              <w:t>© 2013</w:t>
            </w:r>
          </w:p>
        </w:tc>
      </w:tr>
      <w:tr w:rsidR="00B032F7" w:rsidTr="007B5077">
        <w:tblPrEx>
          <w:tblBorders>
            <w:bottom w:val="single" w:sz="4" w:space="0" w:color="auto"/>
          </w:tblBorders>
        </w:tblPrEx>
        <w:trPr>
          <w:cantSplit/>
          <w:trHeight w:val="240"/>
        </w:trPr>
        <w:tc>
          <w:tcPr>
            <w:tcW w:w="1890" w:type="dxa"/>
            <w:gridSpan w:val="2"/>
            <w:tcBorders>
              <w:left w:val="nil"/>
              <w:bottom w:val="nil"/>
              <w:right w:val="nil"/>
            </w:tcBorders>
          </w:tcPr>
          <w:p w:rsidR="00B032F7" w:rsidRDefault="00B032F7">
            <w:pPr>
              <w:rPr>
                <w:rFonts w:cs="Arial"/>
                <w:b/>
                <w:bCs/>
                <w:color w:val="0000FF"/>
              </w:rPr>
            </w:pPr>
          </w:p>
        </w:tc>
        <w:tc>
          <w:tcPr>
            <w:tcW w:w="3150" w:type="dxa"/>
            <w:gridSpan w:val="2"/>
            <w:tcBorders>
              <w:top w:val="single" w:sz="4" w:space="0" w:color="auto"/>
              <w:left w:val="nil"/>
              <w:bottom w:val="nil"/>
              <w:right w:val="nil"/>
            </w:tcBorders>
          </w:tcPr>
          <w:p w:rsidR="00B032F7" w:rsidRDefault="00B032F7">
            <w:pPr>
              <w:rPr>
                <w:rFonts w:cs="Arial"/>
                <w:iCs/>
              </w:rPr>
            </w:pPr>
          </w:p>
        </w:tc>
        <w:tc>
          <w:tcPr>
            <w:tcW w:w="4335" w:type="dxa"/>
            <w:gridSpan w:val="3"/>
            <w:tcBorders>
              <w:top w:val="single" w:sz="4" w:space="0" w:color="auto"/>
              <w:left w:val="nil"/>
              <w:bottom w:val="single" w:sz="4" w:space="0" w:color="auto"/>
              <w:right w:val="nil"/>
            </w:tcBorders>
          </w:tcPr>
          <w:p w:rsidR="00B032F7" w:rsidRDefault="00B032F7">
            <w:pPr>
              <w:rPr>
                <w:rFonts w:cs="Arial"/>
                <w:iCs/>
              </w:rPr>
            </w:pPr>
          </w:p>
        </w:tc>
        <w:tc>
          <w:tcPr>
            <w:tcW w:w="1785" w:type="dxa"/>
            <w:tcBorders>
              <w:top w:val="single" w:sz="4" w:space="0" w:color="auto"/>
              <w:left w:val="nil"/>
              <w:bottom w:val="single" w:sz="4" w:space="0" w:color="auto"/>
              <w:right w:val="nil"/>
            </w:tcBorders>
          </w:tcPr>
          <w:p w:rsidR="00B032F7" w:rsidRDefault="00B032F7">
            <w:pPr>
              <w:rPr>
                <w:rFonts w:cs="Arial"/>
                <w:iCs/>
              </w:rPr>
            </w:pPr>
          </w:p>
        </w:tc>
      </w:tr>
      <w:tr w:rsidR="007B5077" w:rsidTr="001D06AF">
        <w:tblPrEx>
          <w:tblBorders>
            <w:bottom w:val="single" w:sz="4" w:space="0" w:color="auto"/>
          </w:tblBorders>
        </w:tblPrEx>
        <w:trPr>
          <w:cantSplit/>
          <w:trHeight w:val="225"/>
        </w:trPr>
        <w:tc>
          <w:tcPr>
            <w:tcW w:w="1890" w:type="dxa"/>
            <w:gridSpan w:val="2"/>
            <w:vMerge w:val="restart"/>
            <w:tcBorders>
              <w:left w:val="nil"/>
              <w:bottom w:val="nil"/>
              <w:right w:val="single" w:sz="4" w:space="0" w:color="auto"/>
            </w:tcBorders>
          </w:tcPr>
          <w:p w:rsidR="007B5077" w:rsidRDefault="007B5077">
            <w:pPr>
              <w:rPr>
                <w:rFonts w:cs="Arial"/>
                <w:b/>
                <w:bCs/>
                <w:color w:val="3366FF"/>
              </w:rPr>
            </w:pPr>
            <w:r>
              <w:rPr>
                <w:rFonts w:cs="Arial"/>
                <w:b/>
                <w:bCs/>
                <w:color w:val="0000FF"/>
              </w:rPr>
              <w:t>Historical Record</w:t>
            </w:r>
          </w:p>
        </w:tc>
        <w:tc>
          <w:tcPr>
            <w:tcW w:w="990" w:type="dxa"/>
            <w:tcBorders>
              <w:top w:val="single" w:sz="4" w:space="0" w:color="auto"/>
              <w:left w:val="single" w:sz="4" w:space="0" w:color="auto"/>
              <w:bottom w:val="single" w:sz="4" w:space="0" w:color="auto"/>
              <w:right w:val="single" w:sz="4" w:space="0" w:color="auto"/>
            </w:tcBorders>
          </w:tcPr>
          <w:p w:rsidR="007B5077" w:rsidRDefault="007B5077">
            <w:pPr>
              <w:rPr>
                <w:rFonts w:cs="Arial"/>
                <w:b/>
                <w:bCs/>
              </w:rPr>
            </w:pPr>
            <w:r>
              <w:rPr>
                <w:rFonts w:cs="Arial"/>
                <w:b/>
                <w:bCs/>
              </w:rPr>
              <w:t>Version</w:t>
            </w:r>
          </w:p>
        </w:tc>
        <w:tc>
          <w:tcPr>
            <w:tcW w:w="23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b/>
                <w:bCs/>
                <w:iCs/>
              </w:rPr>
            </w:pPr>
            <w:r>
              <w:rPr>
                <w:rFonts w:cs="Arial"/>
                <w:b/>
                <w:bCs/>
                <w:iCs/>
              </w:rPr>
              <w:t>Written/Revised by:</w:t>
            </w:r>
          </w:p>
        </w:tc>
        <w:tc>
          <w:tcPr>
            <w:tcW w:w="1800" w:type="dxa"/>
            <w:tcBorders>
              <w:top w:val="single" w:sz="4" w:space="0" w:color="auto"/>
              <w:left w:val="single" w:sz="4" w:space="0" w:color="auto"/>
              <w:bottom w:val="single" w:sz="4" w:space="0" w:color="auto"/>
              <w:right w:val="single" w:sz="4" w:space="0" w:color="auto"/>
            </w:tcBorders>
          </w:tcPr>
          <w:p w:rsidR="007B5077" w:rsidRDefault="007B5077">
            <w:pPr>
              <w:rPr>
                <w:rFonts w:cs="Arial"/>
                <w:b/>
                <w:bCs/>
                <w:iCs/>
              </w:rPr>
            </w:pPr>
            <w:r>
              <w:rPr>
                <w:rFonts w:cs="Arial"/>
                <w:b/>
                <w:bCs/>
                <w:iCs/>
              </w:rPr>
              <w:t>Effective Date:</w:t>
            </w:r>
          </w:p>
        </w:tc>
        <w:tc>
          <w:tcPr>
            <w:tcW w:w="41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b/>
                <w:bCs/>
                <w:iCs/>
              </w:rPr>
            </w:pPr>
            <w:r>
              <w:rPr>
                <w:rFonts w:cs="Arial"/>
                <w:b/>
                <w:bCs/>
                <w:iCs/>
              </w:rPr>
              <w:t>Summary of Revisions</w:t>
            </w:r>
          </w:p>
        </w:tc>
      </w:tr>
      <w:tr w:rsidR="007B5077" w:rsidTr="001D06AF">
        <w:tblPrEx>
          <w:tblBorders>
            <w:bottom w:val="single" w:sz="4" w:space="0" w:color="auto"/>
          </w:tblBorders>
        </w:tblPrEx>
        <w:trPr>
          <w:cantSplit/>
          <w:trHeight w:val="135"/>
        </w:trPr>
        <w:tc>
          <w:tcPr>
            <w:tcW w:w="1890" w:type="dxa"/>
            <w:gridSpan w:val="2"/>
            <w:vMerge/>
            <w:tcBorders>
              <w:left w:val="nil"/>
              <w:bottom w:val="nil"/>
              <w:right w:val="single" w:sz="4" w:space="0" w:color="auto"/>
            </w:tcBorders>
          </w:tcPr>
          <w:p w:rsidR="007B5077" w:rsidRDefault="007B5077">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7B5077" w:rsidRDefault="007B5077">
            <w:pPr>
              <w:numPr>
                <w:ilvl w:val="0"/>
                <w:numId w:val="22"/>
              </w:numPr>
              <w:rPr>
                <w:rFonts w:cs="Arial"/>
              </w:rPr>
            </w:pPr>
          </w:p>
        </w:tc>
        <w:tc>
          <w:tcPr>
            <w:tcW w:w="23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rPr>
              <w:t>D. Riedel</w:t>
            </w:r>
          </w:p>
        </w:tc>
        <w:tc>
          <w:tcPr>
            <w:tcW w:w="1800" w:type="dxa"/>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rPr>
              <w:t>04/1999</w:t>
            </w:r>
          </w:p>
        </w:tc>
        <w:tc>
          <w:tcPr>
            <w:tcW w:w="41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iCs/>
              </w:rPr>
              <w:t>Initial Version</w:t>
            </w:r>
          </w:p>
        </w:tc>
      </w:tr>
      <w:tr w:rsidR="007B5077" w:rsidTr="001D06AF">
        <w:tblPrEx>
          <w:tblBorders>
            <w:bottom w:val="single" w:sz="4" w:space="0" w:color="auto"/>
          </w:tblBorders>
        </w:tblPrEx>
        <w:trPr>
          <w:cantSplit/>
          <w:trHeight w:val="143"/>
        </w:trPr>
        <w:tc>
          <w:tcPr>
            <w:tcW w:w="1890" w:type="dxa"/>
            <w:gridSpan w:val="2"/>
            <w:vMerge/>
            <w:tcBorders>
              <w:left w:val="nil"/>
              <w:bottom w:val="nil"/>
              <w:right w:val="single" w:sz="4" w:space="0" w:color="auto"/>
            </w:tcBorders>
          </w:tcPr>
          <w:p w:rsidR="007B5077" w:rsidRDefault="007B5077">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7B5077" w:rsidRDefault="007B5077">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rPr>
              <w:t>L. Lichty</w:t>
            </w:r>
          </w:p>
        </w:tc>
        <w:tc>
          <w:tcPr>
            <w:tcW w:w="1800" w:type="dxa"/>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rPr>
              <w:t>5/15/2005</w:t>
            </w:r>
          </w:p>
        </w:tc>
        <w:tc>
          <w:tcPr>
            <w:tcW w:w="41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p>
        </w:tc>
      </w:tr>
      <w:tr w:rsidR="007B5077" w:rsidTr="001D06AF">
        <w:tblPrEx>
          <w:tblBorders>
            <w:bottom w:val="single" w:sz="4" w:space="0" w:color="auto"/>
          </w:tblBorders>
        </w:tblPrEx>
        <w:trPr>
          <w:cantSplit/>
          <w:trHeight w:val="165"/>
        </w:trPr>
        <w:tc>
          <w:tcPr>
            <w:tcW w:w="1890" w:type="dxa"/>
            <w:gridSpan w:val="2"/>
            <w:vMerge/>
            <w:tcBorders>
              <w:left w:val="nil"/>
              <w:bottom w:val="nil"/>
              <w:right w:val="single" w:sz="4" w:space="0" w:color="auto"/>
            </w:tcBorders>
          </w:tcPr>
          <w:p w:rsidR="007B5077" w:rsidRDefault="007B5077">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7B5077" w:rsidRDefault="007B5077">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rPr>
              <w:t>L. Lichty</w:t>
            </w:r>
          </w:p>
        </w:tc>
        <w:tc>
          <w:tcPr>
            <w:tcW w:w="1800" w:type="dxa"/>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rPr>
              <w:t>12/11/06</w:t>
            </w:r>
          </w:p>
        </w:tc>
        <w:tc>
          <w:tcPr>
            <w:tcW w:w="41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p>
        </w:tc>
      </w:tr>
      <w:tr w:rsidR="007B5077" w:rsidTr="001D06AF">
        <w:tblPrEx>
          <w:tblBorders>
            <w:bottom w:val="single" w:sz="4" w:space="0" w:color="auto"/>
          </w:tblBorders>
        </w:tblPrEx>
        <w:trPr>
          <w:cantSplit/>
          <w:trHeight w:val="255"/>
        </w:trPr>
        <w:tc>
          <w:tcPr>
            <w:tcW w:w="1890" w:type="dxa"/>
            <w:gridSpan w:val="2"/>
            <w:vMerge/>
            <w:tcBorders>
              <w:left w:val="nil"/>
              <w:bottom w:val="nil"/>
              <w:right w:val="single" w:sz="4" w:space="0" w:color="auto"/>
            </w:tcBorders>
          </w:tcPr>
          <w:p w:rsidR="007B5077" w:rsidRDefault="007B5077">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7B5077" w:rsidRDefault="007B5077">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rPr>
              <w:t>L. Lichty</w:t>
            </w:r>
          </w:p>
        </w:tc>
        <w:tc>
          <w:tcPr>
            <w:tcW w:w="1800" w:type="dxa"/>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rPr>
              <w:t>08/19/09</w:t>
            </w:r>
          </w:p>
        </w:tc>
        <w:tc>
          <w:tcPr>
            <w:tcW w:w="41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iCs/>
              </w:rPr>
              <w:t>Package insert revisions</w:t>
            </w:r>
          </w:p>
        </w:tc>
      </w:tr>
      <w:tr w:rsidR="007B5077" w:rsidTr="001D06AF">
        <w:tblPrEx>
          <w:tblBorders>
            <w:bottom w:val="single" w:sz="4" w:space="0" w:color="auto"/>
          </w:tblBorders>
        </w:tblPrEx>
        <w:trPr>
          <w:cantSplit/>
          <w:trHeight w:val="255"/>
        </w:trPr>
        <w:tc>
          <w:tcPr>
            <w:tcW w:w="1890" w:type="dxa"/>
            <w:gridSpan w:val="2"/>
            <w:vMerge/>
            <w:tcBorders>
              <w:left w:val="nil"/>
              <w:bottom w:val="nil"/>
              <w:right w:val="single" w:sz="4" w:space="0" w:color="auto"/>
            </w:tcBorders>
          </w:tcPr>
          <w:p w:rsidR="007B5077" w:rsidRDefault="007B5077">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7B5077" w:rsidRDefault="007B5077">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iCs/>
              </w:rPr>
              <w:t>D. Helfinstine/L. Lichty</w:t>
            </w:r>
          </w:p>
        </w:tc>
        <w:tc>
          <w:tcPr>
            <w:tcW w:w="1800" w:type="dxa"/>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iCs/>
              </w:rPr>
              <w:t>April 1, 2011</w:t>
            </w:r>
          </w:p>
        </w:tc>
        <w:tc>
          <w:tcPr>
            <w:tcW w:w="41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iCs/>
              </w:rPr>
              <w:t>New format, renumbered from CH 3.06</w:t>
            </w:r>
          </w:p>
        </w:tc>
      </w:tr>
      <w:tr w:rsidR="007B5077" w:rsidTr="001D06AF">
        <w:tblPrEx>
          <w:tblBorders>
            <w:bottom w:val="single" w:sz="4" w:space="0" w:color="auto"/>
          </w:tblBorders>
        </w:tblPrEx>
        <w:trPr>
          <w:cantSplit/>
          <w:trHeight w:val="255"/>
        </w:trPr>
        <w:tc>
          <w:tcPr>
            <w:tcW w:w="1890" w:type="dxa"/>
            <w:gridSpan w:val="2"/>
            <w:vMerge/>
            <w:tcBorders>
              <w:left w:val="nil"/>
              <w:bottom w:val="nil"/>
              <w:right w:val="single" w:sz="4" w:space="0" w:color="auto"/>
            </w:tcBorders>
          </w:tcPr>
          <w:p w:rsidR="007B5077" w:rsidRDefault="007B5077">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7B5077" w:rsidRDefault="007B5077">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iCs/>
              </w:rPr>
              <w:t>L. Lichty</w:t>
            </w:r>
          </w:p>
        </w:tc>
        <w:tc>
          <w:tcPr>
            <w:tcW w:w="1800" w:type="dxa"/>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iCs/>
              </w:rPr>
              <w:t>February 22, 2013</w:t>
            </w:r>
          </w:p>
        </w:tc>
        <w:tc>
          <w:tcPr>
            <w:tcW w:w="4140" w:type="dxa"/>
            <w:gridSpan w:val="2"/>
            <w:tcBorders>
              <w:top w:val="single" w:sz="4" w:space="0" w:color="auto"/>
              <w:left w:val="single" w:sz="4" w:space="0" w:color="auto"/>
              <w:bottom w:val="single" w:sz="4" w:space="0" w:color="auto"/>
              <w:right w:val="single" w:sz="4" w:space="0" w:color="auto"/>
            </w:tcBorders>
          </w:tcPr>
          <w:p w:rsidR="007B5077" w:rsidRDefault="007B5077">
            <w:pPr>
              <w:pStyle w:val="Header"/>
              <w:tabs>
                <w:tab w:val="clear" w:pos="4320"/>
                <w:tab w:val="clear" w:pos="8640"/>
              </w:tabs>
              <w:rPr>
                <w:rFonts w:cs="Arial"/>
                <w:iCs/>
              </w:rPr>
            </w:pPr>
            <w:r>
              <w:rPr>
                <w:rFonts w:cs="Arial"/>
                <w:iCs/>
              </w:rPr>
              <w:t>Clarify maximum dilution reporting</w:t>
            </w:r>
          </w:p>
        </w:tc>
      </w:tr>
      <w:tr w:rsidR="007B5077" w:rsidTr="001D06AF">
        <w:tblPrEx>
          <w:tblBorders>
            <w:bottom w:val="single" w:sz="4" w:space="0" w:color="auto"/>
          </w:tblBorders>
        </w:tblPrEx>
        <w:trPr>
          <w:cantSplit/>
          <w:trHeight w:val="255"/>
        </w:trPr>
        <w:tc>
          <w:tcPr>
            <w:tcW w:w="1890" w:type="dxa"/>
            <w:gridSpan w:val="2"/>
            <w:vMerge/>
            <w:tcBorders>
              <w:left w:val="nil"/>
              <w:bottom w:val="nil"/>
              <w:right w:val="single" w:sz="4" w:space="0" w:color="auto"/>
            </w:tcBorders>
          </w:tcPr>
          <w:p w:rsidR="007B5077" w:rsidRDefault="007B5077">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7B5077" w:rsidRDefault="007B5077">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iCs/>
              </w:rPr>
              <w:t>L. Lichty</w:t>
            </w:r>
          </w:p>
        </w:tc>
        <w:tc>
          <w:tcPr>
            <w:tcW w:w="1800" w:type="dxa"/>
            <w:tcBorders>
              <w:top w:val="single" w:sz="4" w:space="0" w:color="auto"/>
              <w:left w:val="single" w:sz="4" w:space="0" w:color="auto"/>
              <w:bottom w:val="single" w:sz="4" w:space="0" w:color="auto"/>
              <w:right w:val="single" w:sz="4" w:space="0" w:color="auto"/>
            </w:tcBorders>
          </w:tcPr>
          <w:p w:rsidR="007B5077" w:rsidRDefault="007B5077">
            <w:pPr>
              <w:rPr>
                <w:rFonts w:cs="Arial"/>
                <w:iCs/>
              </w:rPr>
            </w:pPr>
            <w:r>
              <w:rPr>
                <w:rFonts w:cs="Arial"/>
                <w:iCs/>
              </w:rPr>
              <w:t>October 22, 2013</w:t>
            </w:r>
          </w:p>
        </w:tc>
        <w:tc>
          <w:tcPr>
            <w:tcW w:w="4140" w:type="dxa"/>
            <w:gridSpan w:val="2"/>
            <w:tcBorders>
              <w:top w:val="single" w:sz="4" w:space="0" w:color="auto"/>
              <w:left w:val="single" w:sz="4" w:space="0" w:color="auto"/>
              <w:bottom w:val="single" w:sz="4" w:space="0" w:color="auto"/>
              <w:right w:val="single" w:sz="4" w:space="0" w:color="auto"/>
            </w:tcBorders>
          </w:tcPr>
          <w:p w:rsidR="007B5077" w:rsidRDefault="007B5077">
            <w:pPr>
              <w:pStyle w:val="Header"/>
              <w:tabs>
                <w:tab w:val="clear" w:pos="4320"/>
                <w:tab w:val="clear" w:pos="8640"/>
              </w:tabs>
              <w:rPr>
                <w:rFonts w:cs="Arial"/>
                <w:iCs/>
              </w:rPr>
            </w:pPr>
            <w:r>
              <w:rPr>
                <w:rFonts w:cs="Arial"/>
                <w:iCs/>
              </w:rPr>
              <w:t>Revised for ETOH reagent</w:t>
            </w:r>
          </w:p>
        </w:tc>
      </w:tr>
      <w:tr w:rsidR="007B5077" w:rsidTr="001D06AF">
        <w:tblPrEx>
          <w:tblBorders>
            <w:bottom w:val="single" w:sz="4" w:space="0" w:color="auto"/>
          </w:tblBorders>
        </w:tblPrEx>
        <w:trPr>
          <w:cantSplit/>
          <w:trHeight w:val="255"/>
        </w:trPr>
        <w:tc>
          <w:tcPr>
            <w:tcW w:w="1890" w:type="dxa"/>
            <w:gridSpan w:val="2"/>
            <w:vMerge/>
            <w:tcBorders>
              <w:left w:val="nil"/>
              <w:bottom w:val="nil"/>
              <w:right w:val="single" w:sz="4" w:space="0" w:color="auto"/>
            </w:tcBorders>
          </w:tcPr>
          <w:p w:rsidR="007B5077" w:rsidRDefault="007B5077">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7B5077" w:rsidRDefault="007B5077">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7B5077" w:rsidRDefault="007B5077" w:rsidP="00984990">
            <w:pPr>
              <w:rPr>
                <w:rFonts w:cs="Arial"/>
                <w:iCs/>
              </w:rPr>
            </w:pPr>
            <w:r>
              <w:rPr>
                <w:rFonts w:cs="Arial"/>
                <w:iCs/>
              </w:rPr>
              <w:t>L. Lichty</w:t>
            </w:r>
          </w:p>
        </w:tc>
        <w:tc>
          <w:tcPr>
            <w:tcW w:w="1800" w:type="dxa"/>
            <w:tcBorders>
              <w:top w:val="single" w:sz="4" w:space="0" w:color="auto"/>
              <w:left w:val="single" w:sz="4" w:space="0" w:color="auto"/>
              <w:bottom w:val="single" w:sz="4" w:space="0" w:color="auto"/>
              <w:right w:val="single" w:sz="4" w:space="0" w:color="auto"/>
            </w:tcBorders>
          </w:tcPr>
          <w:p w:rsidR="007B5077" w:rsidRDefault="007B5077" w:rsidP="00984990">
            <w:pPr>
              <w:rPr>
                <w:rFonts w:cs="Arial"/>
                <w:iCs/>
              </w:rPr>
            </w:pPr>
            <w:r>
              <w:rPr>
                <w:rFonts w:cs="Arial"/>
                <w:iCs/>
              </w:rPr>
              <w:t>12/17/2013</w:t>
            </w:r>
          </w:p>
        </w:tc>
        <w:tc>
          <w:tcPr>
            <w:tcW w:w="4140" w:type="dxa"/>
            <w:gridSpan w:val="2"/>
            <w:tcBorders>
              <w:top w:val="single" w:sz="4" w:space="0" w:color="auto"/>
              <w:left w:val="single" w:sz="4" w:space="0" w:color="auto"/>
              <w:bottom w:val="single" w:sz="4" w:space="0" w:color="auto"/>
              <w:right w:val="single" w:sz="4" w:space="0" w:color="auto"/>
            </w:tcBorders>
          </w:tcPr>
          <w:p w:rsidR="007B5077" w:rsidRDefault="007B5077" w:rsidP="006B3143">
            <w:pPr>
              <w:pStyle w:val="Header"/>
              <w:tabs>
                <w:tab w:val="clear" w:pos="4320"/>
                <w:tab w:val="clear" w:pos="8640"/>
              </w:tabs>
              <w:rPr>
                <w:rFonts w:cs="Arial"/>
                <w:iCs/>
              </w:rPr>
            </w:pPr>
            <w:r>
              <w:rPr>
                <w:rFonts w:cs="Arial"/>
                <w:iCs/>
              </w:rPr>
              <w:t>Siemens CLSI Procedure for ETOH on the Dimension Vista</w:t>
            </w:r>
          </w:p>
        </w:tc>
      </w:tr>
      <w:tr w:rsidR="007B5077" w:rsidTr="001D06AF">
        <w:tblPrEx>
          <w:tblBorders>
            <w:bottom w:val="single" w:sz="4" w:space="0" w:color="auto"/>
          </w:tblBorders>
        </w:tblPrEx>
        <w:trPr>
          <w:cantSplit/>
          <w:trHeight w:val="255"/>
        </w:trPr>
        <w:tc>
          <w:tcPr>
            <w:tcW w:w="1890" w:type="dxa"/>
            <w:gridSpan w:val="2"/>
            <w:vMerge/>
            <w:tcBorders>
              <w:left w:val="nil"/>
              <w:bottom w:val="nil"/>
              <w:right w:val="single" w:sz="4" w:space="0" w:color="auto"/>
            </w:tcBorders>
          </w:tcPr>
          <w:p w:rsidR="007B5077" w:rsidRDefault="007B5077">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7B5077" w:rsidRDefault="007B5077">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7B5077" w:rsidRDefault="007B5077" w:rsidP="00984990">
            <w:pPr>
              <w:rPr>
                <w:rFonts w:cs="Arial"/>
                <w:iCs/>
              </w:rPr>
            </w:pPr>
            <w:r>
              <w:rPr>
                <w:rFonts w:cs="Arial"/>
                <w:iCs/>
              </w:rPr>
              <w:t>D. Helfinstine</w:t>
            </w:r>
          </w:p>
        </w:tc>
        <w:tc>
          <w:tcPr>
            <w:tcW w:w="1800" w:type="dxa"/>
            <w:tcBorders>
              <w:top w:val="single" w:sz="4" w:space="0" w:color="auto"/>
              <w:left w:val="single" w:sz="4" w:space="0" w:color="auto"/>
              <w:bottom w:val="single" w:sz="4" w:space="0" w:color="auto"/>
              <w:right w:val="single" w:sz="4" w:space="0" w:color="auto"/>
            </w:tcBorders>
          </w:tcPr>
          <w:p w:rsidR="007B5077" w:rsidRDefault="007B5077" w:rsidP="00F173A2">
            <w:pPr>
              <w:rPr>
                <w:rFonts w:cs="Arial"/>
                <w:iCs/>
              </w:rPr>
            </w:pPr>
            <w:r>
              <w:rPr>
                <w:rFonts w:cs="Arial"/>
                <w:iCs/>
              </w:rPr>
              <w:t>7/28/2014</w:t>
            </w:r>
          </w:p>
        </w:tc>
        <w:tc>
          <w:tcPr>
            <w:tcW w:w="4140" w:type="dxa"/>
            <w:gridSpan w:val="2"/>
            <w:tcBorders>
              <w:top w:val="single" w:sz="4" w:space="0" w:color="auto"/>
              <w:left w:val="single" w:sz="4" w:space="0" w:color="auto"/>
              <w:bottom w:val="single" w:sz="4" w:space="0" w:color="auto"/>
              <w:right w:val="single" w:sz="4" w:space="0" w:color="auto"/>
            </w:tcBorders>
          </w:tcPr>
          <w:p w:rsidR="007B5077" w:rsidRDefault="007B5077" w:rsidP="00984990">
            <w:pPr>
              <w:pStyle w:val="Header"/>
              <w:tabs>
                <w:tab w:val="clear" w:pos="4320"/>
                <w:tab w:val="clear" w:pos="8640"/>
              </w:tabs>
              <w:rPr>
                <w:rFonts w:cs="Arial"/>
                <w:iCs/>
              </w:rPr>
            </w:pPr>
            <w:r>
              <w:rPr>
                <w:rFonts w:cs="Arial"/>
                <w:iCs/>
              </w:rPr>
              <w:t>Replaces Alcohol, Medical on Siemens Dimension RxL.</w:t>
            </w:r>
          </w:p>
        </w:tc>
      </w:tr>
      <w:tr w:rsidR="001D06AF" w:rsidTr="001D06AF">
        <w:tblPrEx>
          <w:tblBorders>
            <w:bottom w:val="single" w:sz="4" w:space="0" w:color="auto"/>
          </w:tblBorders>
        </w:tblPrEx>
        <w:trPr>
          <w:cantSplit/>
          <w:trHeight w:val="255"/>
        </w:trPr>
        <w:tc>
          <w:tcPr>
            <w:tcW w:w="1890" w:type="dxa"/>
            <w:gridSpan w:val="2"/>
            <w:tcBorders>
              <w:left w:val="nil"/>
              <w:bottom w:val="nil"/>
              <w:right w:val="single" w:sz="4" w:space="0" w:color="auto"/>
            </w:tcBorders>
          </w:tcPr>
          <w:p w:rsidR="001D06AF" w:rsidRDefault="001D06AF">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1D06AF" w:rsidRDefault="001D06AF">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1D06AF" w:rsidRDefault="001D06AF" w:rsidP="00984990">
            <w:pPr>
              <w:rPr>
                <w:rFonts w:cs="Arial"/>
                <w:iCs/>
              </w:rPr>
            </w:pPr>
            <w:r>
              <w:rPr>
                <w:rFonts w:cs="Arial"/>
                <w:iCs/>
              </w:rPr>
              <w:t>K. Brown/S. Gripentrog</w:t>
            </w:r>
          </w:p>
        </w:tc>
        <w:tc>
          <w:tcPr>
            <w:tcW w:w="1800" w:type="dxa"/>
            <w:tcBorders>
              <w:top w:val="single" w:sz="4" w:space="0" w:color="auto"/>
              <w:left w:val="single" w:sz="4" w:space="0" w:color="auto"/>
              <w:bottom w:val="single" w:sz="4" w:space="0" w:color="auto"/>
              <w:right w:val="single" w:sz="4" w:space="0" w:color="auto"/>
            </w:tcBorders>
          </w:tcPr>
          <w:p w:rsidR="001D06AF" w:rsidRDefault="001D06AF" w:rsidP="00F173A2">
            <w:pPr>
              <w:rPr>
                <w:rFonts w:cs="Arial"/>
                <w:iCs/>
              </w:rPr>
            </w:pPr>
            <w:r>
              <w:rPr>
                <w:rFonts w:cs="Arial"/>
                <w:iCs/>
              </w:rPr>
              <w:t>June 19, 2017</w:t>
            </w:r>
          </w:p>
        </w:tc>
        <w:tc>
          <w:tcPr>
            <w:tcW w:w="4140" w:type="dxa"/>
            <w:gridSpan w:val="2"/>
            <w:tcBorders>
              <w:top w:val="single" w:sz="4" w:space="0" w:color="auto"/>
              <w:left w:val="single" w:sz="4" w:space="0" w:color="auto"/>
              <w:bottom w:val="single" w:sz="4" w:space="0" w:color="auto"/>
              <w:right w:val="single" w:sz="4" w:space="0" w:color="auto"/>
            </w:tcBorders>
          </w:tcPr>
          <w:p w:rsidR="001D06AF" w:rsidRDefault="001D06AF" w:rsidP="00984990">
            <w:pPr>
              <w:pStyle w:val="Header"/>
              <w:tabs>
                <w:tab w:val="clear" w:pos="4320"/>
                <w:tab w:val="clear" w:pos="8640"/>
              </w:tabs>
              <w:rPr>
                <w:rFonts w:cs="Arial"/>
                <w:iCs/>
              </w:rPr>
            </w:pPr>
            <w:r>
              <w:rPr>
                <w:rFonts w:cs="Arial"/>
                <w:iCs/>
              </w:rPr>
              <w:t>Removed no gel requirements from serum sample.  Removed repeating of results &lt;3 mg/dL by checking sample quality/quantity.</w:t>
            </w:r>
          </w:p>
        </w:tc>
      </w:tr>
      <w:tr w:rsidR="009E3697" w:rsidTr="001D06AF">
        <w:tblPrEx>
          <w:tblBorders>
            <w:bottom w:val="single" w:sz="4" w:space="0" w:color="auto"/>
          </w:tblBorders>
        </w:tblPrEx>
        <w:trPr>
          <w:cantSplit/>
          <w:trHeight w:val="255"/>
        </w:trPr>
        <w:tc>
          <w:tcPr>
            <w:tcW w:w="1890" w:type="dxa"/>
            <w:gridSpan w:val="2"/>
            <w:tcBorders>
              <w:left w:val="nil"/>
              <w:bottom w:val="nil"/>
              <w:right w:val="single" w:sz="4" w:space="0" w:color="auto"/>
            </w:tcBorders>
          </w:tcPr>
          <w:p w:rsidR="009E3697" w:rsidRDefault="009E3697">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9E3697" w:rsidRDefault="009E3697">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9E3697" w:rsidRDefault="009E3697" w:rsidP="00984990">
            <w:pPr>
              <w:rPr>
                <w:rFonts w:cs="Arial"/>
                <w:iCs/>
              </w:rPr>
            </w:pPr>
            <w:r>
              <w:rPr>
                <w:rFonts w:cs="Arial"/>
                <w:iCs/>
              </w:rPr>
              <w:t>Erin Bartos</w:t>
            </w:r>
          </w:p>
        </w:tc>
        <w:tc>
          <w:tcPr>
            <w:tcW w:w="1800" w:type="dxa"/>
            <w:tcBorders>
              <w:top w:val="single" w:sz="4" w:space="0" w:color="auto"/>
              <w:left w:val="single" w:sz="4" w:space="0" w:color="auto"/>
              <w:bottom w:val="single" w:sz="4" w:space="0" w:color="auto"/>
              <w:right w:val="single" w:sz="4" w:space="0" w:color="auto"/>
            </w:tcBorders>
          </w:tcPr>
          <w:p w:rsidR="009E3697" w:rsidRDefault="009E3697" w:rsidP="00F173A2">
            <w:pPr>
              <w:rPr>
                <w:rFonts w:cs="Arial"/>
                <w:iCs/>
              </w:rPr>
            </w:pPr>
            <w:r>
              <w:rPr>
                <w:rFonts w:cs="Arial"/>
                <w:iCs/>
              </w:rPr>
              <w:t>January 18, 2018</w:t>
            </w:r>
          </w:p>
        </w:tc>
        <w:tc>
          <w:tcPr>
            <w:tcW w:w="4140" w:type="dxa"/>
            <w:gridSpan w:val="2"/>
            <w:tcBorders>
              <w:top w:val="single" w:sz="4" w:space="0" w:color="auto"/>
              <w:left w:val="single" w:sz="4" w:space="0" w:color="auto"/>
              <w:bottom w:val="single" w:sz="4" w:space="0" w:color="auto"/>
              <w:right w:val="single" w:sz="4" w:space="0" w:color="auto"/>
            </w:tcBorders>
          </w:tcPr>
          <w:p w:rsidR="009E3697" w:rsidRDefault="009E3697" w:rsidP="00984990">
            <w:pPr>
              <w:pStyle w:val="Header"/>
              <w:tabs>
                <w:tab w:val="clear" w:pos="4320"/>
                <w:tab w:val="clear" w:pos="8640"/>
              </w:tabs>
              <w:rPr>
                <w:rFonts w:cs="Arial"/>
                <w:iCs/>
              </w:rPr>
            </w:pPr>
            <w:r>
              <w:rPr>
                <w:rFonts w:cs="Arial"/>
                <w:iCs/>
              </w:rPr>
              <w:t>Corrected typo: Povidone Iodine Prep Pads</w:t>
            </w:r>
          </w:p>
        </w:tc>
      </w:tr>
      <w:tr w:rsidR="00C14E44" w:rsidTr="001D06AF">
        <w:tblPrEx>
          <w:tblBorders>
            <w:bottom w:val="single" w:sz="4" w:space="0" w:color="auto"/>
          </w:tblBorders>
        </w:tblPrEx>
        <w:trPr>
          <w:cantSplit/>
          <w:trHeight w:val="255"/>
        </w:trPr>
        <w:tc>
          <w:tcPr>
            <w:tcW w:w="1890" w:type="dxa"/>
            <w:gridSpan w:val="2"/>
            <w:tcBorders>
              <w:left w:val="nil"/>
              <w:bottom w:val="nil"/>
              <w:right w:val="single" w:sz="4" w:space="0" w:color="auto"/>
            </w:tcBorders>
          </w:tcPr>
          <w:p w:rsidR="00C14E44" w:rsidRDefault="00C14E44">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C14E44" w:rsidRDefault="00C14E44">
            <w:pPr>
              <w:numPr>
                <w:ilvl w:val="0"/>
                <w:numId w:val="22"/>
              </w:numPr>
              <w:rPr>
                <w:rFonts w:cs="Arial"/>
                <w:iCs/>
              </w:rPr>
            </w:pPr>
          </w:p>
        </w:tc>
        <w:tc>
          <w:tcPr>
            <w:tcW w:w="2340" w:type="dxa"/>
            <w:gridSpan w:val="2"/>
            <w:tcBorders>
              <w:top w:val="single" w:sz="4" w:space="0" w:color="auto"/>
              <w:left w:val="single" w:sz="4" w:space="0" w:color="auto"/>
              <w:bottom w:val="single" w:sz="4" w:space="0" w:color="auto"/>
              <w:right w:val="single" w:sz="4" w:space="0" w:color="auto"/>
            </w:tcBorders>
          </w:tcPr>
          <w:p w:rsidR="00C14E44" w:rsidRDefault="00C14E44" w:rsidP="00984990">
            <w:pPr>
              <w:rPr>
                <w:rFonts w:cs="Arial"/>
                <w:iCs/>
              </w:rPr>
            </w:pPr>
            <w:r>
              <w:rPr>
                <w:rFonts w:cs="Arial"/>
                <w:iCs/>
              </w:rPr>
              <w:t>Erin Bartos</w:t>
            </w:r>
          </w:p>
        </w:tc>
        <w:tc>
          <w:tcPr>
            <w:tcW w:w="1800" w:type="dxa"/>
            <w:tcBorders>
              <w:top w:val="single" w:sz="4" w:space="0" w:color="auto"/>
              <w:left w:val="single" w:sz="4" w:space="0" w:color="auto"/>
              <w:bottom w:val="single" w:sz="4" w:space="0" w:color="auto"/>
              <w:right w:val="single" w:sz="4" w:space="0" w:color="auto"/>
            </w:tcBorders>
          </w:tcPr>
          <w:p w:rsidR="00C14E44" w:rsidRDefault="00C14E44" w:rsidP="00F173A2">
            <w:pPr>
              <w:rPr>
                <w:rFonts w:cs="Arial"/>
                <w:iCs/>
              </w:rPr>
            </w:pPr>
            <w:r>
              <w:rPr>
                <w:rFonts w:cs="Arial"/>
                <w:iCs/>
              </w:rPr>
              <w:t>July 27, 2018</w:t>
            </w:r>
          </w:p>
        </w:tc>
        <w:tc>
          <w:tcPr>
            <w:tcW w:w="4140" w:type="dxa"/>
            <w:gridSpan w:val="2"/>
            <w:tcBorders>
              <w:top w:val="single" w:sz="4" w:space="0" w:color="auto"/>
              <w:left w:val="single" w:sz="4" w:space="0" w:color="auto"/>
              <w:bottom w:val="single" w:sz="4" w:space="0" w:color="auto"/>
              <w:right w:val="single" w:sz="4" w:space="0" w:color="auto"/>
            </w:tcBorders>
          </w:tcPr>
          <w:p w:rsidR="00C14E44" w:rsidRDefault="00C14E44" w:rsidP="00984990">
            <w:pPr>
              <w:pStyle w:val="Header"/>
              <w:tabs>
                <w:tab w:val="clear" w:pos="4320"/>
                <w:tab w:val="clear" w:pos="8640"/>
              </w:tabs>
              <w:rPr>
                <w:rFonts w:cs="Arial"/>
                <w:iCs/>
              </w:rPr>
            </w:pPr>
            <w:r>
              <w:rPr>
                <w:rFonts w:cs="Arial"/>
                <w:iCs/>
              </w:rPr>
              <w:t>Changed lower reportable range to 10.  Added comment to not remove top unless ready to test to avoid evaporation.</w:t>
            </w:r>
          </w:p>
        </w:tc>
      </w:tr>
      <w:tr w:rsidR="007B5077" w:rsidTr="007B5077">
        <w:tblPrEx>
          <w:tblBorders>
            <w:bottom w:val="single" w:sz="4" w:space="0" w:color="auto"/>
          </w:tblBorders>
        </w:tblPrEx>
        <w:trPr>
          <w:cantSplit/>
          <w:trHeight w:val="255"/>
        </w:trPr>
        <w:tc>
          <w:tcPr>
            <w:tcW w:w="1890" w:type="dxa"/>
            <w:gridSpan w:val="2"/>
            <w:tcBorders>
              <w:left w:val="nil"/>
              <w:bottom w:val="nil"/>
              <w:right w:val="nil"/>
            </w:tcBorders>
          </w:tcPr>
          <w:p w:rsidR="007B5077" w:rsidRDefault="007B5077">
            <w:pPr>
              <w:rPr>
                <w:rFonts w:cs="Arial"/>
                <w:b/>
                <w:bCs/>
                <w:color w:val="3366FF"/>
              </w:rPr>
            </w:pPr>
          </w:p>
        </w:tc>
        <w:tc>
          <w:tcPr>
            <w:tcW w:w="9270" w:type="dxa"/>
            <w:gridSpan w:val="6"/>
            <w:tcBorders>
              <w:top w:val="single" w:sz="4" w:space="0" w:color="auto"/>
              <w:left w:val="nil"/>
              <w:bottom w:val="single" w:sz="4" w:space="0" w:color="auto"/>
              <w:right w:val="nil"/>
            </w:tcBorders>
          </w:tcPr>
          <w:p w:rsidR="007B5077" w:rsidRDefault="007B5077" w:rsidP="00984990">
            <w:pPr>
              <w:pStyle w:val="Header"/>
              <w:tabs>
                <w:tab w:val="clear" w:pos="4320"/>
                <w:tab w:val="clear" w:pos="8640"/>
              </w:tabs>
              <w:rPr>
                <w:rFonts w:cs="Arial"/>
                <w:iCs/>
              </w:rPr>
            </w:pPr>
          </w:p>
        </w:tc>
      </w:tr>
    </w:tbl>
    <w:p w:rsidR="00B032F7" w:rsidRDefault="00B032F7">
      <w:pPr>
        <w:ind w:left="720"/>
      </w:pPr>
    </w:p>
    <w:sectPr w:rsidR="00B032F7" w:rsidSect="007A0D51">
      <w:headerReference w:type="default" r:id="rId11"/>
      <w:footerReference w:type="default" r:id="rId12"/>
      <w:pgSz w:w="12240" w:h="15840" w:code="1"/>
      <w:pgMar w:top="720" w:right="1584" w:bottom="432" w:left="1584"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C7" w:rsidRDefault="00472EC7">
      <w:r>
        <w:separator/>
      </w:r>
    </w:p>
  </w:endnote>
  <w:endnote w:type="continuationSeparator" w:id="0">
    <w:p w:rsidR="00472EC7" w:rsidRDefault="00472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enPro-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FFB" w:rsidRDefault="00563FFB">
    <w:pPr>
      <w:ind w:left="-1080" w:right="-1260"/>
      <w:rPr>
        <w:rFonts w:cs="Arial"/>
        <w:sz w:val="18"/>
      </w:rPr>
    </w:pPr>
    <w:r>
      <w:rPr>
        <w:rFonts w:cs="Arial"/>
        <w:sz w:val="18"/>
      </w:rPr>
      <w:t>Laboratory, Children’s Hospitals and Clinics of Minnesota, Minneapolis/St. Paul, MN</w:t>
    </w:r>
  </w:p>
  <w:p w:rsidR="00563FFB" w:rsidRDefault="00563FFB">
    <w:pPr>
      <w:pStyle w:val="Footer"/>
      <w:ind w:left="-1080"/>
      <w:rPr>
        <w:sz w:val="18"/>
      </w:rPr>
    </w:pPr>
    <w:r>
      <w:rPr>
        <w:sz w:val="18"/>
      </w:rPr>
      <w:t xml:space="preserve">Page </w:t>
    </w:r>
    <w:r w:rsidR="00AC48C4">
      <w:rPr>
        <w:sz w:val="18"/>
      </w:rPr>
      <w:fldChar w:fldCharType="begin"/>
    </w:r>
    <w:r>
      <w:rPr>
        <w:sz w:val="18"/>
      </w:rPr>
      <w:instrText xml:space="preserve"> PAGE </w:instrText>
    </w:r>
    <w:r w:rsidR="00AC48C4">
      <w:rPr>
        <w:sz w:val="18"/>
      </w:rPr>
      <w:fldChar w:fldCharType="separate"/>
    </w:r>
    <w:r w:rsidR="00C14E44">
      <w:rPr>
        <w:noProof/>
        <w:sz w:val="18"/>
      </w:rPr>
      <w:t>5</w:t>
    </w:r>
    <w:r w:rsidR="00AC48C4">
      <w:rPr>
        <w:sz w:val="18"/>
      </w:rPr>
      <w:fldChar w:fldCharType="end"/>
    </w:r>
    <w:r>
      <w:rPr>
        <w:sz w:val="18"/>
      </w:rPr>
      <w:t xml:space="preserve"> of </w:t>
    </w:r>
    <w:r w:rsidR="00AC48C4">
      <w:rPr>
        <w:sz w:val="18"/>
      </w:rPr>
      <w:fldChar w:fldCharType="begin"/>
    </w:r>
    <w:r>
      <w:rPr>
        <w:sz w:val="18"/>
      </w:rPr>
      <w:instrText xml:space="preserve"> NUMPAGES </w:instrText>
    </w:r>
    <w:r w:rsidR="00AC48C4">
      <w:rPr>
        <w:sz w:val="18"/>
      </w:rPr>
      <w:fldChar w:fldCharType="separate"/>
    </w:r>
    <w:r w:rsidR="00C14E44">
      <w:rPr>
        <w:noProof/>
        <w:sz w:val="18"/>
      </w:rPr>
      <w:t>5</w:t>
    </w:r>
    <w:r w:rsidR="00AC48C4">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C7" w:rsidRDefault="00472EC7">
      <w:r>
        <w:separator/>
      </w:r>
    </w:p>
  </w:footnote>
  <w:footnote w:type="continuationSeparator" w:id="0">
    <w:p w:rsidR="00472EC7" w:rsidRDefault="00472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FFB" w:rsidRDefault="00AC48C4">
    <w:pPr>
      <w:ind w:left="-1080" w:right="-1260"/>
      <w:rPr>
        <w:rFonts w:cs="Arial"/>
      </w:rPr>
    </w:pPr>
    <w:r w:rsidRPr="00AC48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4.45pt;margin-top:-12.05pt;width:111.85pt;height:35.9pt;z-index:-251658752;mso-position-horizontal-relative:text;mso-position-vertical-relative:text" wrapcoords="-140 0 -140 21159 21600 21159 21600 0 -140 0">
          <v:imagedata r:id="rId1" o:title="Childrens_MN_2015_logo_2c_RGB_800x257"/>
          <w10:wrap type="tight"/>
        </v:shape>
      </w:pict>
    </w:r>
    <w:r w:rsidR="00563FFB">
      <w:rPr>
        <w:rFonts w:cs="Arial"/>
      </w:rPr>
      <w:t>CH 6.04 Alcohol, Medical</w:t>
    </w:r>
  </w:p>
  <w:p w:rsidR="00563FFB" w:rsidRDefault="00C14E44">
    <w:pPr>
      <w:ind w:left="-1080" w:right="-1260"/>
      <w:rPr>
        <w:rFonts w:cs="Arial"/>
      </w:rPr>
    </w:pPr>
    <w:r>
      <w:rPr>
        <w:rFonts w:cs="Arial"/>
      </w:rPr>
      <w:t>Version 11</w:t>
    </w:r>
  </w:p>
  <w:p w:rsidR="00563FFB" w:rsidRDefault="001D06AF">
    <w:pPr>
      <w:pStyle w:val="Header"/>
      <w:ind w:left="-1080"/>
      <w:jc w:val="both"/>
    </w:pPr>
    <w:r>
      <w:rPr>
        <w:rFonts w:cs="Arial"/>
      </w:rPr>
      <w:t xml:space="preserve">Effective Date: </w:t>
    </w:r>
    <w:r w:rsidR="00C14E44">
      <w:rPr>
        <w:rFonts w:cs="Arial"/>
      </w:rPr>
      <w:t>July 27, 2018</w:t>
    </w:r>
  </w:p>
  <w:p w:rsidR="00563FFB" w:rsidRDefault="00563FFB">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18216AF"/>
    <w:multiLevelType w:val="hybridMultilevel"/>
    <w:tmpl w:val="D974E19C"/>
    <w:lvl w:ilvl="0" w:tplc="BDC009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FA65D4"/>
    <w:multiLevelType w:val="hybridMultilevel"/>
    <w:tmpl w:val="A8A41E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D171EC"/>
    <w:multiLevelType w:val="hybridMultilevel"/>
    <w:tmpl w:val="5FAA6CDE"/>
    <w:lvl w:ilvl="0" w:tplc="ECCAA2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072AD7"/>
    <w:multiLevelType w:val="hybridMultilevel"/>
    <w:tmpl w:val="6CA45F7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50430B"/>
    <w:multiLevelType w:val="hybridMultilevel"/>
    <w:tmpl w:val="7C4629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7524AE9"/>
    <w:multiLevelType w:val="hybridMultilevel"/>
    <w:tmpl w:val="41D017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A07460B"/>
    <w:multiLevelType w:val="hybridMultilevel"/>
    <w:tmpl w:val="51CA2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4C1008"/>
    <w:multiLevelType w:val="hybridMultilevel"/>
    <w:tmpl w:val="55E6B99A"/>
    <w:lvl w:ilvl="0" w:tplc="0409000F">
      <w:start w:val="1"/>
      <w:numFmt w:val="decimal"/>
      <w:lvlText w:val="%1."/>
      <w:lvlJc w:val="left"/>
      <w:pPr>
        <w:tabs>
          <w:tab w:val="num" w:pos="473"/>
        </w:tabs>
        <w:ind w:left="473" w:hanging="360"/>
      </w:pPr>
    </w:lvl>
    <w:lvl w:ilvl="1" w:tplc="04090019">
      <w:start w:val="1"/>
      <w:numFmt w:val="lowerLetter"/>
      <w:lvlText w:val="%2."/>
      <w:lvlJc w:val="left"/>
      <w:pPr>
        <w:tabs>
          <w:tab w:val="num" w:pos="1193"/>
        </w:tabs>
        <w:ind w:left="1193" w:hanging="360"/>
      </w:pPr>
    </w:lvl>
    <w:lvl w:ilvl="2" w:tplc="0409001B">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11">
    <w:nsid w:val="1B427580"/>
    <w:multiLevelType w:val="hybridMultilevel"/>
    <w:tmpl w:val="E1CE5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362220"/>
    <w:multiLevelType w:val="hybridMultilevel"/>
    <w:tmpl w:val="11869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387156"/>
    <w:multiLevelType w:val="hybridMultilevel"/>
    <w:tmpl w:val="A580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1670F"/>
    <w:multiLevelType w:val="hybridMultilevel"/>
    <w:tmpl w:val="D884DF2C"/>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D16DD2"/>
    <w:multiLevelType w:val="hybridMultilevel"/>
    <w:tmpl w:val="D884DF2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2161EE"/>
    <w:multiLevelType w:val="hybridMultilevel"/>
    <w:tmpl w:val="6BA297B2"/>
    <w:lvl w:ilvl="0" w:tplc="ECCAA2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84133D"/>
    <w:multiLevelType w:val="hybridMultilevel"/>
    <w:tmpl w:val="988EF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61C6DAC"/>
    <w:multiLevelType w:val="hybridMultilevel"/>
    <w:tmpl w:val="E11EF38E"/>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337491"/>
    <w:multiLevelType w:val="hybridMultilevel"/>
    <w:tmpl w:val="3D62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37400"/>
    <w:multiLevelType w:val="hybridMultilevel"/>
    <w:tmpl w:val="D7825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9C43A8"/>
    <w:multiLevelType w:val="hybridMultilevel"/>
    <w:tmpl w:val="A4CCAB9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DBF4EE6"/>
    <w:multiLevelType w:val="hybridMultilevel"/>
    <w:tmpl w:val="017EB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B76372"/>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60261E2"/>
    <w:multiLevelType w:val="hybridMultilevel"/>
    <w:tmpl w:val="D520D504"/>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84E7117"/>
    <w:multiLevelType w:val="hybridMultilevel"/>
    <w:tmpl w:val="297AAEBA"/>
    <w:lvl w:ilvl="0" w:tplc="3620C63E">
      <w:start w:val="1"/>
      <w:numFmt w:val="bullet"/>
      <w:lvlText w:val=""/>
      <w:lvlJc w:val="left"/>
      <w:pPr>
        <w:tabs>
          <w:tab w:val="num" w:pos="360"/>
        </w:tabs>
        <w:ind w:left="360" w:hanging="360"/>
      </w:pPr>
      <w:rPr>
        <w:rFonts w:ascii="Symbol" w:hAnsi="Symbol" w:hint="default"/>
      </w:rPr>
    </w:lvl>
    <w:lvl w:ilvl="1" w:tplc="20A6CDE6">
      <w:start w:val="1"/>
      <w:numFmt w:val="bullet"/>
      <w:lvlText w:val="o"/>
      <w:lvlJc w:val="left"/>
      <w:pPr>
        <w:tabs>
          <w:tab w:val="num" w:pos="1080"/>
        </w:tabs>
        <w:ind w:left="108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5C45E84"/>
    <w:multiLevelType w:val="hybridMultilevel"/>
    <w:tmpl w:val="61543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830233"/>
    <w:multiLevelType w:val="hybridMultilevel"/>
    <w:tmpl w:val="5D0AD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25BC0"/>
    <w:multiLevelType w:val="hybridMultilevel"/>
    <w:tmpl w:val="4CE2CA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5C6054"/>
    <w:multiLevelType w:val="hybridMultilevel"/>
    <w:tmpl w:val="A4246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3"/>
  </w:num>
  <w:num w:numId="3">
    <w:abstractNumId w:val="27"/>
  </w:num>
  <w:num w:numId="4">
    <w:abstractNumId w:val="19"/>
  </w:num>
  <w:num w:numId="5">
    <w:abstractNumId w:val="8"/>
  </w:num>
  <w:num w:numId="6">
    <w:abstractNumId w:val="16"/>
  </w:num>
  <w:num w:numId="7">
    <w:abstractNumId w:val="26"/>
  </w:num>
  <w:num w:numId="8">
    <w:abstractNumId w:val="21"/>
  </w:num>
  <w:num w:numId="9">
    <w:abstractNumId w:val="24"/>
  </w:num>
  <w:num w:numId="10">
    <w:abstractNumId w:val="33"/>
  </w:num>
  <w:num w:numId="11">
    <w:abstractNumId w:val="18"/>
  </w:num>
  <w:num w:numId="12">
    <w:abstractNumId w:val="11"/>
  </w:num>
  <w:num w:numId="13">
    <w:abstractNumId w:val="6"/>
  </w:num>
  <w:num w:numId="14">
    <w:abstractNumId w:val="25"/>
  </w:num>
  <w:num w:numId="15">
    <w:abstractNumId w:val="3"/>
  </w:num>
  <w:num w:numId="16">
    <w:abstractNumId w:val="31"/>
  </w:num>
  <w:num w:numId="17">
    <w:abstractNumId w:val="22"/>
  </w:num>
  <w:num w:numId="18">
    <w:abstractNumId w:val="7"/>
  </w:num>
  <w:num w:numId="19">
    <w:abstractNumId w:val="5"/>
  </w:num>
  <w:num w:numId="20">
    <w:abstractNumId w:val="0"/>
  </w:num>
  <w:num w:numId="21">
    <w:abstractNumId w:val="15"/>
  </w:num>
  <w:num w:numId="22">
    <w:abstractNumId w:val="28"/>
  </w:num>
  <w:num w:numId="23">
    <w:abstractNumId w:val="17"/>
  </w:num>
  <w:num w:numId="24">
    <w:abstractNumId w:val="4"/>
  </w:num>
  <w:num w:numId="25">
    <w:abstractNumId w:val="10"/>
  </w:num>
  <w:num w:numId="26">
    <w:abstractNumId w:val="32"/>
  </w:num>
  <w:num w:numId="27">
    <w:abstractNumId w:val="12"/>
  </w:num>
  <w:num w:numId="28">
    <w:abstractNumId w:val="1"/>
  </w:num>
  <w:num w:numId="29">
    <w:abstractNumId w:val="30"/>
  </w:num>
  <w:num w:numId="30">
    <w:abstractNumId w:val="9"/>
  </w:num>
  <w:num w:numId="31">
    <w:abstractNumId w:val="14"/>
  </w:num>
  <w:num w:numId="32">
    <w:abstractNumId w:val="20"/>
  </w:num>
  <w:num w:numId="33">
    <w:abstractNumId w:val="29"/>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2F7"/>
    <w:rsid w:val="000B66F5"/>
    <w:rsid w:val="001D06AF"/>
    <w:rsid w:val="001E407F"/>
    <w:rsid w:val="0031181D"/>
    <w:rsid w:val="0039677A"/>
    <w:rsid w:val="00472EC7"/>
    <w:rsid w:val="00563FFB"/>
    <w:rsid w:val="005B6AA2"/>
    <w:rsid w:val="00693A0E"/>
    <w:rsid w:val="006B3143"/>
    <w:rsid w:val="007A0D51"/>
    <w:rsid w:val="007B5077"/>
    <w:rsid w:val="007D7F66"/>
    <w:rsid w:val="00831260"/>
    <w:rsid w:val="00951C35"/>
    <w:rsid w:val="00984990"/>
    <w:rsid w:val="00992196"/>
    <w:rsid w:val="009C49BA"/>
    <w:rsid w:val="009E3697"/>
    <w:rsid w:val="00AA1478"/>
    <w:rsid w:val="00AC48C4"/>
    <w:rsid w:val="00B032F7"/>
    <w:rsid w:val="00B501B8"/>
    <w:rsid w:val="00C14E44"/>
    <w:rsid w:val="00C60994"/>
    <w:rsid w:val="00DE6D48"/>
    <w:rsid w:val="00E75099"/>
    <w:rsid w:val="00ED4DBE"/>
    <w:rsid w:val="00F173A2"/>
    <w:rsid w:val="00F811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51"/>
    <w:rPr>
      <w:rFonts w:ascii="Arial" w:hAnsi="Arial"/>
      <w:szCs w:val="24"/>
    </w:rPr>
  </w:style>
  <w:style w:type="paragraph" w:styleId="Heading1">
    <w:name w:val="heading 1"/>
    <w:basedOn w:val="Normal"/>
    <w:next w:val="Normal"/>
    <w:qFormat/>
    <w:rsid w:val="007A0D51"/>
    <w:pPr>
      <w:keepNext/>
      <w:jc w:val="center"/>
      <w:outlineLvl w:val="0"/>
    </w:pPr>
    <w:rPr>
      <w:rFonts w:cs="Arial"/>
      <w:b/>
      <w:bCs/>
    </w:rPr>
  </w:style>
  <w:style w:type="paragraph" w:styleId="Heading2">
    <w:name w:val="heading 2"/>
    <w:basedOn w:val="Normal"/>
    <w:next w:val="Normal"/>
    <w:qFormat/>
    <w:rsid w:val="007A0D51"/>
    <w:pPr>
      <w:keepNext/>
      <w:outlineLvl w:val="1"/>
    </w:pPr>
    <w:rPr>
      <w:b/>
      <w:bCs/>
      <w:color w:val="0000FF"/>
      <w:sz w:val="36"/>
    </w:rPr>
  </w:style>
  <w:style w:type="paragraph" w:styleId="Heading3">
    <w:name w:val="heading 3"/>
    <w:basedOn w:val="Normal"/>
    <w:next w:val="Normal"/>
    <w:qFormat/>
    <w:rsid w:val="007A0D51"/>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7A0D51"/>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7A0D51"/>
    <w:pPr>
      <w:keepNext/>
      <w:spacing w:before="20"/>
      <w:jc w:val="both"/>
      <w:outlineLvl w:val="4"/>
    </w:pPr>
    <w:rPr>
      <w:rFonts w:ascii="Times New Roman" w:hAnsi="Times New Roman"/>
      <w:sz w:val="22"/>
    </w:rPr>
  </w:style>
  <w:style w:type="paragraph" w:styleId="Heading6">
    <w:name w:val="heading 6"/>
    <w:basedOn w:val="Normal"/>
    <w:next w:val="Normal"/>
    <w:qFormat/>
    <w:rsid w:val="007A0D51"/>
    <w:pPr>
      <w:keepNext/>
      <w:jc w:val="both"/>
      <w:outlineLvl w:val="5"/>
    </w:pPr>
    <w:rPr>
      <w:rFonts w:ascii="Times New Roman" w:hAnsi="Times New Roman"/>
      <w:b/>
      <w:bCs/>
      <w:sz w:val="18"/>
    </w:rPr>
  </w:style>
  <w:style w:type="paragraph" w:styleId="Heading7">
    <w:name w:val="heading 7"/>
    <w:basedOn w:val="Normal"/>
    <w:next w:val="Normal"/>
    <w:qFormat/>
    <w:rsid w:val="007A0D51"/>
    <w:pPr>
      <w:keepNext/>
      <w:jc w:val="both"/>
      <w:outlineLvl w:val="6"/>
    </w:pPr>
    <w:rPr>
      <w:rFonts w:ascii="Times New Roman" w:hAnsi="Times New Roman"/>
      <w:sz w:val="28"/>
    </w:rPr>
  </w:style>
  <w:style w:type="paragraph" w:styleId="Heading8">
    <w:name w:val="heading 8"/>
    <w:basedOn w:val="Normal"/>
    <w:next w:val="Normal"/>
    <w:qFormat/>
    <w:rsid w:val="007A0D51"/>
    <w:pPr>
      <w:keepNext/>
      <w:jc w:val="center"/>
      <w:outlineLvl w:val="7"/>
    </w:pPr>
    <w:rPr>
      <w:rFonts w:ascii="Times New Roman" w:hAnsi="Times New Roman"/>
      <w:b/>
      <w:bCs/>
      <w:sz w:val="22"/>
    </w:rPr>
  </w:style>
  <w:style w:type="paragraph" w:styleId="Heading9">
    <w:name w:val="heading 9"/>
    <w:basedOn w:val="Normal"/>
    <w:next w:val="Normal"/>
    <w:qFormat/>
    <w:rsid w:val="007A0D51"/>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0D51"/>
    <w:pPr>
      <w:tabs>
        <w:tab w:val="center" w:pos="4320"/>
        <w:tab w:val="right" w:pos="8640"/>
      </w:tabs>
    </w:pPr>
  </w:style>
  <w:style w:type="paragraph" w:styleId="Footer">
    <w:name w:val="footer"/>
    <w:basedOn w:val="Normal"/>
    <w:semiHidden/>
    <w:rsid w:val="007A0D51"/>
    <w:pPr>
      <w:tabs>
        <w:tab w:val="center" w:pos="4320"/>
        <w:tab w:val="right" w:pos="8640"/>
      </w:tabs>
    </w:pPr>
  </w:style>
  <w:style w:type="paragraph" w:customStyle="1" w:styleId="CalVerTable">
    <w:name w:val="CalVerTable"/>
    <w:basedOn w:val="BodyText"/>
    <w:rsid w:val="007A0D51"/>
    <w:pPr>
      <w:spacing w:after="40" w:line="160" w:lineRule="atLeast"/>
      <w:ind w:left="3240" w:hanging="3240"/>
    </w:pPr>
    <w:rPr>
      <w:rFonts w:ascii="Times New Roman" w:hAnsi="Times New Roman"/>
      <w:szCs w:val="20"/>
    </w:rPr>
  </w:style>
  <w:style w:type="paragraph" w:styleId="BodyText">
    <w:name w:val="Body Text"/>
    <w:basedOn w:val="Normal"/>
    <w:semiHidden/>
    <w:rsid w:val="007A0D51"/>
    <w:pPr>
      <w:spacing w:after="120"/>
    </w:pPr>
  </w:style>
  <w:style w:type="character" w:styleId="CommentReference">
    <w:name w:val="annotation reference"/>
    <w:basedOn w:val="DefaultParagraphFont"/>
    <w:semiHidden/>
    <w:rsid w:val="007A0D51"/>
    <w:rPr>
      <w:sz w:val="16"/>
      <w:szCs w:val="16"/>
    </w:rPr>
  </w:style>
  <w:style w:type="paragraph" w:styleId="CommentText">
    <w:name w:val="annotation text"/>
    <w:basedOn w:val="Normal"/>
    <w:semiHidden/>
    <w:rsid w:val="007A0D51"/>
    <w:rPr>
      <w:szCs w:val="20"/>
    </w:rPr>
  </w:style>
  <w:style w:type="paragraph" w:styleId="BodyTextIndent">
    <w:name w:val="Body Text Indent"/>
    <w:basedOn w:val="Normal"/>
    <w:semiHidden/>
    <w:rsid w:val="007A0D51"/>
    <w:pPr>
      <w:ind w:left="360"/>
    </w:pPr>
    <w:rPr>
      <w:rFonts w:cs="Arial"/>
      <w:szCs w:val="15"/>
    </w:rPr>
  </w:style>
  <w:style w:type="paragraph" w:styleId="Title">
    <w:name w:val="Title"/>
    <w:basedOn w:val="Normal"/>
    <w:qFormat/>
    <w:rsid w:val="007A0D51"/>
    <w:pPr>
      <w:jc w:val="center"/>
    </w:pPr>
    <w:rPr>
      <w:b/>
      <w:bCs/>
      <w:sz w:val="28"/>
    </w:rPr>
  </w:style>
  <w:style w:type="character" w:customStyle="1" w:styleId="A7">
    <w:name w:val="A7"/>
    <w:rsid w:val="007A0D51"/>
    <w:rPr>
      <w:b/>
      <w:bCs/>
      <w:color w:val="000000"/>
      <w:sz w:val="15"/>
      <w:szCs w:val="15"/>
    </w:rPr>
  </w:style>
  <w:style w:type="paragraph" w:customStyle="1" w:styleId="Pa7">
    <w:name w:val="Pa7"/>
    <w:basedOn w:val="Normal"/>
    <w:next w:val="Normal"/>
    <w:rsid w:val="007A0D51"/>
    <w:pPr>
      <w:autoSpaceDE w:val="0"/>
      <w:autoSpaceDN w:val="0"/>
      <w:adjustRightInd w:val="0"/>
      <w:spacing w:line="151" w:lineRule="atLeast"/>
    </w:pPr>
    <w:rPr>
      <w:rFonts w:ascii="Helen Pro Cond" w:hAnsi="Helen Pro Cond"/>
      <w:sz w:val="24"/>
    </w:rPr>
  </w:style>
  <w:style w:type="paragraph" w:customStyle="1" w:styleId="Pa4">
    <w:name w:val="Pa4"/>
    <w:basedOn w:val="Normal"/>
    <w:next w:val="Normal"/>
    <w:rsid w:val="007A0D51"/>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rsid w:val="007A0D51"/>
    <w:pPr>
      <w:autoSpaceDE w:val="0"/>
      <w:autoSpaceDN w:val="0"/>
      <w:adjustRightInd w:val="0"/>
      <w:spacing w:line="141" w:lineRule="atLeast"/>
    </w:pPr>
    <w:rPr>
      <w:rFonts w:ascii="Helen Pro Cond" w:hAnsi="Helen Pro Cond"/>
      <w:sz w:val="24"/>
    </w:rPr>
  </w:style>
  <w:style w:type="character" w:customStyle="1" w:styleId="A10">
    <w:name w:val="A10"/>
    <w:rsid w:val="007A0D51"/>
    <w:rPr>
      <w:color w:val="000000"/>
      <w:sz w:val="15"/>
      <w:szCs w:val="15"/>
      <w:u w:val="single"/>
    </w:rPr>
  </w:style>
  <w:style w:type="paragraph" w:customStyle="1" w:styleId="TableText">
    <w:name w:val="Table Text"/>
    <w:basedOn w:val="Normal"/>
    <w:rsid w:val="007A0D51"/>
    <w:pPr>
      <w:autoSpaceDE w:val="0"/>
      <w:autoSpaceDN w:val="0"/>
    </w:pPr>
    <w:rPr>
      <w:rFonts w:ascii="Times New Roman" w:hAnsi="Times New Roman"/>
    </w:rPr>
  </w:style>
  <w:style w:type="character" w:styleId="Hyperlink">
    <w:name w:val="Hyperlink"/>
    <w:basedOn w:val="DefaultParagraphFont"/>
    <w:semiHidden/>
    <w:rsid w:val="007A0D51"/>
    <w:rPr>
      <w:color w:val="0000FF"/>
      <w:u w:val="single"/>
    </w:rPr>
  </w:style>
  <w:style w:type="character" w:customStyle="1" w:styleId="A5">
    <w:name w:val="A5"/>
    <w:uiPriority w:val="99"/>
    <w:rsid w:val="00693A0E"/>
    <w:rPr>
      <w:rFonts w:cs="Helvetica Condensed"/>
      <w:color w:val="000000"/>
      <w:sz w:val="7"/>
      <w:szCs w:val="7"/>
    </w:rPr>
  </w:style>
  <w:style w:type="paragraph" w:styleId="BodyText2">
    <w:name w:val="Body Text 2"/>
    <w:basedOn w:val="Normal"/>
    <w:link w:val="BodyText2Char"/>
    <w:uiPriority w:val="99"/>
    <w:unhideWhenUsed/>
    <w:rsid w:val="00B501B8"/>
    <w:pPr>
      <w:spacing w:after="120" w:line="480" w:lineRule="auto"/>
    </w:pPr>
  </w:style>
  <w:style w:type="character" w:customStyle="1" w:styleId="BodyText2Char">
    <w:name w:val="Body Text 2 Char"/>
    <w:basedOn w:val="DefaultParagraphFont"/>
    <w:link w:val="BodyText2"/>
    <w:uiPriority w:val="99"/>
    <w:rsid w:val="00B501B8"/>
    <w:rPr>
      <w:rFonts w:ascii="Arial" w:hAnsi="Arial"/>
      <w:szCs w:val="24"/>
    </w:rPr>
  </w:style>
  <w:style w:type="paragraph" w:styleId="BodyText3">
    <w:name w:val="Body Text 3"/>
    <w:basedOn w:val="Normal"/>
    <w:link w:val="BodyText3Char"/>
    <w:uiPriority w:val="99"/>
    <w:semiHidden/>
    <w:unhideWhenUsed/>
    <w:rsid w:val="009C49BA"/>
    <w:pPr>
      <w:spacing w:after="120"/>
    </w:pPr>
    <w:rPr>
      <w:sz w:val="16"/>
      <w:szCs w:val="16"/>
    </w:rPr>
  </w:style>
  <w:style w:type="character" w:customStyle="1" w:styleId="BodyText3Char">
    <w:name w:val="Body Text 3 Char"/>
    <w:basedOn w:val="DefaultParagraphFont"/>
    <w:link w:val="BodyText3"/>
    <w:uiPriority w:val="99"/>
    <w:semiHidden/>
    <w:rsid w:val="009C49BA"/>
    <w:rPr>
      <w:rFonts w:ascii="Arial" w:hAnsi="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In Process</WFStatus>
    <Renewal_x0020_Date xmlns="199f0838-75a6-4f0c-9be1-f2c07140bccc">2019-07-29T05:00:00+00:00</Renewal_x0020_Date>
    <Legacy_x0020_Name xmlns="199f0838-75a6-4f0c-9be1-f2c07140bccc">6.04 Alcohol.doc</Legacy_x0020_Name>
    <Legacy_x0020_Document_x0020_ID xmlns="199f0838-75a6-4f0c-9be1-f2c07140bccc">201796</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F6TN54CWY5RS-50183619-29219</_dlc_DocId>
    <_Version xmlns="http://schemas.microsoft.com/sharepoint/v3/fields">5</_Version>
    <Meta_x0020_Tag_x0020_Keywords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CH 6.04 Alcohol </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2015-05-27T13:56:00+00:00</_DCDateCreated>
    <Owner xmlns="http://schemas.microsoft.com/sharepoint/v3">CHEM</Owner>
    <Summary xmlns="199f0838-75a6-4f0c-9be1-f2c07140bccc">version 9</Summary>
    <SubTitle xmlns="199f0838-75a6-4f0c-9be1-f2c07140bccc" xsi:nil="true"/>
    <Content_x0020_Release_x0020_Date xmlns="199f0838-75a6-4f0c-9be1-f2c07140bccc">2015-05-27T05:00:00+00:00</Content_x0020_Release_x0020_Date>
    <_dlc_DocIdUrl xmlns="199f0838-75a6-4f0c-9be1-f2c07140bccc">
      <Url>http://vcpsharepoint2/references/_layouts/15/DocIdRedir.aspx?ID=F6TN54CWY5RS-50183619-29219</Url>
      <Description>F6TN54CWY5RS-50183619-29219</Description>
    </_dlc_DocIdUrl>
    <Study_x0020_Status xmlns="c1848e11-9cf6-4ce4-877e-6837d2c2fa23" xsi:nil="true"/>
    <Meta_x0020_Page_x0020_Description xmlns="199f0838-75a6-4f0c-9be1-f2c07140bccc" xsi:nil="true"/>
  </documentManagement>
</p:properties>
</file>

<file path=customXml/itemProps1.xml><?xml version="1.0" encoding="utf-8"?>
<ds:datastoreItem xmlns:ds="http://schemas.openxmlformats.org/officeDocument/2006/customXml" ds:itemID="{9D4A6427-4571-4384-9F70-4FC5846F1787}"/>
</file>

<file path=customXml/itemProps2.xml><?xml version="1.0" encoding="utf-8"?>
<ds:datastoreItem xmlns:ds="http://schemas.openxmlformats.org/officeDocument/2006/customXml" ds:itemID="{D416174A-74CF-4127-B5C9-30845D741430}"/>
</file>

<file path=customXml/itemProps3.xml><?xml version="1.0" encoding="utf-8"?>
<ds:datastoreItem xmlns:ds="http://schemas.openxmlformats.org/officeDocument/2006/customXml" ds:itemID="{E96F309B-A3C5-4408-913F-1E3E6DABDC4A}"/>
</file>

<file path=customXml/itemProps4.xml><?xml version="1.0" encoding="utf-8"?>
<ds:datastoreItem xmlns:ds="http://schemas.openxmlformats.org/officeDocument/2006/customXml" ds:itemID="{B9FA5781-B844-444E-81C0-D411F8919E4C}"/>
</file>

<file path=docProps/app.xml><?xml version="1.0" encoding="utf-8"?>
<Properties xmlns="http://schemas.openxmlformats.org/officeDocument/2006/extended-properties" xmlns:vt="http://schemas.openxmlformats.org/officeDocument/2006/docPropsVTypes">
  <Template>Normal.dotm</Template>
  <TotalTime>9</TotalTime>
  <Pages>5</Pages>
  <Words>1719</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Children's Hospitals and Clinics of MN</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Medical</dc:title>
  <dc:creator>CE080372</dc:creator>
  <dc:description>7/27/18 changed lower reportable range to 10.  added not removing top until ready to test.  ERB_x000d_
6/19/17 KB -Removed no gel requirements from serum sample.  Removed repeating of results &lt;3 mg/dL by checking sample quality/quantity._x000d_
1/18/18 corrected typo with Povidone Iodine Prep pads ERB</dc:description>
  <cp:lastModifiedBy>CE155076</cp:lastModifiedBy>
  <cp:revision>3</cp:revision>
  <cp:lastPrinted>2011-06-16T20:32:00Z</cp:lastPrinted>
  <dcterms:created xsi:type="dcterms:W3CDTF">2018-01-18T18:06:00Z</dcterms:created>
  <dcterms:modified xsi:type="dcterms:W3CDTF">2018-07-27T13:18:00Z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d5366dd9-ddc0-4a3f-bb1d-acf2e2dd9b93</vt:lpwstr>
  </property>
</Properties>
</file>