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701"/>
        <w:gridCol w:w="22"/>
        <w:gridCol w:w="717"/>
        <w:gridCol w:w="2700"/>
        <w:gridCol w:w="1803"/>
        <w:gridCol w:w="1350"/>
        <w:gridCol w:w="2160"/>
      </w:tblGrid>
      <w:tr w:rsidR="00B41B7A" w:rsidTr="00453FBA">
        <w:trPr>
          <w:cantSplit/>
        </w:trPr>
        <w:tc>
          <w:tcPr>
            <w:tcW w:w="11250" w:type="dxa"/>
            <w:gridSpan w:val="8"/>
            <w:tcBorders>
              <w:top w:val="nil"/>
              <w:left w:val="nil"/>
              <w:bottom w:val="nil"/>
              <w:right w:val="nil"/>
            </w:tcBorders>
          </w:tcPr>
          <w:p w:rsidR="00B41B7A" w:rsidRDefault="00C42D70">
            <w:pPr>
              <w:pStyle w:val="Title"/>
              <w:jc w:val="left"/>
              <w:rPr>
                <w:rFonts w:ascii="Arial" w:hAnsi="Arial"/>
                <w:color w:val="0000FF"/>
              </w:rPr>
            </w:pPr>
            <w:r>
              <w:rPr>
                <w:rFonts w:ascii="Arial" w:hAnsi="Arial"/>
                <w:color w:val="0000FF"/>
              </w:rPr>
              <w:t xml:space="preserve">C1920 </w:t>
            </w:r>
            <w:proofErr w:type="spellStart"/>
            <w:r>
              <w:rPr>
                <w:rFonts w:ascii="Arial" w:hAnsi="Arial"/>
                <w:color w:val="0000FF"/>
              </w:rPr>
              <w:t>Rituximab</w:t>
            </w:r>
            <w:proofErr w:type="spellEnd"/>
            <w:r>
              <w:rPr>
                <w:rFonts w:ascii="Arial" w:hAnsi="Arial"/>
                <w:color w:val="0000FF"/>
              </w:rPr>
              <w:t xml:space="preserve"> Panel</w:t>
            </w:r>
          </w:p>
          <w:p w:rsidR="00B41B7A" w:rsidRDefault="00B41B7A">
            <w:pPr>
              <w:pStyle w:val="Custom"/>
            </w:pPr>
          </w:p>
        </w:tc>
      </w:tr>
      <w:tr w:rsidR="00B41B7A" w:rsidTr="00453FBA">
        <w:trPr>
          <w:cantSplit/>
          <w:trHeight w:val="620"/>
        </w:trPr>
        <w:tc>
          <w:tcPr>
            <w:tcW w:w="1797" w:type="dxa"/>
            <w:tcBorders>
              <w:top w:val="nil"/>
              <w:left w:val="nil"/>
              <w:bottom w:val="nil"/>
              <w:right w:val="nil"/>
            </w:tcBorders>
          </w:tcPr>
          <w:p w:rsidR="00BB0672" w:rsidRDefault="00BB0672">
            <w:pPr>
              <w:rPr>
                <w:rFonts w:ascii="Arial" w:hAnsi="Arial"/>
                <w:b/>
                <w:color w:val="0000FF"/>
                <w:sz w:val="20"/>
              </w:rPr>
            </w:pPr>
          </w:p>
          <w:p w:rsidR="00B41B7A" w:rsidRDefault="00B41B7A">
            <w:pPr>
              <w:rPr>
                <w:rFonts w:ascii="Arial" w:hAnsi="Arial"/>
                <w:b/>
                <w:color w:val="0000FF"/>
                <w:sz w:val="20"/>
              </w:rPr>
            </w:pPr>
            <w:r>
              <w:rPr>
                <w:rFonts w:ascii="Arial" w:hAnsi="Arial"/>
                <w:b/>
                <w:color w:val="0000FF"/>
                <w:sz w:val="20"/>
              </w:rPr>
              <w:t>Purpose</w:t>
            </w:r>
          </w:p>
        </w:tc>
        <w:tc>
          <w:tcPr>
            <w:tcW w:w="9453" w:type="dxa"/>
            <w:gridSpan w:val="7"/>
            <w:tcBorders>
              <w:top w:val="single" w:sz="4" w:space="0" w:color="auto"/>
              <w:left w:val="nil"/>
              <w:bottom w:val="single" w:sz="4" w:space="0" w:color="auto"/>
              <w:right w:val="nil"/>
            </w:tcBorders>
          </w:tcPr>
          <w:p w:rsidR="00E2691E" w:rsidRDefault="00E2691E" w:rsidP="00B41B7A">
            <w:pPr>
              <w:ind w:right="-720"/>
              <w:rPr>
                <w:rFonts w:ascii="Arial" w:hAnsi="Arial"/>
                <w:sz w:val="20"/>
              </w:rPr>
            </w:pPr>
          </w:p>
          <w:p w:rsidR="00F914CD" w:rsidRDefault="00F914CD" w:rsidP="00B41B7A">
            <w:pPr>
              <w:ind w:right="-720"/>
              <w:rPr>
                <w:rFonts w:ascii="Arial" w:hAnsi="Arial"/>
                <w:sz w:val="20"/>
              </w:rPr>
            </w:pPr>
            <w:r>
              <w:rPr>
                <w:rFonts w:ascii="Arial" w:hAnsi="Arial"/>
                <w:sz w:val="20"/>
              </w:rPr>
              <w:t xml:space="preserve">To measure the effect of B-cell depletion therapy with </w:t>
            </w:r>
            <w:proofErr w:type="spellStart"/>
            <w:r>
              <w:rPr>
                <w:rFonts w:ascii="Arial" w:hAnsi="Arial"/>
                <w:sz w:val="20"/>
              </w:rPr>
              <w:t>Ri</w:t>
            </w:r>
            <w:r w:rsidR="004B5930">
              <w:rPr>
                <w:rFonts w:ascii="Arial" w:hAnsi="Arial"/>
                <w:sz w:val="20"/>
              </w:rPr>
              <w:t>t</w:t>
            </w:r>
            <w:r>
              <w:rPr>
                <w:rFonts w:ascii="Arial" w:hAnsi="Arial"/>
                <w:sz w:val="20"/>
              </w:rPr>
              <w:t>uximab</w:t>
            </w:r>
            <w:proofErr w:type="spellEnd"/>
            <w:r>
              <w:rPr>
                <w:rFonts w:ascii="Arial" w:hAnsi="Arial"/>
                <w:sz w:val="20"/>
              </w:rPr>
              <w:t xml:space="preserve"> on circulating B-cells in the patient.</w:t>
            </w:r>
          </w:p>
          <w:p w:rsidR="00E2691E" w:rsidRPr="00F914CD" w:rsidRDefault="00E2691E" w:rsidP="00B41B7A">
            <w:pPr>
              <w:ind w:right="-720"/>
              <w:rPr>
                <w:rFonts w:ascii="Arial" w:hAnsi="Arial" w:cs="Arial"/>
                <w:sz w:val="16"/>
                <w:szCs w:val="16"/>
              </w:rPr>
            </w:pPr>
            <w:r>
              <w:rPr>
                <w:rFonts w:ascii="Arial" w:hAnsi="Arial"/>
                <w:sz w:val="20"/>
              </w:rPr>
              <w:t xml:space="preserve">                                         </w:t>
            </w:r>
          </w:p>
        </w:tc>
      </w:tr>
      <w:tr w:rsidR="00B41B7A" w:rsidTr="00453FBA">
        <w:trPr>
          <w:cantSplit/>
          <w:trHeight w:val="330"/>
        </w:trPr>
        <w:tc>
          <w:tcPr>
            <w:tcW w:w="1797" w:type="dxa"/>
            <w:tcBorders>
              <w:top w:val="nil"/>
              <w:left w:val="nil"/>
              <w:bottom w:val="nil"/>
              <w:right w:val="nil"/>
            </w:tcBorders>
          </w:tcPr>
          <w:p w:rsidR="00B41B7A" w:rsidRDefault="00B41B7A">
            <w:pPr>
              <w:rPr>
                <w:rFonts w:ascii="Arial" w:hAnsi="Arial"/>
                <w:b/>
                <w:color w:val="0000FF"/>
                <w:sz w:val="20"/>
              </w:rPr>
            </w:pPr>
          </w:p>
          <w:p w:rsidR="00B41B7A" w:rsidRDefault="00B41B7A">
            <w:pPr>
              <w:rPr>
                <w:rFonts w:ascii="Arial" w:hAnsi="Arial"/>
                <w:b/>
                <w:color w:val="0000FF"/>
                <w:sz w:val="20"/>
              </w:rPr>
            </w:pPr>
            <w:r>
              <w:rPr>
                <w:rFonts w:ascii="Arial" w:hAnsi="Arial"/>
                <w:b/>
                <w:color w:val="0000FF"/>
                <w:sz w:val="20"/>
              </w:rPr>
              <w:t>Policy Statements</w:t>
            </w:r>
          </w:p>
        </w:tc>
        <w:tc>
          <w:tcPr>
            <w:tcW w:w="9453" w:type="dxa"/>
            <w:gridSpan w:val="7"/>
            <w:tcBorders>
              <w:top w:val="nil"/>
              <w:left w:val="nil"/>
              <w:bottom w:val="single" w:sz="4" w:space="0" w:color="auto"/>
              <w:right w:val="nil"/>
            </w:tcBorders>
          </w:tcPr>
          <w:p w:rsidR="00B41B7A" w:rsidRDefault="00B41B7A">
            <w:pPr>
              <w:autoSpaceDE w:val="0"/>
              <w:autoSpaceDN w:val="0"/>
              <w:adjustRightInd w:val="0"/>
              <w:jc w:val="left"/>
              <w:rPr>
                <w:rFonts w:ascii="Arial" w:hAnsi="Arial" w:cs="Arial"/>
                <w:sz w:val="20"/>
                <w:szCs w:val="20"/>
              </w:rPr>
            </w:pPr>
            <w:r>
              <w:rPr>
                <w:rFonts w:ascii="Arial" w:hAnsi="Arial"/>
                <w:sz w:val="20"/>
              </w:rPr>
              <w:sym w:font="Symbol" w:char="F0B7"/>
            </w:r>
            <w:r>
              <w:rPr>
                <w:rFonts w:ascii="Arial" w:hAnsi="Arial"/>
                <w:sz w:val="20"/>
              </w:rPr>
              <w:t xml:space="preserve"> </w:t>
            </w:r>
            <w:r>
              <w:rPr>
                <w:rFonts w:ascii="Arial" w:hAnsi="Arial" w:cs="Arial"/>
                <w:sz w:val="20"/>
                <w:szCs w:val="20"/>
              </w:rPr>
              <w:t>This procedure applies to all laboratory technologists performing Immunology testing, the section</w:t>
            </w:r>
          </w:p>
          <w:p w:rsidR="00B41B7A" w:rsidRDefault="00B41B7A">
            <w:pPr>
              <w:jc w:val="left"/>
              <w:rPr>
                <w:rFonts w:ascii="Arial" w:hAnsi="Arial"/>
                <w:sz w:val="20"/>
              </w:rPr>
            </w:pPr>
            <w:proofErr w:type="gramStart"/>
            <w:r>
              <w:rPr>
                <w:rFonts w:ascii="Arial" w:hAnsi="Arial" w:cs="Arial"/>
                <w:sz w:val="20"/>
                <w:szCs w:val="20"/>
              </w:rPr>
              <w:t>supervisor</w:t>
            </w:r>
            <w:proofErr w:type="gramEnd"/>
            <w:r>
              <w:rPr>
                <w:rFonts w:ascii="Arial" w:hAnsi="Arial" w:cs="Arial"/>
                <w:sz w:val="20"/>
                <w:szCs w:val="20"/>
              </w:rPr>
              <w:t>, and section pathologist.</w:t>
            </w:r>
          </w:p>
          <w:p w:rsidR="00B41B7A" w:rsidRDefault="00B41B7A">
            <w:pPr>
              <w:jc w:val="left"/>
              <w:rPr>
                <w:rFonts w:ascii="Arial" w:hAnsi="Arial"/>
                <w:sz w:val="20"/>
              </w:rPr>
            </w:pPr>
          </w:p>
        </w:tc>
      </w:tr>
      <w:tr w:rsidR="00B41B7A" w:rsidTr="00453F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right w:val="nil"/>
            </w:tcBorders>
          </w:tcPr>
          <w:p w:rsidR="00B41B7A" w:rsidRDefault="00B41B7A">
            <w:pPr>
              <w:jc w:val="left"/>
              <w:rPr>
                <w:rFonts w:ascii="Arial" w:hAnsi="Arial"/>
                <w:b/>
                <w:color w:val="0000FF"/>
                <w:sz w:val="20"/>
              </w:rPr>
            </w:pPr>
          </w:p>
          <w:p w:rsidR="00B41B7A" w:rsidRDefault="00B41B7A">
            <w:pPr>
              <w:jc w:val="left"/>
              <w:rPr>
                <w:rFonts w:ascii="Arial" w:hAnsi="Arial"/>
                <w:b/>
                <w:color w:val="0000FF"/>
                <w:sz w:val="20"/>
              </w:rPr>
            </w:pPr>
            <w:r>
              <w:rPr>
                <w:rFonts w:ascii="Arial" w:hAnsi="Arial"/>
                <w:b/>
                <w:color w:val="0000FF"/>
                <w:sz w:val="20"/>
              </w:rPr>
              <w:t>Principle and Clinical Significance</w:t>
            </w:r>
          </w:p>
          <w:p w:rsidR="00B41B7A" w:rsidRDefault="00B41B7A">
            <w:pPr>
              <w:jc w:val="left"/>
              <w:rPr>
                <w:rFonts w:ascii="Arial" w:hAnsi="Arial"/>
                <w:b/>
                <w:color w:val="0000FF"/>
                <w:sz w:val="20"/>
              </w:rPr>
            </w:pPr>
          </w:p>
        </w:tc>
        <w:tc>
          <w:tcPr>
            <w:tcW w:w="9453" w:type="dxa"/>
            <w:gridSpan w:val="7"/>
            <w:tcBorders>
              <w:top w:val="nil"/>
              <w:left w:val="nil"/>
              <w:bottom w:val="nil"/>
              <w:right w:val="nil"/>
            </w:tcBorders>
          </w:tcPr>
          <w:p w:rsidR="00B41B7A" w:rsidRDefault="00B41B7A">
            <w:pPr>
              <w:tabs>
                <w:tab w:val="left" w:pos="3382"/>
              </w:tabs>
              <w:rPr>
                <w:rFonts w:ascii="Arial" w:hAnsi="Arial"/>
                <w:sz w:val="20"/>
              </w:rPr>
            </w:pPr>
          </w:p>
          <w:p w:rsidR="00F914CD" w:rsidRDefault="00F914CD" w:rsidP="00F914CD">
            <w:pPr>
              <w:ind w:right="-720"/>
              <w:rPr>
                <w:rFonts w:ascii="Arial" w:hAnsi="Arial"/>
                <w:sz w:val="20"/>
              </w:rPr>
            </w:pPr>
            <w:r>
              <w:rPr>
                <w:rFonts w:ascii="Arial" w:hAnsi="Arial"/>
                <w:sz w:val="20"/>
              </w:rPr>
              <w:t>B-cell depletion for treatment of human autoimmune diseases is often accomplished through</w:t>
            </w:r>
          </w:p>
          <w:p w:rsidR="00F914CD" w:rsidRDefault="00F914CD" w:rsidP="00F914CD">
            <w:pPr>
              <w:ind w:right="-720"/>
              <w:rPr>
                <w:rFonts w:ascii="Arial" w:hAnsi="Arial"/>
                <w:sz w:val="20"/>
              </w:rPr>
            </w:pPr>
            <w:r>
              <w:rPr>
                <w:rFonts w:ascii="Arial" w:hAnsi="Arial"/>
                <w:sz w:val="20"/>
              </w:rPr>
              <w:t>antibodies targeting the surface molecule CD20 (</w:t>
            </w:r>
            <w:proofErr w:type="spellStart"/>
            <w:r>
              <w:rPr>
                <w:rFonts w:ascii="Arial" w:hAnsi="Arial"/>
                <w:sz w:val="20"/>
              </w:rPr>
              <w:t>Rituximab</w:t>
            </w:r>
            <w:proofErr w:type="spellEnd"/>
            <w:r>
              <w:rPr>
                <w:rFonts w:ascii="Arial" w:hAnsi="Arial"/>
                <w:sz w:val="20"/>
              </w:rPr>
              <w:t>).Treatment with these antibodies depletes</w:t>
            </w:r>
          </w:p>
          <w:p w:rsidR="00F914CD" w:rsidRDefault="00F914CD" w:rsidP="00F914CD">
            <w:pPr>
              <w:ind w:right="-720"/>
              <w:rPr>
                <w:rFonts w:ascii="Arial" w:hAnsi="Arial"/>
                <w:sz w:val="20"/>
              </w:rPr>
            </w:pPr>
            <w:r>
              <w:rPr>
                <w:rFonts w:ascii="Arial" w:hAnsi="Arial"/>
                <w:sz w:val="20"/>
              </w:rPr>
              <w:t>B-cells by a combination of antibody – mediated cellular toxicity  (ADCC), complement – dependent</w:t>
            </w:r>
          </w:p>
          <w:p w:rsidR="00F914CD" w:rsidRDefault="00F914CD" w:rsidP="00F914CD">
            <w:pPr>
              <w:ind w:right="-720"/>
              <w:rPr>
                <w:rFonts w:ascii="Arial" w:hAnsi="Arial"/>
                <w:sz w:val="20"/>
              </w:rPr>
            </w:pPr>
            <w:proofErr w:type="spellStart"/>
            <w:r>
              <w:rPr>
                <w:rFonts w:ascii="Arial" w:hAnsi="Arial"/>
                <w:sz w:val="20"/>
              </w:rPr>
              <w:t>Cytotoxicity</w:t>
            </w:r>
            <w:proofErr w:type="spellEnd"/>
            <w:r>
              <w:rPr>
                <w:rFonts w:ascii="Arial" w:hAnsi="Arial"/>
                <w:sz w:val="20"/>
              </w:rPr>
              <w:t xml:space="preserve"> (CDC), and antibody - triggered apoptosis;</w:t>
            </w:r>
          </w:p>
          <w:p w:rsidR="00F914CD" w:rsidRDefault="00F914CD">
            <w:pPr>
              <w:tabs>
                <w:tab w:val="left" w:pos="3382"/>
              </w:tabs>
              <w:rPr>
                <w:rFonts w:ascii="Arial" w:hAnsi="Arial"/>
                <w:sz w:val="20"/>
              </w:rPr>
            </w:pPr>
          </w:p>
          <w:p w:rsidR="00F914CD" w:rsidRDefault="00F914CD">
            <w:pPr>
              <w:tabs>
                <w:tab w:val="left" w:pos="3382"/>
              </w:tabs>
              <w:rPr>
                <w:rFonts w:ascii="Arial" w:hAnsi="Arial"/>
                <w:sz w:val="20"/>
              </w:rPr>
            </w:pPr>
            <w:r>
              <w:rPr>
                <w:rFonts w:ascii="Arial" w:hAnsi="Arial"/>
                <w:sz w:val="20"/>
              </w:rPr>
              <w:t xml:space="preserve">                                    </w:t>
            </w:r>
            <w:r w:rsidR="00230635">
              <w:rPr>
                <w:rFonts w:ascii="Arial" w:hAnsi="Arial"/>
                <w:noProof/>
                <w:sz w:val="20"/>
              </w:rPr>
              <w:drawing>
                <wp:inline distT="0" distB="0" distL="0" distR="0">
                  <wp:extent cx="2266950" cy="1914525"/>
                  <wp:effectExtent l="19050" t="0" r="0" b="0"/>
                  <wp:docPr id="1" name="Picture 1" descr="215308.fi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5308.fig.003"/>
                          <pic:cNvPicPr>
                            <a:picLocks noChangeAspect="1" noChangeArrowheads="1"/>
                          </pic:cNvPicPr>
                        </pic:nvPicPr>
                        <pic:blipFill>
                          <a:blip r:embed="rId7" cstate="print"/>
                          <a:srcRect/>
                          <a:stretch>
                            <a:fillRect/>
                          </a:stretch>
                        </pic:blipFill>
                        <pic:spPr bwMode="auto">
                          <a:xfrm>
                            <a:off x="0" y="0"/>
                            <a:ext cx="2266950" cy="1914525"/>
                          </a:xfrm>
                          <a:prstGeom prst="rect">
                            <a:avLst/>
                          </a:prstGeom>
                          <a:noFill/>
                          <a:ln w="9525">
                            <a:noFill/>
                            <a:miter lim="800000"/>
                            <a:headEnd/>
                            <a:tailEnd/>
                          </a:ln>
                        </pic:spPr>
                      </pic:pic>
                    </a:graphicData>
                  </a:graphic>
                </wp:inline>
              </w:drawing>
            </w:r>
            <w:r>
              <w:rPr>
                <w:rFonts w:ascii="Arial" w:hAnsi="Arial"/>
                <w:sz w:val="20"/>
              </w:rPr>
              <w:t xml:space="preserve">      </w:t>
            </w:r>
          </w:p>
          <w:p w:rsidR="00F914CD" w:rsidRDefault="00F914CD">
            <w:pPr>
              <w:tabs>
                <w:tab w:val="left" w:pos="3382"/>
              </w:tabs>
              <w:rPr>
                <w:rFonts w:ascii="Arial" w:hAnsi="Arial"/>
                <w:sz w:val="20"/>
              </w:rPr>
            </w:pPr>
          </w:p>
          <w:p w:rsidR="00F914CD" w:rsidRPr="00F914CD" w:rsidRDefault="00F914CD" w:rsidP="00F914CD">
            <w:pPr>
              <w:tabs>
                <w:tab w:val="left" w:pos="6180"/>
              </w:tabs>
              <w:rPr>
                <w:rFonts w:ascii="Arial" w:hAnsi="Arial" w:cs="Arial"/>
                <w:sz w:val="12"/>
                <w:szCs w:val="12"/>
              </w:rPr>
            </w:pPr>
            <w:r w:rsidRPr="00F914CD">
              <w:rPr>
                <w:rFonts w:ascii="Arial" w:hAnsi="Arial" w:cs="Arial"/>
                <w:sz w:val="12"/>
                <w:szCs w:val="12"/>
              </w:rPr>
              <w:t>B-cell depletion with CD20 (</w:t>
            </w:r>
            <w:proofErr w:type="spellStart"/>
            <w:r w:rsidRPr="00F914CD">
              <w:rPr>
                <w:rFonts w:ascii="Arial" w:hAnsi="Arial" w:cs="Arial"/>
                <w:sz w:val="12"/>
                <w:szCs w:val="12"/>
              </w:rPr>
              <w:t>Rituximab</w:t>
            </w:r>
            <w:proofErr w:type="spellEnd"/>
            <w:r w:rsidRPr="00F914CD">
              <w:rPr>
                <w:rFonts w:ascii="Arial" w:hAnsi="Arial" w:cs="Arial"/>
                <w:sz w:val="12"/>
                <w:szCs w:val="12"/>
              </w:rPr>
              <w:t xml:space="preserve">). Anti-CD20 </w:t>
            </w:r>
            <w:proofErr w:type="spellStart"/>
            <w:r w:rsidRPr="00F914CD">
              <w:rPr>
                <w:rFonts w:ascii="Arial" w:hAnsi="Arial" w:cs="Arial"/>
                <w:sz w:val="12"/>
                <w:szCs w:val="12"/>
              </w:rPr>
              <w:t>mAb</w:t>
            </w:r>
            <w:proofErr w:type="spellEnd"/>
            <w:r w:rsidRPr="00F914CD">
              <w:rPr>
                <w:rFonts w:ascii="Arial" w:hAnsi="Arial" w:cs="Arial"/>
                <w:sz w:val="12"/>
                <w:szCs w:val="12"/>
              </w:rPr>
              <w:t xml:space="preserve"> can direct the killing of B cells by antibody-dependent </w:t>
            </w:r>
            <w:proofErr w:type="spellStart"/>
            <w:r w:rsidRPr="00F914CD">
              <w:rPr>
                <w:rFonts w:ascii="Arial" w:hAnsi="Arial" w:cs="Arial"/>
                <w:sz w:val="12"/>
                <w:szCs w:val="12"/>
              </w:rPr>
              <w:t>cytotoxicity</w:t>
            </w:r>
            <w:proofErr w:type="spellEnd"/>
            <w:r w:rsidRPr="00F914CD">
              <w:rPr>
                <w:rFonts w:ascii="Arial" w:hAnsi="Arial" w:cs="Arial"/>
                <w:sz w:val="12"/>
                <w:szCs w:val="12"/>
              </w:rPr>
              <w:t xml:space="preserve"> (ADCC), complement-dependent </w:t>
            </w:r>
            <w:proofErr w:type="spellStart"/>
            <w:r w:rsidRPr="00F914CD">
              <w:rPr>
                <w:rFonts w:ascii="Arial" w:hAnsi="Arial" w:cs="Arial"/>
                <w:sz w:val="12"/>
                <w:szCs w:val="12"/>
              </w:rPr>
              <w:t>cytotoxicity</w:t>
            </w:r>
            <w:proofErr w:type="spellEnd"/>
            <w:r w:rsidRPr="00F914CD">
              <w:rPr>
                <w:rFonts w:ascii="Arial" w:hAnsi="Arial" w:cs="Arial"/>
                <w:sz w:val="12"/>
                <w:szCs w:val="12"/>
              </w:rPr>
              <w:t xml:space="preserve"> (CDC), or apoptosis. ADCC is triggered by the interaction between the </w:t>
            </w:r>
            <w:proofErr w:type="spellStart"/>
            <w:r w:rsidRPr="00F914CD">
              <w:rPr>
                <w:rFonts w:ascii="Arial" w:hAnsi="Arial" w:cs="Arial"/>
                <w:sz w:val="12"/>
                <w:szCs w:val="12"/>
              </w:rPr>
              <w:t>Fc</w:t>
            </w:r>
            <w:proofErr w:type="spellEnd"/>
            <w:r w:rsidRPr="00F914CD">
              <w:rPr>
                <w:rFonts w:ascii="Arial" w:hAnsi="Arial" w:cs="Arial"/>
                <w:sz w:val="12"/>
                <w:szCs w:val="12"/>
              </w:rPr>
              <w:t xml:space="preserve"> region of the antibody and the </w:t>
            </w:r>
            <w:proofErr w:type="spellStart"/>
            <w:r w:rsidRPr="00F914CD">
              <w:rPr>
                <w:rFonts w:ascii="Arial" w:hAnsi="Arial" w:cs="Arial"/>
                <w:sz w:val="12"/>
                <w:szCs w:val="12"/>
              </w:rPr>
              <w:t>FcR</w:t>
            </w:r>
            <w:proofErr w:type="spellEnd"/>
            <w:r w:rsidRPr="00F914CD">
              <w:rPr>
                <w:rFonts w:ascii="Arial" w:hAnsi="Arial" w:cs="Arial"/>
                <w:sz w:val="12"/>
                <w:szCs w:val="12"/>
              </w:rPr>
              <w:t xml:space="preserve"> on </w:t>
            </w:r>
            <w:proofErr w:type="spellStart"/>
            <w:r w:rsidRPr="00F914CD">
              <w:rPr>
                <w:rFonts w:ascii="Arial" w:hAnsi="Arial" w:cs="Arial"/>
                <w:sz w:val="12"/>
                <w:szCs w:val="12"/>
              </w:rPr>
              <w:t>effector</w:t>
            </w:r>
            <w:proofErr w:type="spellEnd"/>
            <w:r w:rsidRPr="00F914CD">
              <w:rPr>
                <w:rFonts w:ascii="Arial" w:hAnsi="Arial" w:cs="Arial"/>
                <w:sz w:val="12"/>
                <w:szCs w:val="12"/>
              </w:rPr>
              <w:t xml:space="preserve"> cells of the immune system. In CDC the </w:t>
            </w:r>
            <w:proofErr w:type="spellStart"/>
            <w:r w:rsidRPr="00F914CD">
              <w:rPr>
                <w:rFonts w:ascii="Arial" w:hAnsi="Arial" w:cs="Arial"/>
                <w:sz w:val="12"/>
                <w:szCs w:val="12"/>
              </w:rPr>
              <w:t>Fc</w:t>
            </w:r>
            <w:proofErr w:type="spellEnd"/>
            <w:r w:rsidRPr="00F914CD">
              <w:rPr>
                <w:rFonts w:ascii="Arial" w:hAnsi="Arial" w:cs="Arial"/>
                <w:sz w:val="12"/>
                <w:szCs w:val="12"/>
              </w:rPr>
              <w:t xml:space="preserve"> region is bound by the complement component C1q, which triggers a </w:t>
            </w:r>
            <w:proofErr w:type="spellStart"/>
            <w:r w:rsidRPr="00F914CD">
              <w:rPr>
                <w:rFonts w:ascii="Arial" w:hAnsi="Arial" w:cs="Arial"/>
                <w:sz w:val="12"/>
                <w:szCs w:val="12"/>
              </w:rPr>
              <w:t>proteolytic</w:t>
            </w:r>
            <w:proofErr w:type="spellEnd"/>
            <w:r w:rsidRPr="00F914CD">
              <w:rPr>
                <w:rFonts w:ascii="Arial" w:hAnsi="Arial" w:cs="Arial"/>
                <w:sz w:val="12"/>
                <w:szCs w:val="12"/>
              </w:rPr>
              <w:t xml:space="preserve"> cascade. Apoptosis occurs when CD20 molecules are cross-linked by anti-CD20 </w:t>
            </w:r>
            <w:proofErr w:type="spellStart"/>
            <w:r w:rsidRPr="00F914CD">
              <w:rPr>
                <w:rFonts w:ascii="Arial" w:hAnsi="Arial" w:cs="Arial"/>
                <w:sz w:val="12"/>
                <w:szCs w:val="12"/>
              </w:rPr>
              <w:t>mAb</w:t>
            </w:r>
            <w:proofErr w:type="spellEnd"/>
            <w:r w:rsidRPr="00F914CD">
              <w:rPr>
                <w:rFonts w:ascii="Arial" w:hAnsi="Arial" w:cs="Arial"/>
                <w:sz w:val="12"/>
                <w:szCs w:val="12"/>
              </w:rPr>
              <w:t xml:space="preserve"> in lipid rafts and activate signaling pathways leading to cell death.</w:t>
            </w:r>
          </w:p>
          <w:p w:rsidR="00F914CD" w:rsidRDefault="00F914CD">
            <w:pPr>
              <w:tabs>
                <w:tab w:val="left" w:pos="3382"/>
              </w:tabs>
              <w:rPr>
                <w:rFonts w:ascii="Arial" w:hAnsi="Arial"/>
                <w:sz w:val="20"/>
              </w:rPr>
            </w:pPr>
          </w:p>
          <w:p w:rsidR="001E781B" w:rsidRDefault="001E781B" w:rsidP="001E781B">
            <w:pPr>
              <w:ind w:right="-720"/>
              <w:rPr>
                <w:rFonts w:ascii="Arial" w:hAnsi="Arial"/>
                <w:sz w:val="20"/>
              </w:rPr>
            </w:pPr>
            <w:proofErr w:type="spellStart"/>
            <w:r>
              <w:rPr>
                <w:rFonts w:ascii="Arial" w:hAnsi="Arial"/>
                <w:sz w:val="20"/>
              </w:rPr>
              <w:t>Rituximab</w:t>
            </w:r>
            <w:proofErr w:type="spellEnd"/>
            <w:r>
              <w:rPr>
                <w:rFonts w:ascii="Arial" w:hAnsi="Arial"/>
                <w:sz w:val="20"/>
              </w:rPr>
              <w:t xml:space="preserve"> is a </w:t>
            </w:r>
            <w:proofErr w:type="spellStart"/>
            <w:r>
              <w:rPr>
                <w:rFonts w:ascii="Arial" w:hAnsi="Arial"/>
                <w:sz w:val="20"/>
              </w:rPr>
              <w:t>chimeric</w:t>
            </w:r>
            <w:proofErr w:type="spellEnd"/>
            <w:r>
              <w:rPr>
                <w:rFonts w:ascii="Arial" w:hAnsi="Arial"/>
                <w:sz w:val="20"/>
              </w:rPr>
              <w:t xml:space="preserve"> monoclonal antibody against the protein CD20, which is primarily found on </w:t>
            </w:r>
          </w:p>
          <w:p w:rsidR="001E781B" w:rsidRDefault="001E781B" w:rsidP="001E781B">
            <w:pPr>
              <w:ind w:right="-720"/>
              <w:rPr>
                <w:rFonts w:ascii="Arial" w:hAnsi="Arial"/>
                <w:sz w:val="20"/>
              </w:rPr>
            </w:pPr>
            <w:proofErr w:type="gramStart"/>
            <w:r>
              <w:rPr>
                <w:rFonts w:ascii="Arial" w:hAnsi="Arial"/>
                <w:sz w:val="20"/>
              </w:rPr>
              <w:t>the</w:t>
            </w:r>
            <w:proofErr w:type="gramEnd"/>
            <w:r>
              <w:rPr>
                <w:rFonts w:ascii="Arial" w:hAnsi="Arial"/>
                <w:sz w:val="20"/>
              </w:rPr>
              <w:t xml:space="preserve"> surface of immune system B cells. When it binds to this protein it triggers cell death. </w:t>
            </w:r>
            <w:proofErr w:type="spellStart"/>
            <w:r>
              <w:rPr>
                <w:rFonts w:ascii="Arial" w:hAnsi="Arial"/>
                <w:sz w:val="20"/>
              </w:rPr>
              <w:t>Rituximab</w:t>
            </w:r>
            <w:proofErr w:type="spellEnd"/>
            <w:r>
              <w:rPr>
                <w:rFonts w:ascii="Arial" w:hAnsi="Arial"/>
                <w:sz w:val="20"/>
              </w:rPr>
              <w:t xml:space="preserve"> </w:t>
            </w:r>
          </w:p>
          <w:p w:rsidR="001E781B" w:rsidRDefault="001E781B" w:rsidP="001E781B">
            <w:pPr>
              <w:ind w:right="-720"/>
              <w:rPr>
                <w:rFonts w:ascii="Arial" w:hAnsi="Arial"/>
                <w:sz w:val="20"/>
              </w:rPr>
            </w:pPr>
            <w:r>
              <w:rPr>
                <w:rFonts w:ascii="Arial" w:hAnsi="Arial"/>
                <w:sz w:val="20"/>
              </w:rPr>
              <w:t xml:space="preserve">destroys both normal and malignant B cells that have CD20 on their surfaces and is therefore </w:t>
            </w:r>
          </w:p>
          <w:p w:rsidR="001E781B" w:rsidRDefault="001E781B" w:rsidP="001E781B">
            <w:pPr>
              <w:ind w:right="-720"/>
              <w:rPr>
                <w:rFonts w:ascii="Arial" w:hAnsi="Arial"/>
                <w:sz w:val="20"/>
              </w:rPr>
            </w:pPr>
            <w:r>
              <w:rPr>
                <w:rFonts w:ascii="Arial" w:hAnsi="Arial"/>
                <w:sz w:val="20"/>
              </w:rPr>
              <w:t xml:space="preserve">used to treat diseases that are characterized by having to many B cells, overactive B cells, </w:t>
            </w:r>
          </w:p>
          <w:p w:rsidR="001E781B" w:rsidRDefault="001E781B">
            <w:pPr>
              <w:tabs>
                <w:tab w:val="left" w:pos="3382"/>
              </w:tabs>
              <w:rPr>
                <w:rFonts w:ascii="Arial" w:hAnsi="Arial"/>
                <w:sz w:val="20"/>
              </w:rPr>
            </w:pPr>
            <w:proofErr w:type="gramStart"/>
            <w:r>
              <w:rPr>
                <w:rFonts w:ascii="Arial" w:hAnsi="Arial"/>
                <w:sz w:val="20"/>
              </w:rPr>
              <w:t>or</w:t>
            </w:r>
            <w:proofErr w:type="gramEnd"/>
            <w:r>
              <w:rPr>
                <w:rFonts w:ascii="Arial" w:hAnsi="Arial"/>
                <w:sz w:val="20"/>
              </w:rPr>
              <w:t xml:space="preserve"> dysfunctional B cells.</w:t>
            </w:r>
          </w:p>
          <w:p w:rsidR="001E781B" w:rsidRDefault="001E781B">
            <w:pPr>
              <w:tabs>
                <w:tab w:val="left" w:pos="3382"/>
              </w:tabs>
              <w:rPr>
                <w:rFonts w:ascii="Arial" w:hAnsi="Arial"/>
                <w:sz w:val="20"/>
              </w:rPr>
            </w:pPr>
          </w:p>
          <w:p w:rsidR="00E2691E" w:rsidRDefault="00E2691E">
            <w:pPr>
              <w:tabs>
                <w:tab w:val="left" w:pos="3382"/>
              </w:tabs>
              <w:rPr>
                <w:rFonts w:ascii="Arial" w:hAnsi="Arial"/>
                <w:sz w:val="20"/>
              </w:rPr>
            </w:pPr>
            <w:r>
              <w:rPr>
                <w:rFonts w:ascii="Arial" w:hAnsi="Arial"/>
                <w:sz w:val="20"/>
              </w:rPr>
              <w:t xml:space="preserve">B-cell depletion using </w:t>
            </w:r>
            <w:proofErr w:type="spellStart"/>
            <w:r>
              <w:rPr>
                <w:rFonts w:ascii="Arial" w:hAnsi="Arial"/>
                <w:sz w:val="20"/>
              </w:rPr>
              <w:t>Rituximab</w:t>
            </w:r>
            <w:proofErr w:type="spellEnd"/>
            <w:r>
              <w:rPr>
                <w:rFonts w:ascii="Arial" w:hAnsi="Arial"/>
                <w:sz w:val="20"/>
              </w:rPr>
              <w:t xml:space="preserve"> treatment results in nearly undetectable circulating B-cell levels</w:t>
            </w:r>
          </w:p>
          <w:p w:rsidR="00E2691E" w:rsidRDefault="0042235C">
            <w:pPr>
              <w:tabs>
                <w:tab w:val="left" w:pos="3382"/>
              </w:tabs>
              <w:rPr>
                <w:rFonts w:ascii="Arial" w:hAnsi="Arial"/>
                <w:sz w:val="20"/>
              </w:rPr>
            </w:pPr>
            <w:proofErr w:type="gramStart"/>
            <w:r>
              <w:rPr>
                <w:rFonts w:ascii="Arial" w:hAnsi="Arial"/>
                <w:sz w:val="20"/>
              </w:rPr>
              <w:t>o</w:t>
            </w:r>
            <w:r w:rsidR="00E2691E">
              <w:rPr>
                <w:rFonts w:ascii="Arial" w:hAnsi="Arial"/>
                <w:sz w:val="20"/>
              </w:rPr>
              <w:t>ne</w:t>
            </w:r>
            <w:proofErr w:type="gramEnd"/>
            <w:r w:rsidR="00E2691E">
              <w:rPr>
                <w:rFonts w:ascii="Arial" w:hAnsi="Arial"/>
                <w:sz w:val="20"/>
              </w:rPr>
              <w:t xml:space="preserve"> month after therapy and B-cell counts remain low for 6-12 months</w:t>
            </w:r>
            <w:r w:rsidR="00CD2215">
              <w:rPr>
                <w:rFonts w:ascii="Arial" w:hAnsi="Arial"/>
                <w:sz w:val="20"/>
              </w:rPr>
              <w:t>.</w:t>
            </w:r>
          </w:p>
          <w:p w:rsidR="004964E9" w:rsidRDefault="00CD2215">
            <w:pPr>
              <w:tabs>
                <w:tab w:val="left" w:pos="3382"/>
              </w:tabs>
              <w:rPr>
                <w:rFonts w:ascii="Arial" w:hAnsi="Arial"/>
                <w:sz w:val="20"/>
              </w:rPr>
            </w:pPr>
            <w:r>
              <w:rPr>
                <w:rFonts w:ascii="Arial" w:hAnsi="Arial"/>
                <w:sz w:val="20"/>
              </w:rPr>
              <w:t>As bone marrow stem cells</w:t>
            </w:r>
            <w:r w:rsidR="004964E9">
              <w:rPr>
                <w:rFonts w:ascii="Arial" w:hAnsi="Arial"/>
                <w:sz w:val="20"/>
              </w:rPr>
              <w:t xml:space="preserve"> and early B-cell precursors (pro-B cells) do not express CD20, the new </w:t>
            </w:r>
          </w:p>
          <w:p w:rsidR="00CD2215" w:rsidRDefault="004964E9">
            <w:pPr>
              <w:tabs>
                <w:tab w:val="left" w:pos="3382"/>
              </w:tabs>
              <w:rPr>
                <w:rFonts w:ascii="Arial" w:hAnsi="Arial"/>
                <w:sz w:val="20"/>
              </w:rPr>
            </w:pPr>
            <w:r>
              <w:rPr>
                <w:rFonts w:ascii="Arial" w:hAnsi="Arial"/>
                <w:sz w:val="20"/>
              </w:rPr>
              <w:t>B-cells repopulate the B-cell compartment once the drug has cleared the system, allowing the immune response to return to normal.</w:t>
            </w:r>
          </w:p>
          <w:p w:rsidR="004964E9" w:rsidRDefault="004964E9">
            <w:pPr>
              <w:tabs>
                <w:tab w:val="left" w:pos="3382"/>
              </w:tabs>
              <w:rPr>
                <w:rFonts w:ascii="Arial" w:hAnsi="Arial"/>
                <w:sz w:val="20"/>
              </w:rPr>
            </w:pPr>
          </w:p>
          <w:p w:rsidR="004964E9" w:rsidRDefault="004964E9">
            <w:pPr>
              <w:tabs>
                <w:tab w:val="left" w:pos="3382"/>
              </w:tabs>
              <w:rPr>
                <w:rFonts w:ascii="Arial" w:hAnsi="Arial"/>
                <w:sz w:val="20"/>
              </w:rPr>
            </w:pPr>
            <w:r>
              <w:rPr>
                <w:rFonts w:ascii="Arial" w:hAnsi="Arial"/>
                <w:sz w:val="20"/>
              </w:rPr>
              <w:t>The major side effect of B-cell depletion is the risk of severe infections, which needs to be taken into consideration when evaluating the risks and benefits of B-cell depletion.</w:t>
            </w:r>
          </w:p>
          <w:p w:rsidR="004964E9" w:rsidRDefault="004964E9">
            <w:pPr>
              <w:tabs>
                <w:tab w:val="left" w:pos="3382"/>
              </w:tabs>
              <w:rPr>
                <w:rFonts w:ascii="Arial" w:hAnsi="Arial"/>
                <w:sz w:val="20"/>
              </w:rPr>
            </w:pPr>
          </w:p>
          <w:p w:rsidR="004964E9" w:rsidRDefault="004964E9">
            <w:pPr>
              <w:tabs>
                <w:tab w:val="left" w:pos="3382"/>
              </w:tabs>
              <w:rPr>
                <w:rFonts w:ascii="Arial" w:hAnsi="Arial"/>
                <w:sz w:val="20"/>
              </w:rPr>
            </w:pPr>
            <w:r>
              <w:rPr>
                <w:rFonts w:ascii="Arial" w:hAnsi="Arial"/>
                <w:sz w:val="20"/>
              </w:rPr>
              <w:t>B-cell depletion offers a promising therapy for the treatment of a</w:t>
            </w:r>
            <w:r w:rsidR="00C84161">
              <w:rPr>
                <w:rFonts w:ascii="Arial" w:hAnsi="Arial"/>
                <w:sz w:val="20"/>
              </w:rPr>
              <w:t xml:space="preserve"> variety of autoimmune diseases</w:t>
            </w:r>
            <w:r>
              <w:rPr>
                <w:rFonts w:ascii="Arial" w:hAnsi="Arial"/>
                <w:sz w:val="20"/>
              </w:rPr>
              <w:t>. The treatment is usually well tolerated; however, adverse events inclu</w:t>
            </w:r>
            <w:r w:rsidR="00032BFF">
              <w:rPr>
                <w:rFonts w:ascii="Arial" w:hAnsi="Arial"/>
                <w:sz w:val="20"/>
              </w:rPr>
              <w:t>de infusion reactions, infection</w:t>
            </w:r>
            <w:r>
              <w:rPr>
                <w:rFonts w:ascii="Arial" w:hAnsi="Arial"/>
                <w:sz w:val="20"/>
              </w:rPr>
              <w:t xml:space="preserve">s and </w:t>
            </w:r>
            <w:proofErr w:type="spellStart"/>
            <w:r>
              <w:rPr>
                <w:rFonts w:ascii="Arial" w:hAnsi="Arial"/>
                <w:sz w:val="20"/>
              </w:rPr>
              <w:t>hypogammaglobulinemia</w:t>
            </w:r>
            <w:proofErr w:type="spellEnd"/>
            <w:r>
              <w:rPr>
                <w:rFonts w:ascii="Arial" w:hAnsi="Arial"/>
                <w:sz w:val="20"/>
              </w:rPr>
              <w:t>.</w:t>
            </w:r>
          </w:p>
          <w:p w:rsidR="005F6D83" w:rsidRDefault="00E2691E" w:rsidP="001E781B">
            <w:pPr>
              <w:tabs>
                <w:tab w:val="left" w:pos="3382"/>
              </w:tabs>
              <w:rPr>
                <w:rFonts w:ascii="Arial" w:hAnsi="Arial"/>
                <w:sz w:val="20"/>
              </w:rPr>
            </w:pPr>
            <w:r>
              <w:rPr>
                <w:rFonts w:ascii="Arial" w:hAnsi="Arial"/>
                <w:sz w:val="20"/>
              </w:rPr>
              <w:t xml:space="preserve"> </w:t>
            </w:r>
          </w:p>
          <w:p w:rsidR="00186DC1" w:rsidRDefault="00186DC1" w:rsidP="001E781B">
            <w:pPr>
              <w:tabs>
                <w:tab w:val="left" w:pos="3382"/>
              </w:tabs>
              <w:rPr>
                <w:rFonts w:ascii="Arial" w:hAnsi="Arial"/>
                <w:sz w:val="20"/>
              </w:rPr>
            </w:pPr>
          </w:p>
          <w:p w:rsidR="001E781B" w:rsidRDefault="001E781B" w:rsidP="001E781B">
            <w:pPr>
              <w:tabs>
                <w:tab w:val="left" w:pos="3382"/>
              </w:tabs>
              <w:rPr>
                <w:rFonts w:ascii="Arial" w:hAnsi="Arial"/>
                <w:sz w:val="20"/>
              </w:rPr>
            </w:pPr>
          </w:p>
          <w:p w:rsidR="001E781B" w:rsidRDefault="001E781B" w:rsidP="001E781B">
            <w:pPr>
              <w:tabs>
                <w:tab w:val="left" w:pos="3382"/>
              </w:tabs>
              <w:rPr>
                <w:rFonts w:ascii="Arial" w:hAnsi="Arial"/>
                <w:sz w:val="20"/>
              </w:rPr>
            </w:pPr>
          </w:p>
        </w:tc>
      </w:tr>
      <w:tr w:rsidR="00B41B7A" w:rsidTr="00453F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right w:val="nil"/>
            </w:tcBorders>
          </w:tcPr>
          <w:p w:rsidR="00B41B7A" w:rsidRDefault="00B41B7A">
            <w:pPr>
              <w:jc w:val="left"/>
              <w:rPr>
                <w:rFonts w:ascii="Arial" w:hAnsi="Arial"/>
                <w:b/>
                <w:color w:val="0000FF"/>
                <w:sz w:val="20"/>
              </w:rPr>
            </w:pPr>
            <w:r>
              <w:rPr>
                <w:rFonts w:ascii="Arial" w:hAnsi="Arial"/>
                <w:b/>
                <w:color w:val="0000FF"/>
                <w:sz w:val="20"/>
              </w:rPr>
              <w:t>Test Code</w:t>
            </w:r>
          </w:p>
          <w:p w:rsidR="00B41B7A" w:rsidRDefault="00B41B7A">
            <w:pPr>
              <w:jc w:val="left"/>
              <w:rPr>
                <w:rFonts w:ascii="Arial" w:hAnsi="Arial"/>
                <w:b/>
                <w:color w:val="0000FF"/>
                <w:sz w:val="20"/>
              </w:rPr>
            </w:pPr>
          </w:p>
        </w:tc>
        <w:tc>
          <w:tcPr>
            <w:tcW w:w="9453" w:type="dxa"/>
            <w:gridSpan w:val="7"/>
            <w:tcBorders>
              <w:top w:val="nil"/>
              <w:left w:val="nil"/>
              <w:bottom w:val="nil"/>
              <w:right w:val="nil"/>
            </w:tcBorders>
          </w:tcPr>
          <w:p w:rsidR="005F6D83" w:rsidRDefault="005F6D83">
            <w:pPr>
              <w:tabs>
                <w:tab w:val="left" w:pos="3382"/>
              </w:tabs>
              <w:rPr>
                <w:rFonts w:ascii="Arial" w:hAnsi="Arial"/>
                <w:sz w:val="20"/>
              </w:rPr>
            </w:pPr>
            <w:r>
              <w:rPr>
                <w:rFonts w:ascii="Arial" w:hAnsi="Arial"/>
                <w:sz w:val="20"/>
              </w:rPr>
              <w:t>C1920</w:t>
            </w:r>
          </w:p>
          <w:p w:rsidR="005F6D83" w:rsidRDefault="005F6D83">
            <w:pPr>
              <w:tabs>
                <w:tab w:val="left" w:pos="3382"/>
              </w:tabs>
              <w:rPr>
                <w:rFonts w:ascii="Arial" w:hAnsi="Arial"/>
                <w:sz w:val="20"/>
              </w:rPr>
            </w:pPr>
          </w:p>
          <w:p w:rsidR="00B41B7A" w:rsidRDefault="00B41B7A">
            <w:pPr>
              <w:tabs>
                <w:tab w:val="left" w:pos="3382"/>
              </w:tabs>
              <w:rPr>
                <w:rFonts w:ascii="Arial" w:hAnsi="Arial"/>
                <w:sz w:val="20"/>
              </w:rPr>
            </w:pPr>
            <w:r>
              <w:rPr>
                <w:rFonts w:ascii="Arial" w:hAnsi="Arial"/>
                <w:sz w:val="20"/>
              </w:rPr>
              <w:tab/>
            </w:r>
          </w:p>
        </w:tc>
      </w:tr>
      <w:tr w:rsidR="00B41B7A" w:rsidTr="00453F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7" w:type="dxa"/>
            <w:tcBorders>
              <w:top w:val="nil"/>
              <w:left w:val="nil"/>
              <w:right w:val="nil"/>
            </w:tcBorders>
          </w:tcPr>
          <w:p w:rsidR="00B41B7A" w:rsidRDefault="00B41B7A">
            <w:pPr>
              <w:pStyle w:val="Custom2"/>
              <w:rPr>
                <w:rFonts w:cs="Times New Roman"/>
                <w:bCs w:val="0"/>
              </w:rPr>
            </w:pPr>
            <w:r>
              <w:rPr>
                <w:rFonts w:cs="Times New Roman"/>
                <w:bCs w:val="0"/>
              </w:rPr>
              <w:lastRenderedPageBreak/>
              <w:t>Materials</w:t>
            </w:r>
          </w:p>
        </w:tc>
        <w:tc>
          <w:tcPr>
            <w:tcW w:w="9453" w:type="dxa"/>
            <w:gridSpan w:val="7"/>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0"/>
              <w:gridCol w:w="3319"/>
              <w:gridCol w:w="3045"/>
            </w:tblGrid>
            <w:tr w:rsidR="00B41B7A" w:rsidTr="00035438">
              <w:tc>
                <w:tcPr>
                  <w:tcW w:w="2770" w:type="dxa"/>
                </w:tcPr>
                <w:p w:rsidR="00B41B7A" w:rsidRDefault="00B41B7A">
                  <w:pPr>
                    <w:tabs>
                      <w:tab w:val="left" w:pos="3382"/>
                    </w:tabs>
                    <w:rPr>
                      <w:rFonts w:ascii="Arial" w:hAnsi="Arial"/>
                      <w:b/>
                      <w:bCs/>
                      <w:sz w:val="20"/>
                    </w:rPr>
                  </w:pPr>
                  <w:r>
                    <w:rPr>
                      <w:rFonts w:ascii="Arial" w:hAnsi="Arial"/>
                      <w:b/>
                      <w:bCs/>
                      <w:sz w:val="20"/>
                    </w:rPr>
                    <w:t>Reagents</w:t>
                  </w:r>
                </w:p>
              </w:tc>
              <w:tc>
                <w:tcPr>
                  <w:tcW w:w="3319" w:type="dxa"/>
                </w:tcPr>
                <w:p w:rsidR="00B41B7A" w:rsidRDefault="00B41B7A">
                  <w:pPr>
                    <w:tabs>
                      <w:tab w:val="left" w:pos="3382"/>
                    </w:tabs>
                    <w:rPr>
                      <w:rFonts w:ascii="Arial" w:hAnsi="Arial"/>
                      <w:b/>
                      <w:bCs/>
                      <w:sz w:val="20"/>
                    </w:rPr>
                  </w:pPr>
                  <w:r>
                    <w:rPr>
                      <w:rFonts w:ascii="Arial" w:hAnsi="Arial"/>
                      <w:b/>
                      <w:bCs/>
                      <w:sz w:val="20"/>
                    </w:rPr>
                    <w:t>Supplies</w:t>
                  </w:r>
                </w:p>
              </w:tc>
              <w:tc>
                <w:tcPr>
                  <w:tcW w:w="3045" w:type="dxa"/>
                </w:tcPr>
                <w:p w:rsidR="00B41B7A" w:rsidRDefault="00B41B7A">
                  <w:pPr>
                    <w:tabs>
                      <w:tab w:val="left" w:pos="3382"/>
                    </w:tabs>
                    <w:rPr>
                      <w:rFonts w:ascii="Arial" w:hAnsi="Arial"/>
                      <w:b/>
                      <w:bCs/>
                      <w:sz w:val="20"/>
                    </w:rPr>
                  </w:pPr>
                  <w:r>
                    <w:rPr>
                      <w:rFonts w:ascii="Arial" w:hAnsi="Arial"/>
                      <w:b/>
                      <w:bCs/>
                      <w:sz w:val="20"/>
                    </w:rPr>
                    <w:t>Equipment</w:t>
                  </w:r>
                </w:p>
              </w:tc>
            </w:tr>
            <w:tr w:rsidR="00D15EE5" w:rsidTr="00035438">
              <w:tc>
                <w:tcPr>
                  <w:tcW w:w="2770" w:type="dxa"/>
                </w:tcPr>
                <w:p w:rsidR="00D5100E" w:rsidRDefault="00D15EE5" w:rsidP="00D5100E">
                  <w:pPr>
                    <w:pStyle w:val="Default"/>
                    <w:rPr>
                      <w:sz w:val="20"/>
                    </w:rPr>
                  </w:pPr>
                  <w:r w:rsidRPr="00A716CB">
                    <w:rPr>
                      <w:sz w:val="20"/>
                      <w:szCs w:val="20"/>
                    </w:rPr>
                    <w:t xml:space="preserve">● </w:t>
                  </w:r>
                  <w:r>
                    <w:rPr>
                      <w:sz w:val="20"/>
                    </w:rPr>
                    <w:t>Monoclonal Antibodies (</w:t>
                  </w:r>
                  <w:proofErr w:type="spellStart"/>
                  <w:r>
                    <w:rPr>
                      <w:sz w:val="20"/>
                    </w:rPr>
                    <w:t>MoAbs</w:t>
                  </w:r>
                  <w:proofErr w:type="spellEnd"/>
                  <w:r>
                    <w:rPr>
                      <w:sz w:val="20"/>
                    </w:rPr>
                    <w:t>):</w:t>
                  </w:r>
                  <w:r w:rsidR="00E1273C">
                    <w:rPr>
                      <w:sz w:val="20"/>
                    </w:rPr>
                    <w:t xml:space="preserve"> </w:t>
                  </w:r>
                  <w:r>
                    <w:rPr>
                      <w:sz w:val="20"/>
                    </w:rPr>
                    <w:t>Follow manufacturer's insert instructions in handling antibodies. In general, protect from light and store at 2 to 10° C.  Maintain sterile technique to prevent bacterial or cross contamination of reagents.</w:t>
                  </w:r>
                </w:p>
                <w:p w:rsidR="00D15EE5" w:rsidRPr="00D5100E" w:rsidRDefault="00D15EE5" w:rsidP="00453BEE">
                  <w:pPr>
                    <w:pStyle w:val="Default"/>
                    <w:numPr>
                      <w:ilvl w:val="0"/>
                      <w:numId w:val="2"/>
                    </w:numPr>
                    <w:rPr>
                      <w:sz w:val="20"/>
                    </w:rPr>
                  </w:pPr>
                  <w:r w:rsidRPr="006F158A">
                    <w:rPr>
                      <w:sz w:val="20"/>
                      <w:szCs w:val="20"/>
                    </w:rPr>
                    <w:t xml:space="preserve">1X </w:t>
                  </w:r>
                  <w:proofErr w:type="spellStart"/>
                  <w:r w:rsidRPr="006F158A">
                    <w:rPr>
                      <w:sz w:val="20"/>
                      <w:szCs w:val="20"/>
                    </w:rPr>
                    <w:t>Lysing</w:t>
                  </w:r>
                  <w:proofErr w:type="spellEnd"/>
                  <w:r w:rsidRPr="006F158A">
                    <w:rPr>
                      <w:sz w:val="20"/>
                      <w:szCs w:val="20"/>
                    </w:rPr>
                    <w:t xml:space="preserve"> Solution diluted </w:t>
                  </w:r>
                </w:p>
                <w:p w:rsidR="00D15EE5" w:rsidRPr="006F158A" w:rsidRDefault="00D15EE5" w:rsidP="00D15EE5">
                  <w:pPr>
                    <w:jc w:val="left"/>
                    <w:rPr>
                      <w:rFonts w:ascii="Arial" w:hAnsi="Arial" w:cs="Arial"/>
                      <w:sz w:val="20"/>
                      <w:szCs w:val="20"/>
                    </w:rPr>
                  </w:pPr>
                  <w:r w:rsidRPr="006F158A">
                    <w:rPr>
                      <w:rFonts w:ascii="Arial" w:hAnsi="Arial" w:cs="Arial"/>
                      <w:sz w:val="20"/>
                      <w:szCs w:val="20"/>
                    </w:rPr>
                    <w:t xml:space="preserve">from 10x concentration </w:t>
                  </w:r>
                </w:p>
                <w:p w:rsidR="00D15EE5" w:rsidRDefault="00D15EE5" w:rsidP="00D15EE5">
                  <w:pPr>
                    <w:jc w:val="left"/>
                    <w:rPr>
                      <w:rFonts w:ascii="Arial" w:hAnsi="Arial" w:cs="Arial"/>
                      <w:sz w:val="20"/>
                      <w:szCs w:val="20"/>
                    </w:rPr>
                  </w:pPr>
                  <w:r w:rsidRPr="006F158A">
                    <w:rPr>
                      <w:rFonts w:ascii="Arial" w:hAnsi="Arial" w:cs="Arial"/>
                      <w:sz w:val="20"/>
                      <w:szCs w:val="20"/>
                    </w:rPr>
                    <w:t>(See dilution instructions below)*</w:t>
                  </w:r>
                </w:p>
                <w:p w:rsidR="00D5100E" w:rsidRDefault="00D5100E" w:rsidP="00D5100E">
                  <w:pPr>
                    <w:rPr>
                      <w:rFonts w:ascii="Arial" w:hAnsi="Arial"/>
                      <w:sz w:val="20"/>
                    </w:rPr>
                  </w:pPr>
                  <w:r>
                    <w:rPr>
                      <w:rFonts w:ascii="Arial" w:hAnsi="Arial" w:cs="Arial"/>
                      <w:sz w:val="20"/>
                    </w:rPr>
                    <w:t>●</w:t>
                  </w:r>
                  <w:r>
                    <w:rPr>
                      <w:rFonts w:ascii="Arial" w:hAnsi="Arial"/>
                      <w:sz w:val="20"/>
                    </w:rPr>
                    <w:t xml:space="preserve"> PBS Buffer Solution (PBS):</w:t>
                  </w:r>
                </w:p>
                <w:p w:rsidR="00D5100E" w:rsidRDefault="00D5100E" w:rsidP="00D5100E">
                  <w:pPr>
                    <w:rPr>
                      <w:rFonts w:ascii="Arial" w:hAnsi="Arial"/>
                      <w:sz w:val="20"/>
                    </w:rPr>
                  </w:pPr>
                  <w:r>
                    <w:rPr>
                      <w:rFonts w:ascii="Arial" w:hAnsi="Arial"/>
                      <w:sz w:val="20"/>
                    </w:rPr>
                    <w:t xml:space="preserve">A. Make PBS according to package directions.  Do not add </w:t>
                  </w:r>
                  <w:proofErr w:type="spellStart"/>
                  <w:r>
                    <w:rPr>
                      <w:rFonts w:ascii="Arial" w:hAnsi="Arial"/>
                      <w:sz w:val="20"/>
                    </w:rPr>
                    <w:t>CaCl</w:t>
                  </w:r>
                  <w:proofErr w:type="spellEnd"/>
                  <w:r>
                    <w:rPr>
                      <w:rFonts w:ascii="Arial" w:hAnsi="Arial"/>
                      <w:sz w:val="20"/>
                    </w:rPr>
                    <w:t xml:space="preserve"> if provided.</w:t>
                  </w:r>
                </w:p>
                <w:p w:rsidR="00D15EE5" w:rsidRPr="00D5100E" w:rsidRDefault="00D5100E" w:rsidP="00D5100E">
                  <w:pPr>
                    <w:rPr>
                      <w:rFonts w:ascii="Arial" w:hAnsi="Arial"/>
                      <w:sz w:val="20"/>
                    </w:rPr>
                  </w:pPr>
                  <w:r>
                    <w:rPr>
                      <w:rFonts w:ascii="Arial" w:hAnsi="Arial"/>
                      <w:sz w:val="20"/>
                    </w:rPr>
                    <w:t>B. Mix in a clean container and label properly including lot number, hazard information and expiration date (one month from preparation date).</w:t>
                  </w:r>
                </w:p>
              </w:tc>
              <w:tc>
                <w:tcPr>
                  <w:tcW w:w="3319" w:type="dxa"/>
                </w:tcPr>
                <w:tbl>
                  <w:tblPr>
                    <w:tblW w:w="11160" w:type="dxa"/>
                    <w:tblBorders>
                      <w:top w:val="single" w:sz="6" w:space="0" w:color="auto"/>
                      <w:left w:val="single" w:sz="6" w:space="0" w:color="auto"/>
                      <w:bottom w:val="single" w:sz="6" w:space="0" w:color="auto"/>
                      <w:right w:val="single" w:sz="6" w:space="0" w:color="auto"/>
                    </w:tblBorders>
                    <w:tblLayout w:type="fixed"/>
                    <w:tblLook w:val="04A0"/>
                  </w:tblPr>
                  <w:tblGrid>
                    <w:gridCol w:w="11160"/>
                  </w:tblGrid>
                  <w:tr w:rsidR="00D15EE5" w:rsidRPr="00320BE5" w:rsidTr="00035438">
                    <w:trPr>
                      <w:cantSplit/>
                    </w:trPr>
                    <w:tc>
                      <w:tcPr>
                        <w:tcW w:w="1797" w:type="dxa"/>
                        <w:tcBorders>
                          <w:top w:val="nil"/>
                          <w:left w:val="nil"/>
                          <w:bottom w:val="nil"/>
                          <w:right w:val="nil"/>
                        </w:tcBorders>
                        <w:hideMark/>
                      </w:tcPr>
                      <w:tbl>
                        <w:tblPr>
                          <w:tblW w:w="11160" w:type="dxa"/>
                          <w:tblBorders>
                            <w:top w:val="single" w:sz="6" w:space="0" w:color="auto"/>
                            <w:left w:val="single" w:sz="6" w:space="0" w:color="auto"/>
                            <w:bottom w:val="single" w:sz="6" w:space="0" w:color="auto"/>
                            <w:right w:val="single" w:sz="6" w:space="0" w:color="auto"/>
                          </w:tblBorders>
                          <w:tblLayout w:type="fixed"/>
                          <w:tblLook w:val="04A0"/>
                        </w:tblPr>
                        <w:tblGrid>
                          <w:gridCol w:w="11160"/>
                        </w:tblGrid>
                        <w:tr w:rsidR="00D15EE5" w:rsidRPr="00320BE5">
                          <w:trPr>
                            <w:cantSplit/>
                          </w:trPr>
                          <w:tc>
                            <w:tcPr>
                              <w:tcW w:w="1797" w:type="dxa"/>
                              <w:tcBorders>
                                <w:top w:val="nil"/>
                                <w:left w:val="nil"/>
                                <w:bottom w:val="nil"/>
                                <w:right w:val="nil"/>
                              </w:tcBorders>
                              <w:hideMark/>
                            </w:tcPr>
                            <w:p w:rsidR="00D15EE5" w:rsidRPr="006F158A" w:rsidRDefault="00D15EE5" w:rsidP="00D5100E">
                              <w:pPr>
                                <w:pStyle w:val="Default"/>
                                <w:rPr>
                                  <w:sz w:val="20"/>
                                  <w:szCs w:val="20"/>
                                </w:rPr>
                              </w:pPr>
                            </w:p>
                            <w:p w:rsidR="00D15EE5" w:rsidRPr="006F158A" w:rsidRDefault="00D15EE5">
                              <w:pPr>
                                <w:pStyle w:val="Default"/>
                                <w:rPr>
                                  <w:sz w:val="20"/>
                                  <w:szCs w:val="20"/>
                                </w:rPr>
                              </w:pPr>
                            </w:p>
                            <w:p w:rsidR="00D15EE5" w:rsidRPr="006F158A" w:rsidRDefault="00D15EE5">
                              <w:pPr>
                                <w:jc w:val="left"/>
                                <w:rPr>
                                  <w:rFonts w:ascii="Arial" w:hAnsi="Arial" w:cs="Arial"/>
                                  <w:bCs/>
                                  <w:iCs/>
                                  <w:color w:val="000000"/>
                                  <w:sz w:val="20"/>
                                  <w:szCs w:val="20"/>
                                </w:rPr>
                              </w:pPr>
                              <w:r>
                                <w:rPr>
                                  <w:rFonts w:ascii="Arial" w:hAnsi="Arial" w:cs="Arial"/>
                                  <w:bCs/>
                                  <w:iCs/>
                                  <w:color w:val="000000"/>
                                  <w:sz w:val="20"/>
                                  <w:szCs w:val="20"/>
                                </w:rPr>
                                <w:t>1.) CS&amp;T setup beads</w:t>
                              </w:r>
                              <w:r w:rsidRPr="006F158A">
                                <w:rPr>
                                  <w:rFonts w:ascii="Arial" w:hAnsi="Arial" w:cs="Arial"/>
                                  <w:bCs/>
                                  <w:iCs/>
                                  <w:color w:val="000000"/>
                                  <w:sz w:val="20"/>
                                  <w:szCs w:val="20"/>
                                </w:rPr>
                                <w:t xml:space="preserve"> </w:t>
                              </w:r>
                            </w:p>
                            <w:p w:rsidR="00D15EE5" w:rsidRPr="006F158A" w:rsidRDefault="00D15EE5">
                              <w:pPr>
                                <w:jc w:val="left"/>
                                <w:rPr>
                                  <w:rFonts w:ascii="Arial" w:hAnsi="Arial" w:cs="Arial"/>
                                  <w:bCs/>
                                  <w:iCs/>
                                  <w:color w:val="000000"/>
                                  <w:sz w:val="20"/>
                                  <w:szCs w:val="20"/>
                                </w:rPr>
                              </w:pPr>
                            </w:p>
                            <w:p w:rsidR="00D15EE5" w:rsidRPr="006F158A" w:rsidRDefault="00D15EE5">
                              <w:pPr>
                                <w:jc w:val="left"/>
                                <w:rPr>
                                  <w:rFonts w:ascii="Arial" w:hAnsi="Arial" w:cs="Arial"/>
                                  <w:sz w:val="20"/>
                                  <w:szCs w:val="20"/>
                                </w:rPr>
                              </w:pPr>
                              <w:r>
                                <w:rPr>
                                  <w:rFonts w:ascii="Arial" w:hAnsi="Arial" w:cs="Arial"/>
                                  <w:sz w:val="20"/>
                                  <w:szCs w:val="20"/>
                                </w:rPr>
                                <w:t>2</w:t>
                              </w:r>
                              <w:r w:rsidRPr="006F158A">
                                <w:rPr>
                                  <w:rFonts w:ascii="Arial" w:hAnsi="Arial" w:cs="Arial"/>
                                  <w:sz w:val="20"/>
                                  <w:szCs w:val="20"/>
                                </w:rPr>
                                <w:t xml:space="preserve">.) Reagent-grade </w:t>
                              </w:r>
                            </w:p>
                            <w:p w:rsidR="00D15EE5" w:rsidRPr="006F158A" w:rsidRDefault="00D15EE5">
                              <w:pPr>
                                <w:jc w:val="left"/>
                                <w:rPr>
                                  <w:rFonts w:ascii="Arial" w:hAnsi="Arial" w:cs="Arial"/>
                                  <w:sz w:val="20"/>
                                  <w:szCs w:val="20"/>
                                </w:rPr>
                              </w:pPr>
                              <w:r w:rsidRPr="006F158A">
                                <w:rPr>
                                  <w:rFonts w:ascii="Arial" w:hAnsi="Arial" w:cs="Arial"/>
                                  <w:sz w:val="20"/>
                                  <w:szCs w:val="20"/>
                                </w:rPr>
                                <w:t xml:space="preserve">(distilled or </w:t>
                              </w:r>
                              <w:proofErr w:type="spellStart"/>
                              <w:r w:rsidRPr="006F158A">
                                <w:rPr>
                                  <w:rFonts w:ascii="Arial" w:hAnsi="Arial" w:cs="Arial"/>
                                  <w:sz w:val="20"/>
                                  <w:szCs w:val="20"/>
                                </w:rPr>
                                <w:t>deionized</w:t>
                              </w:r>
                              <w:proofErr w:type="spellEnd"/>
                              <w:r w:rsidRPr="006F158A">
                                <w:rPr>
                                  <w:rFonts w:ascii="Arial" w:hAnsi="Arial" w:cs="Arial"/>
                                  <w:sz w:val="20"/>
                                  <w:szCs w:val="20"/>
                                </w:rPr>
                                <w:t>) water</w:t>
                              </w:r>
                            </w:p>
                            <w:p w:rsidR="00D15EE5" w:rsidRPr="006F158A" w:rsidRDefault="00D15EE5">
                              <w:pPr>
                                <w:jc w:val="left"/>
                                <w:rPr>
                                  <w:rFonts w:ascii="Arial" w:hAnsi="Arial" w:cs="Arial"/>
                                  <w:sz w:val="20"/>
                                  <w:szCs w:val="20"/>
                                </w:rPr>
                              </w:pPr>
                            </w:p>
                            <w:p w:rsidR="00D15EE5" w:rsidRPr="006F158A" w:rsidRDefault="00D15EE5">
                              <w:pPr>
                                <w:jc w:val="left"/>
                                <w:rPr>
                                  <w:rFonts w:ascii="Arial" w:hAnsi="Arial" w:cs="Arial"/>
                                  <w:sz w:val="20"/>
                                  <w:szCs w:val="20"/>
                                </w:rPr>
                              </w:pPr>
                              <w:r>
                                <w:rPr>
                                  <w:rFonts w:ascii="Arial" w:hAnsi="Arial" w:cs="Arial"/>
                                  <w:sz w:val="20"/>
                                  <w:szCs w:val="20"/>
                                </w:rPr>
                                <w:t>3</w:t>
                              </w:r>
                              <w:r w:rsidRPr="006F158A">
                                <w:rPr>
                                  <w:rFonts w:ascii="Arial" w:hAnsi="Arial" w:cs="Arial"/>
                                  <w:sz w:val="20"/>
                                  <w:szCs w:val="20"/>
                                </w:rPr>
                                <w:t xml:space="preserve">.) K2 EDTA </w:t>
                              </w:r>
                              <w:proofErr w:type="spellStart"/>
                              <w:r w:rsidRPr="006F158A">
                                <w:rPr>
                                  <w:rFonts w:ascii="Arial" w:hAnsi="Arial" w:cs="Arial"/>
                                  <w:sz w:val="20"/>
                                  <w:szCs w:val="20"/>
                                </w:rPr>
                                <w:t>Vacutainer</w:t>
                              </w:r>
                              <w:proofErr w:type="spellEnd"/>
                              <w:r w:rsidRPr="006F158A">
                                <w:rPr>
                                  <w:rFonts w:ascii="Arial" w:hAnsi="Arial" w:cs="Arial"/>
                                  <w:sz w:val="20"/>
                                  <w:szCs w:val="20"/>
                                </w:rPr>
                                <w:t xml:space="preserve"> </w:t>
                              </w:r>
                            </w:p>
                            <w:p w:rsidR="00D15EE5" w:rsidRPr="006F158A" w:rsidRDefault="00D15EE5">
                              <w:pPr>
                                <w:jc w:val="left"/>
                                <w:rPr>
                                  <w:rFonts w:ascii="Arial" w:hAnsi="Arial" w:cs="Arial"/>
                                  <w:sz w:val="20"/>
                                  <w:szCs w:val="20"/>
                                </w:rPr>
                              </w:pPr>
                              <w:r w:rsidRPr="006F158A">
                                <w:rPr>
                                  <w:rFonts w:ascii="Arial" w:hAnsi="Arial" w:cs="Arial"/>
                                  <w:sz w:val="20"/>
                                  <w:szCs w:val="20"/>
                                </w:rPr>
                                <w:t xml:space="preserve">(2 </w:t>
                              </w:r>
                              <w:proofErr w:type="spellStart"/>
                              <w:r w:rsidRPr="006F158A">
                                <w:rPr>
                                  <w:rFonts w:ascii="Arial" w:hAnsi="Arial" w:cs="Arial"/>
                                  <w:sz w:val="20"/>
                                  <w:szCs w:val="20"/>
                                </w:rPr>
                                <w:t>mL</w:t>
                              </w:r>
                              <w:proofErr w:type="spellEnd"/>
                              <w:r w:rsidRPr="006F158A">
                                <w:rPr>
                                  <w:rFonts w:ascii="Arial" w:hAnsi="Arial" w:cs="Arial"/>
                                  <w:sz w:val="20"/>
                                  <w:szCs w:val="20"/>
                                </w:rPr>
                                <w:t xml:space="preserve"> size) BD MAPS tubes </w:t>
                              </w:r>
                            </w:p>
                            <w:p w:rsidR="00D15EE5" w:rsidRPr="006F158A" w:rsidRDefault="00D15EE5">
                              <w:pPr>
                                <w:jc w:val="left"/>
                                <w:rPr>
                                  <w:rFonts w:ascii="Arial" w:hAnsi="Arial" w:cs="Arial"/>
                                  <w:sz w:val="20"/>
                                  <w:szCs w:val="20"/>
                                </w:rPr>
                              </w:pPr>
                              <w:r w:rsidRPr="006F158A">
                                <w:rPr>
                                  <w:rFonts w:ascii="Arial" w:hAnsi="Arial" w:cs="Arial"/>
                                  <w:sz w:val="20"/>
                                  <w:szCs w:val="20"/>
                                </w:rPr>
                                <w:t xml:space="preserve">(500 </w:t>
                              </w:r>
                              <w:proofErr w:type="spellStart"/>
                              <w:r w:rsidRPr="006F158A">
                                <w:rPr>
                                  <w:rFonts w:ascii="Arial" w:hAnsi="Arial" w:cs="Arial"/>
                                  <w:sz w:val="20"/>
                                  <w:szCs w:val="20"/>
                                </w:rPr>
                                <w:t>μL</w:t>
                              </w:r>
                              <w:proofErr w:type="spellEnd"/>
                              <w:r w:rsidRPr="006F158A">
                                <w:rPr>
                                  <w:rFonts w:ascii="Arial" w:hAnsi="Arial" w:cs="Arial"/>
                                  <w:sz w:val="20"/>
                                  <w:szCs w:val="20"/>
                                </w:rPr>
                                <w:t xml:space="preserve"> size).</w:t>
                              </w:r>
                            </w:p>
                            <w:p w:rsidR="00D15EE5" w:rsidRPr="006F158A" w:rsidRDefault="00D15EE5">
                              <w:pPr>
                                <w:jc w:val="left"/>
                                <w:rPr>
                                  <w:rFonts w:ascii="Arial" w:hAnsi="Arial" w:cs="Arial"/>
                                  <w:sz w:val="20"/>
                                  <w:szCs w:val="20"/>
                                </w:rPr>
                              </w:pPr>
                            </w:p>
                            <w:p w:rsidR="00D15EE5" w:rsidRDefault="00D15EE5">
                              <w:pPr>
                                <w:jc w:val="left"/>
                                <w:rPr>
                                  <w:rFonts w:ascii="Arial" w:hAnsi="Arial" w:cs="Arial"/>
                                  <w:sz w:val="20"/>
                                  <w:szCs w:val="20"/>
                                </w:rPr>
                              </w:pPr>
                              <w:r>
                                <w:rPr>
                                  <w:rFonts w:ascii="Arial" w:hAnsi="Arial" w:cs="Arial"/>
                                  <w:sz w:val="20"/>
                                  <w:szCs w:val="20"/>
                                </w:rPr>
                                <w:t>4.)D</w:t>
                              </w:r>
                              <w:r w:rsidRPr="006F158A">
                                <w:rPr>
                                  <w:rFonts w:ascii="Arial" w:hAnsi="Arial" w:cs="Arial"/>
                                  <w:sz w:val="20"/>
                                  <w:szCs w:val="20"/>
                                </w:rPr>
                                <w:t xml:space="preserve">isposable 12x75 mm </w:t>
                              </w:r>
                            </w:p>
                            <w:p w:rsidR="00D15EE5" w:rsidRDefault="00D15EE5">
                              <w:pPr>
                                <w:jc w:val="left"/>
                                <w:rPr>
                                  <w:rFonts w:ascii="Arial" w:hAnsi="Arial" w:cs="Arial"/>
                                  <w:sz w:val="20"/>
                                  <w:szCs w:val="20"/>
                                </w:rPr>
                              </w:pPr>
                              <w:r w:rsidRPr="006F158A">
                                <w:rPr>
                                  <w:rFonts w:ascii="Arial" w:hAnsi="Arial" w:cs="Arial"/>
                                  <w:sz w:val="20"/>
                                  <w:szCs w:val="20"/>
                                </w:rPr>
                                <w:t xml:space="preserve">polystyrene Falcon tubes with </w:t>
                              </w:r>
                            </w:p>
                            <w:p w:rsidR="00D15EE5" w:rsidRPr="004B5930" w:rsidRDefault="00D15EE5">
                              <w:pPr>
                                <w:jc w:val="left"/>
                                <w:rPr>
                                  <w:rFonts w:ascii="Arial" w:hAnsi="Arial" w:cs="Arial"/>
                                  <w:sz w:val="20"/>
                                  <w:szCs w:val="20"/>
                                </w:rPr>
                              </w:pPr>
                              <w:r>
                                <w:rPr>
                                  <w:rFonts w:ascii="Arial" w:hAnsi="Arial" w:cs="Arial"/>
                                  <w:sz w:val="20"/>
                                  <w:szCs w:val="20"/>
                                </w:rPr>
                                <w:t>caps</w:t>
                              </w:r>
                            </w:p>
                            <w:p w:rsidR="00D15EE5" w:rsidRPr="00320BE5" w:rsidRDefault="00D15EE5">
                              <w:pPr>
                                <w:jc w:val="left"/>
                                <w:rPr>
                                  <w:rFonts w:ascii="Arial" w:hAnsi="Arial" w:cs="Arial"/>
                                  <w:sz w:val="20"/>
                                  <w:szCs w:val="20"/>
                                </w:rPr>
                              </w:pPr>
                            </w:p>
                          </w:tc>
                        </w:tr>
                      </w:tbl>
                      <w:p w:rsidR="00D15EE5" w:rsidRPr="00320BE5" w:rsidRDefault="00D15EE5">
                        <w:pPr>
                          <w:jc w:val="left"/>
                          <w:rPr>
                            <w:rFonts w:ascii="Arial" w:hAnsi="Arial" w:cs="Arial"/>
                            <w:sz w:val="20"/>
                            <w:szCs w:val="20"/>
                          </w:rPr>
                        </w:pPr>
                      </w:p>
                    </w:tc>
                  </w:tr>
                </w:tbl>
                <w:p w:rsidR="00D15EE5" w:rsidRPr="00320BE5" w:rsidRDefault="00D15EE5">
                  <w:pPr>
                    <w:tabs>
                      <w:tab w:val="left" w:pos="3382"/>
                    </w:tabs>
                    <w:rPr>
                      <w:rFonts w:ascii="Arial" w:hAnsi="Arial" w:cs="Arial"/>
                      <w:b/>
                      <w:bCs/>
                      <w:sz w:val="20"/>
                      <w:szCs w:val="20"/>
                    </w:rPr>
                  </w:pPr>
                </w:p>
              </w:tc>
              <w:tc>
                <w:tcPr>
                  <w:tcW w:w="3045" w:type="dxa"/>
                </w:tcPr>
                <w:p w:rsidR="00D15EE5" w:rsidRDefault="00D15EE5">
                  <w:pPr>
                    <w:tabs>
                      <w:tab w:val="left" w:pos="3382"/>
                    </w:tabs>
                    <w:rPr>
                      <w:rFonts w:ascii="Arial" w:hAnsi="Arial" w:cs="Arial"/>
                      <w:sz w:val="20"/>
                      <w:szCs w:val="20"/>
                    </w:rPr>
                  </w:pPr>
                  <w:r w:rsidRPr="00320BE5">
                    <w:rPr>
                      <w:rFonts w:ascii="Arial" w:hAnsi="Arial" w:cs="Arial"/>
                      <w:sz w:val="20"/>
                      <w:szCs w:val="20"/>
                    </w:rPr>
                    <w:t>● Vortex Mixer</w:t>
                  </w:r>
                </w:p>
                <w:p w:rsidR="00D15EE5" w:rsidRDefault="00D15EE5">
                  <w:pPr>
                    <w:tabs>
                      <w:tab w:val="left" w:pos="3382"/>
                    </w:tabs>
                    <w:rPr>
                      <w:rFonts w:ascii="Arial" w:hAnsi="Arial" w:cs="Arial"/>
                      <w:sz w:val="20"/>
                      <w:szCs w:val="20"/>
                    </w:rPr>
                  </w:pPr>
                </w:p>
                <w:p w:rsidR="00D15EE5" w:rsidRDefault="00D15EE5" w:rsidP="00320BE5">
                  <w:pPr>
                    <w:tabs>
                      <w:tab w:val="left" w:pos="3382"/>
                    </w:tabs>
                    <w:rPr>
                      <w:rFonts w:ascii="Arial" w:hAnsi="Arial" w:cs="Arial"/>
                      <w:sz w:val="20"/>
                      <w:szCs w:val="20"/>
                    </w:rPr>
                  </w:pPr>
                  <w:r>
                    <w:rPr>
                      <w:rFonts w:ascii="Arial" w:hAnsi="Arial" w:cs="Arial"/>
                      <w:sz w:val="20"/>
                      <w:szCs w:val="20"/>
                    </w:rPr>
                    <w:t xml:space="preserve">● </w:t>
                  </w:r>
                  <w:proofErr w:type="spellStart"/>
                  <w:r w:rsidRPr="00B00ECB">
                    <w:rPr>
                      <w:rFonts w:ascii="Arial" w:hAnsi="Arial" w:cs="Arial"/>
                      <w:sz w:val="20"/>
                      <w:szCs w:val="20"/>
                    </w:rPr>
                    <w:t>Micropipettors</w:t>
                  </w:r>
                  <w:proofErr w:type="spellEnd"/>
                  <w:r w:rsidRPr="00B00ECB">
                    <w:rPr>
                      <w:rFonts w:ascii="Arial" w:hAnsi="Arial" w:cs="Arial"/>
                      <w:sz w:val="20"/>
                      <w:szCs w:val="20"/>
                    </w:rPr>
                    <w:t xml:space="preserve"> and tips including (</w:t>
                  </w:r>
                  <w:proofErr w:type="spellStart"/>
                  <w:r w:rsidRPr="00B00ECB">
                    <w:rPr>
                      <w:rFonts w:ascii="Arial" w:hAnsi="Arial" w:cs="Arial"/>
                      <w:sz w:val="20"/>
                      <w:szCs w:val="20"/>
                    </w:rPr>
                    <w:t>Eppendorf</w:t>
                  </w:r>
                  <w:proofErr w:type="spellEnd"/>
                  <w:r w:rsidRPr="00B00ECB">
                    <w:rPr>
                      <w:rFonts w:ascii="Arial" w:hAnsi="Arial" w:cs="Arial"/>
                      <w:sz w:val="20"/>
                      <w:szCs w:val="20"/>
                    </w:rPr>
                    <w:t xml:space="preserve"> Research plus pipettor-50μL volume delivery</w:t>
                  </w:r>
                </w:p>
                <w:p w:rsidR="00D15EE5" w:rsidRDefault="00D15EE5" w:rsidP="00320BE5">
                  <w:pPr>
                    <w:tabs>
                      <w:tab w:val="left" w:pos="3382"/>
                    </w:tabs>
                    <w:rPr>
                      <w:rFonts w:ascii="Arial" w:hAnsi="Arial" w:cs="Arial"/>
                      <w:sz w:val="20"/>
                      <w:szCs w:val="20"/>
                    </w:rPr>
                  </w:pPr>
                </w:p>
                <w:p w:rsidR="00D15EE5" w:rsidRPr="00B00ECB" w:rsidRDefault="00D15EE5" w:rsidP="00320BE5">
                  <w:pPr>
                    <w:pStyle w:val="Default"/>
                    <w:rPr>
                      <w:sz w:val="20"/>
                      <w:szCs w:val="20"/>
                    </w:rPr>
                  </w:pPr>
                  <w:r w:rsidRPr="00B00ECB">
                    <w:rPr>
                      <w:sz w:val="20"/>
                      <w:szCs w:val="20"/>
                    </w:rPr>
                    <w:t xml:space="preserve">● BD </w:t>
                  </w:r>
                  <w:proofErr w:type="spellStart"/>
                  <w:r w:rsidRPr="00B00ECB">
                    <w:rPr>
                      <w:sz w:val="20"/>
                      <w:szCs w:val="20"/>
                    </w:rPr>
                    <w:t>FACSCanto</w:t>
                  </w:r>
                  <w:proofErr w:type="spellEnd"/>
                  <w:r w:rsidRPr="00B00ECB">
                    <w:rPr>
                      <w:sz w:val="20"/>
                      <w:szCs w:val="20"/>
                    </w:rPr>
                    <w:t xml:space="preserve"> II Flow </w:t>
                  </w:r>
                  <w:proofErr w:type="spellStart"/>
                  <w:r w:rsidRPr="00B00ECB">
                    <w:rPr>
                      <w:sz w:val="20"/>
                      <w:szCs w:val="20"/>
                    </w:rPr>
                    <w:t>Cytometer</w:t>
                  </w:r>
                  <w:proofErr w:type="spellEnd"/>
                  <w:r w:rsidRPr="00B00ECB">
                    <w:rPr>
                      <w:sz w:val="20"/>
                      <w:szCs w:val="20"/>
                    </w:rPr>
                    <w:t xml:space="preserve"> equipped with 635 nm and 488 nm lasers </w:t>
                  </w:r>
                </w:p>
                <w:p w:rsidR="00D15EE5" w:rsidRDefault="00D15EE5" w:rsidP="00320BE5">
                  <w:pPr>
                    <w:tabs>
                      <w:tab w:val="left" w:pos="3382"/>
                    </w:tabs>
                    <w:rPr>
                      <w:rFonts w:ascii="Arial" w:hAnsi="Arial" w:cs="Arial"/>
                      <w:sz w:val="20"/>
                      <w:szCs w:val="20"/>
                    </w:rPr>
                  </w:pPr>
                  <w:r w:rsidRPr="00B00ECB">
                    <w:rPr>
                      <w:rFonts w:ascii="Arial" w:hAnsi="Arial" w:cs="Arial"/>
                      <w:sz w:val="20"/>
                      <w:szCs w:val="20"/>
                    </w:rPr>
                    <w:t>capable of detecting forward and side scatter light as well as four-color fluorescence with emission detectable in four ranges: 515-545 nm, 562-607 nm, &gt;650 nm, and 652-668 nm.</w:t>
                  </w:r>
                </w:p>
                <w:p w:rsidR="00D5100E" w:rsidRDefault="00D5100E" w:rsidP="00320BE5">
                  <w:pPr>
                    <w:tabs>
                      <w:tab w:val="left" w:pos="3382"/>
                    </w:tabs>
                    <w:rPr>
                      <w:rFonts w:ascii="Arial" w:hAnsi="Arial" w:cs="Arial"/>
                      <w:sz w:val="20"/>
                      <w:szCs w:val="20"/>
                    </w:rPr>
                  </w:pPr>
                </w:p>
                <w:p w:rsidR="00D5100E" w:rsidRDefault="00D5100E" w:rsidP="00453BEE">
                  <w:pPr>
                    <w:numPr>
                      <w:ilvl w:val="0"/>
                      <w:numId w:val="3"/>
                    </w:numPr>
                    <w:tabs>
                      <w:tab w:val="left" w:pos="3382"/>
                    </w:tabs>
                    <w:rPr>
                      <w:rFonts w:ascii="Arial" w:hAnsi="Arial" w:cs="Arial"/>
                      <w:sz w:val="20"/>
                      <w:szCs w:val="20"/>
                    </w:rPr>
                  </w:pPr>
                  <w:r>
                    <w:rPr>
                      <w:rFonts w:ascii="Arial" w:hAnsi="Arial" w:cs="Arial"/>
                      <w:sz w:val="20"/>
                      <w:szCs w:val="20"/>
                    </w:rPr>
                    <w:t xml:space="preserve">BD FACS </w:t>
                  </w:r>
                  <w:proofErr w:type="spellStart"/>
                  <w:r>
                    <w:rPr>
                      <w:rFonts w:ascii="Arial" w:hAnsi="Arial" w:cs="Arial"/>
                      <w:sz w:val="20"/>
                      <w:szCs w:val="20"/>
                    </w:rPr>
                    <w:t>Lyse</w:t>
                  </w:r>
                  <w:proofErr w:type="spellEnd"/>
                  <w:r>
                    <w:rPr>
                      <w:rFonts w:ascii="Arial" w:hAnsi="Arial" w:cs="Arial"/>
                      <w:sz w:val="20"/>
                      <w:szCs w:val="20"/>
                    </w:rPr>
                    <w:t>/Wash Assistant</w:t>
                  </w:r>
                </w:p>
                <w:p w:rsidR="00D15EE5" w:rsidRDefault="00D15EE5" w:rsidP="00320BE5">
                  <w:pPr>
                    <w:tabs>
                      <w:tab w:val="left" w:pos="3382"/>
                    </w:tabs>
                    <w:rPr>
                      <w:rFonts w:ascii="Arial" w:hAnsi="Arial" w:cs="Arial"/>
                      <w:sz w:val="20"/>
                      <w:szCs w:val="20"/>
                    </w:rPr>
                  </w:pPr>
                </w:p>
                <w:p w:rsidR="00D15EE5" w:rsidRDefault="00D15EE5" w:rsidP="00320BE5">
                  <w:pPr>
                    <w:tabs>
                      <w:tab w:val="left" w:pos="3382"/>
                    </w:tabs>
                    <w:rPr>
                      <w:rFonts w:ascii="Arial" w:hAnsi="Arial" w:cs="Arial"/>
                      <w:sz w:val="20"/>
                      <w:szCs w:val="20"/>
                    </w:rPr>
                  </w:pPr>
                </w:p>
                <w:p w:rsidR="00D15EE5" w:rsidRPr="00320BE5" w:rsidRDefault="00D15EE5">
                  <w:pPr>
                    <w:tabs>
                      <w:tab w:val="left" w:pos="3382"/>
                    </w:tabs>
                    <w:rPr>
                      <w:rFonts w:ascii="Arial" w:hAnsi="Arial" w:cs="Arial"/>
                      <w:b/>
                      <w:bCs/>
                      <w:sz w:val="20"/>
                      <w:szCs w:val="20"/>
                    </w:rPr>
                  </w:pPr>
                </w:p>
              </w:tc>
            </w:tr>
          </w:tbl>
          <w:p w:rsidR="00143D09" w:rsidRDefault="00143D09" w:rsidP="00143D09">
            <w:pPr>
              <w:pStyle w:val="Default"/>
            </w:pPr>
          </w:p>
          <w:p w:rsidR="00143D09" w:rsidRDefault="00143D09" w:rsidP="00143D09">
            <w:pPr>
              <w:pStyle w:val="Default"/>
            </w:pPr>
          </w:p>
          <w:tbl>
            <w:tblPr>
              <w:tblW w:w="0" w:type="auto"/>
              <w:tblBorders>
                <w:top w:val="nil"/>
                <w:left w:val="nil"/>
                <w:bottom w:val="nil"/>
                <w:right w:val="nil"/>
              </w:tblBorders>
              <w:tblLayout w:type="fixed"/>
              <w:tblLook w:val="0000"/>
            </w:tblPr>
            <w:tblGrid>
              <w:gridCol w:w="8788"/>
            </w:tblGrid>
            <w:tr w:rsidR="00143D09" w:rsidTr="009215A7">
              <w:trPr>
                <w:trHeight w:val="93"/>
              </w:trPr>
              <w:tc>
                <w:tcPr>
                  <w:tcW w:w="8788" w:type="dxa"/>
                </w:tcPr>
                <w:p w:rsidR="00143D09" w:rsidRDefault="00143D09" w:rsidP="009215A7">
                  <w:pPr>
                    <w:pStyle w:val="Default"/>
                    <w:rPr>
                      <w:sz w:val="20"/>
                      <w:szCs w:val="20"/>
                    </w:rPr>
                  </w:pPr>
                  <w:r>
                    <w:rPr>
                      <w:i/>
                      <w:iCs/>
                      <w:sz w:val="20"/>
                      <w:szCs w:val="20"/>
                    </w:rPr>
                    <w:t>*Dilutio</w:t>
                  </w:r>
                  <w:r w:rsidR="00D5100E">
                    <w:rPr>
                      <w:i/>
                      <w:iCs/>
                      <w:sz w:val="20"/>
                      <w:szCs w:val="20"/>
                    </w:rPr>
                    <w:t>n instruction for BD FACS</w:t>
                  </w:r>
                  <w:r>
                    <w:rPr>
                      <w:i/>
                      <w:iCs/>
                      <w:sz w:val="20"/>
                      <w:szCs w:val="20"/>
                    </w:rPr>
                    <w:t xml:space="preserve"> </w:t>
                  </w:r>
                  <w:proofErr w:type="spellStart"/>
                  <w:r>
                    <w:rPr>
                      <w:i/>
                      <w:iCs/>
                      <w:sz w:val="20"/>
                      <w:szCs w:val="20"/>
                    </w:rPr>
                    <w:t>Lysing</w:t>
                  </w:r>
                  <w:proofErr w:type="spellEnd"/>
                  <w:r>
                    <w:rPr>
                      <w:i/>
                      <w:iCs/>
                      <w:sz w:val="20"/>
                      <w:szCs w:val="20"/>
                    </w:rPr>
                    <w:t xml:space="preserve"> Solution: </w:t>
                  </w:r>
                  <w:r>
                    <w:rPr>
                      <w:sz w:val="20"/>
                      <w:szCs w:val="20"/>
                    </w:rPr>
                    <w:t xml:space="preserve">Dilute to 1X with room temperature (20° </w:t>
                  </w:r>
                </w:p>
              </w:tc>
            </w:tr>
          </w:tbl>
          <w:p w:rsidR="00143D09" w:rsidRDefault="00D5100E">
            <w:pPr>
              <w:pStyle w:val="Default"/>
              <w:rPr>
                <w:sz w:val="20"/>
                <w:szCs w:val="20"/>
              </w:rPr>
            </w:pPr>
            <w:r>
              <w:rPr>
                <w:sz w:val="20"/>
                <w:szCs w:val="20"/>
              </w:rPr>
              <w:t xml:space="preserve"> </w:t>
            </w:r>
            <w:proofErr w:type="gramStart"/>
            <w:r w:rsidR="00143D09">
              <w:rPr>
                <w:sz w:val="20"/>
                <w:szCs w:val="20"/>
              </w:rPr>
              <w:t>and</w:t>
            </w:r>
            <w:proofErr w:type="gramEnd"/>
            <w:r w:rsidR="00143D09">
              <w:rPr>
                <w:sz w:val="20"/>
                <w:szCs w:val="20"/>
              </w:rPr>
              <w:t xml:space="preserve"> 25° C) </w:t>
            </w:r>
            <w:proofErr w:type="spellStart"/>
            <w:r w:rsidR="00143D09">
              <w:rPr>
                <w:sz w:val="20"/>
                <w:szCs w:val="20"/>
              </w:rPr>
              <w:t>deionized</w:t>
            </w:r>
            <w:proofErr w:type="spellEnd"/>
            <w:r w:rsidR="00143D09">
              <w:rPr>
                <w:sz w:val="20"/>
                <w:szCs w:val="20"/>
              </w:rPr>
              <w:t xml:space="preserve"> water (sterile water stocked by this hospital). The prepared solution is stable for</w:t>
            </w:r>
          </w:p>
          <w:p w:rsidR="00157277" w:rsidRDefault="00143D09" w:rsidP="00157277">
            <w:pPr>
              <w:pStyle w:val="Default"/>
              <w:rPr>
                <w:sz w:val="20"/>
                <w:szCs w:val="20"/>
              </w:rPr>
            </w:pPr>
            <w:r>
              <w:rPr>
                <w:sz w:val="20"/>
                <w:szCs w:val="20"/>
              </w:rPr>
              <w:t>1 month</w:t>
            </w:r>
            <w:r w:rsidR="00D5100E">
              <w:rPr>
                <w:sz w:val="20"/>
                <w:szCs w:val="20"/>
              </w:rPr>
              <w:t xml:space="preserve">. </w:t>
            </w:r>
            <w:r w:rsidR="00157277">
              <w:rPr>
                <w:sz w:val="20"/>
                <w:szCs w:val="20"/>
              </w:rPr>
              <w:t xml:space="preserve">The 10x concentrate contains a proprietary buffer buffered solution containing &lt;15% </w:t>
            </w:r>
            <w:r w:rsidR="00D5100E">
              <w:rPr>
                <w:sz w:val="20"/>
                <w:szCs w:val="20"/>
              </w:rPr>
              <w:t xml:space="preserve">   </w:t>
            </w:r>
            <w:r w:rsidR="00157277">
              <w:rPr>
                <w:sz w:val="20"/>
                <w:szCs w:val="20"/>
              </w:rPr>
              <w:t xml:space="preserve">formaldehyde and &lt;50% </w:t>
            </w:r>
            <w:proofErr w:type="spellStart"/>
            <w:r w:rsidR="00157277">
              <w:rPr>
                <w:sz w:val="20"/>
                <w:szCs w:val="20"/>
              </w:rPr>
              <w:t>diethylene</w:t>
            </w:r>
            <w:proofErr w:type="spellEnd"/>
            <w:r w:rsidR="00157277">
              <w:rPr>
                <w:sz w:val="20"/>
                <w:szCs w:val="20"/>
              </w:rPr>
              <w:t xml:space="preserve"> glycol.</w:t>
            </w:r>
          </w:p>
          <w:p w:rsidR="00143D09" w:rsidRPr="00143D09" w:rsidRDefault="00143D09">
            <w:pPr>
              <w:pStyle w:val="Default"/>
              <w:rPr>
                <w:sz w:val="20"/>
                <w:szCs w:val="20"/>
              </w:rPr>
            </w:pPr>
          </w:p>
          <w:p w:rsidR="00B41B7A" w:rsidRDefault="00B41B7A">
            <w:pPr>
              <w:tabs>
                <w:tab w:val="left" w:pos="3382"/>
              </w:tabs>
              <w:rPr>
                <w:rFonts w:ascii="Arial" w:hAnsi="Arial"/>
                <w:sz w:val="20"/>
              </w:rPr>
            </w:pPr>
          </w:p>
        </w:tc>
      </w:tr>
      <w:tr w:rsidR="00D15EE5" w:rsidTr="00453FBA">
        <w:tc>
          <w:tcPr>
            <w:tcW w:w="1797" w:type="dxa"/>
            <w:tcBorders>
              <w:top w:val="nil"/>
              <w:left w:val="nil"/>
              <w:bottom w:val="nil"/>
              <w:right w:val="nil"/>
            </w:tcBorders>
          </w:tcPr>
          <w:p w:rsidR="00D15EE5" w:rsidRDefault="00D15EE5">
            <w:pPr>
              <w:pStyle w:val="Custom2"/>
              <w:rPr>
                <w:rFonts w:cs="Times New Roman"/>
                <w:bCs w:val="0"/>
              </w:rPr>
            </w:pPr>
            <w:r>
              <w:rPr>
                <w:rFonts w:cs="Times New Roman"/>
                <w:bCs w:val="0"/>
              </w:rPr>
              <w:t>Sample</w:t>
            </w:r>
          </w:p>
        </w:tc>
        <w:tc>
          <w:tcPr>
            <w:tcW w:w="9453" w:type="dxa"/>
            <w:gridSpan w:val="7"/>
            <w:tcBorders>
              <w:top w:val="single" w:sz="4" w:space="0" w:color="auto"/>
              <w:left w:val="nil"/>
              <w:bottom w:val="single" w:sz="4" w:space="0" w:color="auto"/>
              <w:right w:val="nil"/>
            </w:tcBorders>
          </w:tcPr>
          <w:p w:rsidR="00D15EE5" w:rsidRDefault="00D15EE5" w:rsidP="00D15EE5">
            <w:pPr>
              <w:rPr>
                <w:rFonts w:ascii="Arial" w:hAnsi="Arial"/>
              </w:rPr>
            </w:pPr>
            <w:r>
              <w:rPr>
                <w:rFonts w:ascii="Arial" w:hAnsi="Arial"/>
              </w:rPr>
              <w:t>1.</w:t>
            </w:r>
            <w:r>
              <w:rPr>
                <w:rFonts w:ascii="Arial" w:hAnsi="Arial"/>
              </w:rPr>
              <w:tab/>
              <w:t>Peripheral blood, 2mL, freshly drawn and collected in EDTA.</w:t>
            </w:r>
          </w:p>
          <w:p w:rsidR="00D15EE5" w:rsidRDefault="00D15EE5" w:rsidP="00D15EE5">
            <w:pPr>
              <w:rPr>
                <w:rFonts w:ascii="Arial" w:hAnsi="Arial"/>
              </w:rPr>
            </w:pPr>
            <w:r>
              <w:rPr>
                <w:rFonts w:ascii="Arial" w:hAnsi="Arial"/>
              </w:rPr>
              <w:t>2.</w:t>
            </w:r>
            <w:r>
              <w:rPr>
                <w:rFonts w:ascii="Arial" w:hAnsi="Arial"/>
              </w:rPr>
              <w:tab/>
              <w:t xml:space="preserve">Specimens should be stored at room temperature until processing.  Specimens </w:t>
            </w:r>
            <w:r>
              <w:rPr>
                <w:rFonts w:ascii="Arial" w:hAnsi="Arial"/>
              </w:rPr>
              <w:tab/>
            </w:r>
            <w:r>
              <w:rPr>
                <w:rFonts w:ascii="Arial" w:hAnsi="Arial"/>
              </w:rPr>
              <w:tab/>
              <w:t>exposed to extreme temperatures may yield inadequate results.</w:t>
            </w:r>
          </w:p>
          <w:p w:rsidR="00D15EE5" w:rsidRDefault="00D15EE5" w:rsidP="00D15EE5">
            <w:pPr>
              <w:rPr>
                <w:rFonts w:ascii="Arial" w:hAnsi="Arial"/>
              </w:rPr>
            </w:pPr>
            <w:r>
              <w:rPr>
                <w:rFonts w:ascii="Arial" w:hAnsi="Arial"/>
              </w:rPr>
              <w:t>3.</w:t>
            </w:r>
            <w:r>
              <w:rPr>
                <w:rFonts w:ascii="Arial" w:hAnsi="Arial"/>
              </w:rPr>
              <w:tab/>
              <w:t xml:space="preserve">Clotted, grossly </w:t>
            </w:r>
            <w:proofErr w:type="spellStart"/>
            <w:r>
              <w:rPr>
                <w:rFonts w:ascii="Arial" w:hAnsi="Arial"/>
              </w:rPr>
              <w:t>hemolyzed</w:t>
            </w:r>
            <w:proofErr w:type="spellEnd"/>
            <w:r>
              <w:rPr>
                <w:rFonts w:ascii="Arial" w:hAnsi="Arial"/>
              </w:rPr>
              <w:t xml:space="preserve"> specimens or under-filled tubes are not acceptable for </w:t>
            </w:r>
            <w:r>
              <w:rPr>
                <w:rFonts w:ascii="Arial" w:hAnsi="Arial"/>
              </w:rPr>
              <w:tab/>
              <w:t>analysis.</w:t>
            </w:r>
          </w:p>
          <w:p w:rsidR="00D15EE5" w:rsidRDefault="00D15EE5" w:rsidP="00D15EE5">
            <w:pPr>
              <w:rPr>
                <w:rFonts w:ascii="Arial" w:hAnsi="Arial"/>
              </w:rPr>
            </w:pPr>
            <w:r>
              <w:rPr>
                <w:rFonts w:ascii="Arial" w:hAnsi="Arial"/>
              </w:rPr>
              <w:t>4.</w:t>
            </w:r>
            <w:r>
              <w:rPr>
                <w:rFonts w:ascii="Arial" w:hAnsi="Arial"/>
              </w:rPr>
              <w:tab/>
              <w:t>Any specimens not properly labeled should be rejected.</w:t>
            </w:r>
          </w:p>
          <w:p w:rsidR="00D15EE5" w:rsidRDefault="00D15EE5" w:rsidP="00D15EE5">
            <w:pPr>
              <w:rPr>
                <w:rFonts w:ascii="Arial" w:hAnsi="Arial"/>
              </w:rPr>
            </w:pPr>
            <w:r>
              <w:rPr>
                <w:rFonts w:ascii="Arial" w:hAnsi="Arial"/>
              </w:rPr>
              <w:t>5.</w:t>
            </w:r>
            <w:r>
              <w:rPr>
                <w:rFonts w:ascii="Arial" w:hAnsi="Arial"/>
              </w:rPr>
              <w:tab/>
              <w:t xml:space="preserve">Specimen should be processed within 72 hours of draw per CDC recommendations </w:t>
            </w:r>
            <w:r>
              <w:rPr>
                <w:rFonts w:ascii="Arial" w:hAnsi="Arial"/>
              </w:rPr>
              <w:tab/>
              <w:t>and our validation studies.  (5/13/03).</w:t>
            </w:r>
          </w:p>
          <w:p w:rsidR="00D15EE5" w:rsidRDefault="00D15EE5" w:rsidP="00D15EE5">
            <w:pPr>
              <w:jc w:val="left"/>
              <w:rPr>
                <w:rFonts w:ascii="Arial" w:hAnsi="Arial"/>
                <w:sz w:val="20"/>
              </w:rPr>
            </w:pPr>
          </w:p>
        </w:tc>
      </w:tr>
      <w:tr w:rsidR="00D15EE5" w:rsidTr="00453F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bottom w:val="nil"/>
            </w:tcBorders>
          </w:tcPr>
          <w:p w:rsidR="00D15EE5" w:rsidRDefault="00D15EE5">
            <w:pPr>
              <w:rPr>
                <w:rFonts w:ascii="Arial" w:hAnsi="Arial"/>
                <w:b/>
                <w:color w:val="0000FF"/>
                <w:sz w:val="20"/>
              </w:rPr>
            </w:pPr>
          </w:p>
          <w:p w:rsidR="00D15EE5" w:rsidRDefault="00D15EE5">
            <w:pPr>
              <w:rPr>
                <w:rFonts w:ascii="Arial" w:hAnsi="Arial"/>
                <w:b/>
                <w:color w:val="0000FF"/>
                <w:sz w:val="20"/>
              </w:rPr>
            </w:pPr>
            <w:r>
              <w:rPr>
                <w:rFonts w:ascii="Arial" w:hAnsi="Arial"/>
                <w:b/>
                <w:color w:val="0000FF"/>
                <w:sz w:val="20"/>
              </w:rPr>
              <w:t>Special Safety Precautions</w:t>
            </w:r>
          </w:p>
          <w:p w:rsidR="00D15EE5" w:rsidRDefault="00D15EE5">
            <w:pPr>
              <w:rPr>
                <w:rFonts w:ascii="Arial" w:hAnsi="Arial"/>
                <w:b/>
                <w:color w:val="0000FF"/>
                <w:sz w:val="20"/>
              </w:rPr>
            </w:pPr>
          </w:p>
          <w:p w:rsidR="00D15EE5" w:rsidRDefault="00D15EE5">
            <w:pPr>
              <w:rPr>
                <w:rFonts w:ascii="Arial" w:hAnsi="Arial"/>
                <w:b/>
                <w:color w:val="0000FF"/>
                <w:sz w:val="20"/>
              </w:rPr>
            </w:pPr>
          </w:p>
          <w:p w:rsidR="00D15EE5" w:rsidRDefault="00D15EE5">
            <w:pPr>
              <w:rPr>
                <w:rFonts w:ascii="Arial" w:hAnsi="Arial"/>
                <w:b/>
                <w:color w:val="0000FF"/>
                <w:sz w:val="20"/>
              </w:rPr>
            </w:pPr>
          </w:p>
          <w:p w:rsidR="00D15EE5" w:rsidRDefault="00D15EE5">
            <w:pPr>
              <w:rPr>
                <w:rFonts w:ascii="Arial" w:hAnsi="Arial"/>
                <w:b/>
                <w:color w:val="0000FF"/>
                <w:sz w:val="20"/>
              </w:rPr>
            </w:pPr>
          </w:p>
          <w:p w:rsidR="00D15EE5" w:rsidRDefault="00D15EE5">
            <w:pPr>
              <w:rPr>
                <w:rFonts w:ascii="Arial" w:hAnsi="Arial"/>
                <w:b/>
                <w:color w:val="0000FF"/>
                <w:sz w:val="20"/>
              </w:rPr>
            </w:pPr>
          </w:p>
          <w:p w:rsidR="00D15EE5" w:rsidRDefault="00D15EE5">
            <w:pPr>
              <w:rPr>
                <w:rFonts w:ascii="Arial" w:hAnsi="Arial"/>
                <w:b/>
                <w:color w:val="0000FF"/>
                <w:sz w:val="20"/>
              </w:rPr>
            </w:pPr>
          </w:p>
          <w:p w:rsidR="00D15EE5" w:rsidRDefault="00D15EE5">
            <w:pPr>
              <w:rPr>
                <w:rFonts w:ascii="Arial" w:hAnsi="Arial"/>
                <w:b/>
                <w:color w:val="0000FF"/>
                <w:sz w:val="20"/>
              </w:rPr>
            </w:pPr>
          </w:p>
          <w:p w:rsidR="00D15EE5" w:rsidRDefault="00D15EE5">
            <w:pPr>
              <w:rPr>
                <w:rFonts w:ascii="Arial" w:hAnsi="Arial"/>
                <w:b/>
                <w:color w:val="0000FF"/>
                <w:sz w:val="20"/>
              </w:rPr>
            </w:pPr>
          </w:p>
          <w:p w:rsidR="00D15EE5" w:rsidRDefault="00D15EE5">
            <w:pPr>
              <w:rPr>
                <w:rFonts w:ascii="Arial" w:hAnsi="Arial"/>
                <w:b/>
                <w:color w:val="0000FF"/>
                <w:sz w:val="20"/>
              </w:rPr>
            </w:pPr>
          </w:p>
          <w:p w:rsidR="00D15EE5" w:rsidRDefault="00D15EE5">
            <w:pPr>
              <w:rPr>
                <w:rFonts w:ascii="Arial" w:hAnsi="Arial"/>
                <w:b/>
                <w:color w:val="0000FF"/>
                <w:sz w:val="20"/>
              </w:rPr>
            </w:pPr>
          </w:p>
          <w:p w:rsidR="00E1273C" w:rsidRDefault="00E1273C">
            <w:pPr>
              <w:rPr>
                <w:rFonts w:ascii="Arial" w:hAnsi="Arial"/>
                <w:b/>
                <w:color w:val="0000FF"/>
                <w:sz w:val="20"/>
              </w:rPr>
            </w:pPr>
          </w:p>
          <w:p w:rsidR="00D15EE5" w:rsidRDefault="00D15EE5">
            <w:pPr>
              <w:rPr>
                <w:rFonts w:ascii="Arial" w:hAnsi="Arial"/>
                <w:b/>
                <w:color w:val="0000FF"/>
                <w:sz w:val="20"/>
              </w:rPr>
            </w:pPr>
            <w:r>
              <w:rPr>
                <w:rFonts w:ascii="Arial" w:hAnsi="Arial"/>
                <w:b/>
                <w:color w:val="0000FF"/>
                <w:sz w:val="20"/>
              </w:rPr>
              <w:t>Quality Control</w:t>
            </w:r>
          </w:p>
          <w:p w:rsidR="00D15EE5" w:rsidRDefault="00D15EE5">
            <w:pPr>
              <w:rPr>
                <w:rFonts w:ascii="Arial" w:hAnsi="Arial"/>
                <w:b/>
                <w:color w:val="0000FF"/>
                <w:sz w:val="20"/>
              </w:rPr>
            </w:pPr>
          </w:p>
        </w:tc>
        <w:tc>
          <w:tcPr>
            <w:tcW w:w="9453" w:type="dxa"/>
            <w:gridSpan w:val="7"/>
            <w:tcBorders>
              <w:top w:val="single" w:sz="6" w:space="0" w:color="auto"/>
              <w:bottom w:val="single" w:sz="4" w:space="0" w:color="auto"/>
              <w:right w:val="nil"/>
            </w:tcBorders>
          </w:tcPr>
          <w:p w:rsidR="00D15EE5" w:rsidRDefault="00D15EE5">
            <w:pPr>
              <w:jc w:val="left"/>
              <w:rPr>
                <w:rFonts w:ascii="Arial" w:hAnsi="Arial"/>
                <w:sz w:val="20"/>
              </w:rPr>
            </w:pPr>
          </w:p>
          <w:p w:rsidR="00D15EE5" w:rsidRDefault="00D15EE5" w:rsidP="004A3661">
            <w:pPr>
              <w:pStyle w:val="Default"/>
              <w:rPr>
                <w:sz w:val="22"/>
                <w:szCs w:val="22"/>
              </w:rPr>
            </w:pPr>
            <w:r w:rsidRPr="00B03A72">
              <w:rPr>
                <w:b/>
                <w:bCs/>
                <w:sz w:val="22"/>
                <w:szCs w:val="22"/>
                <w:highlight w:val="yellow"/>
              </w:rPr>
              <w:t>SAFETY PRECAUTIONS</w:t>
            </w:r>
            <w:r w:rsidRPr="00B03A72">
              <w:rPr>
                <w:sz w:val="22"/>
                <w:szCs w:val="22"/>
                <w:highlight w:val="yellow"/>
              </w:rPr>
              <w:t>: Formaldehyde is extremely toxic and destructive to tissue of mucous membranes, upper respiratory tract, eyes and skin. It is harmful if swallowed, inhaled or absorbed through the skin. This material is an irritant, a sensitizer, a highly toxic lachrymator and a possible mutagen Gloves and protective clothing must be worn to prevent contact with skin. See MSDS for further information regarding its irritant, corrosive and possible carcinogenic properties.</w:t>
            </w:r>
            <w:r>
              <w:rPr>
                <w:sz w:val="22"/>
                <w:szCs w:val="22"/>
              </w:rPr>
              <w:t xml:space="preserve"> </w:t>
            </w:r>
          </w:p>
          <w:p w:rsidR="00D15EE5" w:rsidRPr="007456B2" w:rsidRDefault="00D15EE5" w:rsidP="004A3661">
            <w:pPr>
              <w:pStyle w:val="NoSpacing"/>
            </w:pPr>
            <w:r w:rsidRPr="007456B2">
              <w:rPr>
                <w:sz w:val="22"/>
                <w:szCs w:val="22"/>
              </w:rPr>
              <w:t xml:space="preserve">Formaldehyde Disposal: Tubes containing 1% or less of formaldehyde may be disposed of in red biohazard buckets. Stock and working dilutions of formaldehyde may be disposed of down the drain with copious amounts of water. </w:t>
            </w:r>
          </w:p>
          <w:p w:rsidR="00D15EE5" w:rsidRDefault="00D15EE5">
            <w:pPr>
              <w:jc w:val="left"/>
              <w:rPr>
                <w:rFonts w:ascii="Arial" w:hAnsi="Arial"/>
                <w:sz w:val="20"/>
              </w:rPr>
            </w:pPr>
          </w:p>
          <w:p w:rsidR="00D15EE5" w:rsidRDefault="00D15EE5" w:rsidP="00DE4336">
            <w:pPr>
              <w:pStyle w:val="Default"/>
              <w:rPr>
                <w:color w:val="auto"/>
              </w:rPr>
            </w:pPr>
          </w:p>
          <w:p w:rsidR="00D15EE5" w:rsidRDefault="00D15EE5" w:rsidP="00DE4336">
            <w:pPr>
              <w:pStyle w:val="Default"/>
              <w:rPr>
                <w:sz w:val="20"/>
                <w:szCs w:val="20"/>
              </w:rPr>
            </w:pPr>
            <w:r>
              <w:rPr>
                <w:b/>
                <w:bCs/>
                <w:sz w:val="20"/>
                <w:szCs w:val="20"/>
              </w:rPr>
              <w:t xml:space="preserve">1) </w:t>
            </w:r>
            <w:r>
              <w:rPr>
                <w:sz w:val="20"/>
                <w:szCs w:val="20"/>
              </w:rPr>
              <w:t xml:space="preserve">Follow guidelines outlined in </w:t>
            </w:r>
            <w:r>
              <w:rPr>
                <w:i/>
                <w:iCs/>
                <w:sz w:val="20"/>
                <w:szCs w:val="20"/>
              </w:rPr>
              <w:t xml:space="preserve">Flow </w:t>
            </w:r>
            <w:proofErr w:type="spellStart"/>
            <w:r>
              <w:rPr>
                <w:i/>
                <w:iCs/>
                <w:sz w:val="20"/>
                <w:szCs w:val="20"/>
              </w:rPr>
              <w:t>Cytometry</w:t>
            </w:r>
            <w:proofErr w:type="spellEnd"/>
            <w:r>
              <w:rPr>
                <w:i/>
                <w:iCs/>
                <w:sz w:val="20"/>
                <w:szCs w:val="20"/>
              </w:rPr>
              <w:t xml:space="preserve"> Quality Assurance </w:t>
            </w:r>
            <w:r>
              <w:rPr>
                <w:sz w:val="20"/>
                <w:szCs w:val="20"/>
              </w:rPr>
              <w:t xml:space="preserve">procedure. </w:t>
            </w:r>
          </w:p>
          <w:p w:rsidR="00D15EE5" w:rsidRPr="00FC35DA" w:rsidRDefault="00D15EE5" w:rsidP="00DE4336">
            <w:pPr>
              <w:pStyle w:val="Default"/>
              <w:rPr>
                <w:color w:val="FF0000"/>
                <w:sz w:val="20"/>
                <w:szCs w:val="20"/>
              </w:rPr>
            </w:pPr>
            <w:r>
              <w:rPr>
                <w:sz w:val="20"/>
                <w:szCs w:val="20"/>
              </w:rPr>
              <w:t xml:space="preserve">    </w:t>
            </w:r>
            <w:hyperlink r:id="rId8" w:history="1">
              <w:r w:rsidRPr="007456B2">
                <w:rPr>
                  <w:rStyle w:val="Hyperlink"/>
                  <w:sz w:val="20"/>
                  <w:szCs w:val="20"/>
                </w:rPr>
                <w:t>FLO-1.3-quality-assurance-in-flow-cytometry.pdf</w:t>
              </w:r>
            </w:hyperlink>
          </w:p>
          <w:p w:rsidR="00D15EE5" w:rsidRDefault="00D15EE5" w:rsidP="00DE4336">
            <w:pPr>
              <w:pStyle w:val="Default"/>
              <w:rPr>
                <w:sz w:val="20"/>
                <w:szCs w:val="20"/>
              </w:rPr>
            </w:pPr>
          </w:p>
          <w:p w:rsidR="00D15EE5" w:rsidRPr="00D15EE5" w:rsidRDefault="00D15EE5" w:rsidP="00D15EE5">
            <w:pPr>
              <w:pStyle w:val="Default"/>
              <w:rPr>
                <w:sz w:val="20"/>
                <w:szCs w:val="20"/>
              </w:rPr>
            </w:pPr>
            <w:r>
              <w:rPr>
                <w:sz w:val="20"/>
                <w:szCs w:val="20"/>
              </w:rPr>
              <w:t xml:space="preserve"> </w:t>
            </w:r>
          </w:p>
          <w:p w:rsidR="00D15EE5" w:rsidRDefault="00D15EE5" w:rsidP="00067B6C">
            <w:pPr>
              <w:ind w:right="-720"/>
              <w:rPr>
                <w:rFonts w:ascii="Arial" w:hAnsi="Arial"/>
                <w:sz w:val="20"/>
              </w:rPr>
            </w:pPr>
          </w:p>
        </w:tc>
      </w:tr>
      <w:tr w:rsidR="00D15EE5" w:rsidTr="00453FBA">
        <w:tc>
          <w:tcPr>
            <w:tcW w:w="1797" w:type="dxa"/>
            <w:tcBorders>
              <w:top w:val="nil"/>
              <w:left w:val="nil"/>
              <w:bottom w:val="nil"/>
              <w:right w:val="nil"/>
            </w:tcBorders>
          </w:tcPr>
          <w:p w:rsidR="00D15EE5" w:rsidRDefault="00D15EE5">
            <w:pPr>
              <w:rPr>
                <w:rFonts w:ascii="Arial" w:hAnsi="Arial"/>
                <w:b/>
                <w:color w:val="0000FF"/>
                <w:sz w:val="20"/>
              </w:rPr>
            </w:pPr>
          </w:p>
          <w:p w:rsidR="00D15EE5" w:rsidRDefault="00D15EE5">
            <w:pPr>
              <w:rPr>
                <w:rFonts w:ascii="Arial" w:hAnsi="Arial"/>
                <w:b/>
                <w:color w:val="0000FF"/>
                <w:sz w:val="20"/>
              </w:rPr>
            </w:pPr>
          </w:p>
        </w:tc>
        <w:tc>
          <w:tcPr>
            <w:tcW w:w="9453" w:type="dxa"/>
            <w:gridSpan w:val="7"/>
            <w:tcBorders>
              <w:top w:val="single" w:sz="4" w:space="0" w:color="auto"/>
              <w:left w:val="nil"/>
              <w:bottom w:val="single" w:sz="4" w:space="0" w:color="auto"/>
              <w:right w:val="nil"/>
            </w:tcBorders>
          </w:tcPr>
          <w:p w:rsidR="00D15EE5" w:rsidRDefault="00D15EE5">
            <w:pPr>
              <w:rPr>
                <w:rFonts w:ascii="Arial" w:hAnsi="Arial"/>
                <w:sz w:val="20"/>
              </w:rPr>
            </w:pPr>
          </w:p>
          <w:p w:rsidR="00D15EE5" w:rsidRDefault="00D15EE5">
            <w:pPr>
              <w:rPr>
                <w:rFonts w:ascii="Arial" w:hAnsi="Arial"/>
                <w:sz w:val="20"/>
              </w:rPr>
            </w:pPr>
          </w:p>
        </w:tc>
      </w:tr>
      <w:tr w:rsidR="00D15EE5" w:rsidTr="00453FBA">
        <w:trPr>
          <w:cantSplit/>
        </w:trPr>
        <w:tc>
          <w:tcPr>
            <w:tcW w:w="1797" w:type="dxa"/>
            <w:tcBorders>
              <w:top w:val="nil"/>
              <w:left w:val="nil"/>
              <w:bottom w:val="nil"/>
              <w:right w:val="nil"/>
            </w:tcBorders>
          </w:tcPr>
          <w:p w:rsidR="00203665" w:rsidRDefault="00E4412F">
            <w:pPr>
              <w:rPr>
                <w:rFonts w:ascii="Arial" w:hAnsi="Arial"/>
                <w:b/>
                <w:color w:val="0000FF"/>
                <w:sz w:val="20"/>
              </w:rPr>
            </w:pPr>
            <w:r>
              <w:rPr>
                <w:rFonts w:ascii="Arial" w:hAnsi="Arial"/>
                <w:b/>
                <w:color w:val="0000FF"/>
                <w:sz w:val="20"/>
              </w:rPr>
              <w:t>Daily Startup</w:t>
            </w:r>
          </w:p>
          <w:p w:rsidR="00D15EE5" w:rsidRDefault="00D15EE5">
            <w:pPr>
              <w:rPr>
                <w:rFonts w:ascii="Arial" w:hAnsi="Arial"/>
              </w:rPr>
            </w:pPr>
          </w:p>
        </w:tc>
        <w:tc>
          <w:tcPr>
            <w:tcW w:w="723" w:type="dxa"/>
            <w:gridSpan w:val="2"/>
            <w:tcBorders>
              <w:top w:val="single" w:sz="4" w:space="0" w:color="auto"/>
              <w:left w:val="single" w:sz="4" w:space="0" w:color="auto"/>
              <w:bottom w:val="single" w:sz="4" w:space="0" w:color="auto"/>
            </w:tcBorders>
          </w:tcPr>
          <w:p w:rsidR="00D15EE5" w:rsidRDefault="00203665">
            <w:pPr>
              <w:rPr>
                <w:rFonts w:ascii="Arial" w:hAnsi="Arial"/>
                <w:b/>
                <w:sz w:val="20"/>
              </w:rPr>
            </w:pPr>
            <w:r>
              <w:rPr>
                <w:rFonts w:ascii="Arial" w:hAnsi="Arial"/>
                <w:b/>
                <w:sz w:val="20"/>
              </w:rPr>
              <w:t>Step</w:t>
            </w:r>
          </w:p>
        </w:tc>
        <w:tc>
          <w:tcPr>
            <w:tcW w:w="6570" w:type="dxa"/>
            <w:gridSpan w:val="4"/>
            <w:tcBorders>
              <w:top w:val="single" w:sz="4" w:space="0" w:color="auto"/>
              <w:bottom w:val="single" w:sz="4" w:space="0" w:color="auto"/>
            </w:tcBorders>
          </w:tcPr>
          <w:p w:rsidR="00D15EE5" w:rsidRDefault="00203665">
            <w:pPr>
              <w:pStyle w:val="TableHeaderText"/>
              <w:autoSpaceDE/>
              <w:autoSpaceDN/>
              <w:rPr>
                <w:rFonts w:ascii="Arial" w:hAnsi="Arial"/>
              </w:rPr>
            </w:pPr>
            <w:r>
              <w:rPr>
                <w:rFonts w:ascii="Arial" w:hAnsi="Arial"/>
              </w:rPr>
              <w:t>Action</w:t>
            </w:r>
          </w:p>
        </w:tc>
        <w:tc>
          <w:tcPr>
            <w:tcW w:w="2160" w:type="dxa"/>
            <w:tcBorders>
              <w:top w:val="single" w:sz="4" w:space="0" w:color="auto"/>
              <w:bottom w:val="single" w:sz="4" w:space="0" w:color="auto"/>
            </w:tcBorders>
          </w:tcPr>
          <w:p w:rsidR="00D15EE5" w:rsidRDefault="00203665">
            <w:pPr>
              <w:rPr>
                <w:rFonts w:ascii="Arial" w:hAnsi="Arial"/>
                <w:b/>
                <w:sz w:val="20"/>
              </w:rPr>
            </w:pPr>
            <w:r>
              <w:rPr>
                <w:rFonts w:ascii="Arial" w:hAnsi="Arial"/>
                <w:b/>
                <w:sz w:val="20"/>
              </w:rPr>
              <w:t>Related Document</w:t>
            </w:r>
          </w:p>
        </w:tc>
      </w:tr>
      <w:tr w:rsidR="00D15EE5" w:rsidTr="00453FBA">
        <w:trPr>
          <w:cantSplit/>
        </w:trPr>
        <w:tc>
          <w:tcPr>
            <w:tcW w:w="1797" w:type="dxa"/>
            <w:tcBorders>
              <w:top w:val="nil"/>
              <w:left w:val="nil"/>
              <w:bottom w:val="nil"/>
              <w:right w:val="nil"/>
            </w:tcBorders>
          </w:tcPr>
          <w:p w:rsidR="00D15EE5" w:rsidRDefault="00D15EE5"/>
        </w:tc>
        <w:tc>
          <w:tcPr>
            <w:tcW w:w="723" w:type="dxa"/>
            <w:gridSpan w:val="2"/>
            <w:tcBorders>
              <w:left w:val="single" w:sz="4" w:space="0" w:color="auto"/>
            </w:tcBorders>
          </w:tcPr>
          <w:p w:rsidR="00D15EE5" w:rsidRDefault="00D15EE5">
            <w:pPr>
              <w:pStyle w:val="TableText"/>
              <w:autoSpaceDE/>
              <w:autoSpaceDN/>
              <w:jc w:val="center"/>
              <w:rPr>
                <w:rFonts w:ascii="Arial" w:hAnsi="Arial"/>
              </w:rPr>
            </w:pPr>
          </w:p>
        </w:tc>
        <w:tc>
          <w:tcPr>
            <w:tcW w:w="6570" w:type="dxa"/>
            <w:gridSpan w:val="4"/>
          </w:tcPr>
          <w:p w:rsidR="00203665" w:rsidRPr="00203665" w:rsidRDefault="00203665" w:rsidP="00453BEE">
            <w:pPr>
              <w:numPr>
                <w:ilvl w:val="0"/>
                <w:numId w:val="4"/>
              </w:numPr>
              <w:rPr>
                <w:rFonts w:ascii="Arial" w:hAnsi="Arial"/>
                <w:sz w:val="20"/>
              </w:rPr>
            </w:pPr>
            <w:r>
              <w:rPr>
                <w:rFonts w:ascii="Arial" w:hAnsi="Arial"/>
                <w:sz w:val="20"/>
              </w:rPr>
              <w:t xml:space="preserve">Turn on the </w:t>
            </w:r>
            <w:proofErr w:type="spellStart"/>
            <w:r>
              <w:rPr>
                <w:rFonts w:ascii="Arial" w:hAnsi="Arial"/>
                <w:sz w:val="20"/>
              </w:rPr>
              <w:t>cytometer</w:t>
            </w:r>
            <w:proofErr w:type="spellEnd"/>
            <w:r>
              <w:rPr>
                <w:rFonts w:ascii="Arial" w:hAnsi="Arial"/>
                <w:sz w:val="20"/>
              </w:rPr>
              <w:t xml:space="preserve"> main power, log in to</w:t>
            </w:r>
            <w:r w:rsidRPr="00203665">
              <w:rPr>
                <w:rFonts w:ascii="Arial" w:hAnsi="Arial"/>
                <w:sz w:val="20"/>
              </w:rPr>
              <w:t xml:space="preserve"> the computer and start BD FACS DIVA clinical software.</w:t>
            </w:r>
          </w:p>
          <w:p w:rsidR="00203665" w:rsidRDefault="00203665" w:rsidP="00453BEE">
            <w:pPr>
              <w:numPr>
                <w:ilvl w:val="0"/>
                <w:numId w:val="4"/>
              </w:numPr>
              <w:rPr>
                <w:rFonts w:ascii="Arial" w:hAnsi="Arial"/>
                <w:sz w:val="20"/>
              </w:rPr>
            </w:pPr>
            <w:r>
              <w:rPr>
                <w:rFonts w:ascii="Arial" w:hAnsi="Arial"/>
                <w:sz w:val="20"/>
              </w:rPr>
              <w:t xml:space="preserve">Ensure that the software is connected to the </w:t>
            </w:r>
            <w:proofErr w:type="spellStart"/>
            <w:r>
              <w:rPr>
                <w:rFonts w:ascii="Arial" w:hAnsi="Arial"/>
                <w:sz w:val="20"/>
              </w:rPr>
              <w:t>cytometer</w:t>
            </w:r>
            <w:proofErr w:type="spellEnd"/>
            <w:r>
              <w:rPr>
                <w:rFonts w:ascii="Arial" w:hAnsi="Arial"/>
                <w:sz w:val="20"/>
              </w:rPr>
              <w:t xml:space="preserve"> by checking the Status Bar (lower right hand corner </w:t>
            </w:r>
            <w:r>
              <w:rPr>
                <w:rFonts w:ascii="Arial" w:hAnsi="Arial"/>
                <w:i/>
                <w:iCs/>
                <w:sz w:val="20"/>
              </w:rPr>
              <w:t xml:space="preserve">Connected </w:t>
            </w:r>
            <w:r>
              <w:rPr>
                <w:rFonts w:ascii="Arial" w:hAnsi="Arial"/>
                <w:sz w:val="20"/>
              </w:rPr>
              <w:t>is displayed).</w:t>
            </w:r>
          </w:p>
          <w:p w:rsidR="00203665" w:rsidRDefault="00203665" w:rsidP="00453BEE">
            <w:pPr>
              <w:numPr>
                <w:ilvl w:val="0"/>
                <w:numId w:val="4"/>
              </w:numPr>
              <w:rPr>
                <w:rFonts w:ascii="Arial" w:hAnsi="Arial"/>
                <w:sz w:val="20"/>
              </w:rPr>
            </w:pPr>
            <w:r>
              <w:rPr>
                <w:rFonts w:ascii="Arial" w:hAnsi="Arial"/>
                <w:sz w:val="20"/>
              </w:rPr>
              <w:t xml:space="preserve">Any </w:t>
            </w:r>
            <w:proofErr w:type="spellStart"/>
            <w:r>
              <w:rPr>
                <w:rFonts w:ascii="Arial" w:hAnsi="Arial"/>
                <w:sz w:val="20"/>
              </w:rPr>
              <w:t>cytometer</w:t>
            </w:r>
            <w:proofErr w:type="spellEnd"/>
            <w:r>
              <w:rPr>
                <w:rFonts w:ascii="Arial" w:hAnsi="Arial"/>
                <w:sz w:val="20"/>
              </w:rPr>
              <w:t xml:space="preserve"> condition that needs attention will be red in the status window.  If any of the fluid level(s) appears in red, service the corresponding fluid container(s). </w:t>
            </w:r>
          </w:p>
          <w:p w:rsidR="00203665" w:rsidRDefault="00203665" w:rsidP="00453BEE">
            <w:pPr>
              <w:numPr>
                <w:ilvl w:val="0"/>
                <w:numId w:val="4"/>
              </w:numPr>
              <w:rPr>
                <w:rFonts w:ascii="Arial" w:hAnsi="Arial"/>
                <w:sz w:val="20"/>
              </w:rPr>
            </w:pPr>
            <w:r>
              <w:rPr>
                <w:rFonts w:ascii="Arial" w:hAnsi="Arial"/>
                <w:sz w:val="20"/>
              </w:rPr>
              <w:t xml:space="preserve">Select </w:t>
            </w:r>
            <w:proofErr w:type="spellStart"/>
            <w:r>
              <w:rPr>
                <w:rFonts w:ascii="Arial" w:hAnsi="Arial"/>
                <w:sz w:val="20"/>
              </w:rPr>
              <w:t>Cytometer</w:t>
            </w:r>
            <w:proofErr w:type="spellEnd"/>
            <w:r>
              <w:rPr>
                <w:rFonts w:ascii="Arial" w:hAnsi="Arial"/>
                <w:sz w:val="20"/>
              </w:rPr>
              <w:t xml:space="preserve"> &gt; Fluidics </w:t>
            </w:r>
            <w:proofErr w:type="spellStart"/>
            <w:r>
              <w:rPr>
                <w:rFonts w:ascii="Arial" w:hAnsi="Arial"/>
                <w:sz w:val="20"/>
              </w:rPr>
              <w:t>StartUp</w:t>
            </w:r>
            <w:proofErr w:type="spellEnd"/>
          </w:p>
          <w:p w:rsidR="00203665" w:rsidRDefault="00203665" w:rsidP="00453BEE">
            <w:pPr>
              <w:numPr>
                <w:ilvl w:val="0"/>
                <w:numId w:val="4"/>
              </w:numPr>
              <w:rPr>
                <w:rFonts w:ascii="Arial" w:hAnsi="Arial"/>
                <w:sz w:val="20"/>
              </w:rPr>
            </w:pPr>
            <w:r>
              <w:rPr>
                <w:rFonts w:ascii="Arial" w:hAnsi="Arial"/>
                <w:sz w:val="20"/>
              </w:rPr>
              <w:t>Check the flow cell air bubbles.</w:t>
            </w:r>
          </w:p>
          <w:p w:rsidR="00203665" w:rsidRDefault="00203665" w:rsidP="00453BEE">
            <w:pPr>
              <w:numPr>
                <w:ilvl w:val="1"/>
                <w:numId w:val="4"/>
              </w:numPr>
              <w:rPr>
                <w:rFonts w:ascii="Arial" w:hAnsi="Arial"/>
                <w:sz w:val="20"/>
              </w:rPr>
            </w:pPr>
            <w:r>
              <w:rPr>
                <w:rFonts w:ascii="Arial" w:hAnsi="Arial"/>
                <w:sz w:val="20"/>
              </w:rPr>
              <w:t>Lift the flow cell access door.</w:t>
            </w:r>
          </w:p>
          <w:p w:rsidR="00203665" w:rsidRDefault="00203665" w:rsidP="00453BEE">
            <w:pPr>
              <w:numPr>
                <w:ilvl w:val="1"/>
                <w:numId w:val="4"/>
              </w:numPr>
              <w:rPr>
                <w:rFonts w:ascii="Arial" w:hAnsi="Arial"/>
                <w:sz w:val="20"/>
              </w:rPr>
            </w:pPr>
            <w:r>
              <w:rPr>
                <w:rFonts w:ascii="Arial" w:hAnsi="Arial"/>
                <w:sz w:val="20"/>
              </w:rPr>
              <w:t xml:space="preserve">If you see bubbles, remove them by selecting </w:t>
            </w:r>
            <w:proofErr w:type="spellStart"/>
            <w:r>
              <w:rPr>
                <w:rFonts w:ascii="Arial" w:hAnsi="Arial"/>
                <w:sz w:val="20"/>
              </w:rPr>
              <w:t>Cytometer</w:t>
            </w:r>
            <w:proofErr w:type="spellEnd"/>
            <w:r>
              <w:rPr>
                <w:rFonts w:ascii="Arial" w:hAnsi="Arial"/>
                <w:sz w:val="20"/>
              </w:rPr>
              <w:t xml:space="preserve"> &gt; Cleaning Modes &gt; Degas flow cell.</w:t>
            </w:r>
          </w:p>
          <w:p w:rsidR="00203665" w:rsidRDefault="00203665" w:rsidP="00453BEE">
            <w:pPr>
              <w:numPr>
                <w:ilvl w:val="0"/>
                <w:numId w:val="4"/>
              </w:numPr>
              <w:rPr>
                <w:rFonts w:ascii="Arial" w:hAnsi="Arial"/>
                <w:sz w:val="20"/>
              </w:rPr>
            </w:pPr>
            <w:r>
              <w:rPr>
                <w:rFonts w:ascii="Arial" w:hAnsi="Arial"/>
                <w:sz w:val="20"/>
              </w:rPr>
              <w:t xml:space="preserve">Check that the laser </w:t>
            </w:r>
            <w:proofErr w:type="spellStart"/>
            <w:r>
              <w:rPr>
                <w:rFonts w:ascii="Arial" w:hAnsi="Arial"/>
                <w:sz w:val="20"/>
              </w:rPr>
              <w:t>warmup</w:t>
            </w:r>
            <w:proofErr w:type="spellEnd"/>
            <w:r>
              <w:rPr>
                <w:rFonts w:ascii="Arial" w:hAnsi="Arial"/>
                <w:sz w:val="20"/>
              </w:rPr>
              <w:t xml:space="preserve"> has finished. When laser </w:t>
            </w:r>
            <w:proofErr w:type="spellStart"/>
            <w:r>
              <w:rPr>
                <w:rFonts w:ascii="Arial" w:hAnsi="Arial"/>
                <w:sz w:val="20"/>
              </w:rPr>
              <w:t>warmup</w:t>
            </w:r>
            <w:proofErr w:type="spellEnd"/>
            <w:r>
              <w:rPr>
                <w:rFonts w:ascii="Arial" w:hAnsi="Arial"/>
                <w:sz w:val="20"/>
              </w:rPr>
              <w:t xml:space="preserve"> is complete, a Ready message appears in the status bar.</w:t>
            </w:r>
          </w:p>
          <w:p w:rsidR="003F4FE4" w:rsidRPr="00203665" w:rsidRDefault="00203665" w:rsidP="00453BEE">
            <w:pPr>
              <w:numPr>
                <w:ilvl w:val="0"/>
                <w:numId w:val="4"/>
              </w:numPr>
              <w:rPr>
                <w:rFonts w:ascii="Arial" w:hAnsi="Arial"/>
                <w:sz w:val="20"/>
              </w:rPr>
            </w:pPr>
            <w:r>
              <w:rPr>
                <w:rFonts w:ascii="Arial" w:hAnsi="Arial"/>
                <w:sz w:val="20"/>
              </w:rPr>
              <w:t xml:space="preserve">Allow the laser to warm up for 15 to 30 minutes before running samples on the </w:t>
            </w:r>
            <w:proofErr w:type="spellStart"/>
            <w:r>
              <w:rPr>
                <w:rFonts w:ascii="Arial" w:hAnsi="Arial"/>
                <w:sz w:val="20"/>
              </w:rPr>
              <w:t>cytometer</w:t>
            </w:r>
            <w:proofErr w:type="spellEnd"/>
            <w:r>
              <w:rPr>
                <w:rFonts w:ascii="Arial" w:hAnsi="Arial"/>
                <w:sz w:val="20"/>
              </w:rPr>
              <w:t xml:space="preserve"> to ensure laser stability and optimal power.</w:t>
            </w:r>
          </w:p>
        </w:tc>
        <w:tc>
          <w:tcPr>
            <w:tcW w:w="2160" w:type="dxa"/>
          </w:tcPr>
          <w:p w:rsidR="00D15EE5" w:rsidRPr="00E1273C" w:rsidRDefault="00076172">
            <w:pPr>
              <w:jc w:val="left"/>
              <w:rPr>
                <w:rFonts w:ascii="Arial" w:hAnsi="Arial"/>
                <w:sz w:val="20"/>
              </w:rPr>
            </w:pPr>
            <w:hyperlink r:id="rId9" w:history="1">
              <w:r w:rsidR="00E1273C" w:rsidRPr="00E1273C">
                <w:rPr>
                  <w:rStyle w:val="Hyperlink"/>
                  <w:rFonts w:ascii="Arial" w:hAnsi="Arial"/>
                  <w:sz w:val="20"/>
                </w:rPr>
                <w:t>FLO 1.8 CISP Comprehensive Immune Status Panel</w:t>
              </w:r>
            </w:hyperlink>
          </w:p>
        </w:tc>
      </w:tr>
      <w:tr w:rsidR="00D15EE5" w:rsidTr="00453FBA">
        <w:trPr>
          <w:cantSplit/>
        </w:trPr>
        <w:tc>
          <w:tcPr>
            <w:tcW w:w="1797" w:type="dxa"/>
            <w:tcBorders>
              <w:top w:val="nil"/>
              <w:left w:val="nil"/>
              <w:bottom w:val="nil"/>
              <w:right w:val="nil"/>
            </w:tcBorders>
          </w:tcPr>
          <w:p w:rsidR="00D15EE5" w:rsidRDefault="00E4412F">
            <w:r>
              <w:rPr>
                <w:rFonts w:ascii="Arial" w:hAnsi="Arial"/>
                <w:b/>
                <w:color w:val="0000FF"/>
                <w:sz w:val="20"/>
              </w:rPr>
              <w:lastRenderedPageBreak/>
              <w:t>Running CS&amp;T</w:t>
            </w:r>
          </w:p>
        </w:tc>
        <w:tc>
          <w:tcPr>
            <w:tcW w:w="723" w:type="dxa"/>
            <w:gridSpan w:val="2"/>
            <w:tcBorders>
              <w:left w:val="single" w:sz="4" w:space="0" w:color="auto"/>
              <w:bottom w:val="single" w:sz="4" w:space="0" w:color="auto"/>
            </w:tcBorders>
          </w:tcPr>
          <w:p w:rsidR="00D15EE5" w:rsidRDefault="00D15EE5">
            <w:pPr>
              <w:jc w:val="center"/>
              <w:rPr>
                <w:rFonts w:ascii="Arial" w:hAnsi="Arial"/>
                <w:sz w:val="20"/>
              </w:rPr>
            </w:pPr>
          </w:p>
        </w:tc>
        <w:tc>
          <w:tcPr>
            <w:tcW w:w="6570" w:type="dxa"/>
            <w:gridSpan w:val="4"/>
            <w:tcBorders>
              <w:bottom w:val="single" w:sz="4" w:space="0" w:color="auto"/>
            </w:tcBorders>
          </w:tcPr>
          <w:p w:rsidR="00203665" w:rsidRDefault="00203665" w:rsidP="00453BEE">
            <w:pPr>
              <w:pStyle w:val="Header"/>
              <w:numPr>
                <w:ilvl w:val="0"/>
                <w:numId w:val="5"/>
              </w:numPr>
              <w:tabs>
                <w:tab w:val="clear" w:pos="4320"/>
                <w:tab w:val="clear" w:pos="8640"/>
              </w:tabs>
              <w:ind w:left="1440"/>
              <w:rPr>
                <w:rFonts w:ascii="Arial" w:hAnsi="Arial" w:cs="Arial"/>
                <w:sz w:val="20"/>
              </w:rPr>
            </w:pPr>
            <w:r>
              <w:rPr>
                <w:rFonts w:ascii="Arial" w:hAnsi="Arial" w:cs="Arial"/>
                <w:sz w:val="20"/>
              </w:rPr>
              <w:t xml:space="preserve">Pipette 350 </w:t>
            </w:r>
            <w:proofErr w:type="spellStart"/>
            <w:r>
              <w:rPr>
                <w:rFonts w:ascii="Arial" w:hAnsi="Arial" w:cs="Arial"/>
                <w:sz w:val="20"/>
              </w:rPr>
              <w:t>μL</w:t>
            </w:r>
            <w:proofErr w:type="spellEnd"/>
            <w:r>
              <w:rPr>
                <w:rFonts w:ascii="Arial" w:hAnsi="Arial" w:cs="Arial"/>
                <w:sz w:val="20"/>
              </w:rPr>
              <w:t xml:space="preserve"> of PBS into a 12X75 mm polystyrene tube.</w:t>
            </w:r>
          </w:p>
          <w:p w:rsidR="00203665" w:rsidRDefault="00203665" w:rsidP="00453BEE">
            <w:pPr>
              <w:pStyle w:val="Header"/>
              <w:numPr>
                <w:ilvl w:val="0"/>
                <w:numId w:val="5"/>
              </w:numPr>
              <w:tabs>
                <w:tab w:val="clear" w:pos="4320"/>
                <w:tab w:val="clear" w:pos="8640"/>
              </w:tabs>
              <w:ind w:left="1440"/>
              <w:rPr>
                <w:rFonts w:ascii="Arial" w:hAnsi="Arial" w:cs="Arial"/>
                <w:sz w:val="20"/>
              </w:rPr>
            </w:pPr>
            <w:r>
              <w:rPr>
                <w:rFonts w:ascii="Arial" w:hAnsi="Arial" w:cs="Arial"/>
                <w:sz w:val="20"/>
              </w:rPr>
              <w:t>Mix the CS&amp;T dropper bottle.</w:t>
            </w:r>
          </w:p>
          <w:p w:rsidR="00203665" w:rsidRPr="00203665" w:rsidRDefault="00203665" w:rsidP="00453BEE">
            <w:pPr>
              <w:pStyle w:val="Header"/>
              <w:numPr>
                <w:ilvl w:val="0"/>
                <w:numId w:val="5"/>
              </w:numPr>
              <w:tabs>
                <w:tab w:val="clear" w:pos="4320"/>
                <w:tab w:val="clear" w:pos="8640"/>
              </w:tabs>
              <w:ind w:left="1440"/>
              <w:rPr>
                <w:rFonts w:ascii="Arial" w:hAnsi="Arial" w:cs="Arial"/>
                <w:sz w:val="20"/>
              </w:rPr>
            </w:pPr>
            <w:r>
              <w:rPr>
                <w:rFonts w:ascii="Arial" w:hAnsi="Arial" w:cs="Arial"/>
                <w:sz w:val="20"/>
              </w:rPr>
              <w:t>Add one drop of CS&amp;T beads to the tube.</w:t>
            </w:r>
          </w:p>
          <w:p w:rsidR="00203665" w:rsidRPr="00E4412F" w:rsidRDefault="00E4412F" w:rsidP="00453BEE">
            <w:pPr>
              <w:numPr>
                <w:ilvl w:val="0"/>
                <w:numId w:val="5"/>
              </w:numPr>
              <w:ind w:left="1440"/>
              <w:rPr>
                <w:rFonts w:ascii="Arial" w:hAnsi="Arial"/>
                <w:bCs/>
                <w:sz w:val="20"/>
              </w:rPr>
            </w:pPr>
            <w:r>
              <w:rPr>
                <w:rFonts w:ascii="Arial" w:hAnsi="Arial"/>
                <w:bCs/>
                <w:sz w:val="20"/>
              </w:rPr>
              <w:t xml:space="preserve">Select </w:t>
            </w:r>
            <w:proofErr w:type="spellStart"/>
            <w:r>
              <w:rPr>
                <w:rFonts w:ascii="Arial" w:hAnsi="Arial"/>
                <w:bCs/>
                <w:sz w:val="20"/>
              </w:rPr>
              <w:t>Cytometer</w:t>
            </w:r>
            <w:proofErr w:type="spellEnd"/>
            <w:r>
              <w:rPr>
                <w:rFonts w:ascii="Arial" w:hAnsi="Arial"/>
                <w:bCs/>
                <w:sz w:val="20"/>
              </w:rPr>
              <w:t xml:space="preserve"> &gt; CST. The CS&amp;T application will open. </w:t>
            </w:r>
          </w:p>
          <w:p w:rsidR="00203665" w:rsidRDefault="00E4412F" w:rsidP="00453BEE">
            <w:pPr>
              <w:numPr>
                <w:ilvl w:val="0"/>
                <w:numId w:val="5"/>
              </w:numPr>
              <w:ind w:left="1440"/>
              <w:rPr>
                <w:rFonts w:ascii="Arial" w:hAnsi="Arial"/>
                <w:bCs/>
                <w:sz w:val="20"/>
              </w:rPr>
            </w:pPr>
            <w:r>
              <w:rPr>
                <w:rFonts w:ascii="Arial" w:hAnsi="Arial"/>
                <w:bCs/>
                <w:sz w:val="20"/>
              </w:rPr>
              <w:t>In the Setup Control window, select Check Performance from the drop-down menu. Check that the lot number of CS&amp;T setup beads is correct.</w:t>
            </w:r>
          </w:p>
          <w:p w:rsidR="00203665" w:rsidRDefault="00E4412F" w:rsidP="00453BEE">
            <w:pPr>
              <w:numPr>
                <w:ilvl w:val="0"/>
                <w:numId w:val="5"/>
              </w:numPr>
              <w:ind w:left="1440"/>
              <w:rPr>
                <w:rFonts w:ascii="Arial" w:hAnsi="Arial"/>
                <w:bCs/>
                <w:sz w:val="20"/>
              </w:rPr>
            </w:pPr>
            <w:r>
              <w:rPr>
                <w:rFonts w:ascii="Arial" w:hAnsi="Arial"/>
                <w:bCs/>
                <w:sz w:val="20"/>
              </w:rPr>
              <w:t xml:space="preserve">Load the tube on the </w:t>
            </w:r>
            <w:proofErr w:type="spellStart"/>
            <w:r>
              <w:rPr>
                <w:rFonts w:ascii="Arial" w:hAnsi="Arial"/>
                <w:bCs/>
                <w:sz w:val="20"/>
              </w:rPr>
              <w:t>cytometer</w:t>
            </w:r>
            <w:proofErr w:type="spellEnd"/>
            <w:r>
              <w:rPr>
                <w:rFonts w:ascii="Arial" w:hAnsi="Arial"/>
                <w:bCs/>
                <w:sz w:val="20"/>
              </w:rPr>
              <w:t xml:space="preserve"> and click Run.</w:t>
            </w:r>
          </w:p>
          <w:p w:rsidR="00203665" w:rsidRDefault="00203665" w:rsidP="00453BEE">
            <w:pPr>
              <w:numPr>
                <w:ilvl w:val="0"/>
                <w:numId w:val="5"/>
              </w:numPr>
              <w:ind w:left="1440"/>
              <w:rPr>
                <w:rFonts w:ascii="Arial" w:hAnsi="Arial"/>
                <w:bCs/>
                <w:sz w:val="20"/>
              </w:rPr>
            </w:pPr>
            <w:r>
              <w:rPr>
                <w:rFonts w:ascii="Arial" w:hAnsi="Arial"/>
                <w:bCs/>
                <w:sz w:val="20"/>
              </w:rPr>
              <w:t xml:space="preserve">The </w:t>
            </w:r>
            <w:r w:rsidR="00453FBA">
              <w:rPr>
                <w:rFonts w:ascii="Arial" w:hAnsi="Arial"/>
                <w:bCs/>
                <w:sz w:val="20"/>
              </w:rPr>
              <w:t xml:space="preserve">Checking </w:t>
            </w:r>
            <w:proofErr w:type="spellStart"/>
            <w:r>
              <w:rPr>
                <w:rFonts w:ascii="Arial" w:hAnsi="Arial"/>
                <w:bCs/>
                <w:sz w:val="20"/>
              </w:rPr>
              <w:t>Cytom</w:t>
            </w:r>
            <w:r w:rsidR="00453FBA">
              <w:rPr>
                <w:rFonts w:ascii="Arial" w:hAnsi="Arial"/>
                <w:bCs/>
                <w:sz w:val="20"/>
              </w:rPr>
              <w:t>eter</w:t>
            </w:r>
            <w:proofErr w:type="spellEnd"/>
            <w:r w:rsidR="00453FBA">
              <w:rPr>
                <w:rFonts w:ascii="Arial" w:hAnsi="Arial"/>
                <w:bCs/>
                <w:sz w:val="20"/>
              </w:rPr>
              <w:t xml:space="preserve"> Performance window</w:t>
            </w:r>
            <w:r>
              <w:rPr>
                <w:rFonts w:ascii="Arial" w:hAnsi="Arial"/>
                <w:bCs/>
                <w:sz w:val="20"/>
              </w:rPr>
              <w:t xml:space="preserve"> will appear.</w:t>
            </w:r>
          </w:p>
          <w:p w:rsidR="00203665" w:rsidRDefault="00453FBA" w:rsidP="00453BEE">
            <w:pPr>
              <w:numPr>
                <w:ilvl w:val="0"/>
                <w:numId w:val="5"/>
              </w:numPr>
              <w:ind w:left="1440"/>
              <w:rPr>
                <w:rFonts w:ascii="Arial" w:hAnsi="Arial"/>
                <w:bCs/>
                <w:sz w:val="20"/>
              </w:rPr>
            </w:pPr>
            <w:r>
              <w:rPr>
                <w:rFonts w:ascii="Arial" w:hAnsi="Arial"/>
                <w:bCs/>
                <w:sz w:val="20"/>
              </w:rPr>
              <w:t>When the check is complete, the</w:t>
            </w:r>
            <w:r w:rsidRPr="00453FBA">
              <w:rPr>
                <w:rFonts w:ascii="Arial" w:hAnsi="Arial"/>
                <w:bCs/>
                <w:sz w:val="20"/>
              </w:rPr>
              <w:t xml:space="preserve"> software </w:t>
            </w:r>
            <w:r>
              <w:rPr>
                <w:rFonts w:ascii="Arial" w:hAnsi="Arial"/>
                <w:bCs/>
                <w:sz w:val="20"/>
              </w:rPr>
              <w:t>will indicate set up completed successfully or u</w:t>
            </w:r>
            <w:r w:rsidRPr="00453FBA">
              <w:rPr>
                <w:rFonts w:ascii="Arial" w:hAnsi="Arial"/>
                <w:bCs/>
                <w:sz w:val="20"/>
              </w:rPr>
              <w:t>nsuccessfully</w:t>
            </w:r>
            <w:r>
              <w:rPr>
                <w:rFonts w:ascii="Arial" w:hAnsi="Arial"/>
                <w:bCs/>
                <w:sz w:val="20"/>
              </w:rPr>
              <w:t>. Click Finish.</w:t>
            </w:r>
          </w:p>
          <w:p w:rsidR="00D15EE5" w:rsidRPr="00E1273C" w:rsidRDefault="00203665" w:rsidP="00453BEE">
            <w:pPr>
              <w:numPr>
                <w:ilvl w:val="0"/>
                <w:numId w:val="5"/>
              </w:numPr>
              <w:ind w:left="1440"/>
              <w:rPr>
                <w:rFonts w:ascii="Arial" w:hAnsi="Arial"/>
                <w:bCs/>
                <w:sz w:val="20"/>
              </w:rPr>
            </w:pPr>
            <w:r>
              <w:rPr>
                <w:rFonts w:ascii="Arial" w:hAnsi="Arial"/>
                <w:bCs/>
                <w:sz w:val="20"/>
              </w:rPr>
              <w:t xml:space="preserve">At the end of each month, print a copy of the month’s CS&amp;T </w:t>
            </w:r>
            <w:proofErr w:type="spellStart"/>
            <w:r>
              <w:rPr>
                <w:rFonts w:ascii="Arial" w:hAnsi="Arial"/>
                <w:bCs/>
                <w:sz w:val="20"/>
              </w:rPr>
              <w:t>Levey</w:t>
            </w:r>
            <w:proofErr w:type="spellEnd"/>
            <w:r>
              <w:rPr>
                <w:rFonts w:ascii="Arial" w:hAnsi="Arial"/>
                <w:bCs/>
                <w:sz w:val="20"/>
              </w:rPr>
              <w:t xml:space="preserve">-Jennings data and place in the </w:t>
            </w:r>
            <w:proofErr w:type="spellStart"/>
            <w:r>
              <w:rPr>
                <w:rFonts w:ascii="Arial" w:hAnsi="Arial"/>
                <w:bCs/>
                <w:sz w:val="20"/>
              </w:rPr>
              <w:t>Levey</w:t>
            </w:r>
            <w:proofErr w:type="spellEnd"/>
            <w:r>
              <w:rPr>
                <w:rFonts w:ascii="Arial" w:hAnsi="Arial"/>
                <w:bCs/>
                <w:sz w:val="20"/>
              </w:rPr>
              <w:t xml:space="preserve">-Jennings CS&amp;T beads section of the Flow QC binder. Date and Initial review of data. </w:t>
            </w:r>
          </w:p>
        </w:tc>
        <w:tc>
          <w:tcPr>
            <w:tcW w:w="2160" w:type="dxa"/>
            <w:tcBorders>
              <w:bottom w:val="single" w:sz="4" w:space="0" w:color="auto"/>
            </w:tcBorders>
          </w:tcPr>
          <w:p w:rsidR="00D15EE5" w:rsidRPr="00E1273C" w:rsidRDefault="00076172">
            <w:pPr>
              <w:jc w:val="left"/>
              <w:rPr>
                <w:rFonts w:ascii="Arial" w:hAnsi="Arial"/>
                <w:sz w:val="20"/>
              </w:rPr>
            </w:pPr>
            <w:hyperlink r:id="rId10" w:history="1">
              <w:r w:rsidR="00E1273C" w:rsidRPr="00E1273C">
                <w:rPr>
                  <w:rStyle w:val="Hyperlink"/>
                  <w:rFonts w:ascii="Arial" w:hAnsi="Arial"/>
                  <w:sz w:val="20"/>
                </w:rPr>
                <w:t>FLO 1.8 CISP Comprehensive Immune Status Panel</w:t>
              </w:r>
            </w:hyperlink>
          </w:p>
        </w:tc>
      </w:tr>
      <w:tr w:rsidR="004B11E7" w:rsidTr="00453FBA">
        <w:tc>
          <w:tcPr>
            <w:tcW w:w="1797" w:type="dxa"/>
            <w:tcBorders>
              <w:top w:val="nil"/>
              <w:left w:val="nil"/>
              <w:bottom w:val="nil"/>
              <w:right w:val="nil"/>
            </w:tcBorders>
          </w:tcPr>
          <w:p w:rsidR="004B11E7" w:rsidRDefault="00203665">
            <w:pPr>
              <w:pStyle w:val="Header"/>
              <w:tabs>
                <w:tab w:val="clear" w:pos="4320"/>
                <w:tab w:val="clear" w:pos="8640"/>
              </w:tabs>
            </w:pPr>
            <w:r>
              <w:rPr>
                <w:rFonts w:ascii="Arial" w:hAnsi="Arial"/>
                <w:b/>
                <w:color w:val="0000FF"/>
                <w:sz w:val="20"/>
              </w:rPr>
              <w:t>Procedure</w:t>
            </w:r>
          </w:p>
        </w:tc>
        <w:tc>
          <w:tcPr>
            <w:tcW w:w="701" w:type="dxa"/>
            <w:tcBorders>
              <w:left w:val="single" w:sz="4" w:space="0" w:color="auto"/>
              <w:bottom w:val="single" w:sz="4" w:space="0" w:color="auto"/>
            </w:tcBorders>
          </w:tcPr>
          <w:p w:rsidR="004B11E7" w:rsidRDefault="004B11E7" w:rsidP="004B11E7">
            <w:pPr>
              <w:rPr>
                <w:rFonts w:ascii="Arial" w:hAnsi="Arial"/>
                <w:b/>
                <w:sz w:val="20"/>
              </w:rPr>
            </w:pPr>
            <w:r>
              <w:rPr>
                <w:rFonts w:ascii="Arial" w:hAnsi="Arial"/>
                <w:b/>
                <w:sz w:val="20"/>
              </w:rPr>
              <w:t>Step</w:t>
            </w:r>
          </w:p>
        </w:tc>
        <w:tc>
          <w:tcPr>
            <w:tcW w:w="6592" w:type="dxa"/>
            <w:gridSpan w:val="5"/>
            <w:tcBorders>
              <w:left w:val="single" w:sz="4" w:space="0" w:color="auto"/>
              <w:bottom w:val="single" w:sz="4" w:space="0" w:color="auto"/>
            </w:tcBorders>
          </w:tcPr>
          <w:p w:rsidR="004B11E7" w:rsidRDefault="004B11E7" w:rsidP="004B11E7">
            <w:pPr>
              <w:pStyle w:val="TableHeaderText"/>
              <w:autoSpaceDE/>
              <w:autoSpaceDN/>
              <w:rPr>
                <w:rFonts w:ascii="Arial" w:hAnsi="Arial"/>
              </w:rPr>
            </w:pPr>
            <w:r>
              <w:rPr>
                <w:rFonts w:ascii="Arial" w:hAnsi="Arial"/>
              </w:rPr>
              <w:t>Action</w:t>
            </w:r>
          </w:p>
        </w:tc>
        <w:tc>
          <w:tcPr>
            <w:tcW w:w="2160" w:type="dxa"/>
            <w:tcBorders>
              <w:bottom w:val="single" w:sz="4" w:space="0" w:color="auto"/>
            </w:tcBorders>
          </w:tcPr>
          <w:p w:rsidR="004B11E7" w:rsidRDefault="004B11E7" w:rsidP="004B11E7">
            <w:pPr>
              <w:rPr>
                <w:rFonts w:ascii="Arial" w:hAnsi="Arial"/>
                <w:b/>
                <w:sz w:val="20"/>
              </w:rPr>
            </w:pPr>
            <w:r>
              <w:rPr>
                <w:rFonts w:ascii="Arial" w:hAnsi="Arial"/>
                <w:b/>
                <w:sz w:val="20"/>
              </w:rPr>
              <w:t>Related Document</w:t>
            </w:r>
          </w:p>
        </w:tc>
      </w:tr>
      <w:tr w:rsidR="004B11E7" w:rsidTr="00453FBA">
        <w:tc>
          <w:tcPr>
            <w:tcW w:w="1797" w:type="dxa"/>
            <w:tcBorders>
              <w:top w:val="nil"/>
              <w:left w:val="nil"/>
              <w:bottom w:val="nil"/>
              <w:right w:val="nil"/>
            </w:tcBorders>
          </w:tcPr>
          <w:p w:rsidR="004B11E7" w:rsidRDefault="004B11E7">
            <w:pPr>
              <w:pStyle w:val="Header"/>
              <w:tabs>
                <w:tab w:val="clear" w:pos="4320"/>
                <w:tab w:val="clear" w:pos="8640"/>
              </w:tabs>
            </w:pPr>
          </w:p>
        </w:tc>
        <w:tc>
          <w:tcPr>
            <w:tcW w:w="701" w:type="dxa"/>
            <w:tcBorders>
              <w:left w:val="single" w:sz="4" w:space="0" w:color="auto"/>
              <w:bottom w:val="single" w:sz="4" w:space="0" w:color="auto"/>
            </w:tcBorders>
          </w:tcPr>
          <w:p w:rsidR="004B11E7" w:rsidRDefault="004B11E7" w:rsidP="004B11E7">
            <w:pPr>
              <w:pStyle w:val="TableText"/>
              <w:autoSpaceDE/>
              <w:autoSpaceDN/>
              <w:jc w:val="center"/>
              <w:rPr>
                <w:rFonts w:ascii="Arial" w:hAnsi="Arial"/>
              </w:rPr>
            </w:pPr>
            <w:r>
              <w:rPr>
                <w:rFonts w:ascii="Arial" w:hAnsi="Arial"/>
              </w:rPr>
              <w:t>1</w:t>
            </w:r>
          </w:p>
        </w:tc>
        <w:tc>
          <w:tcPr>
            <w:tcW w:w="6592" w:type="dxa"/>
            <w:gridSpan w:val="5"/>
            <w:tcBorders>
              <w:left w:val="single" w:sz="4" w:space="0" w:color="auto"/>
              <w:bottom w:val="single" w:sz="4" w:space="0" w:color="auto"/>
            </w:tcBorders>
          </w:tcPr>
          <w:p w:rsidR="004B11E7" w:rsidRDefault="004B11E7" w:rsidP="004B11E7">
            <w:pPr>
              <w:rPr>
                <w:rFonts w:ascii="Arial" w:hAnsi="Arial"/>
                <w:sz w:val="20"/>
              </w:rPr>
            </w:pPr>
            <w:r>
              <w:rPr>
                <w:sz w:val="20"/>
                <w:szCs w:val="20"/>
              </w:rPr>
              <w:t xml:space="preserve"> </w:t>
            </w:r>
            <w:r>
              <w:rPr>
                <w:rFonts w:ascii="Arial" w:hAnsi="Arial"/>
                <w:sz w:val="20"/>
              </w:rPr>
              <w:t>Label tubes for desired antibody panel and add appropriate monoclonal antibodies to each tube:</w:t>
            </w:r>
          </w:p>
          <w:p w:rsidR="004B11E7" w:rsidRDefault="004B11E7" w:rsidP="004B11E7">
            <w:pPr>
              <w:rPr>
                <w:rFonts w:ascii="Arial" w:hAnsi="Arial"/>
                <w:color w:val="00FF00"/>
                <w:sz w:val="20"/>
              </w:rPr>
            </w:pPr>
          </w:p>
          <w:p w:rsidR="004B11E7" w:rsidRDefault="004B11E7" w:rsidP="004B11E7">
            <w:pPr>
              <w:rPr>
                <w:rFonts w:ascii="Arial" w:hAnsi="Arial"/>
                <w:sz w:val="20"/>
              </w:rPr>
            </w:pPr>
            <w:r>
              <w:rPr>
                <w:rFonts w:ascii="Arial" w:hAnsi="Arial"/>
                <w:sz w:val="20"/>
              </w:rPr>
              <w:tab/>
              <w:t xml:space="preserve">( </w:t>
            </w:r>
            <w:r>
              <w:rPr>
                <w:rFonts w:ascii="Arial" w:hAnsi="Arial"/>
                <w:color w:val="808000"/>
                <w:sz w:val="20"/>
              </w:rPr>
              <w:t>FITC</w:t>
            </w:r>
            <w:r>
              <w:rPr>
                <w:rFonts w:ascii="Arial" w:hAnsi="Arial"/>
                <w:sz w:val="20"/>
              </w:rPr>
              <w:t xml:space="preserve">/ </w:t>
            </w:r>
            <w:r>
              <w:rPr>
                <w:rFonts w:ascii="Arial" w:hAnsi="Arial"/>
                <w:color w:val="FF0000"/>
                <w:sz w:val="20"/>
              </w:rPr>
              <w:t>PE</w:t>
            </w:r>
            <w:r>
              <w:rPr>
                <w:rFonts w:ascii="Arial" w:hAnsi="Arial"/>
                <w:sz w:val="20"/>
              </w:rPr>
              <w:t xml:space="preserve">/ </w:t>
            </w:r>
            <w:proofErr w:type="spellStart"/>
            <w:r>
              <w:rPr>
                <w:rFonts w:ascii="Arial" w:hAnsi="Arial"/>
                <w:sz w:val="20"/>
              </w:rPr>
              <w:t>PerCP</w:t>
            </w:r>
            <w:proofErr w:type="spellEnd"/>
            <w:r>
              <w:rPr>
                <w:rFonts w:ascii="Arial" w:hAnsi="Arial"/>
                <w:sz w:val="20"/>
              </w:rPr>
              <w:t xml:space="preserve">/ </w:t>
            </w:r>
            <w:r>
              <w:rPr>
                <w:rFonts w:ascii="Arial" w:hAnsi="Arial"/>
                <w:color w:val="008080"/>
                <w:sz w:val="20"/>
              </w:rPr>
              <w:t>APC</w:t>
            </w:r>
            <w:r>
              <w:rPr>
                <w:rFonts w:ascii="Arial" w:hAnsi="Arial"/>
                <w:sz w:val="20"/>
              </w:rPr>
              <w:t>)</w:t>
            </w:r>
          </w:p>
          <w:p w:rsidR="004B11E7" w:rsidRDefault="004B11E7" w:rsidP="004B11E7">
            <w:pPr>
              <w:rPr>
                <w:rFonts w:ascii="Arial" w:hAnsi="Arial"/>
                <w:sz w:val="20"/>
              </w:rPr>
            </w:pPr>
            <w:r>
              <w:rPr>
                <w:rFonts w:ascii="Arial" w:hAnsi="Arial"/>
                <w:sz w:val="20"/>
              </w:rPr>
              <w:tab/>
            </w:r>
            <w:r>
              <w:rPr>
                <w:rFonts w:ascii="Arial" w:hAnsi="Arial"/>
                <w:color w:val="808000"/>
                <w:sz w:val="20"/>
              </w:rPr>
              <w:t>CD3</w:t>
            </w:r>
            <w:r>
              <w:rPr>
                <w:rFonts w:ascii="Arial" w:hAnsi="Arial"/>
                <w:color w:val="00FF00"/>
                <w:sz w:val="20"/>
              </w:rPr>
              <w:t xml:space="preserve"> </w:t>
            </w:r>
            <w:r>
              <w:rPr>
                <w:rFonts w:ascii="Arial" w:hAnsi="Arial"/>
                <w:sz w:val="20"/>
              </w:rPr>
              <w:t xml:space="preserve">/ </w:t>
            </w:r>
            <w:r>
              <w:rPr>
                <w:rFonts w:ascii="Arial" w:hAnsi="Arial"/>
                <w:color w:val="FF0000"/>
                <w:sz w:val="20"/>
              </w:rPr>
              <w:t xml:space="preserve">CD20 </w:t>
            </w:r>
            <w:r>
              <w:rPr>
                <w:rFonts w:ascii="Arial" w:hAnsi="Arial"/>
                <w:sz w:val="20"/>
              </w:rPr>
              <w:t xml:space="preserve">/ CD45 / </w:t>
            </w:r>
            <w:r>
              <w:rPr>
                <w:rFonts w:ascii="Arial" w:hAnsi="Arial"/>
                <w:color w:val="008080"/>
                <w:sz w:val="20"/>
              </w:rPr>
              <w:t xml:space="preserve">CD19 </w:t>
            </w:r>
          </w:p>
          <w:p w:rsidR="004B11E7" w:rsidRPr="003F4FE4" w:rsidRDefault="004B11E7" w:rsidP="004B11E7">
            <w:pPr>
              <w:rPr>
                <w:rFonts w:ascii="Arial" w:hAnsi="Arial"/>
                <w:sz w:val="20"/>
              </w:rPr>
            </w:pPr>
          </w:p>
        </w:tc>
        <w:tc>
          <w:tcPr>
            <w:tcW w:w="2160" w:type="dxa"/>
            <w:tcBorders>
              <w:bottom w:val="single" w:sz="4" w:space="0" w:color="auto"/>
            </w:tcBorders>
          </w:tcPr>
          <w:p w:rsidR="004B11E7" w:rsidRDefault="004B11E7" w:rsidP="004B11E7">
            <w:pPr>
              <w:jc w:val="left"/>
              <w:rPr>
                <w:rFonts w:ascii="Arial" w:hAnsi="Arial"/>
                <w:sz w:val="20"/>
              </w:rPr>
            </w:pPr>
          </w:p>
          <w:p w:rsidR="004B11E7" w:rsidRDefault="00076172" w:rsidP="004B11E7">
            <w:pPr>
              <w:jc w:val="left"/>
              <w:rPr>
                <w:rFonts w:ascii="Arial" w:hAnsi="Arial"/>
                <w:sz w:val="20"/>
              </w:rPr>
            </w:pPr>
            <w:hyperlink r:id="rId11" w:history="1">
              <w:r w:rsidR="00E1273C" w:rsidRPr="00E1273C">
                <w:rPr>
                  <w:rStyle w:val="Hyperlink"/>
                  <w:rFonts w:ascii="Arial" w:hAnsi="Arial"/>
                  <w:sz w:val="20"/>
                </w:rPr>
                <w:t>FLO 1.8 CISP Comprehensive Immune Status Panel</w:t>
              </w:r>
            </w:hyperlink>
          </w:p>
        </w:tc>
      </w:tr>
      <w:tr w:rsidR="004B11E7" w:rsidTr="00453FBA">
        <w:tc>
          <w:tcPr>
            <w:tcW w:w="1797" w:type="dxa"/>
            <w:tcBorders>
              <w:top w:val="nil"/>
              <w:left w:val="nil"/>
              <w:bottom w:val="nil"/>
              <w:right w:val="nil"/>
            </w:tcBorders>
          </w:tcPr>
          <w:p w:rsidR="004B11E7" w:rsidRDefault="004B11E7">
            <w:pPr>
              <w:pStyle w:val="Header"/>
              <w:tabs>
                <w:tab w:val="clear" w:pos="4320"/>
                <w:tab w:val="clear" w:pos="8640"/>
              </w:tabs>
            </w:pPr>
          </w:p>
        </w:tc>
        <w:tc>
          <w:tcPr>
            <w:tcW w:w="701" w:type="dxa"/>
            <w:tcBorders>
              <w:left w:val="single" w:sz="4" w:space="0" w:color="auto"/>
              <w:bottom w:val="single" w:sz="4" w:space="0" w:color="auto"/>
            </w:tcBorders>
          </w:tcPr>
          <w:p w:rsidR="004B11E7" w:rsidRDefault="004B11E7" w:rsidP="004B11E7">
            <w:pPr>
              <w:jc w:val="center"/>
              <w:rPr>
                <w:rFonts w:ascii="Arial" w:hAnsi="Arial"/>
                <w:sz w:val="20"/>
              </w:rPr>
            </w:pPr>
            <w:r>
              <w:rPr>
                <w:rFonts w:ascii="Arial" w:hAnsi="Arial"/>
                <w:sz w:val="20"/>
              </w:rPr>
              <w:t>2</w:t>
            </w:r>
          </w:p>
        </w:tc>
        <w:tc>
          <w:tcPr>
            <w:tcW w:w="6592" w:type="dxa"/>
            <w:gridSpan w:val="5"/>
            <w:tcBorders>
              <w:left w:val="single" w:sz="4" w:space="0" w:color="auto"/>
              <w:bottom w:val="single" w:sz="4" w:space="0" w:color="auto"/>
            </w:tcBorders>
          </w:tcPr>
          <w:p w:rsidR="004B11E7" w:rsidRPr="003F4FE4" w:rsidRDefault="004B11E7" w:rsidP="004B11E7">
            <w:pPr>
              <w:rPr>
                <w:rFonts w:ascii="Arial" w:hAnsi="Arial"/>
                <w:sz w:val="20"/>
              </w:rPr>
            </w:pPr>
            <w:r>
              <w:rPr>
                <w:sz w:val="20"/>
                <w:szCs w:val="20"/>
              </w:rPr>
              <w:t xml:space="preserve"> </w:t>
            </w:r>
            <w:r>
              <w:rPr>
                <w:rFonts w:ascii="Arial" w:hAnsi="Arial"/>
                <w:sz w:val="20"/>
              </w:rPr>
              <w:t xml:space="preserve">Add 50 </w:t>
            </w:r>
            <w:proofErr w:type="spellStart"/>
            <w:r>
              <w:rPr>
                <w:rFonts w:ascii="Arial" w:hAnsi="Arial" w:cs="Arial"/>
                <w:sz w:val="20"/>
              </w:rPr>
              <w:t>μ</w:t>
            </w:r>
            <w:r>
              <w:rPr>
                <w:rFonts w:ascii="Arial" w:hAnsi="Arial"/>
                <w:sz w:val="20"/>
              </w:rPr>
              <w:t>L</w:t>
            </w:r>
            <w:proofErr w:type="spellEnd"/>
            <w:r>
              <w:rPr>
                <w:rFonts w:ascii="Arial" w:hAnsi="Arial"/>
                <w:sz w:val="20"/>
              </w:rPr>
              <w:t xml:space="preserve"> of well mixed whole blood to the tube. Vortex gently to mix.</w:t>
            </w:r>
          </w:p>
        </w:tc>
        <w:tc>
          <w:tcPr>
            <w:tcW w:w="2160" w:type="dxa"/>
            <w:tcBorders>
              <w:bottom w:val="single" w:sz="4" w:space="0" w:color="auto"/>
            </w:tcBorders>
          </w:tcPr>
          <w:p w:rsidR="004B11E7" w:rsidRDefault="004B11E7" w:rsidP="004B11E7">
            <w:pPr>
              <w:jc w:val="left"/>
              <w:rPr>
                <w:rFonts w:ascii="Arial" w:hAnsi="Arial"/>
                <w:sz w:val="20"/>
              </w:rPr>
            </w:pPr>
          </w:p>
        </w:tc>
      </w:tr>
      <w:tr w:rsidR="004B11E7" w:rsidTr="00453FBA">
        <w:tc>
          <w:tcPr>
            <w:tcW w:w="1797" w:type="dxa"/>
            <w:tcBorders>
              <w:top w:val="nil"/>
              <w:left w:val="nil"/>
              <w:bottom w:val="nil"/>
              <w:right w:val="nil"/>
            </w:tcBorders>
          </w:tcPr>
          <w:p w:rsidR="004B11E7" w:rsidRDefault="004B11E7">
            <w:pPr>
              <w:pStyle w:val="Header"/>
              <w:tabs>
                <w:tab w:val="clear" w:pos="4320"/>
                <w:tab w:val="clear" w:pos="8640"/>
              </w:tabs>
            </w:pPr>
          </w:p>
        </w:tc>
        <w:tc>
          <w:tcPr>
            <w:tcW w:w="701" w:type="dxa"/>
            <w:tcBorders>
              <w:left w:val="single" w:sz="4" w:space="0" w:color="auto"/>
              <w:bottom w:val="single" w:sz="4" w:space="0" w:color="auto"/>
            </w:tcBorders>
          </w:tcPr>
          <w:p w:rsidR="004B11E7" w:rsidRDefault="004B11E7" w:rsidP="004B11E7">
            <w:pPr>
              <w:jc w:val="center"/>
              <w:rPr>
                <w:rFonts w:ascii="Arial" w:hAnsi="Arial"/>
                <w:sz w:val="20"/>
              </w:rPr>
            </w:pPr>
            <w:r>
              <w:rPr>
                <w:rFonts w:ascii="Arial" w:hAnsi="Arial"/>
                <w:sz w:val="20"/>
              </w:rPr>
              <w:t>3</w:t>
            </w:r>
          </w:p>
        </w:tc>
        <w:tc>
          <w:tcPr>
            <w:tcW w:w="6592" w:type="dxa"/>
            <w:gridSpan w:val="5"/>
            <w:tcBorders>
              <w:left w:val="single" w:sz="4" w:space="0" w:color="auto"/>
              <w:bottom w:val="single" w:sz="4" w:space="0" w:color="auto"/>
            </w:tcBorders>
          </w:tcPr>
          <w:p w:rsidR="004B11E7" w:rsidRPr="003F4FE4" w:rsidRDefault="004B11E7" w:rsidP="004B11E7">
            <w:pPr>
              <w:rPr>
                <w:rFonts w:ascii="Arial" w:hAnsi="Arial"/>
                <w:sz w:val="20"/>
              </w:rPr>
            </w:pPr>
            <w:r>
              <w:rPr>
                <w:rFonts w:ascii="Arial" w:hAnsi="Arial"/>
                <w:sz w:val="20"/>
              </w:rPr>
              <w:t xml:space="preserve">Place the uncapped tube into a carousel rack. Press the carousel access button to open the carousel door of the </w:t>
            </w:r>
            <w:proofErr w:type="spellStart"/>
            <w:r>
              <w:rPr>
                <w:rFonts w:ascii="Arial" w:hAnsi="Arial"/>
                <w:sz w:val="20"/>
              </w:rPr>
              <w:t>Lyse</w:t>
            </w:r>
            <w:proofErr w:type="spellEnd"/>
            <w:r>
              <w:rPr>
                <w:rFonts w:ascii="Arial" w:hAnsi="Arial"/>
                <w:sz w:val="20"/>
              </w:rPr>
              <w:t>/Wash Assistant. Place the carousel on its spindle.</w:t>
            </w:r>
          </w:p>
        </w:tc>
        <w:tc>
          <w:tcPr>
            <w:tcW w:w="2160" w:type="dxa"/>
            <w:tcBorders>
              <w:bottom w:val="single" w:sz="4" w:space="0" w:color="auto"/>
            </w:tcBorders>
          </w:tcPr>
          <w:p w:rsidR="004B11E7" w:rsidRDefault="004B11E7" w:rsidP="004B11E7">
            <w:pPr>
              <w:jc w:val="left"/>
              <w:rPr>
                <w:rFonts w:ascii="Arial" w:hAnsi="Arial"/>
                <w:sz w:val="20"/>
              </w:rPr>
            </w:pPr>
          </w:p>
        </w:tc>
      </w:tr>
      <w:tr w:rsidR="004B11E7" w:rsidTr="00453FBA">
        <w:tc>
          <w:tcPr>
            <w:tcW w:w="1797" w:type="dxa"/>
            <w:tcBorders>
              <w:top w:val="nil"/>
              <w:left w:val="nil"/>
              <w:bottom w:val="nil"/>
              <w:right w:val="nil"/>
            </w:tcBorders>
          </w:tcPr>
          <w:p w:rsidR="004B11E7" w:rsidRDefault="004B11E7">
            <w:pPr>
              <w:pStyle w:val="Header"/>
              <w:tabs>
                <w:tab w:val="clear" w:pos="4320"/>
                <w:tab w:val="clear" w:pos="8640"/>
              </w:tabs>
            </w:pPr>
          </w:p>
        </w:tc>
        <w:tc>
          <w:tcPr>
            <w:tcW w:w="701" w:type="dxa"/>
            <w:tcBorders>
              <w:left w:val="single" w:sz="4" w:space="0" w:color="auto"/>
              <w:bottom w:val="single" w:sz="4" w:space="0" w:color="auto"/>
            </w:tcBorders>
          </w:tcPr>
          <w:p w:rsidR="004B11E7" w:rsidRDefault="004B11E7" w:rsidP="004B11E7">
            <w:pPr>
              <w:jc w:val="center"/>
              <w:rPr>
                <w:rFonts w:ascii="Arial" w:hAnsi="Arial"/>
                <w:sz w:val="20"/>
              </w:rPr>
            </w:pPr>
            <w:r>
              <w:rPr>
                <w:rFonts w:ascii="Arial" w:hAnsi="Arial"/>
                <w:sz w:val="20"/>
              </w:rPr>
              <w:t>4</w:t>
            </w:r>
          </w:p>
        </w:tc>
        <w:tc>
          <w:tcPr>
            <w:tcW w:w="6592" w:type="dxa"/>
            <w:gridSpan w:val="5"/>
            <w:tcBorders>
              <w:left w:val="single" w:sz="4" w:space="0" w:color="auto"/>
              <w:bottom w:val="single" w:sz="4" w:space="0" w:color="auto"/>
            </w:tcBorders>
          </w:tcPr>
          <w:p w:rsidR="004B11E7" w:rsidRDefault="004B11E7" w:rsidP="004B11E7">
            <w:pPr>
              <w:tabs>
                <w:tab w:val="left" w:pos="720"/>
              </w:tabs>
              <w:ind w:left="1440" w:hanging="1440"/>
              <w:rPr>
                <w:rFonts w:ascii="Arial" w:hAnsi="Arial"/>
                <w:sz w:val="20"/>
              </w:rPr>
            </w:pPr>
            <w:r>
              <w:rPr>
                <w:rFonts w:ascii="Arial" w:hAnsi="Arial"/>
                <w:sz w:val="20"/>
              </w:rPr>
              <w:t>Select the preprogrammed protocol: duo inc-</w:t>
            </w:r>
            <w:proofErr w:type="spellStart"/>
            <w:r>
              <w:rPr>
                <w:rFonts w:ascii="Arial" w:hAnsi="Arial"/>
                <w:sz w:val="20"/>
              </w:rPr>
              <w:t>lyse</w:t>
            </w:r>
            <w:proofErr w:type="spellEnd"/>
            <w:r>
              <w:rPr>
                <w:rFonts w:ascii="Arial" w:hAnsi="Arial"/>
                <w:sz w:val="20"/>
              </w:rPr>
              <w:t>-wash-no fix mode and</w:t>
            </w:r>
          </w:p>
          <w:p w:rsidR="004B11E7" w:rsidRDefault="004B11E7" w:rsidP="004B11E7">
            <w:pPr>
              <w:pStyle w:val="Default"/>
              <w:rPr>
                <w:sz w:val="20"/>
                <w:szCs w:val="20"/>
              </w:rPr>
            </w:pPr>
            <w:proofErr w:type="gramStart"/>
            <w:r>
              <w:rPr>
                <w:sz w:val="20"/>
              </w:rPr>
              <w:t>close</w:t>
            </w:r>
            <w:proofErr w:type="gramEnd"/>
            <w:r>
              <w:rPr>
                <w:sz w:val="20"/>
              </w:rPr>
              <w:t xml:space="preserve"> the carousel door to begin processing.  </w:t>
            </w:r>
          </w:p>
        </w:tc>
        <w:tc>
          <w:tcPr>
            <w:tcW w:w="2160" w:type="dxa"/>
            <w:tcBorders>
              <w:bottom w:val="single" w:sz="4" w:space="0" w:color="auto"/>
            </w:tcBorders>
          </w:tcPr>
          <w:p w:rsidR="004B11E7" w:rsidRDefault="004B11E7" w:rsidP="004B11E7">
            <w:pPr>
              <w:jc w:val="left"/>
              <w:rPr>
                <w:rFonts w:ascii="Arial" w:hAnsi="Arial"/>
                <w:sz w:val="20"/>
              </w:rPr>
            </w:pPr>
          </w:p>
        </w:tc>
      </w:tr>
      <w:tr w:rsidR="004B11E7" w:rsidTr="00453FBA">
        <w:tc>
          <w:tcPr>
            <w:tcW w:w="1797" w:type="dxa"/>
            <w:tcBorders>
              <w:top w:val="nil"/>
              <w:left w:val="nil"/>
              <w:bottom w:val="nil"/>
              <w:right w:val="nil"/>
            </w:tcBorders>
          </w:tcPr>
          <w:p w:rsidR="004B11E7" w:rsidRDefault="004B11E7">
            <w:pPr>
              <w:pStyle w:val="Header"/>
              <w:tabs>
                <w:tab w:val="clear" w:pos="4320"/>
                <w:tab w:val="clear" w:pos="8640"/>
              </w:tabs>
            </w:pPr>
          </w:p>
        </w:tc>
        <w:tc>
          <w:tcPr>
            <w:tcW w:w="701" w:type="dxa"/>
            <w:tcBorders>
              <w:left w:val="single" w:sz="4" w:space="0" w:color="auto"/>
              <w:bottom w:val="single" w:sz="4" w:space="0" w:color="auto"/>
            </w:tcBorders>
          </w:tcPr>
          <w:p w:rsidR="004B11E7" w:rsidRDefault="004B11E7" w:rsidP="004B11E7">
            <w:pPr>
              <w:jc w:val="center"/>
              <w:rPr>
                <w:rFonts w:ascii="Arial" w:hAnsi="Arial"/>
                <w:sz w:val="20"/>
              </w:rPr>
            </w:pPr>
            <w:r>
              <w:rPr>
                <w:rFonts w:ascii="Arial" w:hAnsi="Arial"/>
                <w:sz w:val="20"/>
              </w:rPr>
              <w:t>5</w:t>
            </w:r>
          </w:p>
        </w:tc>
        <w:tc>
          <w:tcPr>
            <w:tcW w:w="6592" w:type="dxa"/>
            <w:gridSpan w:val="5"/>
            <w:tcBorders>
              <w:left w:val="single" w:sz="4" w:space="0" w:color="auto"/>
              <w:bottom w:val="single" w:sz="4" w:space="0" w:color="auto"/>
            </w:tcBorders>
          </w:tcPr>
          <w:p w:rsidR="004B11E7" w:rsidRDefault="004B11E7" w:rsidP="004B11E7">
            <w:pPr>
              <w:pStyle w:val="Default"/>
              <w:rPr>
                <w:sz w:val="20"/>
                <w:szCs w:val="20"/>
              </w:rPr>
            </w:pPr>
            <w:r>
              <w:rPr>
                <w:sz w:val="20"/>
                <w:szCs w:val="20"/>
              </w:rPr>
              <w:t xml:space="preserve">Once all tubes in a rack have been fully processed, the green status indicator light goes out, the instrument beeps, and the </w:t>
            </w:r>
            <w:proofErr w:type="spellStart"/>
            <w:r>
              <w:rPr>
                <w:sz w:val="20"/>
                <w:szCs w:val="20"/>
              </w:rPr>
              <w:t>touchscreen</w:t>
            </w:r>
            <w:proofErr w:type="spellEnd"/>
            <w:r>
              <w:rPr>
                <w:sz w:val="20"/>
                <w:szCs w:val="20"/>
              </w:rPr>
              <w:t xml:space="preserve"> displays the message </w:t>
            </w:r>
            <w:r>
              <w:rPr>
                <w:i/>
                <w:iCs/>
                <w:sz w:val="20"/>
                <w:szCs w:val="20"/>
              </w:rPr>
              <w:t xml:space="preserve">REMOVE CAROUSEL RACK </w:t>
            </w:r>
            <w:r>
              <w:rPr>
                <w:sz w:val="20"/>
                <w:szCs w:val="20"/>
              </w:rPr>
              <w:t xml:space="preserve">and </w:t>
            </w:r>
            <w:r>
              <w:rPr>
                <w:i/>
                <w:iCs/>
                <w:sz w:val="20"/>
                <w:szCs w:val="20"/>
              </w:rPr>
              <w:t xml:space="preserve">RACK DONE. </w:t>
            </w:r>
          </w:p>
        </w:tc>
        <w:tc>
          <w:tcPr>
            <w:tcW w:w="2160" w:type="dxa"/>
            <w:tcBorders>
              <w:bottom w:val="single" w:sz="4" w:space="0" w:color="auto"/>
            </w:tcBorders>
          </w:tcPr>
          <w:p w:rsidR="004B11E7" w:rsidRDefault="004B11E7" w:rsidP="004B11E7">
            <w:pPr>
              <w:jc w:val="left"/>
              <w:rPr>
                <w:rFonts w:ascii="Arial" w:hAnsi="Arial"/>
                <w:sz w:val="20"/>
              </w:rPr>
            </w:pPr>
          </w:p>
        </w:tc>
      </w:tr>
      <w:tr w:rsidR="004B11E7" w:rsidTr="00453FBA">
        <w:tc>
          <w:tcPr>
            <w:tcW w:w="1797" w:type="dxa"/>
            <w:tcBorders>
              <w:top w:val="nil"/>
              <w:left w:val="nil"/>
              <w:bottom w:val="nil"/>
              <w:right w:val="nil"/>
            </w:tcBorders>
          </w:tcPr>
          <w:p w:rsidR="004B11E7" w:rsidRDefault="004B11E7">
            <w:pPr>
              <w:pStyle w:val="Header"/>
              <w:tabs>
                <w:tab w:val="clear" w:pos="4320"/>
                <w:tab w:val="clear" w:pos="8640"/>
              </w:tabs>
            </w:pPr>
          </w:p>
        </w:tc>
        <w:tc>
          <w:tcPr>
            <w:tcW w:w="701" w:type="dxa"/>
            <w:tcBorders>
              <w:left w:val="single" w:sz="4" w:space="0" w:color="auto"/>
              <w:bottom w:val="single" w:sz="4" w:space="0" w:color="auto"/>
            </w:tcBorders>
          </w:tcPr>
          <w:p w:rsidR="004B11E7" w:rsidRDefault="004B11E7" w:rsidP="004B11E7">
            <w:pPr>
              <w:jc w:val="center"/>
              <w:rPr>
                <w:rFonts w:ascii="Arial" w:hAnsi="Arial"/>
                <w:sz w:val="20"/>
              </w:rPr>
            </w:pPr>
            <w:r>
              <w:rPr>
                <w:rFonts w:ascii="Arial" w:hAnsi="Arial"/>
                <w:sz w:val="20"/>
              </w:rPr>
              <w:t>6</w:t>
            </w:r>
          </w:p>
        </w:tc>
        <w:tc>
          <w:tcPr>
            <w:tcW w:w="6592" w:type="dxa"/>
            <w:gridSpan w:val="5"/>
            <w:tcBorders>
              <w:left w:val="single" w:sz="4" w:space="0" w:color="auto"/>
              <w:bottom w:val="single" w:sz="4" w:space="0" w:color="auto"/>
            </w:tcBorders>
          </w:tcPr>
          <w:p w:rsidR="004B11E7" w:rsidRPr="003F4FE4" w:rsidRDefault="004B11E7" w:rsidP="004B11E7">
            <w:pPr>
              <w:pStyle w:val="Default"/>
              <w:rPr>
                <w:sz w:val="20"/>
                <w:szCs w:val="20"/>
              </w:rPr>
            </w:pPr>
            <w:r w:rsidRPr="003F4FE4">
              <w:rPr>
                <w:sz w:val="20"/>
                <w:szCs w:val="20"/>
              </w:rPr>
              <w:t xml:space="preserve">Analyze prepared samples on the FACS Canto II flow </w:t>
            </w:r>
            <w:proofErr w:type="spellStart"/>
            <w:r w:rsidRPr="003F4FE4">
              <w:rPr>
                <w:sz w:val="20"/>
                <w:szCs w:val="20"/>
              </w:rPr>
              <w:t>cytometer</w:t>
            </w:r>
            <w:proofErr w:type="spellEnd"/>
            <w:r>
              <w:rPr>
                <w:sz w:val="20"/>
                <w:szCs w:val="20"/>
              </w:rPr>
              <w:t>.</w:t>
            </w:r>
          </w:p>
        </w:tc>
        <w:tc>
          <w:tcPr>
            <w:tcW w:w="2160" w:type="dxa"/>
            <w:tcBorders>
              <w:bottom w:val="single" w:sz="4" w:space="0" w:color="auto"/>
            </w:tcBorders>
          </w:tcPr>
          <w:p w:rsidR="004B11E7" w:rsidRDefault="004B11E7" w:rsidP="004B11E7">
            <w:pPr>
              <w:jc w:val="left"/>
              <w:rPr>
                <w:rFonts w:ascii="Arial" w:hAnsi="Arial"/>
                <w:sz w:val="20"/>
              </w:rPr>
            </w:pPr>
          </w:p>
        </w:tc>
      </w:tr>
      <w:tr w:rsidR="004B11E7" w:rsidTr="00453FBA">
        <w:tc>
          <w:tcPr>
            <w:tcW w:w="1797" w:type="dxa"/>
            <w:tcBorders>
              <w:top w:val="nil"/>
              <w:left w:val="nil"/>
              <w:bottom w:val="nil"/>
              <w:right w:val="nil"/>
            </w:tcBorders>
          </w:tcPr>
          <w:p w:rsidR="004B11E7" w:rsidRDefault="00453FBA">
            <w:pPr>
              <w:pStyle w:val="Header"/>
              <w:tabs>
                <w:tab w:val="clear" w:pos="4320"/>
                <w:tab w:val="clear" w:pos="8640"/>
              </w:tabs>
            </w:pPr>
            <w:r>
              <w:rPr>
                <w:rFonts w:ascii="Arial" w:hAnsi="Arial"/>
                <w:b/>
                <w:color w:val="0000FF"/>
                <w:sz w:val="20"/>
              </w:rPr>
              <w:t>Data Collection</w:t>
            </w:r>
          </w:p>
        </w:tc>
        <w:tc>
          <w:tcPr>
            <w:tcW w:w="701" w:type="dxa"/>
            <w:tcBorders>
              <w:left w:val="single" w:sz="4" w:space="0" w:color="auto"/>
              <w:bottom w:val="single" w:sz="4" w:space="0" w:color="auto"/>
            </w:tcBorders>
          </w:tcPr>
          <w:p w:rsidR="004B11E7" w:rsidRPr="00453FBA" w:rsidRDefault="00453FBA" w:rsidP="007F05AB">
            <w:pPr>
              <w:pStyle w:val="Default"/>
              <w:jc w:val="center"/>
              <w:rPr>
                <w:b/>
                <w:bCs/>
                <w:sz w:val="20"/>
                <w:szCs w:val="20"/>
              </w:rPr>
            </w:pPr>
            <w:r w:rsidRPr="00453FBA">
              <w:rPr>
                <w:b/>
                <w:bCs/>
                <w:sz w:val="20"/>
                <w:szCs w:val="20"/>
              </w:rPr>
              <w:t>Step</w:t>
            </w:r>
          </w:p>
        </w:tc>
        <w:tc>
          <w:tcPr>
            <w:tcW w:w="6592" w:type="dxa"/>
            <w:gridSpan w:val="5"/>
            <w:tcBorders>
              <w:left w:val="single" w:sz="4" w:space="0" w:color="auto"/>
              <w:bottom w:val="single" w:sz="4" w:space="0" w:color="auto"/>
            </w:tcBorders>
          </w:tcPr>
          <w:p w:rsidR="004B11E7" w:rsidRPr="00453FBA" w:rsidRDefault="00453FBA" w:rsidP="00453FBA">
            <w:pPr>
              <w:pStyle w:val="Default"/>
              <w:jc w:val="center"/>
              <w:rPr>
                <w:b/>
                <w:sz w:val="20"/>
                <w:szCs w:val="20"/>
              </w:rPr>
            </w:pPr>
            <w:r w:rsidRPr="00453FBA">
              <w:rPr>
                <w:b/>
                <w:sz w:val="20"/>
                <w:szCs w:val="20"/>
              </w:rPr>
              <w:t>Action</w:t>
            </w:r>
          </w:p>
        </w:tc>
        <w:tc>
          <w:tcPr>
            <w:tcW w:w="2160" w:type="dxa"/>
            <w:tcBorders>
              <w:bottom w:val="single" w:sz="4" w:space="0" w:color="auto"/>
            </w:tcBorders>
          </w:tcPr>
          <w:p w:rsidR="004B11E7" w:rsidRPr="00453FBA" w:rsidRDefault="00453FBA" w:rsidP="00C43854">
            <w:pPr>
              <w:pStyle w:val="Default"/>
              <w:rPr>
                <w:b/>
                <w:sz w:val="20"/>
              </w:rPr>
            </w:pPr>
            <w:r>
              <w:rPr>
                <w:b/>
                <w:sz w:val="20"/>
              </w:rPr>
              <w:t xml:space="preserve">Related </w:t>
            </w:r>
            <w:r w:rsidRPr="00453FBA">
              <w:rPr>
                <w:b/>
                <w:sz w:val="20"/>
              </w:rPr>
              <w:t>Documents</w:t>
            </w:r>
          </w:p>
        </w:tc>
      </w:tr>
      <w:tr w:rsidR="004B11E7" w:rsidTr="00453FBA">
        <w:tc>
          <w:tcPr>
            <w:tcW w:w="1797" w:type="dxa"/>
            <w:tcBorders>
              <w:top w:val="nil"/>
              <w:left w:val="nil"/>
              <w:bottom w:val="nil"/>
              <w:right w:val="nil"/>
            </w:tcBorders>
          </w:tcPr>
          <w:p w:rsidR="004B11E7" w:rsidRDefault="004B11E7">
            <w:pPr>
              <w:pStyle w:val="Header"/>
              <w:tabs>
                <w:tab w:val="clear" w:pos="4320"/>
                <w:tab w:val="clear" w:pos="8640"/>
              </w:tabs>
            </w:pPr>
          </w:p>
        </w:tc>
        <w:tc>
          <w:tcPr>
            <w:tcW w:w="701" w:type="dxa"/>
            <w:tcBorders>
              <w:left w:val="single" w:sz="4" w:space="0" w:color="auto"/>
              <w:bottom w:val="single" w:sz="4" w:space="0" w:color="auto"/>
            </w:tcBorders>
          </w:tcPr>
          <w:p w:rsidR="004B11E7" w:rsidRDefault="00453FBA" w:rsidP="007F05AB">
            <w:pPr>
              <w:pStyle w:val="Default"/>
              <w:jc w:val="center"/>
              <w:rPr>
                <w:bCs/>
                <w:sz w:val="20"/>
                <w:szCs w:val="20"/>
              </w:rPr>
            </w:pPr>
            <w:r>
              <w:rPr>
                <w:bCs/>
                <w:sz w:val="20"/>
                <w:szCs w:val="20"/>
              </w:rPr>
              <w:t>1</w:t>
            </w:r>
          </w:p>
        </w:tc>
        <w:tc>
          <w:tcPr>
            <w:tcW w:w="6592" w:type="dxa"/>
            <w:gridSpan w:val="5"/>
            <w:tcBorders>
              <w:left w:val="single" w:sz="4" w:space="0" w:color="auto"/>
              <w:bottom w:val="single" w:sz="4" w:space="0" w:color="auto"/>
            </w:tcBorders>
          </w:tcPr>
          <w:p w:rsidR="004B11E7" w:rsidRPr="00E1273C" w:rsidRDefault="009A5607" w:rsidP="00E1273C">
            <w:pPr>
              <w:rPr>
                <w:rFonts w:ascii="Arial" w:hAnsi="Arial" w:cs="Arial"/>
                <w:bCs/>
                <w:sz w:val="20"/>
              </w:rPr>
            </w:pPr>
            <w:r>
              <w:rPr>
                <w:rFonts w:ascii="Arial" w:hAnsi="Arial" w:cs="Arial"/>
                <w:bCs/>
                <w:sz w:val="20"/>
              </w:rPr>
              <w:t>In the Browser, highlight your login name. From the Main Menu, select Experiment</w:t>
            </w:r>
            <w:r w:rsidR="00C735AC">
              <w:rPr>
                <w:rFonts w:ascii="Arial" w:hAnsi="Arial" w:cs="Arial"/>
                <w:bCs/>
                <w:sz w:val="20"/>
              </w:rPr>
              <w:t xml:space="preserve">→ New Experiment→ General→ </w:t>
            </w:r>
            <w:proofErr w:type="spellStart"/>
            <w:r w:rsidR="00C735AC">
              <w:rPr>
                <w:rFonts w:ascii="Arial" w:hAnsi="Arial" w:cs="Arial"/>
                <w:bCs/>
                <w:sz w:val="20"/>
              </w:rPr>
              <w:t>Rituximab</w:t>
            </w:r>
            <w:proofErr w:type="spellEnd"/>
            <w:r w:rsidR="00C735AC">
              <w:rPr>
                <w:rFonts w:ascii="Arial" w:hAnsi="Arial" w:cs="Arial"/>
                <w:bCs/>
                <w:sz w:val="20"/>
              </w:rPr>
              <w:t xml:space="preserve"> Panel.</w:t>
            </w:r>
          </w:p>
        </w:tc>
        <w:tc>
          <w:tcPr>
            <w:tcW w:w="2160" w:type="dxa"/>
            <w:tcBorders>
              <w:bottom w:val="single" w:sz="4" w:space="0" w:color="auto"/>
            </w:tcBorders>
          </w:tcPr>
          <w:p w:rsidR="004B11E7" w:rsidRDefault="004B11E7" w:rsidP="00C43854">
            <w:pPr>
              <w:pStyle w:val="Default"/>
              <w:rPr>
                <w:sz w:val="20"/>
              </w:rPr>
            </w:pPr>
          </w:p>
        </w:tc>
      </w:tr>
      <w:tr w:rsidR="004B11E7" w:rsidTr="00453FBA">
        <w:tc>
          <w:tcPr>
            <w:tcW w:w="1797" w:type="dxa"/>
            <w:tcBorders>
              <w:top w:val="nil"/>
              <w:left w:val="nil"/>
              <w:bottom w:val="nil"/>
              <w:right w:val="nil"/>
            </w:tcBorders>
          </w:tcPr>
          <w:p w:rsidR="004B11E7" w:rsidRDefault="004B11E7">
            <w:pPr>
              <w:pStyle w:val="Header"/>
              <w:tabs>
                <w:tab w:val="clear" w:pos="4320"/>
                <w:tab w:val="clear" w:pos="8640"/>
              </w:tabs>
            </w:pPr>
          </w:p>
        </w:tc>
        <w:tc>
          <w:tcPr>
            <w:tcW w:w="701" w:type="dxa"/>
            <w:tcBorders>
              <w:left w:val="single" w:sz="4" w:space="0" w:color="auto"/>
              <w:bottom w:val="single" w:sz="4" w:space="0" w:color="auto"/>
            </w:tcBorders>
          </w:tcPr>
          <w:p w:rsidR="004B11E7" w:rsidRDefault="00E1273C" w:rsidP="007F05AB">
            <w:pPr>
              <w:pStyle w:val="Default"/>
              <w:jc w:val="center"/>
              <w:rPr>
                <w:bCs/>
                <w:sz w:val="20"/>
                <w:szCs w:val="20"/>
              </w:rPr>
            </w:pPr>
            <w:r>
              <w:rPr>
                <w:bCs/>
                <w:sz w:val="20"/>
                <w:szCs w:val="20"/>
              </w:rPr>
              <w:t>2</w:t>
            </w:r>
          </w:p>
        </w:tc>
        <w:tc>
          <w:tcPr>
            <w:tcW w:w="6592" w:type="dxa"/>
            <w:gridSpan w:val="5"/>
            <w:tcBorders>
              <w:left w:val="single" w:sz="4" w:space="0" w:color="auto"/>
              <w:bottom w:val="single" w:sz="4" w:space="0" w:color="auto"/>
            </w:tcBorders>
          </w:tcPr>
          <w:p w:rsidR="004B11E7" w:rsidRDefault="00C735AC">
            <w:pPr>
              <w:pStyle w:val="Default"/>
              <w:rPr>
                <w:sz w:val="20"/>
                <w:szCs w:val="20"/>
              </w:rPr>
            </w:pPr>
            <w:r>
              <w:rPr>
                <w:bCs/>
                <w:sz w:val="20"/>
              </w:rPr>
              <w:t xml:space="preserve">Rename experiment with patient last </w:t>
            </w:r>
            <w:proofErr w:type="spellStart"/>
            <w:r>
              <w:rPr>
                <w:bCs/>
                <w:sz w:val="20"/>
              </w:rPr>
              <w:t>name_first</w:t>
            </w:r>
            <w:proofErr w:type="spellEnd"/>
            <w:r>
              <w:rPr>
                <w:bCs/>
                <w:sz w:val="20"/>
              </w:rPr>
              <w:t xml:space="preserve"> </w:t>
            </w:r>
            <w:proofErr w:type="spellStart"/>
            <w:r>
              <w:rPr>
                <w:bCs/>
                <w:sz w:val="20"/>
              </w:rPr>
              <w:t>name_accession</w:t>
            </w:r>
            <w:proofErr w:type="spellEnd"/>
            <w:r>
              <w:rPr>
                <w:bCs/>
                <w:sz w:val="20"/>
              </w:rPr>
              <w:t xml:space="preserve"> </w:t>
            </w:r>
            <w:proofErr w:type="spellStart"/>
            <w:r>
              <w:rPr>
                <w:bCs/>
                <w:sz w:val="20"/>
              </w:rPr>
              <w:t>number_hospital</w:t>
            </w:r>
            <w:proofErr w:type="spellEnd"/>
            <w:r>
              <w:rPr>
                <w:bCs/>
                <w:sz w:val="20"/>
              </w:rPr>
              <w:t xml:space="preserve"> </w:t>
            </w:r>
            <w:proofErr w:type="spellStart"/>
            <w:r>
              <w:rPr>
                <w:bCs/>
                <w:sz w:val="20"/>
              </w:rPr>
              <w:t>number_DOB</w:t>
            </w:r>
            <w:proofErr w:type="spellEnd"/>
            <w:r>
              <w:rPr>
                <w:bCs/>
                <w:sz w:val="20"/>
              </w:rPr>
              <w:t>. The experiment will be archived and organized by this name.</w:t>
            </w:r>
          </w:p>
        </w:tc>
        <w:tc>
          <w:tcPr>
            <w:tcW w:w="2160" w:type="dxa"/>
            <w:tcBorders>
              <w:bottom w:val="single" w:sz="4" w:space="0" w:color="auto"/>
            </w:tcBorders>
          </w:tcPr>
          <w:p w:rsidR="004B11E7" w:rsidRDefault="004B11E7" w:rsidP="00C43854">
            <w:pPr>
              <w:pStyle w:val="Default"/>
              <w:rPr>
                <w:sz w:val="20"/>
              </w:rPr>
            </w:pPr>
          </w:p>
        </w:tc>
      </w:tr>
      <w:tr w:rsidR="009A5607" w:rsidTr="00453FBA">
        <w:tc>
          <w:tcPr>
            <w:tcW w:w="1797" w:type="dxa"/>
            <w:tcBorders>
              <w:top w:val="nil"/>
              <w:left w:val="nil"/>
              <w:bottom w:val="nil"/>
              <w:right w:val="nil"/>
            </w:tcBorders>
          </w:tcPr>
          <w:p w:rsidR="009A5607" w:rsidRDefault="009A5607">
            <w:pPr>
              <w:pStyle w:val="Header"/>
              <w:tabs>
                <w:tab w:val="clear" w:pos="4320"/>
                <w:tab w:val="clear" w:pos="8640"/>
              </w:tabs>
            </w:pPr>
          </w:p>
        </w:tc>
        <w:tc>
          <w:tcPr>
            <w:tcW w:w="701" w:type="dxa"/>
            <w:tcBorders>
              <w:left w:val="single" w:sz="4" w:space="0" w:color="auto"/>
              <w:bottom w:val="single" w:sz="4" w:space="0" w:color="auto"/>
            </w:tcBorders>
          </w:tcPr>
          <w:p w:rsidR="009A5607" w:rsidRDefault="00E1273C" w:rsidP="007F05AB">
            <w:pPr>
              <w:pStyle w:val="Default"/>
              <w:jc w:val="center"/>
              <w:rPr>
                <w:bCs/>
                <w:sz w:val="20"/>
                <w:szCs w:val="20"/>
              </w:rPr>
            </w:pPr>
            <w:r>
              <w:rPr>
                <w:bCs/>
                <w:sz w:val="20"/>
                <w:szCs w:val="20"/>
              </w:rPr>
              <w:t>3</w:t>
            </w:r>
          </w:p>
        </w:tc>
        <w:tc>
          <w:tcPr>
            <w:tcW w:w="6592" w:type="dxa"/>
            <w:gridSpan w:val="5"/>
            <w:tcBorders>
              <w:left w:val="single" w:sz="4" w:space="0" w:color="auto"/>
              <w:bottom w:val="single" w:sz="4" w:space="0" w:color="auto"/>
            </w:tcBorders>
          </w:tcPr>
          <w:p w:rsidR="009A5607" w:rsidRDefault="00C735AC" w:rsidP="00C735AC">
            <w:pPr>
              <w:pStyle w:val="Default"/>
              <w:rPr>
                <w:bCs/>
                <w:sz w:val="20"/>
              </w:rPr>
            </w:pPr>
            <w:r>
              <w:rPr>
                <w:bCs/>
                <w:sz w:val="20"/>
              </w:rPr>
              <w:t xml:space="preserve">Right click on </w:t>
            </w:r>
            <w:proofErr w:type="spellStart"/>
            <w:r>
              <w:rPr>
                <w:bCs/>
                <w:sz w:val="20"/>
              </w:rPr>
              <w:t>Cytometer</w:t>
            </w:r>
            <w:proofErr w:type="spellEnd"/>
            <w:r>
              <w:rPr>
                <w:bCs/>
                <w:sz w:val="20"/>
              </w:rPr>
              <w:t xml:space="preserve"> Settings (directly under the experiment name) and choose “link setup.” Choose the current 4 color compensation and click “Link”.</w:t>
            </w:r>
          </w:p>
        </w:tc>
        <w:tc>
          <w:tcPr>
            <w:tcW w:w="2160" w:type="dxa"/>
            <w:tcBorders>
              <w:bottom w:val="single" w:sz="4" w:space="0" w:color="auto"/>
            </w:tcBorders>
          </w:tcPr>
          <w:p w:rsidR="009A5607" w:rsidRDefault="009A5607" w:rsidP="00C43854">
            <w:pPr>
              <w:pStyle w:val="Default"/>
              <w:rPr>
                <w:sz w:val="20"/>
              </w:rPr>
            </w:pPr>
          </w:p>
        </w:tc>
      </w:tr>
      <w:tr w:rsidR="00C735AC" w:rsidTr="00453FBA">
        <w:tc>
          <w:tcPr>
            <w:tcW w:w="1797" w:type="dxa"/>
            <w:tcBorders>
              <w:top w:val="nil"/>
              <w:left w:val="nil"/>
              <w:bottom w:val="nil"/>
              <w:right w:val="nil"/>
            </w:tcBorders>
          </w:tcPr>
          <w:p w:rsidR="00C735AC" w:rsidRDefault="00C735AC">
            <w:pPr>
              <w:pStyle w:val="Header"/>
              <w:tabs>
                <w:tab w:val="clear" w:pos="4320"/>
                <w:tab w:val="clear" w:pos="8640"/>
              </w:tabs>
            </w:pPr>
          </w:p>
        </w:tc>
        <w:tc>
          <w:tcPr>
            <w:tcW w:w="701" w:type="dxa"/>
            <w:tcBorders>
              <w:left w:val="single" w:sz="4" w:space="0" w:color="auto"/>
              <w:bottom w:val="single" w:sz="4" w:space="0" w:color="auto"/>
            </w:tcBorders>
          </w:tcPr>
          <w:p w:rsidR="00C735AC" w:rsidRDefault="00E1273C" w:rsidP="007F05AB">
            <w:pPr>
              <w:pStyle w:val="Default"/>
              <w:jc w:val="center"/>
              <w:rPr>
                <w:bCs/>
                <w:sz w:val="20"/>
                <w:szCs w:val="20"/>
              </w:rPr>
            </w:pPr>
            <w:r>
              <w:rPr>
                <w:bCs/>
                <w:sz w:val="20"/>
                <w:szCs w:val="20"/>
              </w:rPr>
              <w:t>4</w:t>
            </w:r>
          </w:p>
        </w:tc>
        <w:tc>
          <w:tcPr>
            <w:tcW w:w="6592" w:type="dxa"/>
            <w:gridSpan w:val="5"/>
            <w:tcBorders>
              <w:left w:val="single" w:sz="4" w:space="0" w:color="auto"/>
              <w:bottom w:val="single" w:sz="4" w:space="0" w:color="auto"/>
            </w:tcBorders>
          </w:tcPr>
          <w:p w:rsidR="00C735AC" w:rsidRPr="00C735AC" w:rsidRDefault="00C735AC" w:rsidP="00C735AC">
            <w:pPr>
              <w:rPr>
                <w:rFonts w:ascii="Arial" w:hAnsi="Arial"/>
                <w:sz w:val="20"/>
              </w:rPr>
            </w:pPr>
            <w:r>
              <w:rPr>
                <w:rFonts w:ascii="Arial" w:hAnsi="Arial" w:cs="Arial"/>
                <w:bCs/>
                <w:sz w:val="20"/>
              </w:rPr>
              <w:t xml:space="preserve">Click on plus sign to expand the specimen and view the tubes. Click on pointer next to the first tube to select it. In the </w:t>
            </w:r>
            <w:proofErr w:type="spellStart"/>
            <w:r>
              <w:rPr>
                <w:rFonts w:ascii="Arial" w:hAnsi="Arial" w:cs="Arial"/>
                <w:bCs/>
                <w:sz w:val="20"/>
              </w:rPr>
              <w:t>Acquistion</w:t>
            </w:r>
            <w:proofErr w:type="spellEnd"/>
            <w:r>
              <w:rPr>
                <w:rFonts w:ascii="Arial" w:hAnsi="Arial" w:cs="Arial"/>
                <w:bCs/>
                <w:sz w:val="20"/>
              </w:rPr>
              <w:t xml:space="preserve"> Dashboard window, click Acquire.</w:t>
            </w:r>
          </w:p>
        </w:tc>
        <w:tc>
          <w:tcPr>
            <w:tcW w:w="2160" w:type="dxa"/>
            <w:tcBorders>
              <w:bottom w:val="single" w:sz="4" w:space="0" w:color="auto"/>
            </w:tcBorders>
          </w:tcPr>
          <w:p w:rsidR="00C735AC" w:rsidRDefault="00C735AC" w:rsidP="00C43854">
            <w:pPr>
              <w:pStyle w:val="Default"/>
              <w:rPr>
                <w:sz w:val="20"/>
              </w:rPr>
            </w:pPr>
          </w:p>
        </w:tc>
      </w:tr>
      <w:tr w:rsidR="00C735AC" w:rsidTr="00453FBA">
        <w:tc>
          <w:tcPr>
            <w:tcW w:w="1797" w:type="dxa"/>
            <w:tcBorders>
              <w:top w:val="nil"/>
              <w:left w:val="nil"/>
              <w:bottom w:val="nil"/>
              <w:right w:val="nil"/>
            </w:tcBorders>
          </w:tcPr>
          <w:p w:rsidR="00C735AC" w:rsidRDefault="00C735AC">
            <w:pPr>
              <w:pStyle w:val="Header"/>
              <w:tabs>
                <w:tab w:val="clear" w:pos="4320"/>
                <w:tab w:val="clear" w:pos="8640"/>
              </w:tabs>
            </w:pPr>
          </w:p>
        </w:tc>
        <w:tc>
          <w:tcPr>
            <w:tcW w:w="701" w:type="dxa"/>
            <w:tcBorders>
              <w:left w:val="single" w:sz="4" w:space="0" w:color="auto"/>
              <w:bottom w:val="single" w:sz="4" w:space="0" w:color="auto"/>
            </w:tcBorders>
          </w:tcPr>
          <w:p w:rsidR="00C735AC" w:rsidRDefault="00E1273C" w:rsidP="007F05AB">
            <w:pPr>
              <w:pStyle w:val="Default"/>
              <w:jc w:val="center"/>
              <w:rPr>
                <w:bCs/>
                <w:sz w:val="20"/>
                <w:szCs w:val="20"/>
              </w:rPr>
            </w:pPr>
            <w:r>
              <w:rPr>
                <w:bCs/>
                <w:sz w:val="20"/>
                <w:szCs w:val="20"/>
              </w:rPr>
              <w:t>5</w:t>
            </w:r>
          </w:p>
        </w:tc>
        <w:tc>
          <w:tcPr>
            <w:tcW w:w="6592" w:type="dxa"/>
            <w:gridSpan w:val="5"/>
            <w:tcBorders>
              <w:left w:val="single" w:sz="4" w:space="0" w:color="auto"/>
              <w:bottom w:val="single" w:sz="4" w:space="0" w:color="auto"/>
            </w:tcBorders>
          </w:tcPr>
          <w:p w:rsidR="00C735AC" w:rsidRDefault="00C735AC" w:rsidP="00C735AC">
            <w:pPr>
              <w:pStyle w:val="Default"/>
              <w:rPr>
                <w:bCs/>
                <w:sz w:val="20"/>
              </w:rPr>
            </w:pPr>
            <w:r>
              <w:rPr>
                <w:sz w:val="20"/>
              </w:rPr>
              <w:t xml:space="preserve">Adjust the gate around the lymphocytes as necessary. </w:t>
            </w:r>
            <w:r w:rsidR="00E1273C">
              <w:rPr>
                <w:sz w:val="20"/>
              </w:rPr>
              <w:t>Click Record when ready to accumulate patient data.</w:t>
            </w:r>
          </w:p>
        </w:tc>
        <w:tc>
          <w:tcPr>
            <w:tcW w:w="2160" w:type="dxa"/>
            <w:tcBorders>
              <w:bottom w:val="single" w:sz="4" w:space="0" w:color="auto"/>
            </w:tcBorders>
          </w:tcPr>
          <w:p w:rsidR="00C735AC" w:rsidRDefault="00076172" w:rsidP="00C43854">
            <w:pPr>
              <w:pStyle w:val="Default"/>
              <w:rPr>
                <w:sz w:val="20"/>
              </w:rPr>
            </w:pPr>
            <w:hyperlink r:id="rId12" w:history="1">
              <w:r w:rsidR="00C735AC" w:rsidRPr="00C735AC">
                <w:rPr>
                  <w:rStyle w:val="Hyperlink"/>
                  <w:sz w:val="20"/>
                </w:rPr>
                <w:t xml:space="preserve">FLO 2.1 CD45 Gating Flow </w:t>
              </w:r>
              <w:proofErr w:type="spellStart"/>
              <w:r w:rsidR="00C735AC" w:rsidRPr="00C735AC">
                <w:rPr>
                  <w:rStyle w:val="Hyperlink"/>
                  <w:sz w:val="20"/>
                </w:rPr>
                <w:t>Cytometric</w:t>
              </w:r>
              <w:proofErr w:type="spellEnd"/>
              <w:r w:rsidR="00C735AC" w:rsidRPr="00C735AC">
                <w:rPr>
                  <w:rStyle w:val="Hyperlink"/>
                  <w:sz w:val="20"/>
                </w:rPr>
                <w:t xml:space="preserve"> Analysis</w:t>
              </w:r>
            </w:hyperlink>
          </w:p>
        </w:tc>
      </w:tr>
      <w:tr w:rsidR="00C735AC" w:rsidTr="00453FBA">
        <w:tc>
          <w:tcPr>
            <w:tcW w:w="1797" w:type="dxa"/>
            <w:tcBorders>
              <w:top w:val="nil"/>
              <w:left w:val="nil"/>
              <w:bottom w:val="nil"/>
              <w:right w:val="nil"/>
            </w:tcBorders>
          </w:tcPr>
          <w:p w:rsidR="00C735AC" w:rsidRDefault="00C735AC">
            <w:pPr>
              <w:pStyle w:val="Header"/>
              <w:tabs>
                <w:tab w:val="clear" w:pos="4320"/>
                <w:tab w:val="clear" w:pos="8640"/>
              </w:tabs>
            </w:pPr>
          </w:p>
        </w:tc>
        <w:tc>
          <w:tcPr>
            <w:tcW w:w="701" w:type="dxa"/>
            <w:tcBorders>
              <w:left w:val="single" w:sz="4" w:space="0" w:color="auto"/>
              <w:bottom w:val="single" w:sz="4" w:space="0" w:color="auto"/>
            </w:tcBorders>
          </w:tcPr>
          <w:p w:rsidR="00C735AC" w:rsidRDefault="00E1273C" w:rsidP="007F05AB">
            <w:pPr>
              <w:pStyle w:val="Default"/>
              <w:jc w:val="center"/>
              <w:rPr>
                <w:bCs/>
                <w:sz w:val="20"/>
                <w:szCs w:val="20"/>
              </w:rPr>
            </w:pPr>
            <w:r>
              <w:rPr>
                <w:bCs/>
                <w:sz w:val="20"/>
                <w:szCs w:val="20"/>
              </w:rPr>
              <w:t>6</w:t>
            </w:r>
          </w:p>
        </w:tc>
        <w:tc>
          <w:tcPr>
            <w:tcW w:w="6592" w:type="dxa"/>
            <w:gridSpan w:val="5"/>
            <w:tcBorders>
              <w:left w:val="single" w:sz="4" w:space="0" w:color="auto"/>
              <w:bottom w:val="single" w:sz="4" w:space="0" w:color="auto"/>
            </w:tcBorders>
          </w:tcPr>
          <w:p w:rsidR="00C735AC" w:rsidRDefault="00C735AC" w:rsidP="00C735AC">
            <w:pPr>
              <w:pStyle w:val="Default"/>
              <w:rPr>
                <w:bCs/>
                <w:sz w:val="20"/>
              </w:rPr>
            </w:pPr>
            <w:r>
              <w:rPr>
                <w:bCs/>
                <w:sz w:val="20"/>
              </w:rPr>
              <w:t xml:space="preserve">Print a hard copy of the scatter worksheet.  </w:t>
            </w:r>
          </w:p>
        </w:tc>
        <w:tc>
          <w:tcPr>
            <w:tcW w:w="2160" w:type="dxa"/>
            <w:tcBorders>
              <w:bottom w:val="single" w:sz="4" w:space="0" w:color="auto"/>
            </w:tcBorders>
          </w:tcPr>
          <w:p w:rsidR="00C735AC" w:rsidRDefault="00C735AC" w:rsidP="00C43854">
            <w:pPr>
              <w:pStyle w:val="Default"/>
              <w:rPr>
                <w:sz w:val="20"/>
              </w:rPr>
            </w:pPr>
          </w:p>
        </w:tc>
      </w:tr>
      <w:tr w:rsidR="004B11E7" w:rsidTr="00453FBA">
        <w:trPr>
          <w:cantSplit/>
          <w:trHeight w:val="541"/>
        </w:trPr>
        <w:tc>
          <w:tcPr>
            <w:tcW w:w="1797" w:type="dxa"/>
            <w:tcBorders>
              <w:top w:val="nil"/>
              <w:left w:val="nil"/>
              <w:bottom w:val="nil"/>
              <w:right w:val="nil"/>
            </w:tcBorders>
          </w:tcPr>
          <w:p w:rsidR="004B11E7" w:rsidRDefault="004B11E7">
            <w:pPr>
              <w:rPr>
                <w:rFonts w:ascii="Arial" w:hAnsi="Arial"/>
                <w:b/>
                <w:color w:val="0000FF"/>
                <w:sz w:val="20"/>
              </w:rPr>
            </w:pPr>
            <w:r>
              <w:rPr>
                <w:rFonts w:ascii="Arial" w:hAnsi="Arial"/>
                <w:b/>
                <w:color w:val="0000FF"/>
                <w:sz w:val="20"/>
              </w:rPr>
              <w:lastRenderedPageBreak/>
              <w:br w:type="page"/>
            </w:r>
          </w:p>
          <w:p w:rsidR="004B11E7" w:rsidRDefault="004B11E7">
            <w:pPr>
              <w:rPr>
                <w:rFonts w:ascii="Arial" w:hAnsi="Arial"/>
                <w:b/>
                <w:color w:val="0000FF"/>
                <w:sz w:val="20"/>
              </w:rPr>
            </w:pPr>
            <w:r>
              <w:rPr>
                <w:rFonts w:ascii="Arial" w:hAnsi="Arial"/>
                <w:b/>
                <w:color w:val="0000FF"/>
                <w:sz w:val="20"/>
              </w:rPr>
              <w:t>Interpretation</w:t>
            </w: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r>
              <w:rPr>
                <w:rFonts w:ascii="Arial" w:hAnsi="Arial"/>
                <w:b/>
                <w:color w:val="0000FF"/>
                <w:sz w:val="20"/>
              </w:rPr>
              <w:t>Procedure Notes</w:t>
            </w:r>
          </w:p>
        </w:tc>
        <w:tc>
          <w:tcPr>
            <w:tcW w:w="9453" w:type="dxa"/>
            <w:gridSpan w:val="7"/>
            <w:tcBorders>
              <w:top w:val="single" w:sz="4" w:space="0" w:color="auto"/>
              <w:left w:val="nil"/>
              <w:bottom w:val="single" w:sz="4" w:space="0" w:color="auto"/>
              <w:right w:val="nil"/>
            </w:tcBorders>
          </w:tcPr>
          <w:p w:rsidR="004B11E7" w:rsidRDefault="004B11E7">
            <w:pPr>
              <w:jc w:val="left"/>
              <w:rPr>
                <w:rFonts w:ascii="Arial" w:hAnsi="Arial"/>
                <w:color w:val="FF0000"/>
                <w:sz w:val="20"/>
              </w:rPr>
            </w:pPr>
          </w:p>
          <w:p w:rsidR="004B11E7" w:rsidRPr="008D5266" w:rsidRDefault="00076172">
            <w:pPr>
              <w:jc w:val="left"/>
              <w:rPr>
                <w:rFonts w:ascii="Arial" w:hAnsi="Arial"/>
                <w:color w:val="FF0000"/>
                <w:sz w:val="20"/>
              </w:rPr>
            </w:pPr>
            <w:hyperlink r:id="rId13" w:history="1">
              <w:r w:rsidR="004B11E7" w:rsidRPr="007456B2">
                <w:rPr>
                  <w:rStyle w:val="Hyperlink"/>
                  <w:rFonts w:ascii="Arial" w:hAnsi="Arial"/>
                  <w:sz w:val="20"/>
                </w:rPr>
                <w:t>Document-G-Pediatric-Peripheral-Blood-Normal-Ranges-T-and-B-cells.pdf</w:t>
              </w:r>
            </w:hyperlink>
          </w:p>
          <w:p w:rsidR="004B11E7" w:rsidRDefault="004B11E7">
            <w:pPr>
              <w:jc w:val="left"/>
              <w:rPr>
                <w:rFonts w:ascii="Arial" w:hAnsi="Arial"/>
                <w:sz w:val="20"/>
              </w:rPr>
            </w:pPr>
          </w:p>
          <w:p w:rsidR="004B11E7" w:rsidRDefault="004B11E7">
            <w:pPr>
              <w:jc w:val="left"/>
              <w:rPr>
                <w:rFonts w:ascii="Arial" w:hAnsi="Arial"/>
                <w:sz w:val="20"/>
              </w:rPr>
            </w:pPr>
          </w:p>
          <w:p w:rsidR="004B11E7" w:rsidRDefault="004B11E7">
            <w:pPr>
              <w:jc w:val="left"/>
              <w:rPr>
                <w:rFonts w:ascii="Arial" w:hAnsi="Arial"/>
                <w:sz w:val="20"/>
              </w:rPr>
            </w:pPr>
            <w:r>
              <w:rPr>
                <w:rFonts w:ascii="Arial" w:hAnsi="Arial"/>
                <w:sz w:val="20"/>
              </w:rPr>
              <w:t>1. Disease relapse occurs in about 50% of patients either at the time that B-cell numbers increase to pretreatment levels or within 3 months, while in other cases clinical relapse can be delayed for years.</w:t>
            </w:r>
          </w:p>
          <w:p w:rsidR="004B11E7" w:rsidRDefault="004B11E7">
            <w:pPr>
              <w:jc w:val="left"/>
              <w:rPr>
                <w:rFonts w:ascii="Arial" w:hAnsi="Arial"/>
                <w:sz w:val="20"/>
              </w:rPr>
            </w:pPr>
          </w:p>
          <w:p w:rsidR="004B11E7" w:rsidRDefault="004B11E7">
            <w:pPr>
              <w:jc w:val="left"/>
              <w:rPr>
                <w:rFonts w:ascii="Arial" w:hAnsi="Arial"/>
                <w:sz w:val="20"/>
              </w:rPr>
            </w:pPr>
            <w:r>
              <w:rPr>
                <w:rFonts w:ascii="Arial" w:hAnsi="Arial"/>
                <w:sz w:val="20"/>
              </w:rPr>
              <w:t xml:space="preserve">2. Additional </w:t>
            </w:r>
            <w:proofErr w:type="spellStart"/>
            <w:r>
              <w:rPr>
                <w:rFonts w:ascii="Arial" w:hAnsi="Arial"/>
                <w:sz w:val="20"/>
              </w:rPr>
              <w:t>Rituximab</w:t>
            </w:r>
            <w:proofErr w:type="spellEnd"/>
            <w:r>
              <w:rPr>
                <w:rFonts w:ascii="Arial" w:hAnsi="Arial"/>
                <w:sz w:val="20"/>
              </w:rPr>
              <w:t xml:space="preserve"> courses can induce subsequent remission. Multiple </w:t>
            </w:r>
            <w:proofErr w:type="spellStart"/>
            <w:r>
              <w:rPr>
                <w:rFonts w:ascii="Arial" w:hAnsi="Arial"/>
                <w:sz w:val="20"/>
              </w:rPr>
              <w:t>Rituximab</w:t>
            </w:r>
            <w:proofErr w:type="spellEnd"/>
            <w:r>
              <w:rPr>
                <w:rFonts w:ascii="Arial" w:hAnsi="Arial"/>
                <w:sz w:val="20"/>
              </w:rPr>
              <w:t xml:space="preserve"> courses are often associated with progressive decrease in circulating </w:t>
            </w:r>
            <w:proofErr w:type="spellStart"/>
            <w:r>
              <w:rPr>
                <w:rFonts w:ascii="Arial" w:hAnsi="Arial"/>
                <w:sz w:val="20"/>
              </w:rPr>
              <w:t>IgM</w:t>
            </w:r>
            <w:proofErr w:type="spellEnd"/>
            <w:r>
              <w:rPr>
                <w:rFonts w:ascii="Arial" w:hAnsi="Arial"/>
                <w:sz w:val="20"/>
              </w:rPr>
              <w:t xml:space="preserve"> and </w:t>
            </w:r>
            <w:proofErr w:type="spellStart"/>
            <w:r>
              <w:rPr>
                <w:rFonts w:ascii="Arial" w:hAnsi="Arial"/>
                <w:sz w:val="20"/>
              </w:rPr>
              <w:t>IgG</w:t>
            </w:r>
            <w:proofErr w:type="spellEnd"/>
            <w:r>
              <w:rPr>
                <w:rFonts w:ascii="Arial" w:hAnsi="Arial"/>
                <w:sz w:val="20"/>
              </w:rPr>
              <w:t xml:space="preserve"> levels. </w:t>
            </w:r>
          </w:p>
          <w:p w:rsidR="004B11E7" w:rsidRDefault="004B11E7">
            <w:pPr>
              <w:jc w:val="left"/>
              <w:rPr>
                <w:rFonts w:ascii="Arial" w:hAnsi="Arial"/>
                <w:sz w:val="20"/>
              </w:rPr>
            </w:pPr>
          </w:p>
          <w:p w:rsidR="004B11E7" w:rsidRPr="00203665" w:rsidRDefault="004B11E7" w:rsidP="00203665">
            <w:pPr>
              <w:jc w:val="left"/>
              <w:rPr>
                <w:rFonts w:ascii="Arial" w:hAnsi="Arial"/>
                <w:sz w:val="20"/>
              </w:rPr>
            </w:pPr>
            <w:r>
              <w:rPr>
                <w:rFonts w:ascii="Arial" w:hAnsi="Arial"/>
                <w:sz w:val="20"/>
              </w:rPr>
              <w:t xml:space="preserve">3. Not all CD20+ B-cells are equally affected by </w:t>
            </w:r>
            <w:proofErr w:type="spellStart"/>
            <w:r>
              <w:rPr>
                <w:rFonts w:ascii="Arial" w:hAnsi="Arial"/>
                <w:sz w:val="20"/>
              </w:rPr>
              <w:t>Rituximab</w:t>
            </w:r>
            <w:proofErr w:type="spellEnd"/>
            <w:r>
              <w:rPr>
                <w:rFonts w:ascii="Arial" w:hAnsi="Arial"/>
                <w:sz w:val="20"/>
              </w:rPr>
              <w:t xml:space="preserve"> treatment. B-cells located in the peritoneal cavity are surprisingly resistant to depletion. While these B-cells express normal CD20 densities and are bound by CD20 monoclonal antibody, only about 50% of these cells are depleted. These location dependent sensitivities to CD20 monoclonal antibody mediated depletion could have significant consequences for therapy and may be the reason of the heterogeneity of results in human clinical t</w:t>
            </w:r>
            <w:r w:rsidR="00203665">
              <w:rPr>
                <w:rFonts w:ascii="Arial" w:hAnsi="Arial"/>
                <w:sz w:val="20"/>
              </w:rPr>
              <w:t xml:space="preserve">rials.  </w:t>
            </w:r>
          </w:p>
          <w:p w:rsidR="004B11E7" w:rsidRDefault="004B11E7">
            <w:pPr>
              <w:jc w:val="left"/>
              <w:rPr>
                <w:rFonts w:ascii="Arial" w:hAnsi="Arial"/>
                <w:sz w:val="20"/>
              </w:rPr>
            </w:pPr>
          </w:p>
          <w:p w:rsidR="004B11E7" w:rsidRDefault="004B11E7">
            <w:pPr>
              <w:pStyle w:val="TableText"/>
              <w:autoSpaceDE/>
              <w:autoSpaceDN/>
              <w:rPr>
                <w:rFonts w:ascii="Arial" w:hAnsi="Arial"/>
              </w:rPr>
            </w:pPr>
          </w:p>
        </w:tc>
      </w:tr>
      <w:tr w:rsidR="004B11E7" w:rsidTr="00453FBA">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7" w:type="dxa"/>
            <w:tcBorders>
              <w:top w:val="nil"/>
              <w:left w:val="nil"/>
              <w:bottom w:val="nil"/>
            </w:tcBorders>
          </w:tcPr>
          <w:p w:rsidR="004B11E7" w:rsidRDefault="004B11E7">
            <w:pPr>
              <w:rPr>
                <w:rFonts w:ascii="Arial" w:hAnsi="Arial"/>
                <w:b/>
                <w:color w:val="0000FF"/>
                <w:sz w:val="20"/>
              </w:rPr>
            </w:pPr>
          </w:p>
          <w:p w:rsidR="004B11E7" w:rsidRDefault="004B11E7">
            <w:pPr>
              <w:rPr>
                <w:rFonts w:ascii="Arial" w:hAnsi="Arial"/>
                <w:b/>
                <w:color w:val="0000FF"/>
                <w:sz w:val="20"/>
              </w:rPr>
            </w:pPr>
            <w:r>
              <w:rPr>
                <w:rFonts w:ascii="Arial" w:hAnsi="Arial"/>
                <w:b/>
                <w:color w:val="0000FF"/>
                <w:sz w:val="20"/>
              </w:rPr>
              <w:t>Calculations/</w:t>
            </w:r>
          </w:p>
          <w:p w:rsidR="004B11E7" w:rsidRDefault="004B11E7">
            <w:pPr>
              <w:rPr>
                <w:rFonts w:ascii="Arial" w:hAnsi="Arial"/>
                <w:b/>
                <w:color w:val="0000FF"/>
                <w:sz w:val="20"/>
              </w:rPr>
            </w:pPr>
            <w:r>
              <w:rPr>
                <w:rFonts w:ascii="Arial" w:hAnsi="Arial"/>
                <w:b/>
                <w:color w:val="0000FF"/>
                <w:sz w:val="20"/>
              </w:rPr>
              <w:t>Result Reporting</w:t>
            </w: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p>
          <w:p w:rsidR="004B11E7" w:rsidRDefault="004B11E7">
            <w:pPr>
              <w:rPr>
                <w:rFonts w:ascii="Arial" w:hAnsi="Arial"/>
                <w:b/>
                <w:color w:val="0000FF"/>
                <w:sz w:val="20"/>
              </w:rPr>
            </w:pPr>
            <w:r>
              <w:rPr>
                <w:rFonts w:ascii="Arial" w:hAnsi="Arial"/>
                <w:b/>
                <w:color w:val="0000FF"/>
                <w:sz w:val="20"/>
              </w:rPr>
              <w:t>References</w:t>
            </w:r>
          </w:p>
          <w:p w:rsidR="004B11E7" w:rsidRDefault="004B11E7">
            <w:pPr>
              <w:rPr>
                <w:rFonts w:ascii="Arial" w:hAnsi="Arial"/>
                <w:b/>
                <w:color w:val="0000FF"/>
                <w:sz w:val="20"/>
              </w:rPr>
            </w:pPr>
          </w:p>
        </w:tc>
        <w:tc>
          <w:tcPr>
            <w:tcW w:w="9453" w:type="dxa"/>
            <w:gridSpan w:val="7"/>
            <w:tcBorders>
              <w:top w:val="single" w:sz="4" w:space="0" w:color="auto"/>
              <w:bottom w:val="single" w:sz="4" w:space="0" w:color="auto"/>
              <w:right w:val="nil"/>
            </w:tcBorders>
          </w:tcPr>
          <w:p w:rsidR="004B11E7" w:rsidRDefault="004B11E7">
            <w:pPr>
              <w:pStyle w:val="Default"/>
              <w:rPr>
                <w:sz w:val="20"/>
                <w:szCs w:val="20"/>
              </w:rPr>
            </w:pPr>
          </w:p>
          <w:p w:rsidR="004B11E7" w:rsidRDefault="004B11E7" w:rsidP="004B11E7">
            <w:pPr>
              <w:rPr>
                <w:rFonts w:ascii="Arial" w:hAnsi="Arial"/>
                <w:sz w:val="20"/>
              </w:rPr>
            </w:pPr>
            <w:r>
              <w:rPr>
                <w:rFonts w:ascii="Arial" w:hAnsi="Arial"/>
                <w:sz w:val="20"/>
              </w:rPr>
              <w:t>1.  The EDTA sample must have a WBC and Differential counted by Hematology in order to calculate the absolute values for each marker.</w:t>
            </w:r>
          </w:p>
          <w:p w:rsidR="004B11E7" w:rsidRDefault="004B11E7" w:rsidP="004B11E7">
            <w:pPr>
              <w:rPr>
                <w:rFonts w:ascii="Arial" w:hAnsi="Arial"/>
                <w:sz w:val="20"/>
              </w:rPr>
            </w:pPr>
            <w:r>
              <w:rPr>
                <w:rFonts w:ascii="Arial" w:hAnsi="Arial"/>
                <w:sz w:val="20"/>
              </w:rPr>
              <w:t>2.  C1920s and CISPs analyzed using CD45-gating must have the absolute values manually calculated.  The following equations are used:</w:t>
            </w:r>
          </w:p>
          <w:p w:rsidR="004B11E7" w:rsidRDefault="004B11E7" w:rsidP="004B11E7">
            <w:pPr>
              <w:rPr>
                <w:rFonts w:ascii="Arial" w:hAnsi="Arial"/>
                <w:sz w:val="20"/>
              </w:rPr>
            </w:pPr>
          </w:p>
          <w:p w:rsidR="004B11E7" w:rsidRDefault="004B11E7" w:rsidP="004B11E7">
            <w:pPr>
              <w:rPr>
                <w:rFonts w:ascii="Arial" w:hAnsi="Arial"/>
                <w:sz w:val="20"/>
              </w:rPr>
            </w:pPr>
            <w:r>
              <w:rPr>
                <w:rFonts w:ascii="Arial" w:hAnsi="Arial"/>
                <w:sz w:val="20"/>
              </w:rPr>
              <w:tab/>
            </w:r>
            <w:r>
              <w:rPr>
                <w:rFonts w:ascii="Arial" w:hAnsi="Arial"/>
                <w:sz w:val="20"/>
              </w:rPr>
              <w:tab/>
              <w:t>Absolute Lymphocytes = WBC x %Lymphocyte</w:t>
            </w:r>
          </w:p>
          <w:p w:rsidR="004B11E7" w:rsidRDefault="004B11E7" w:rsidP="004B11E7">
            <w:pPr>
              <w:rPr>
                <w:rFonts w:ascii="Arial" w:hAnsi="Arial"/>
                <w:sz w:val="20"/>
              </w:rPr>
            </w:pPr>
            <w:r>
              <w:rPr>
                <w:rFonts w:ascii="Arial" w:hAnsi="Arial"/>
                <w:sz w:val="20"/>
              </w:rPr>
              <w:tab/>
            </w:r>
            <w:r>
              <w:rPr>
                <w:rFonts w:ascii="Arial" w:hAnsi="Arial"/>
                <w:sz w:val="20"/>
              </w:rPr>
              <w:tab/>
            </w:r>
            <w:r>
              <w:rPr>
                <w:rFonts w:ascii="Arial" w:hAnsi="Arial"/>
                <w:sz w:val="20"/>
              </w:rPr>
              <w:tab/>
              <w:t xml:space="preserve">e.g.  </w:t>
            </w:r>
            <w:r>
              <w:rPr>
                <w:rFonts w:ascii="Arial" w:hAnsi="Arial"/>
                <w:sz w:val="20"/>
              </w:rPr>
              <w:tab/>
              <w:t>WBC - 5.0 K/</w:t>
            </w:r>
            <w:r>
              <w:rPr>
                <w:rFonts w:ascii="Arial" w:hAnsi="Arial" w:cs="Arial"/>
                <w:sz w:val="20"/>
              </w:rPr>
              <w:t xml:space="preserve"> </w:t>
            </w:r>
            <w:proofErr w:type="spellStart"/>
            <w:r>
              <w:rPr>
                <w:rFonts w:ascii="Arial" w:hAnsi="Arial" w:cs="Arial"/>
                <w:sz w:val="20"/>
              </w:rPr>
              <w:t>μ</w:t>
            </w:r>
            <w:r>
              <w:rPr>
                <w:rFonts w:ascii="Arial" w:hAnsi="Arial"/>
                <w:sz w:val="20"/>
              </w:rPr>
              <w:t>L</w:t>
            </w:r>
            <w:proofErr w:type="spellEnd"/>
            <w:r>
              <w:rPr>
                <w:rFonts w:ascii="Arial" w:hAnsi="Arial"/>
                <w:sz w:val="20"/>
              </w:rPr>
              <w:t>, %L = 35</w:t>
            </w:r>
          </w:p>
          <w:p w:rsidR="004B11E7" w:rsidRDefault="004B11E7" w:rsidP="004B11E7">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5000 X 0.35 = 1750 (Absolute Lymph count)</w:t>
            </w:r>
          </w:p>
          <w:p w:rsidR="004B11E7" w:rsidRDefault="004B11E7" w:rsidP="004B11E7">
            <w:pPr>
              <w:rPr>
                <w:rFonts w:ascii="Arial" w:hAnsi="Arial"/>
                <w:sz w:val="20"/>
              </w:rPr>
            </w:pPr>
          </w:p>
          <w:p w:rsidR="004B11E7" w:rsidRDefault="004B11E7" w:rsidP="004B11E7">
            <w:pPr>
              <w:rPr>
                <w:rFonts w:ascii="Arial" w:hAnsi="Arial"/>
                <w:sz w:val="20"/>
              </w:rPr>
            </w:pPr>
            <w:r>
              <w:rPr>
                <w:rFonts w:ascii="Arial" w:hAnsi="Arial"/>
                <w:sz w:val="20"/>
              </w:rPr>
              <w:tab/>
            </w:r>
            <w:r>
              <w:rPr>
                <w:rFonts w:ascii="Arial" w:hAnsi="Arial"/>
                <w:sz w:val="20"/>
              </w:rPr>
              <w:tab/>
              <w:t xml:space="preserve">Absolute CD subset = Absolute </w:t>
            </w:r>
            <w:proofErr w:type="spellStart"/>
            <w:r>
              <w:rPr>
                <w:rFonts w:ascii="Arial" w:hAnsi="Arial"/>
                <w:sz w:val="20"/>
              </w:rPr>
              <w:t>Lymphs</w:t>
            </w:r>
            <w:proofErr w:type="spellEnd"/>
            <w:r>
              <w:rPr>
                <w:rFonts w:ascii="Arial" w:hAnsi="Arial"/>
                <w:sz w:val="20"/>
              </w:rPr>
              <w:t xml:space="preserve"> x % CD subset</w:t>
            </w:r>
          </w:p>
          <w:p w:rsidR="004B11E7" w:rsidRDefault="004B11E7" w:rsidP="004B11E7">
            <w:pPr>
              <w:rPr>
                <w:rFonts w:ascii="Arial" w:hAnsi="Arial"/>
                <w:sz w:val="20"/>
              </w:rPr>
            </w:pPr>
            <w:r>
              <w:rPr>
                <w:rFonts w:ascii="Arial" w:hAnsi="Arial"/>
                <w:sz w:val="20"/>
              </w:rPr>
              <w:tab/>
            </w:r>
            <w:r>
              <w:rPr>
                <w:rFonts w:ascii="Arial" w:hAnsi="Arial"/>
                <w:sz w:val="20"/>
              </w:rPr>
              <w:tab/>
            </w:r>
            <w:r>
              <w:rPr>
                <w:rFonts w:ascii="Arial" w:hAnsi="Arial"/>
                <w:sz w:val="20"/>
              </w:rPr>
              <w:tab/>
              <w:t>e.g.</w:t>
            </w:r>
            <w:r>
              <w:rPr>
                <w:rFonts w:ascii="Arial" w:hAnsi="Arial"/>
                <w:sz w:val="20"/>
              </w:rPr>
              <w:tab/>
              <w:t>CD3 = 70%</w:t>
            </w:r>
          </w:p>
          <w:p w:rsidR="004B11E7" w:rsidRDefault="004B11E7" w:rsidP="004B11E7">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1750 x 0.70 = 1225 (Absolute CD3 count)</w:t>
            </w:r>
          </w:p>
          <w:p w:rsidR="004B11E7" w:rsidRDefault="004B11E7" w:rsidP="004B11E7">
            <w:pPr>
              <w:rPr>
                <w:rFonts w:ascii="Arial" w:hAnsi="Arial"/>
                <w:sz w:val="20"/>
              </w:rPr>
            </w:pPr>
          </w:p>
          <w:p w:rsidR="004B11E7" w:rsidRDefault="00E1273C" w:rsidP="004B11E7">
            <w:pPr>
              <w:rPr>
                <w:rFonts w:ascii="Arial" w:hAnsi="Arial"/>
                <w:sz w:val="20"/>
              </w:rPr>
            </w:pPr>
            <w:r>
              <w:rPr>
                <w:rFonts w:ascii="Arial" w:hAnsi="Arial"/>
                <w:sz w:val="20"/>
              </w:rPr>
              <w:t xml:space="preserve">3.   All manual </w:t>
            </w:r>
            <w:r w:rsidR="004B11E7">
              <w:rPr>
                <w:rFonts w:ascii="Arial" w:hAnsi="Arial"/>
                <w:sz w:val="20"/>
              </w:rPr>
              <w:t>calculations must</w:t>
            </w:r>
            <w:r>
              <w:rPr>
                <w:rFonts w:ascii="Arial" w:hAnsi="Arial"/>
                <w:sz w:val="20"/>
              </w:rPr>
              <w:t xml:space="preserve"> be checked by another tech, </w:t>
            </w:r>
            <w:r w:rsidR="004B11E7">
              <w:rPr>
                <w:rFonts w:ascii="Arial" w:hAnsi="Arial"/>
                <w:sz w:val="20"/>
              </w:rPr>
              <w:t xml:space="preserve">designated by a </w:t>
            </w:r>
            <w:r w:rsidR="004B11E7">
              <w:rPr>
                <w:rFonts w:ascii="Arial" w:hAnsi="Arial" w:cs="Arial"/>
                <w:sz w:val="20"/>
              </w:rPr>
              <w:t xml:space="preserve">√ </w:t>
            </w:r>
            <w:r w:rsidR="004B11E7">
              <w:rPr>
                <w:rFonts w:ascii="Arial" w:hAnsi="Arial"/>
                <w:sz w:val="20"/>
              </w:rPr>
              <w:t>and initialed.  Results should also be reviewed for correct entry into the computer.</w:t>
            </w:r>
          </w:p>
          <w:p w:rsidR="004B11E7" w:rsidRDefault="004B11E7">
            <w:pPr>
              <w:pStyle w:val="Default"/>
              <w:rPr>
                <w:sz w:val="20"/>
                <w:szCs w:val="20"/>
              </w:rPr>
            </w:pPr>
            <w:r>
              <w:rPr>
                <w:sz w:val="20"/>
                <w:szCs w:val="20"/>
              </w:rPr>
              <w:t xml:space="preserve">4.   Enter results (percent and absolute) for CD3, CD19, </w:t>
            </w:r>
            <w:r w:rsidR="00E1273C">
              <w:rPr>
                <w:sz w:val="20"/>
                <w:szCs w:val="20"/>
              </w:rPr>
              <w:t xml:space="preserve">and </w:t>
            </w:r>
            <w:r>
              <w:rPr>
                <w:sz w:val="20"/>
                <w:szCs w:val="20"/>
              </w:rPr>
              <w:t xml:space="preserve">CD20 in </w:t>
            </w:r>
            <w:proofErr w:type="spellStart"/>
            <w:r>
              <w:rPr>
                <w:sz w:val="20"/>
                <w:szCs w:val="20"/>
              </w:rPr>
              <w:t>Sunquest</w:t>
            </w:r>
            <w:proofErr w:type="spellEnd"/>
            <w:r>
              <w:rPr>
                <w:sz w:val="20"/>
                <w:szCs w:val="20"/>
              </w:rPr>
              <w:t xml:space="preserve">. If there is a population positive for both CD19 and CD20, indicate the percentage of dual positive lymphocytes in the COM1 field with a </w:t>
            </w:r>
            <w:proofErr w:type="spellStart"/>
            <w:r>
              <w:rPr>
                <w:sz w:val="20"/>
                <w:szCs w:val="20"/>
              </w:rPr>
              <w:t>freetext</w:t>
            </w:r>
            <w:proofErr w:type="spellEnd"/>
            <w:r>
              <w:rPr>
                <w:sz w:val="20"/>
                <w:szCs w:val="20"/>
              </w:rPr>
              <w:t xml:space="preserve"> comment.</w:t>
            </w:r>
          </w:p>
          <w:p w:rsidR="004B11E7" w:rsidRDefault="004B11E7">
            <w:pPr>
              <w:pStyle w:val="Default"/>
              <w:rPr>
                <w:sz w:val="20"/>
                <w:szCs w:val="20"/>
              </w:rPr>
            </w:pPr>
          </w:p>
          <w:p w:rsidR="004B11E7" w:rsidRDefault="004B11E7">
            <w:pPr>
              <w:pStyle w:val="Default"/>
              <w:rPr>
                <w:sz w:val="20"/>
                <w:szCs w:val="20"/>
              </w:rPr>
            </w:pPr>
            <w:r>
              <w:rPr>
                <w:sz w:val="20"/>
                <w:szCs w:val="20"/>
              </w:rPr>
              <w:t xml:space="preserve">BD Bioscience </w:t>
            </w:r>
            <w:proofErr w:type="spellStart"/>
            <w:r>
              <w:rPr>
                <w:sz w:val="20"/>
                <w:szCs w:val="20"/>
              </w:rPr>
              <w:t>FACSCanto</w:t>
            </w:r>
            <w:proofErr w:type="spellEnd"/>
            <w:r>
              <w:rPr>
                <w:sz w:val="20"/>
                <w:szCs w:val="20"/>
              </w:rPr>
              <w:t xml:space="preserve"> Training Manual. 23-9575-00 Rev. A. 2007, Becton, Dickinson and Company, San José, CA </w:t>
            </w:r>
          </w:p>
          <w:p w:rsidR="004B11E7" w:rsidRDefault="004B11E7">
            <w:pPr>
              <w:pStyle w:val="Default"/>
              <w:rPr>
                <w:sz w:val="20"/>
                <w:szCs w:val="20"/>
              </w:rPr>
            </w:pPr>
            <w:r>
              <w:rPr>
                <w:sz w:val="20"/>
                <w:szCs w:val="20"/>
              </w:rPr>
              <w:t xml:space="preserve">BD </w:t>
            </w:r>
            <w:proofErr w:type="spellStart"/>
            <w:r>
              <w:rPr>
                <w:sz w:val="20"/>
                <w:szCs w:val="20"/>
              </w:rPr>
              <w:t>FACSLyse</w:t>
            </w:r>
            <w:proofErr w:type="spellEnd"/>
            <w:r>
              <w:rPr>
                <w:sz w:val="20"/>
                <w:szCs w:val="20"/>
              </w:rPr>
              <w:t xml:space="preserve"> Wash Assistant User’s Guide,Rev.23-11113-00 Rev. A ,Becton Dickenson, San José, San José, CA </w:t>
            </w:r>
          </w:p>
          <w:p w:rsidR="004B11E7" w:rsidRPr="007456B2" w:rsidRDefault="004B11E7" w:rsidP="008464B7">
            <w:pPr>
              <w:pStyle w:val="NoSpacing"/>
              <w:rPr>
                <w:rFonts w:ascii="Arial" w:hAnsi="Arial" w:cs="Arial"/>
                <w:sz w:val="20"/>
                <w:szCs w:val="20"/>
              </w:rPr>
            </w:pPr>
          </w:p>
          <w:p w:rsidR="004B11E7" w:rsidRPr="007456B2" w:rsidRDefault="004B11E7" w:rsidP="008464B7">
            <w:pPr>
              <w:pStyle w:val="NoSpacing"/>
              <w:rPr>
                <w:rFonts w:ascii="Arial" w:hAnsi="Arial" w:cs="Arial"/>
                <w:sz w:val="20"/>
                <w:szCs w:val="20"/>
              </w:rPr>
            </w:pPr>
          </w:p>
          <w:p w:rsidR="004B11E7" w:rsidRPr="007456B2" w:rsidRDefault="004B11E7" w:rsidP="008464B7">
            <w:pPr>
              <w:pStyle w:val="NoSpacing"/>
              <w:rPr>
                <w:rFonts w:ascii="Arial" w:hAnsi="Arial" w:cs="Arial"/>
                <w:sz w:val="20"/>
                <w:szCs w:val="20"/>
              </w:rPr>
            </w:pPr>
            <w:r w:rsidRPr="007456B2">
              <w:rPr>
                <w:rFonts w:ascii="Arial" w:hAnsi="Arial" w:cs="Arial"/>
                <w:sz w:val="20"/>
                <w:szCs w:val="20"/>
              </w:rPr>
              <w:t xml:space="preserve">Review article B Cells in Autoimmune Diseases </w:t>
            </w:r>
            <w:proofErr w:type="spellStart"/>
            <w:r w:rsidRPr="007456B2">
              <w:rPr>
                <w:rFonts w:ascii="Arial" w:hAnsi="Arial" w:cs="Arial"/>
                <w:sz w:val="20"/>
                <w:szCs w:val="20"/>
              </w:rPr>
              <w:t>Christiane</w:t>
            </w:r>
            <w:proofErr w:type="spellEnd"/>
            <w:r w:rsidRPr="007456B2">
              <w:rPr>
                <w:rFonts w:ascii="Arial" w:hAnsi="Arial" w:cs="Arial"/>
                <w:sz w:val="20"/>
                <w:szCs w:val="20"/>
              </w:rPr>
              <w:t xml:space="preserve"> S. </w:t>
            </w:r>
            <w:proofErr w:type="spellStart"/>
            <w:r w:rsidRPr="007456B2">
              <w:rPr>
                <w:rFonts w:ascii="Arial" w:hAnsi="Arial" w:cs="Arial"/>
                <w:sz w:val="20"/>
                <w:szCs w:val="20"/>
              </w:rPr>
              <w:t>Hampe</w:t>
            </w:r>
            <w:proofErr w:type="spellEnd"/>
          </w:p>
          <w:p w:rsidR="004B11E7" w:rsidRPr="007456B2" w:rsidRDefault="004B11E7" w:rsidP="008464B7">
            <w:pPr>
              <w:pStyle w:val="NoSpacing"/>
              <w:rPr>
                <w:rFonts w:ascii="Arial" w:hAnsi="Arial" w:cs="Arial"/>
                <w:sz w:val="20"/>
                <w:szCs w:val="20"/>
              </w:rPr>
            </w:pPr>
            <w:r w:rsidRPr="007456B2">
              <w:rPr>
                <w:rFonts w:ascii="Arial" w:hAnsi="Arial" w:cs="Arial"/>
                <w:sz w:val="20"/>
                <w:szCs w:val="20"/>
              </w:rPr>
              <w:t>Department of Medicine, University of Washington, SLU-276, 850 Republican, Seattle WA 98109, USA</w:t>
            </w:r>
          </w:p>
          <w:p w:rsidR="004B11E7" w:rsidRPr="007456B2" w:rsidRDefault="004B11E7" w:rsidP="008464B7">
            <w:pPr>
              <w:pStyle w:val="NoSpacing"/>
              <w:rPr>
                <w:rFonts w:ascii="Arial" w:hAnsi="Arial" w:cs="Arial"/>
                <w:sz w:val="20"/>
                <w:szCs w:val="20"/>
              </w:rPr>
            </w:pPr>
            <w:r w:rsidRPr="007456B2">
              <w:rPr>
                <w:rFonts w:ascii="Arial" w:hAnsi="Arial" w:cs="Arial"/>
                <w:sz w:val="20"/>
                <w:szCs w:val="20"/>
              </w:rPr>
              <w:t>Academic Editors; B.- L. Chiang and R. Klein</w:t>
            </w:r>
          </w:p>
          <w:p w:rsidR="004B11E7" w:rsidRPr="007456B2" w:rsidRDefault="004B11E7" w:rsidP="008464B7">
            <w:pPr>
              <w:pStyle w:val="NoSpacing"/>
              <w:rPr>
                <w:rFonts w:ascii="Arial" w:hAnsi="Arial" w:cs="Arial"/>
              </w:rPr>
            </w:pPr>
            <w:r w:rsidRPr="007456B2">
              <w:rPr>
                <w:rFonts w:ascii="Arial" w:hAnsi="Arial" w:cs="Arial"/>
                <w:sz w:val="20"/>
                <w:szCs w:val="20"/>
              </w:rPr>
              <w:t>Copyright 2012.</w:t>
            </w:r>
          </w:p>
          <w:p w:rsidR="004B11E7" w:rsidRDefault="004B11E7">
            <w:pPr>
              <w:pStyle w:val="Default"/>
              <w:rPr>
                <w:sz w:val="20"/>
                <w:szCs w:val="20"/>
              </w:rPr>
            </w:pPr>
          </w:p>
          <w:p w:rsidR="004B11E7" w:rsidRDefault="004B11E7">
            <w:pPr>
              <w:pStyle w:val="Default"/>
              <w:rPr>
                <w:sz w:val="20"/>
                <w:szCs w:val="20"/>
              </w:rPr>
            </w:pPr>
          </w:p>
        </w:tc>
      </w:tr>
      <w:tr w:rsidR="004B11E7" w:rsidTr="00453FB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tcBorders>
              <w:left w:val="nil"/>
              <w:right w:val="nil"/>
            </w:tcBorders>
          </w:tcPr>
          <w:p w:rsidR="004B11E7" w:rsidRDefault="004B11E7">
            <w:pPr>
              <w:rPr>
                <w:rFonts w:ascii="Arial" w:hAnsi="Arial"/>
                <w:b/>
                <w:color w:val="0000FF"/>
                <w:sz w:val="20"/>
              </w:rPr>
            </w:pPr>
            <w:r>
              <w:rPr>
                <w:rFonts w:ascii="Arial" w:hAnsi="Arial"/>
                <w:b/>
                <w:color w:val="0000FF"/>
                <w:sz w:val="20"/>
              </w:rPr>
              <w:t>Historical Record</w:t>
            </w:r>
          </w:p>
        </w:tc>
        <w:tc>
          <w:tcPr>
            <w:tcW w:w="1440" w:type="dxa"/>
            <w:gridSpan w:val="3"/>
            <w:tcBorders>
              <w:top w:val="single" w:sz="4" w:space="0" w:color="auto"/>
              <w:left w:val="nil"/>
              <w:bottom w:val="single" w:sz="4" w:space="0" w:color="auto"/>
              <w:right w:val="nil"/>
            </w:tcBorders>
          </w:tcPr>
          <w:p w:rsidR="004B11E7" w:rsidRDefault="004B11E7">
            <w:pPr>
              <w:jc w:val="left"/>
              <w:rPr>
                <w:rFonts w:ascii="Arial" w:hAnsi="Arial"/>
                <w:b/>
                <w:sz w:val="20"/>
              </w:rPr>
            </w:pPr>
          </w:p>
        </w:tc>
        <w:tc>
          <w:tcPr>
            <w:tcW w:w="2700" w:type="dxa"/>
            <w:tcBorders>
              <w:top w:val="single" w:sz="4" w:space="0" w:color="auto"/>
              <w:left w:val="nil"/>
              <w:bottom w:val="single" w:sz="4" w:space="0" w:color="auto"/>
              <w:right w:val="nil"/>
            </w:tcBorders>
          </w:tcPr>
          <w:p w:rsidR="004B11E7" w:rsidRDefault="004B11E7">
            <w:pPr>
              <w:jc w:val="left"/>
              <w:rPr>
                <w:rFonts w:ascii="Arial" w:hAnsi="Arial"/>
                <w:b/>
                <w:sz w:val="20"/>
              </w:rPr>
            </w:pPr>
          </w:p>
        </w:tc>
        <w:tc>
          <w:tcPr>
            <w:tcW w:w="1803" w:type="dxa"/>
            <w:tcBorders>
              <w:top w:val="single" w:sz="4" w:space="0" w:color="auto"/>
              <w:left w:val="nil"/>
              <w:bottom w:val="single" w:sz="4" w:space="0" w:color="auto"/>
              <w:right w:val="nil"/>
            </w:tcBorders>
          </w:tcPr>
          <w:p w:rsidR="004B11E7" w:rsidRDefault="004B11E7">
            <w:pPr>
              <w:jc w:val="left"/>
              <w:rPr>
                <w:rFonts w:ascii="Arial" w:hAnsi="Arial"/>
                <w:b/>
                <w:sz w:val="20"/>
              </w:rPr>
            </w:pPr>
          </w:p>
        </w:tc>
        <w:tc>
          <w:tcPr>
            <w:tcW w:w="3510" w:type="dxa"/>
            <w:gridSpan w:val="2"/>
            <w:tcBorders>
              <w:top w:val="single" w:sz="4" w:space="0" w:color="auto"/>
              <w:left w:val="nil"/>
              <w:bottom w:val="single" w:sz="4" w:space="0" w:color="auto"/>
              <w:right w:val="nil"/>
            </w:tcBorders>
          </w:tcPr>
          <w:p w:rsidR="004B11E7" w:rsidRDefault="004B11E7">
            <w:pPr>
              <w:jc w:val="left"/>
              <w:rPr>
                <w:rFonts w:ascii="Arial" w:hAnsi="Arial"/>
                <w:b/>
                <w:sz w:val="20"/>
              </w:rPr>
            </w:pPr>
          </w:p>
        </w:tc>
      </w:tr>
      <w:tr w:rsidR="004B11E7" w:rsidTr="00453FB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vMerge w:val="restart"/>
            <w:tcBorders>
              <w:left w:val="nil"/>
              <w:right w:val="single" w:sz="4" w:space="0" w:color="auto"/>
            </w:tcBorders>
          </w:tcPr>
          <w:p w:rsidR="004B11E7" w:rsidRDefault="004B11E7">
            <w:pPr>
              <w:rPr>
                <w:rFonts w:ascii="Arial" w:hAnsi="Arial"/>
                <w:b/>
                <w:color w:val="0000FF"/>
                <w:sz w:val="20"/>
              </w:rPr>
            </w:pPr>
          </w:p>
        </w:tc>
        <w:tc>
          <w:tcPr>
            <w:tcW w:w="1440" w:type="dxa"/>
            <w:gridSpan w:val="3"/>
            <w:tcBorders>
              <w:top w:val="single" w:sz="4" w:space="0" w:color="auto"/>
              <w:left w:val="single" w:sz="4" w:space="0" w:color="auto"/>
              <w:bottom w:val="single" w:sz="4" w:space="0" w:color="auto"/>
              <w:right w:val="single" w:sz="4" w:space="0" w:color="auto"/>
            </w:tcBorders>
          </w:tcPr>
          <w:p w:rsidR="004B11E7" w:rsidRDefault="004B11E7">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4B11E7" w:rsidRDefault="004B11E7">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4B11E7" w:rsidRDefault="004B11E7">
            <w:pPr>
              <w:rPr>
                <w:rFonts w:ascii="Arial" w:hAnsi="Arial"/>
                <w:b/>
                <w:sz w:val="20"/>
              </w:rPr>
            </w:pPr>
            <w:r>
              <w:rPr>
                <w:rFonts w:ascii="Arial" w:hAnsi="Arial"/>
                <w:b/>
                <w:sz w:val="20"/>
              </w:rPr>
              <w:t>Effective Date:</w:t>
            </w:r>
          </w:p>
        </w:tc>
        <w:tc>
          <w:tcPr>
            <w:tcW w:w="3510" w:type="dxa"/>
            <w:gridSpan w:val="2"/>
            <w:tcBorders>
              <w:top w:val="single" w:sz="4" w:space="0" w:color="auto"/>
              <w:left w:val="single" w:sz="4" w:space="0" w:color="auto"/>
              <w:bottom w:val="single" w:sz="4" w:space="0" w:color="auto"/>
              <w:right w:val="single" w:sz="4" w:space="0" w:color="auto"/>
            </w:tcBorders>
          </w:tcPr>
          <w:p w:rsidR="004B11E7" w:rsidRDefault="004B11E7">
            <w:pPr>
              <w:rPr>
                <w:rFonts w:ascii="Arial" w:hAnsi="Arial"/>
                <w:b/>
                <w:sz w:val="20"/>
              </w:rPr>
            </w:pPr>
            <w:r>
              <w:rPr>
                <w:rFonts w:ascii="Arial" w:hAnsi="Arial"/>
                <w:b/>
                <w:sz w:val="20"/>
              </w:rPr>
              <w:t>Summary of Revisions</w:t>
            </w:r>
          </w:p>
        </w:tc>
      </w:tr>
      <w:tr w:rsidR="004B11E7" w:rsidTr="00E1273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7" w:type="dxa"/>
            <w:vMerge/>
            <w:tcBorders>
              <w:left w:val="nil"/>
              <w:right w:val="single" w:sz="4" w:space="0" w:color="auto"/>
            </w:tcBorders>
          </w:tcPr>
          <w:p w:rsidR="004B11E7" w:rsidRDefault="004B11E7">
            <w:pPr>
              <w:rPr>
                <w:rFonts w:ascii="Arial" w:hAnsi="Arial"/>
                <w:b/>
                <w:color w:val="0000FF"/>
                <w:sz w:val="20"/>
              </w:rPr>
            </w:pPr>
          </w:p>
        </w:tc>
        <w:tc>
          <w:tcPr>
            <w:tcW w:w="1440" w:type="dxa"/>
            <w:gridSpan w:val="3"/>
            <w:tcBorders>
              <w:top w:val="single" w:sz="4" w:space="0" w:color="auto"/>
              <w:left w:val="single" w:sz="4" w:space="0" w:color="auto"/>
              <w:bottom w:val="single" w:sz="4" w:space="0" w:color="auto"/>
              <w:right w:val="single" w:sz="4" w:space="0" w:color="auto"/>
            </w:tcBorders>
          </w:tcPr>
          <w:p w:rsidR="004B11E7" w:rsidRDefault="004B11E7">
            <w:pPr>
              <w:jc w:val="cente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4B11E7" w:rsidRDefault="004B11E7">
            <w:pPr>
              <w:rPr>
                <w:rFonts w:ascii="Arial" w:hAnsi="Arial"/>
                <w:sz w:val="20"/>
              </w:rPr>
            </w:pPr>
            <w:r>
              <w:rPr>
                <w:rFonts w:ascii="Arial" w:hAnsi="Arial"/>
                <w:sz w:val="20"/>
              </w:rPr>
              <w:t>Al Quigley</w:t>
            </w:r>
          </w:p>
        </w:tc>
        <w:tc>
          <w:tcPr>
            <w:tcW w:w="1803" w:type="dxa"/>
            <w:tcBorders>
              <w:top w:val="single" w:sz="4" w:space="0" w:color="auto"/>
              <w:left w:val="single" w:sz="4" w:space="0" w:color="auto"/>
              <w:bottom w:val="single" w:sz="4" w:space="0" w:color="auto"/>
              <w:right w:val="single" w:sz="4" w:space="0" w:color="auto"/>
            </w:tcBorders>
          </w:tcPr>
          <w:p w:rsidR="004B11E7" w:rsidRDefault="004B11E7">
            <w:pPr>
              <w:rPr>
                <w:rFonts w:ascii="Arial" w:hAnsi="Arial"/>
                <w:sz w:val="20"/>
              </w:rPr>
            </w:pPr>
            <w:r>
              <w:rPr>
                <w:rFonts w:ascii="Arial" w:hAnsi="Arial"/>
                <w:sz w:val="20"/>
              </w:rPr>
              <w:t>11/01/17</w:t>
            </w:r>
          </w:p>
        </w:tc>
        <w:tc>
          <w:tcPr>
            <w:tcW w:w="3510" w:type="dxa"/>
            <w:gridSpan w:val="2"/>
            <w:tcBorders>
              <w:top w:val="single" w:sz="4" w:space="0" w:color="auto"/>
              <w:left w:val="single" w:sz="4" w:space="0" w:color="auto"/>
              <w:bottom w:val="single" w:sz="4" w:space="0" w:color="auto"/>
              <w:right w:val="single" w:sz="4" w:space="0" w:color="auto"/>
            </w:tcBorders>
          </w:tcPr>
          <w:p w:rsidR="004B11E7" w:rsidRDefault="004B11E7">
            <w:pPr>
              <w:rPr>
                <w:rFonts w:ascii="Arial" w:hAnsi="Arial"/>
                <w:sz w:val="20"/>
              </w:rPr>
            </w:pPr>
            <w:r>
              <w:rPr>
                <w:rFonts w:ascii="Arial" w:hAnsi="Arial"/>
                <w:sz w:val="20"/>
              </w:rPr>
              <w:t>Initial Version</w:t>
            </w:r>
          </w:p>
        </w:tc>
      </w:tr>
      <w:tr w:rsidR="00E1273C" w:rsidTr="00453FB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7" w:type="dxa"/>
            <w:tcBorders>
              <w:left w:val="nil"/>
              <w:bottom w:val="single" w:sz="4" w:space="0" w:color="auto"/>
              <w:right w:val="single" w:sz="4" w:space="0" w:color="auto"/>
            </w:tcBorders>
          </w:tcPr>
          <w:p w:rsidR="00E1273C" w:rsidRDefault="00E1273C">
            <w:pPr>
              <w:rPr>
                <w:rFonts w:ascii="Arial" w:hAnsi="Arial"/>
                <w:b/>
                <w:color w:val="0000FF"/>
                <w:sz w:val="20"/>
              </w:rPr>
            </w:pPr>
          </w:p>
        </w:tc>
        <w:tc>
          <w:tcPr>
            <w:tcW w:w="1440" w:type="dxa"/>
            <w:gridSpan w:val="3"/>
            <w:tcBorders>
              <w:top w:val="single" w:sz="4" w:space="0" w:color="auto"/>
              <w:left w:val="single" w:sz="4" w:space="0" w:color="auto"/>
              <w:bottom w:val="single" w:sz="4" w:space="0" w:color="auto"/>
              <w:right w:val="single" w:sz="4" w:space="0" w:color="auto"/>
            </w:tcBorders>
          </w:tcPr>
          <w:p w:rsidR="00E1273C" w:rsidRDefault="00E1273C">
            <w:pPr>
              <w:jc w:val="cente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E1273C" w:rsidRDefault="00E1273C">
            <w:pPr>
              <w:rPr>
                <w:rFonts w:ascii="Arial" w:hAnsi="Arial"/>
                <w:sz w:val="20"/>
              </w:rPr>
            </w:pPr>
            <w:r>
              <w:rPr>
                <w:rFonts w:ascii="Arial" w:hAnsi="Arial"/>
                <w:sz w:val="20"/>
              </w:rPr>
              <w:t xml:space="preserve">Amanda </w:t>
            </w:r>
            <w:proofErr w:type="spellStart"/>
            <w:r>
              <w:rPr>
                <w:rFonts w:ascii="Arial" w:hAnsi="Arial"/>
                <w:sz w:val="20"/>
              </w:rPr>
              <w:t>McCaustland</w:t>
            </w:r>
            <w:proofErr w:type="spellEnd"/>
          </w:p>
        </w:tc>
        <w:tc>
          <w:tcPr>
            <w:tcW w:w="1803" w:type="dxa"/>
            <w:tcBorders>
              <w:top w:val="single" w:sz="4" w:space="0" w:color="auto"/>
              <w:left w:val="single" w:sz="4" w:space="0" w:color="auto"/>
              <w:bottom w:val="single" w:sz="4" w:space="0" w:color="auto"/>
              <w:right w:val="single" w:sz="4" w:space="0" w:color="auto"/>
            </w:tcBorders>
          </w:tcPr>
          <w:p w:rsidR="00E1273C" w:rsidRDefault="008F167E">
            <w:pPr>
              <w:rPr>
                <w:rFonts w:ascii="Arial" w:hAnsi="Arial"/>
                <w:sz w:val="20"/>
              </w:rPr>
            </w:pPr>
            <w:r>
              <w:rPr>
                <w:rFonts w:ascii="Arial" w:hAnsi="Arial"/>
                <w:sz w:val="20"/>
              </w:rPr>
              <w:t>9/28</w:t>
            </w:r>
            <w:r w:rsidR="00E1273C">
              <w:rPr>
                <w:rFonts w:ascii="Arial" w:hAnsi="Arial"/>
                <w:sz w:val="20"/>
              </w:rPr>
              <w:t>/2018</w:t>
            </w:r>
          </w:p>
        </w:tc>
        <w:tc>
          <w:tcPr>
            <w:tcW w:w="3510" w:type="dxa"/>
            <w:gridSpan w:val="2"/>
            <w:tcBorders>
              <w:top w:val="single" w:sz="4" w:space="0" w:color="auto"/>
              <w:left w:val="single" w:sz="4" w:space="0" w:color="auto"/>
              <w:bottom w:val="single" w:sz="4" w:space="0" w:color="auto"/>
              <w:right w:val="single" w:sz="4" w:space="0" w:color="auto"/>
            </w:tcBorders>
          </w:tcPr>
          <w:p w:rsidR="00E1273C" w:rsidRDefault="00E1273C">
            <w:pPr>
              <w:rPr>
                <w:rFonts w:ascii="Arial" w:hAnsi="Arial"/>
                <w:sz w:val="20"/>
              </w:rPr>
            </w:pPr>
            <w:r>
              <w:rPr>
                <w:rFonts w:ascii="Arial" w:hAnsi="Arial"/>
                <w:sz w:val="20"/>
              </w:rPr>
              <w:t>Updated metho</w:t>
            </w:r>
            <w:r w:rsidR="00CF18CD">
              <w:rPr>
                <w:rFonts w:ascii="Arial" w:hAnsi="Arial"/>
                <w:sz w:val="20"/>
              </w:rPr>
              <w:t>d from single platform/</w:t>
            </w:r>
            <w:proofErr w:type="spellStart"/>
            <w:r w:rsidR="00CF18CD">
              <w:rPr>
                <w:rFonts w:ascii="Arial" w:hAnsi="Arial"/>
                <w:sz w:val="20"/>
              </w:rPr>
              <w:t>MultiTEST</w:t>
            </w:r>
            <w:proofErr w:type="spellEnd"/>
            <w:r>
              <w:rPr>
                <w:rFonts w:ascii="Arial" w:hAnsi="Arial"/>
                <w:sz w:val="20"/>
              </w:rPr>
              <w:t xml:space="preserve"> to dual platform analysis</w:t>
            </w:r>
          </w:p>
        </w:tc>
      </w:tr>
    </w:tbl>
    <w:p w:rsidR="00B41B7A" w:rsidRDefault="00B41B7A">
      <w:pPr>
        <w:pStyle w:val="Header"/>
        <w:tabs>
          <w:tab w:val="clear" w:pos="4320"/>
          <w:tab w:val="clear" w:pos="8640"/>
        </w:tabs>
        <w:rPr>
          <w:rFonts w:ascii="Arial" w:hAnsi="Arial"/>
        </w:rPr>
      </w:pPr>
    </w:p>
    <w:sectPr w:rsidR="00B41B7A" w:rsidSect="00320F8B">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BEE" w:rsidRDefault="00453BEE">
      <w:r>
        <w:separator/>
      </w:r>
    </w:p>
  </w:endnote>
  <w:endnote w:type="continuationSeparator" w:id="0">
    <w:p w:rsidR="00453BEE" w:rsidRDefault="00453B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3C" w:rsidRDefault="00E1273C">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rsidR="00E1273C" w:rsidRDefault="00E1273C">
    <w:pPr>
      <w:ind w:left="-1260" w:right="-1260"/>
      <w:rPr>
        <w:rFonts w:ascii="Arial" w:hAnsi="Arial"/>
        <w:sz w:val="16"/>
      </w:rPr>
    </w:pPr>
  </w:p>
  <w:p w:rsidR="00E1273C" w:rsidRDefault="00E1273C">
    <w:pPr>
      <w:ind w:left="-1260" w:right="-1260"/>
      <w:rPr>
        <w:rFonts w:ascii="Arial" w:hAnsi="Arial"/>
        <w:sz w:val="16"/>
      </w:rPr>
    </w:pPr>
    <w:r>
      <w:rPr>
        <w:rFonts w:ascii="Arial" w:hAnsi="Arial"/>
        <w:sz w:val="16"/>
      </w:rPr>
      <w:t xml:space="preserve">Page </w:t>
    </w:r>
    <w:r w:rsidR="00076172">
      <w:rPr>
        <w:rFonts w:ascii="Arial" w:hAnsi="Arial"/>
        <w:sz w:val="16"/>
      </w:rPr>
      <w:fldChar w:fldCharType="begin"/>
    </w:r>
    <w:r>
      <w:rPr>
        <w:rFonts w:ascii="Arial" w:hAnsi="Arial"/>
        <w:sz w:val="16"/>
      </w:rPr>
      <w:instrText xml:space="preserve"> PAGE </w:instrText>
    </w:r>
    <w:r w:rsidR="00076172">
      <w:rPr>
        <w:rFonts w:ascii="Arial" w:hAnsi="Arial"/>
        <w:sz w:val="16"/>
      </w:rPr>
      <w:fldChar w:fldCharType="separate"/>
    </w:r>
    <w:r w:rsidR="008F167E">
      <w:rPr>
        <w:rFonts w:ascii="Arial" w:hAnsi="Arial"/>
        <w:noProof/>
        <w:sz w:val="16"/>
      </w:rPr>
      <w:t>1</w:t>
    </w:r>
    <w:r w:rsidR="00076172">
      <w:rPr>
        <w:rFonts w:ascii="Arial" w:hAnsi="Arial"/>
        <w:sz w:val="16"/>
      </w:rPr>
      <w:fldChar w:fldCharType="end"/>
    </w:r>
    <w:r>
      <w:rPr>
        <w:rFonts w:ascii="Arial" w:hAnsi="Arial"/>
        <w:sz w:val="16"/>
      </w:rPr>
      <w:t xml:space="preserve"> of </w:t>
    </w:r>
    <w:r w:rsidR="00076172">
      <w:rPr>
        <w:rFonts w:ascii="Arial" w:hAnsi="Arial"/>
        <w:sz w:val="16"/>
      </w:rPr>
      <w:fldChar w:fldCharType="begin"/>
    </w:r>
    <w:r>
      <w:rPr>
        <w:rFonts w:ascii="Arial" w:hAnsi="Arial"/>
        <w:sz w:val="16"/>
      </w:rPr>
      <w:instrText xml:space="preserve"> NUMPAGES </w:instrText>
    </w:r>
    <w:r w:rsidR="00076172">
      <w:rPr>
        <w:rFonts w:ascii="Arial" w:hAnsi="Arial"/>
        <w:sz w:val="16"/>
      </w:rPr>
      <w:fldChar w:fldCharType="separate"/>
    </w:r>
    <w:r w:rsidR="008F167E">
      <w:rPr>
        <w:rFonts w:ascii="Arial" w:hAnsi="Arial"/>
        <w:noProof/>
        <w:sz w:val="16"/>
      </w:rPr>
      <w:t>5</w:t>
    </w:r>
    <w:r w:rsidR="00076172">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BEE" w:rsidRDefault="00453BEE">
      <w:r>
        <w:separator/>
      </w:r>
    </w:p>
  </w:footnote>
  <w:footnote w:type="continuationSeparator" w:id="0">
    <w:p w:rsidR="00453BEE" w:rsidRDefault="00453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3C" w:rsidRDefault="00230635">
    <w:pPr>
      <w:ind w:left="-1260" w:right="-1260"/>
      <w:rPr>
        <w:rFonts w:ascii="Arial" w:hAnsi="Arial"/>
        <w:sz w:val="18"/>
      </w:rPr>
    </w:pPr>
    <w:r>
      <w:rPr>
        <w:rFonts w:ascii="Arial" w:hAnsi="Arial"/>
        <w:noProof/>
        <w:sz w:val="18"/>
      </w:rPr>
      <w:drawing>
        <wp:anchor distT="0" distB="0" distL="114300" distR="114300" simplePos="0" relativeHeight="251657728" behindDoc="0" locked="0" layoutInCell="1" allowOverlap="1">
          <wp:simplePos x="0" y="0"/>
          <wp:positionH relativeFrom="column">
            <wp:posOffset>4557395</wp:posOffset>
          </wp:positionH>
          <wp:positionV relativeFrom="paragraph">
            <wp:posOffset>-14605</wp:posOffset>
          </wp:positionV>
          <wp:extent cx="1290320" cy="419100"/>
          <wp:effectExtent l="19050" t="0" r="5080" b="0"/>
          <wp:wrapSquare wrapText="bothSides"/>
          <wp:docPr id="4"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E1273C">
      <w:rPr>
        <w:rFonts w:ascii="Arial" w:hAnsi="Arial"/>
        <w:sz w:val="18"/>
      </w:rPr>
      <w:t xml:space="preserve">FLO 1.71 C1920 </w:t>
    </w:r>
    <w:proofErr w:type="spellStart"/>
    <w:r w:rsidR="00E1273C">
      <w:rPr>
        <w:rFonts w:ascii="Arial" w:hAnsi="Arial"/>
        <w:sz w:val="18"/>
      </w:rPr>
      <w:t>Rituximab</w:t>
    </w:r>
    <w:proofErr w:type="spellEnd"/>
    <w:r w:rsidR="00E1273C">
      <w:rPr>
        <w:rFonts w:ascii="Arial" w:hAnsi="Arial"/>
        <w:sz w:val="18"/>
      </w:rPr>
      <w:t xml:space="preserve"> Panel                                                                                                                                       </w:t>
    </w:r>
  </w:p>
  <w:p w:rsidR="00E1273C" w:rsidRDefault="008F167E">
    <w:pPr>
      <w:ind w:left="-1260" w:right="-1260"/>
      <w:rPr>
        <w:sz w:val="18"/>
      </w:rPr>
    </w:pPr>
    <w:r>
      <w:rPr>
        <w:rFonts w:ascii="Arial" w:hAnsi="Arial"/>
        <w:sz w:val="18"/>
      </w:rPr>
      <w:t>Document: # F24 Version 2</w:t>
    </w:r>
    <w:r w:rsidR="00E1273C">
      <w:rPr>
        <w:rFonts w:ascii="Arial" w:hAnsi="Arial"/>
        <w:sz w:val="18"/>
      </w:rPr>
      <w:t xml:space="preserve">  </w:t>
    </w:r>
    <w:r w:rsidR="00E1273C">
      <w:rPr>
        <w:rFonts w:ascii="Arial" w:hAnsi="Arial"/>
        <w:sz w:val="18"/>
      </w:rPr>
      <w:tab/>
    </w:r>
    <w:r w:rsidR="00E1273C">
      <w:rPr>
        <w:sz w:val="18"/>
      </w:rPr>
      <w:t xml:space="preserve"> </w:t>
    </w:r>
  </w:p>
  <w:p w:rsidR="00E1273C" w:rsidRDefault="008F167E">
    <w:pPr>
      <w:ind w:left="-1260" w:right="-1260"/>
      <w:rPr>
        <w:b/>
        <w:sz w:val="18"/>
      </w:rPr>
    </w:pPr>
    <w:r>
      <w:rPr>
        <w:rFonts w:ascii="Arial" w:hAnsi="Arial"/>
        <w:sz w:val="18"/>
      </w:rPr>
      <w:t>Effective Date: 9/28/18</w:t>
    </w:r>
  </w:p>
  <w:p w:rsidR="00E1273C" w:rsidRDefault="00E1273C">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121445C5"/>
    <w:multiLevelType w:val="hybridMultilevel"/>
    <w:tmpl w:val="ADC84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8E0A82"/>
    <w:multiLevelType w:val="hybridMultilevel"/>
    <w:tmpl w:val="3EC8FE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A844712">
      <w:start w:val="3"/>
      <w:numFmt w:val="lowerRoman"/>
      <w:lvlText w:val="%3."/>
      <w:lvlJc w:val="left"/>
      <w:pPr>
        <w:tabs>
          <w:tab w:val="num" w:pos="2700"/>
        </w:tabs>
        <w:ind w:left="2700" w:hanging="720"/>
      </w:pPr>
      <w:rPr>
        <w:rFonts w:hint="default"/>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52480C"/>
    <w:multiLevelType w:val="hybridMultilevel"/>
    <w:tmpl w:val="3E76A56C"/>
    <w:lvl w:ilvl="0" w:tplc="F934D9D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6F97829"/>
    <w:multiLevelType w:val="hybridMultilevel"/>
    <w:tmpl w:val="34502C40"/>
    <w:lvl w:ilvl="0" w:tplc="F5463B1C">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C42D70"/>
    <w:rsid w:val="00032BFF"/>
    <w:rsid w:val="00034C62"/>
    <w:rsid w:val="00035438"/>
    <w:rsid w:val="0005778B"/>
    <w:rsid w:val="00067B6C"/>
    <w:rsid w:val="00076172"/>
    <w:rsid w:val="000A19BF"/>
    <w:rsid w:val="000E4515"/>
    <w:rsid w:val="00124F7D"/>
    <w:rsid w:val="00143D09"/>
    <w:rsid w:val="00157277"/>
    <w:rsid w:val="00186DC1"/>
    <w:rsid w:val="0019403A"/>
    <w:rsid w:val="00196F85"/>
    <w:rsid w:val="001C6695"/>
    <w:rsid w:val="001E234D"/>
    <w:rsid w:val="001E781B"/>
    <w:rsid w:val="00203665"/>
    <w:rsid w:val="00206352"/>
    <w:rsid w:val="00230635"/>
    <w:rsid w:val="00274AA6"/>
    <w:rsid w:val="00277CC3"/>
    <w:rsid w:val="00281949"/>
    <w:rsid w:val="002E26D3"/>
    <w:rsid w:val="002F3178"/>
    <w:rsid w:val="002F74FC"/>
    <w:rsid w:val="00303306"/>
    <w:rsid w:val="00320BE5"/>
    <w:rsid w:val="00320F8B"/>
    <w:rsid w:val="0035125B"/>
    <w:rsid w:val="00351676"/>
    <w:rsid w:val="00380434"/>
    <w:rsid w:val="003B3611"/>
    <w:rsid w:val="003F036B"/>
    <w:rsid w:val="003F25AD"/>
    <w:rsid w:val="003F4FE4"/>
    <w:rsid w:val="003F7445"/>
    <w:rsid w:val="0042235C"/>
    <w:rsid w:val="00453BEE"/>
    <w:rsid w:val="00453FBA"/>
    <w:rsid w:val="00461EDC"/>
    <w:rsid w:val="004964E9"/>
    <w:rsid w:val="004A3661"/>
    <w:rsid w:val="004A5496"/>
    <w:rsid w:val="004B11E7"/>
    <w:rsid w:val="004B5930"/>
    <w:rsid w:val="004F0DD3"/>
    <w:rsid w:val="00507CB5"/>
    <w:rsid w:val="005850B9"/>
    <w:rsid w:val="005B7074"/>
    <w:rsid w:val="005F6D83"/>
    <w:rsid w:val="006677CF"/>
    <w:rsid w:val="00687CFC"/>
    <w:rsid w:val="006A4428"/>
    <w:rsid w:val="006A5E1A"/>
    <w:rsid w:val="006B274F"/>
    <w:rsid w:val="006F158A"/>
    <w:rsid w:val="00722458"/>
    <w:rsid w:val="007456B2"/>
    <w:rsid w:val="00775CA4"/>
    <w:rsid w:val="007A4141"/>
    <w:rsid w:val="007A6DBC"/>
    <w:rsid w:val="007D043E"/>
    <w:rsid w:val="007E3152"/>
    <w:rsid w:val="007F05AB"/>
    <w:rsid w:val="0080463C"/>
    <w:rsid w:val="00823BF6"/>
    <w:rsid w:val="00825CA9"/>
    <w:rsid w:val="008320D0"/>
    <w:rsid w:val="008464B7"/>
    <w:rsid w:val="00846B47"/>
    <w:rsid w:val="008548DD"/>
    <w:rsid w:val="00882EFA"/>
    <w:rsid w:val="0088668C"/>
    <w:rsid w:val="00894E59"/>
    <w:rsid w:val="008A51C8"/>
    <w:rsid w:val="008B23D2"/>
    <w:rsid w:val="008D5266"/>
    <w:rsid w:val="008F167E"/>
    <w:rsid w:val="009215A7"/>
    <w:rsid w:val="00946A6F"/>
    <w:rsid w:val="00956568"/>
    <w:rsid w:val="00973A9C"/>
    <w:rsid w:val="009A5607"/>
    <w:rsid w:val="009C286B"/>
    <w:rsid w:val="009D1551"/>
    <w:rsid w:val="009D5918"/>
    <w:rsid w:val="00A40F87"/>
    <w:rsid w:val="00A4339E"/>
    <w:rsid w:val="00A716CB"/>
    <w:rsid w:val="00A82D6E"/>
    <w:rsid w:val="00A87A6B"/>
    <w:rsid w:val="00A93D6A"/>
    <w:rsid w:val="00AC59F1"/>
    <w:rsid w:val="00AD3F92"/>
    <w:rsid w:val="00AE5E62"/>
    <w:rsid w:val="00B00ECB"/>
    <w:rsid w:val="00B02169"/>
    <w:rsid w:val="00B3424D"/>
    <w:rsid w:val="00B41B7A"/>
    <w:rsid w:val="00BA4A3E"/>
    <w:rsid w:val="00BB0672"/>
    <w:rsid w:val="00C42D70"/>
    <w:rsid w:val="00C43854"/>
    <w:rsid w:val="00C578DC"/>
    <w:rsid w:val="00C735AC"/>
    <w:rsid w:val="00C84161"/>
    <w:rsid w:val="00C86F47"/>
    <w:rsid w:val="00CD2215"/>
    <w:rsid w:val="00CF18CD"/>
    <w:rsid w:val="00D15EE5"/>
    <w:rsid w:val="00D30338"/>
    <w:rsid w:val="00D36CE8"/>
    <w:rsid w:val="00D5100E"/>
    <w:rsid w:val="00DC40B1"/>
    <w:rsid w:val="00DD37B0"/>
    <w:rsid w:val="00DE4336"/>
    <w:rsid w:val="00E1273C"/>
    <w:rsid w:val="00E2691E"/>
    <w:rsid w:val="00E4412F"/>
    <w:rsid w:val="00E6367C"/>
    <w:rsid w:val="00E7060C"/>
    <w:rsid w:val="00EC4B4C"/>
    <w:rsid w:val="00ED4828"/>
    <w:rsid w:val="00EF600F"/>
    <w:rsid w:val="00F01EC1"/>
    <w:rsid w:val="00F27799"/>
    <w:rsid w:val="00F533FF"/>
    <w:rsid w:val="00F81AA5"/>
    <w:rsid w:val="00F914CD"/>
    <w:rsid w:val="00FC35DA"/>
    <w:rsid w:val="00FC6FB0"/>
    <w:rsid w:val="00FD53D6"/>
    <w:rsid w:val="00FE1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8B"/>
    <w:pPr>
      <w:jc w:val="both"/>
    </w:pPr>
    <w:rPr>
      <w:sz w:val="22"/>
      <w:szCs w:val="24"/>
    </w:rPr>
  </w:style>
  <w:style w:type="paragraph" w:styleId="Heading1">
    <w:name w:val="heading 1"/>
    <w:basedOn w:val="Normal"/>
    <w:next w:val="Normal"/>
    <w:qFormat/>
    <w:rsid w:val="00320F8B"/>
    <w:pPr>
      <w:keepNext/>
      <w:numPr>
        <w:numId w:val="1"/>
      </w:numPr>
      <w:outlineLvl w:val="0"/>
    </w:pPr>
    <w:rPr>
      <w:rFonts w:cs="Arial"/>
      <w:b/>
      <w:bCs/>
      <w:kern w:val="32"/>
      <w:sz w:val="26"/>
      <w:szCs w:val="32"/>
    </w:rPr>
  </w:style>
  <w:style w:type="paragraph" w:styleId="Heading2">
    <w:name w:val="heading 2"/>
    <w:basedOn w:val="Normal"/>
    <w:next w:val="Normal"/>
    <w:qFormat/>
    <w:rsid w:val="00320F8B"/>
    <w:pPr>
      <w:keepNext/>
      <w:numPr>
        <w:ilvl w:val="1"/>
        <w:numId w:val="1"/>
      </w:numPr>
      <w:outlineLvl w:val="1"/>
    </w:pPr>
    <w:rPr>
      <w:rFonts w:cs="Arial"/>
      <w:b/>
      <w:bCs/>
      <w:iCs/>
      <w:sz w:val="24"/>
      <w:szCs w:val="28"/>
    </w:rPr>
  </w:style>
  <w:style w:type="paragraph" w:styleId="Heading3">
    <w:name w:val="heading 3"/>
    <w:basedOn w:val="Normal"/>
    <w:next w:val="Normal"/>
    <w:qFormat/>
    <w:rsid w:val="00320F8B"/>
    <w:pPr>
      <w:keepNext/>
      <w:numPr>
        <w:ilvl w:val="2"/>
        <w:numId w:val="1"/>
      </w:numPr>
      <w:outlineLvl w:val="2"/>
    </w:pPr>
    <w:rPr>
      <w:rFonts w:cs="Arial"/>
      <w:b/>
      <w:bCs/>
      <w:szCs w:val="26"/>
    </w:rPr>
  </w:style>
  <w:style w:type="paragraph" w:styleId="Heading4">
    <w:name w:val="heading 4"/>
    <w:aliases w:val="Map Title"/>
    <w:basedOn w:val="Normal"/>
    <w:next w:val="Normal"/>
    <w:qFormat/>
    <w:rsid w:val="00320F8B"/>
    <w:pPr>
      <w:keepNext/>
      <w:numPr>
        <w:ilvl w:val="3"/>
        <w:numId w:val="1"/>
      </w:numPr>
      <w:outlineLvl w:val="3"/>
    </w:pPr>
    <w:rPr>
      <w:bCs/>
      <w:szCs w:val="28"/>
    </w:rPr>
  </w:style>
  <w:style w:type="paragraph" w:styleId="Heading5">
    <w:name w:val="heading 5"/>
    <w:aliases w:val="Block Label"/>
    <w:basedOn w:val="Normal"/>
    <w:next w:val="Normal"/>
    <w:qFormat/>
    <w:rsid w:val="00320F8B"/>
    <w:pPr>
      <w:keepNext/>
      <w:numPr>
        <w:ilvl w:val="4"/>
        <w:numId w:val="1"/>
      </w:numPr>
      <w:spacing w:before="20"/>
      <w:outlineLvl w:val="4"/>
    </w:pPr>
  </w:style>
  <w:style w:type="paragraph" w:styleId="Heading6">
    <w:name w:val="heading 6"/>
    <w:basedOn w:val="Normal"/>
    <w:next w:val="Normal"/>
    <w:qFormat/>
    <w:rsid w:val="00320F8B"/>
    <w:pPr>
      <w:keepNext/>
      <w:numPr>
        <w:ilvl w:val="5"/>
        <w:numId w:val="1"/>
      </w:numPr>
      <w:outlineLvl w:val="5"/>
    </w:pPr>
    <w:rPr>
      <w:b/>
      <w:bCs/>
      <w:sz w:val="18"/>
    </w:rPr>
  </w:style>
  <w:style w:type="paragraph" w:styleId="Heading7">
    <w:name w:val="heading 7"/>
    <w:basedOn w:val="Normal"/>
    <w:next w:val="Normal"/>
    <w:qFormat/>
    <w:rsid w:val="00320F8B"/>
    <w:pPr>
      <w:keepNext/>
      <w:numPr>
        <w:ilvl w:val="6"/>
        <w:numId w:val="1"/>
      </w:numPr>
      <w:outlineLvl w:val="6"/>
    </w:pPr>
    <w:rPr>
      <w:sz w:val="28"/>
    </w:rPr>
  </w:style>
  <w:style w:type="paragraph" w:styleId="Heading8">
    <w:name w:val="heading 8"/>
    <w:basedOn w:val="Normal"/>
    <w:next w:val="Normal"/>
    <w:qFormat/>
    <w:rsid w:val="00320F8B"/>
    <w:pPr>
      <w:keepNext/>
      <w:numPr>
        <w:ilvl w:val="7"/>
        <w:numId w:val="1"/>
      </w:numPr>
      <w:jc w:val="center"/>
      <w:outlineLvl w:val="7"/>
    </w:pPr>
    <w:rPr>
      <w:b/>
      <w:bCs/>
    </w:rPr>
  </w:style>
  <w:style w:type="paragraph" w:styleId="Heading9">
    <w:name w:val="heading 9"/>
    <w:basedOn w:val="Normal"/>
    <w:next w:val="Normal"/>
    <w:qFormat/>
    <w:rsid w:val="00320F8B"/>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20F8B"/>
    <w:rPr>
      <w:bCs/>
      <w:iCs/>
      <w:color w:val="000000"/>
    </w:rPr>
  </w:style>
  <w:style w:type="paragraph" w:styleId="Header">
    <w:name w:val="header"/>
    <w:basedOn w:val="Normal"/>
    <w:semiHidden/>
    <w:rsid w:val="00320F8B"/>
    <w:pPr>
      <w:tabs>
        <w:tab w:val="center" w:pos="4320"/>
        <w:tab w:val="right" w:pos="8640"/>
      </w:tabs>
    </w:pPr>
  </w:style>
  <w:style w:type="paragraph" w:styleId="List">
    <w:name w:val="List"/>
    <w:basedOn w:val="Normal"/>
    <w:semiHidden/>
    <w:rsid w:val="00320F8B"/>
    <w:pPr>
      <w:ind w:left="360" w:hanging="360"/>
    </w:pPr>
  </w:style>
  <w:style w:type="paragraph" w:styleId="Title">
    <w:name w:val="Title"/>
    <w:basedOn w:val="Normal"/>
    <w:qFormat/>
    <w:rsid w:val="00320F8B"/>
    <w:pPr>
      <w:spacing w:before="240" w:after="60"/>
      <w:jc w:val="center"/>
    </w:pPr>
    <w:rPr>
      <w:rFonts w:cs="Arial"/>
      <w:b/>
      <w:bCs/>
      <w:kern w:val="28"/>
      <w:sz w:val="28"/>
      <w:szCs w:val="32"/>
    </w:rPr>
  </w:style>
  <w:style w:type="paragraph" w:styleId="BodyText2">
    <w:name w:val="Body Text 2"/>
    <w:basedOn w:val="Normal"/>
    <w:semiHidden/>
    <w:rsid w:val="00320F8B"/>
    <w:pPr>
      <w:jc w:val="left"/>
    </w:pPr>
    <w:rPr>
      <w:b/>
      <w:bCs/>
      <w:color w:val="0000FF"/>
    </w:rPr>
  </w:style>
  <w:style w:type="paragraph" w:styleId="Footer">
    <w:name w:val="footer"/>
    <w:basedOn w:val="Normal"/>
    <w:semiHidden/>
    <w:rsid w:val="00320F8B"/>
    <w:pPr>
      <w:tabs>
        <w:tab w:val="center" w:pos="4320"/>
        <w:tab w:val="right" w:pos="8640"/>
      </w:tabs>
    </w:pPr>
  </w:style>
  <w:style w:type="character" w:styleId="FootnoteReference">
    <w:name w:val="footnote reference"/>
    <w:basedOn w:val="DefaultParagraphFont"/>
    <w:semiHidden/>
    <w:rsid w:val="00320F8B"/>
    <w:rPr>
      <w:rFonts w:ascii="Times New Roman" w:hAnsi="Times New Roman"/>
      <w:sz w:val="18"/>
      <w:vertAlign w:val="superscript"/>
    </w:rPr>
  </w:style>
  <w:style w:type="paragraph" w:customStyle="1" w:styleId="Heading">
    <w:name w:val="Heading"/>
    <w:basedOn w:val="Heading1"/>
    <w:next w:val="Normal"/>
    <w:rsid w:val="00320F8B"/>
    <w:pPr>
      <w:numPr>
        <w:numId w:val="0"/>
      </w:numPr>
    </w:pPr>
  </w:style>
  <w:style w:type="paragraph" w:customStyle="1" w:styleId="TableText">
    <w:name w:val="Table Text"/>
    <w:basedOn w:val="Normal"/>
    <w:rsid w:val="00320F8B"/>
    <w:pPr>
      <w:autoSpaceDE w:val="0"/>
      <w:autoSpaceDN w:val="0"/>
      <w:jc w:val="left"/>
    </w:pPr>
    <w:rPr>
      <w:sz w:val="20"/>
    </w:rPr>
  </w:style>
  <w:style w:type="paragraph" w:customStyle="1" w:styleId="TableHeaderText">
    <w:name w:val="Table Header Text"/>
    <w:basedOn w:val="TableText"/>
    <w:rsid w:val="00320F8B"/>
    <w:pPr>
      <w:jc w:val="center"/>
    </w:pPr>
    <w:rPr>
      <w:b/>
      <w:bCs/>
    </w:rPr>
  </w:style>
  <w:style w:type="paragraph" w:styleId="BodyText3">
    <w:name w:val="Body Text 3"/>
    <w:basedOn w:val="Normal"/>
    <w:semiHidden/>
    <w:rsid w:val="00320F8B"/>
    <w:rPr>
      <w:b/>
      <w:color w:val="0000FF"/>
    </w:rPr>
  </w:style>
  <w:style w:type="paragraph" w:customStyle="1" w:styleId="Custom">
    <w:name w:val="Custom"/>
    <w:basedOn w:val="Normal"/>
    <w:rsid w:val="00320F8B"/>
    <w:rPr>
      <w:rFonts w:ascii="Arial" w:hAnsi="Arial" w:cs="Arial"/>
      <w:sz w:val="24"/>
    </w:rPr>
  </w:style>
  <w:style w:type="paragraph" w:customStyle="1" w:styleId="Custom2">
    <w:name w:val="Custom 2"/>
    <w:basedOn w:val="Normal"/>
    <w:rsid w:val="00320F8B"/>
    <w:pPr>
      <w:jc w:val="left"/>
    </w:pPr>
    <w:rPr>
      <w:rFonts w:ascii="Arial" w:hAnsi="Arial" w:cs="Arial"/>
      <w:b/>
      <w:bCs/>
      <w:color w:val="0000FF"/>
      <w:sz w:val="20"/>
    </w:rPr>
  </w:style>
  <w:style w:type="paragraph" w:customStyle="1" w:styleId="Custom3">
    <w:name w:val="Custom 3"/>
    <w:basedOn w:val="Normal"/>
    <w:rsid w:val="00320F8B"/>
    <w:rPr>
      <w:rFonts w:ascii="Arial" w:hAnsi="Arial"/>
      <w:b/>
      <w:color w:val="0000FF"/>
      <w:sz w:val="36"/>
    </w:rPr>
  </w:style>
  <w:style w:type="paragraph" w:customStyle="1" w:styleId="Default">
    <w:name w:val="Default"/>
    <w:rsid w:val="00B00EC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43D09"/>
    <w:rPr>
      <w:b/>
      <w:bCs/>
    </w:rPr>
  </w:style>
  <w:style w:type="paragraph" w:styleId="NoSpacing">
    <w:name w:val="No Spacing"/>
    <w:basedOn w:val="Normal"/>
    <w:uiPriority w:val="1"/>
    <w:qFormat/>
    <w:rsid w:val="004A3661"/>
    <w:pPr>
      <w:jc w:val="left"/>
    </w:pPr>
    <w:rPr>
      <w:rFonts w:ascii="Calibri" w:eastAsia="Calibri" w:hAnsi="Calibri"/>
      <w:sz w:val="24"/>
      <w:szCs w:val="32"/>
      <w:lang w:bidi="en-US"/>
    </w:rPr>
  </w:style>
  <w:style w:type="character" w:styleId="Hyperlink">
    <w:name w:val="Hyperlink"/>
    <w:basedOn w:val="DefaultParagraphFont"/>
    <w:uiPriority w:val="99"/>
    <w:unhideWhenUsed/>
    <w:rsid w:val="00124F7D"/>
    <w:rPr>
      <w:color w:val="0000FF"/>
      <w:u w:val="single"/>
    </w:rPr>
  </w:style>
  <w:style w:type="character" w:styleId="FollowedHyperlink">
    <w:name w:val="FollowedHyperlink"/>
    <w:basedOn w:val="DefaultParagraphFont"/>
    <w:uiPriority w:val="99"/>
    <w:semiHidden/>
    <w:unhideWhenUsed/>
    <w:rsid w:val="00A93D6A"/>
    <w:rPr>
      <w:color w:val="800080"/>
      <w:u w:val="single"/>
    </w:rPr>
  </w:style>
  <w:style w:type="paragraph" w:styleId="BalloonText">
    <w:name w:val="Balloon Text"/>
    <w:basedOn w:val="Normal"/>
    <w:link w:val="BalloonTextChar"/>
    <w:uiPriority w:val="99"/>
    <w:semiHidden/>
    <w:unhideWhenUsed/>
    <w:rsid w:val="008F167E"/>
    <w:rPr>
      <w:rFonts w:ascii="Tahoma" w:hAnsi="Tahoma" w:cs="Tahoma"/>
      <w:sz w:val="16"/>
      <w:szCs w:val="16"/>
    </w:rPr>
  </w:style>
  <w:style w:type="character" w:customStyle="1" w:styleId="BalloonTextChar">
    <w:name w:val="Balloon Text Char"/>
    <w:basedOn w:val="DefaultParagraphFont"/>
    <w:link w:val="BalloonText"/>
    <w:uiPriority w:val="99"/>
    <w:semiHidden/>
    <w:rsid w:val="008F1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0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childrensmn.org/References/labsop/flow/flow/flo-1.3-quality-assurance-in-flow-cytometry.pdf" TargetMode="External"/><Relationship Id="rId13" Type="http://schemas.openxmlformats.org/officeDocument/2006/relationships/hyperlink" Target="http://intranet.childrensmn.org/References/labsop/flow/res/document-g-pediatric-peripheral-blood-normal-ranges-t-and-b-cell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tarnet.childrenshc.org/References/labsop/flow/flow/flo-2.1-cd45-gating-flow-cytometric-analysi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References/labsop/flow/flow/flo-1.8-cisp-comprehensive-immune-status-panel.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arnet.childrenshc.org/References/labsop/flow/flow/flo-1.8-cisp-comprehensive-immune-status-panel.pdf" TargetMode="External"/><Relationship Id="rId4" Type="http://schemas.openxmlformats.org/officeDocument/2006/relationships/webSettings" Target="webSettings.xml"/><Relationship Id="rId9" Type="http://schemas.openxmlformats.org/officeDocument/2006/relationships/hyperlink" Target="https://starnet.childrenshc.org/References/labsop/flow/flow/flo-1.8-cisp-comprehensive-immune-status-panel.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1754</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12383</CharactersWithSpaces>
  <SharedDoc>false</SharedDoc>
  <HLinks>
    <vt:vector size="36" baseType="variant">
      <vt:variant>
        <vt:i4>4980762</vt:i4>
      </vt:variant>
      <vt:variant>
        <vt:i4>15</vt:i4>
      </vt:variant>
      <vt:variant>
        <vt:i4>0</vt:i4>
      </vt:variant>
      <vt:variant>
        <vt:i4>5</vt:i4>
      </vt:variant>
      <vt:variant>
        <vt:lpwstr>http://intranet.childrensmn.org/References/labsop/flow/res/document-g-pediatric-peripheral-blood-normal-ranges-t-and-b-cells.pdf</vt:lpwstr>
      </vt:variant>
      <vt:variant>
        <vt:lpwstr/>
      </vt:variant>
      <vt:variant>
        <vt:i4>6225989</vt:i4>
      </vt:variant>
      <vt:variant>
        <vt:i4>12</vt:i4>
      </vt:variant>
      <vt:variant>
        <vt:i4>0</vt:i4>
      </vt:variant>
      <vt:variant>
        <vt:i4>5</vt:i4>
      </vt:variant>
      <vt:variant>
        <vt:lpwstr>https://starnet.childrenshc.org/References/labsop/flow/flow/flo-2.1-cd45-gating-flow-cytometric-analysis.pdf</vt:lpwstr>
      </vt:variant>
      <vt:variant>
        <vt:lpwstr/>
      </vt:variant>
      <vt:variant>
        <vt:i4>2359349</vt:i4>
      </vt:variant>
      <vt:variant>
        <vt:i4>9</vt:i4>
      </vt:variant>
      <vt:variant>
        <vt:i4>0</vt:i4>
      </vt:variant>
      <vt:variant>
        <vt:i4>5</vt:i4>
      </vt:variant>
      <vt:variant>
        <vt:lpwstr>https://starnet.childrenshc.org/References/labsop/flow/flow/flo-1.8-cisp-comprehensive-immune-status-panel.pdf</vt:lpwstr>
      </vt:variant>
      <vt:variant>
        <vt:lpwstr/>
      </vt:variant>
      <vt:variant>
        <vt:i4>2359349</vt:i4>
      </vt:variant>
      <vt:variant>
        <vt:i4>6</vt:i4>
      </vt:variant>
      <vt:variant>
        <vt:i4>0</vt:i4>
      </vt:variant>
      <vt:variant>
        <vt:i4>5</vt:i4>
      </vt:variant>
      <vt:variant>
        <vt:lpwstr>https://starnet.childrenshc.org/References/labsop/flow/flow/flo-1.8-cisp-comprehensive-immune-status-panel.pdf</vt:lpwstr>
      </vt:variant>
      <vt:variant>
        <vt:lpwstr/>
      </vt:variant>
      <vt:variant>
        <vt:i4>2359349</vt:i4>
      </vt:variant>
      <vt:variant>
        <vt:i4>3</vt:i4>
      </vt:variant>
      <vt:variant>
        <vt:i4>0</vt:i4>
      </vt:variant>
      <vt:variant>
        <vt:i4>5</vt:i4>
      </vt:variant>
      <vt:variant>
        <vt:lpwstr>https://starnet.childrenshc.org/References/labsop/flow/flow/flo-1.8-cisp-comprehensive-immune-status-panel.pdf</vt:lpwstr>
      </vt:variant>
      <vt:variant>
        <vt:lpwstr/>
      </vt:variant>
      <vt:variant>
        <vt:i4>3538996</vt:i4>
      </vt:variant>
      <vt:variant>
        <vt:i4>0</vt:i4>
      </vt:variant>
      <vt:variant>
        <vt:i4>0</vt:i4>
      </vt:variant>
      <vt:variant>
        <vt:i4>5</vt:i4>
      </vt:variant>
      <vt:variant>
        <vt:lpwstr>http://intranet.childrensmn.org/References/labsop/flow/flow/flo-1.3-quality-assurance-in-flow-cytometry.pdf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Allen Quigley</cp:lastModifiedBy>
  <cp:revision>3</cp:revision>
  <cp:lastPrinted>2017-09-13T13:56:00Z</cp:lastPrinted>
  <dcterms:created xsi:type="dcterms:W3CDTF">2018-09-21T19:50:00Z</dcterms:created>
  <dcterms:modified xsi:type="dcterms:W3CDTF">2018-09-21T19:58:00Z</dcterms:modified>
</cp:coreProperties>
</file>