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The </w:t>
      </w:r>
      <w:proofErr w:type="spellStart"/>
      <w:r w:rsidR="003A38DD">
        <w:rPr>
          <w:rFonts w:ascii="Calibri" w:hAnsi="Calibri"/>
          <w:sz w:val="20"/>
        </w:rPr>
        <w:t>GenMark</w:t>
      </w:r>
      <w:proofErr w:type="spellEnd"/>
      <w:r w:rsidR="003A38DD">
        <w:rPr>
          <w:rFonts w:ascii="Calibri" w:hAnsi="Calibri"/>
          <w:sz w:val="20"/>
        </w:rPr>
        <w:t xml:space="preserve"> </w:t>
      </w:r>
      <w:proofErr w:type="spellStart"/>
      <w:r w:rsidR="003A38DD">
        <w:rPr>
          <w:rFonts w:ascii="Calibri" w:hAnsi="Calibri"/>
          <w:sz w:val="20"/>
        </w:rPr>
        <w:t>eSensor</w:t>
      </w:r>
      <w:proofErr w:type="spellEnd"/>
      <w:r w:rsidR="003A38DD">
        <w:rPr>
          <w:rFonts w:ascii="Calibri" w:hAnsi="Calibri"/>
          <w:sz w:val="20"/>
        </w:rPr>
        <w:t xml:space="preserve"> XT-8 and </w:t>
      </w:r>
      <w:proofErr w:type="spellStart"/>
      <w:r w:rsidR="003A38DD">
        <w:rPr>
          <w:rFonts w:ascii="Calibri" w:hAnsi="Calibri"/>
          <w:sz w:val="20"/>
        </w:rPr>
        <w:t>DiaSorin</w:t>
      </w:r>
      <w:proofErr w:type="spellEnd"/>
      <w:r w:rsidR="003A38DD">
        <w:rPr>
          <w:rFonts w:ascii="Calibri" w:hAnsi="Calibri"/>
          <w:sz w:val="20"/>
        </w:rPr>
        <w:t xml:space="preserve"> Liaison</w:t>
      </w:r>
      <w:r w:rsidR="009862A1">
        <w:rPr>
          <w:rFonts w:ascii="Calibri" w:hAnsi="Calibri"/>
          <w:sz w:val="20"/>
        </w:rPr>
        <w:t>s</w:t>
      </w:r>
      <w:r w:rsidR="003A38DD">
        <w:rPr>
          <w:rFonts w:ascii="Calibri" w:hAnsi="Calibri"/>
          <w:sz w:val="20"/>
        </w:rPr>
        <w:t xml:space="preserve"> will be evaluated for the detection of </w:t>
      </w:r>
      <w:r w:rsidR="00C54E91">
        <w:rPr>
          <w:rFonts w:ascii="Calibri" w:hAnsi="Calibri"/>
          <w:sz w:val="20"/>
        </w:rPr>
        <w:t>influenza A, B and RSV four times a year on a monthly rotation.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AD3BD3" w:rsidRDefault="006868C1" w:rsidP="004C680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5.07.F1 </w:t>
      </w:r>
      <w:r w:rsidR="0046042D">
        <w:rPr>
          <w:rFonts w:ascii="Calibri" w:hAnsi="Calibri"/>
          <w:sz w:val="20"/>
          <w:szCs w:val="20"/>
        </w:rPr>
        <w:t xml:space="preserve">Instrument Comparison log for </w:t>
      </w:r>
      <w:proofErr w:type="spellStart"/>
      <w:r w:rsidR="003A38DD">
        <w:rPr>
          <w:rFonts w:ascii="Calibri" w:hAnsi="Calibri"/>
          <w:sz w:val="20"/>
          <w:szCs w:val="20"/>
        </w:rPr>
        <w:t>eSensor</w:t>
      </w:r>
      <w:proofErr w:type="spellEnd"/>
      <w:r w:rsidR="0046042D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3A38DD">
        <w:rPr>
          <w:rFonts w:ascii="Calibri" w:hAnsi="Calibri"/>
          <w:sz w:val="20"/>
          <w:szCs w:val="20"/>
        </w:rPr>
        <w:t>DiaSorin</w:t>
      </w:r>
      <w:proofErr w:type="spellEnd"/>
      <w:r w:rsidR="0046042D">
        <w:rPr>
          <w:rFonts w:ascii="Calibri" w:hAnsi="Calibri"/>
          <w:sz w:val="20"/>
          <w:szCs w:val="20"/>
        </w:rPr>
        <w:t xml:space="preserve"> Liaison</w:t>
      </w:r>
      <w:r w:rsidR="009862A1">
        <w:rPr>
          <w:rFonts w:ascii="Calibri" w:hAnsi="Calibri"/>
          <w:sz w:val="20"/>
          <w:szCs w:val="20"/>
        </w:rPr>
        <w:t>s</w:t>
      </w:r>
    </w:p>
    <w:p w:rsidR="00747529" w:rsidRDefault="00DC11D6" w:rsidP="00747529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5.07.F2 Instrument Comparison log for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proofErr w:type="spellStart"/>
      <w:r>
        <w:rPr>
          <w:rFonts w:ascii="Calibri" w:hAnsi="Calibri"/>
          <w:sz w:val="20"/>
          <w:szCs w:val="20"/>
        </w:rPr>
        <w:t>Bordetella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</w:p>
    <w:p w:rsidR="00DC11D6" w:rsidRPr="00DC11D6" w:rsidRDefault="00DC11D6" w:rsidP="00747529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5.07.F3 Instrument Comparison log for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Group A Strep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727656" w:rsidRDefault="00747529" w:rsidP="00747529">
      <w:pPr>
        <w:tabs>
          <w:tab w:val="left" w:pos="720"/>
        </w:tabs>
        <w:rPr>
          <w:rFonts w:ascii="Calibri" w:hAnsi="Calibri"/>
          <w:sz w:val="20"/>
          <w:szCs w:val="20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DC11D6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  <w:r w:rsidR="00DC11D6">
        <w:rPr>
          <w:rFonts w:ascii="Calibri" w:hAnsi="Calibri"/>
          <w:sz w:val="20"/>
        </w:rPr>
        <w:t xml:space="preserve">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DC11D6">
        <w:rPr>
          <w:rFonts w:ascii="Calibri" w:hAnsi="Calibri"/>
          <w:sz w:val="20"/>
          <w:szCs w:val="20"/>
        </w:rPr>
        <w:t>eSensor</w:t>
      </w:r>
      <w:proofErr w:type="spellEnd"/>
      <w:r w:rsidR="00DC11D6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DC11D6">
        <w:rPr>
          <w:rFonts w:ascii="Calibri" w:hAnsi="Calibri"/>
          <w:sz w:val="20"/>
          <w:szCs w:val="20"/>
        </w:rPr>
        <w:t>DiaSorin</w:t>
      </w:r>
      <w:proofErr w:type="spellEnd"/>
      <w:r w:rsidR="00DC11D6">
        <w:rPr>
          <w:rFonts w:ascii="Calibri" w:hAnsi="Calibri"/>
          <w:sz w:val="20"/>
          <w:szCs w:val="20"/>
        </w:rPr>
        <w:t xml:space="preserve"> Liaisons</w:t>
      </w:r>
    </w:p>
    <w:p w:rsidR="002B1492" w:rsidRDefault="00572834" w:rsidP="007F016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</w:t>
      </w:r>
      <w:r w:rsidR="00E42860">
        <w:rPr>
          <w:rFonts w:ascii="Calibri" w:hAnsi="Calibri" w:cs="Times New Roman"/>
          <w:color w:val="auto"/>
        </w:rPr>
        <w:t>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572834" w:rsidTr="00572834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72834" w:rsidTr="00572834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 xml:space="preserve">instruments according to the </w:t>
            </w:r>
            <w:r w:rsidR="005021E7" w:rsidRPr="005021E7">
              <w:rPr>
                <w:rFonts w:ascii="Calibri" w:hAnsi="Calibri"/>
                <w:b/>
                <w:szCs w:val="20"/>
              </w:rPr>
              <w:t>bi</w:t>
            </w:r>
            <w:r w:rsidRPr="005021E7">
              <w:rPr>
                <w:rFonts w:ascii="Calibri" w:hAnsi="Calibri"/>
                <w:b/>
                <w:szCs w:val="20"/>
              </w:rPr>
              <w:t>monthly</w:t>
            </w:r>
            <w:r w:rsidRPr="00CF3789">
              <w:rPr>
                <w:rFonts w:ascii="Calibri" w:hAnsi="Calibri"/>
                <w:szCs w:val="20"/>
              </w:rPr>
              <w:t xml:space="preserve"> rotation: Flu A, Flu B or RSV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Pr="00E42860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 Instrument Comparison Log</w:t>
            </w:r>
          </w:p>
        </w:tc>
      </w:tr>
      <w:tr w:rsidR="00572834" w:rsidTr="00572834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1C4521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1C4521">
              <w:rPr>
                <w:rFonts w:ascii="Calibri" w:hAnsi="Calibri"/>
                <w:sz w:val="16"/>
                <w:szCs w:val="16"/>
              </w:rPr>
              <w:t>MB</w:t>
            </w:r>
            <w:r>
              <w:rPr>
                <w:rFonts w:ascii="Calibri" w:hAnsi="Calibri"/>
                <w:sz w:val="16"/>
                <w:szCs w:val="16"/>
              </w:rPr>
              <w:t xml:space="preserve"> 9.05 RIP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9862A1" w:rsidP="009862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patient sample or QC on both Liaison platforms (separate computers) and the XT-8</w:t>
            </w:r>
            <w:r w:rsidR="00572834" w:rsidRPr="00CF3789">
              <w:rPr>
                <w:rFonts w:ascii="Calibri" w:hAnsi="Calibri"/>
                <w:sz w:val="20"/>
                <w:szCs w:val="20"/>
              </w:rPr>
              <w:t xml:space="preserve"> on the same day following assay procedures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32324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E32324">
              <w:rPr>
                <w:rFonts w:ascii="Calibri" w:hAnsi="Calibri"/>
                <w:sz w:val="16"/>
                <w:szCs w:val="16"/>
              </w:rPr>
              <w:t>MB 11.05 RVP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 w:rsidR="009862A1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="009862A1">
              <w:rPr>
                <w:rFonts w:ascii="Calibri" w:hAnsi="Calibri"/>
                <w:sz w:val="20"/>
                <w:szCs w:val="20"/>
              </w:rPr>
              <w:t xml:space="preserve"> is detected by all</w:t>
            </w:r>
            <w:r>
              <w:rPr>
                <w:rFonts w:ascii="Calibri" w:hAnsi="Calibri"/>
                <w:sz w:val="20"/>
                <w:szCs w:val="20"/>
              </w:rPr>
              <w:t xml:space="preserve">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2B1492" w:rsidRDefault="002B1492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proofErr w:type="spellStart"/>
      <w:r w:rsidRPr="00DC11D6">
        <w:rPr>
          <w:rFonts w:ascii="Calibri" w:hAnsi="Calibri"/>
          <w:b/>
          <w:sz w:val="20"/>
          <w:szCs w:val="20"/>
        </w:rPr>
        <w:t>Bordetella</w:t>
      </w:r>
      <w:proofErr w:type="spellEnd"/>
      <w:r w:rsidRPr="00DC11D6">
        <w:rPr>
          <w:rFonts w:ascii="Calibri" w:hAnsi="Calibri"/>
          <w:b/>
          <w:sz w:val="20"/>
          <w:szCs w:val="20"/>
        </w:rPr>
        <w:t xml:space="preserve"> testing</w:t>
      </w:r>
    </w:p>
    <w:p w:rsidR="00DC11D6" w:rsidRDefault="00DC11D6" w:rsidP="00DC11D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DC11D6" w:rsidTr="00DC11D6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DC11D6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according to the </w:t>
            </w:r>
            <w:r w:rsidRPr="00DC11D6">
              <w:rPr>
                <w:rFonts w:ascii="Calibri" w:hAnsi="Calibri"/>
                <w:b/>
                <w:szCs w:val="20"/>
              </w:rPr>
              <w:t>quarterly</w:t>
            </w:r>
            <w:r w:rsidRPr="00CF3789">
              <w:rPr>
                <w:rFonts w:ascii="Calibri" w:hAnsi="Calibri"/>
                <w:szCs w:val="20"/>
              </w:rPr>
              <w:t xml:space="preserve"> rotation: </w:t>
            </w:r>
            <w:r>
              <w:rPr>
                <w:rFonts w:ascii="Calibri" w:hAnsi="Calibri"/>
                <w:szCs w:val="20"/>
              </w:rPr>
              <w:t xml:space="preserve">B. </w:t>
            </w:r>
            <w:proofErr w:type="spellStart"/>
            <w:r>
              <w:rPr>
                <w:rFonts w:ascii="Calibri" w:hAnsi="Calibri"/>
                <w:szCs w:val="20"/>
              </w:rPr>
              <w:t>pertusiss</w:t>
            </w:r>
            <w:proofErr w:type="spellEnd"/>
            <w:r>
              <w:rPr>
                <w:rFonts w:ascii="Calibri" w:hAnsi="Calibri"/>
                <w:szCs w:val="20"/>
              </w:rPr>
              <w:t xml:space="preserve"> or B. </w:t>
            </w:r>
            <w:proofErr w:type="spellStart"/>
            <w:r>
              <w:rPr>
                <w:rFonts w:ascii="Calibri" w:hAnsi="Calibri"/>
                <w:szCs w:val="20"/>
              </w:rPr>
              <w:t>parapertussis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5.07.F2 Instrument Comparison Log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DC11D6" w:rsidRDefault="00DC11D6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DC11D6" w:rsidRPr="00CF3789" w:rsidRDefault="00DC11D6" w:rsidP="005021E7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NOTE: QC from a routine patient run </w:t>
            </w:r>
            <w:r w:rsidR="005021E7">
              <w:rPr>
                <w:rFonts w:ascii="Calibri" w:hAnsi="Calibri"/>
                <w:sz w:val="20"/>
                <w:szCs w:val="20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 xml:space="preserve">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32324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6.05 BORD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Bordetella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pertussis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parapertussis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Assay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r>
        <w:rPr>
          <w:rFonts w:ascii="Calibri" w:hAnsi="Calibri"/>
          <w:b/>
          <w:sz w:val="20"/>
          <w:szCs w:val="20"/>
        </w:rPr>
        <w:t xml:space="preserve">Group </w:t>
      </w:r>
      <w:proofErr w:type="gramStart"/>
      <w:r>
        <w:rPr>
          <w:rFonts w:ascii="Calibri" w:hAnsi="Calibri"/>
          <w:b/>
          <w:sz w:val="20"/>
          <w:szCs w:val="20"/>
        </w:rPr>
        <w:t>A</w:t>
      </w:r>
      <w:proofErr w:type="gramEnd"/>
      <w:r>
        <w:rPr>
          <w:rFonts w:ascii="Calibri" w:hAnsi="Calibri"/>
          <w:b/>
          <w:sz w:val="20"/>
          <w:szCs w:val="20"/>
        </w:rPr>
        <w:t xml:space="preserve"> Strep Testing </w:t>
      </w:r>
    </w:p>
    <w:p w:rsidR="00DC11D6" w:rsidRDefault="00DC11D6" w:rsidP="00DC11D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DC11D6" w:rsidTr="00DC11D6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DC11D6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5021E7" w:rsidRDefault="005021E7" w:rsidP="005021E7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or patient sample for Group A Strep testing is </w:t>
            </w:r>
            <w:proofErr w:type="gramStart"/>
            <w:r>
              <w:rPr>
                <w:rFonts w:ascii="Calibri" w:hAnsi="Calibri"/>
                <w:szCs w:val="20"/>
              </w:rPr>
              <w:t>to</w:t>
            </w:r>
            <w:proofErr w:type="gramEnd"/>
            <w:r w:rsidR="00DC11D6" w:rsidRPr="00CF3789">
              <w:rPr>
                <w:rFonts w:ascii="Calibri" w:hAnsi="Calibri"/>
                <w:szCs w:val="20"/>
              </w:rPr>
              <w:t xml:space="preserve"> compared </w:t>
            </w:r>
            <w:r w:rsidR="00DC11D6">
              <w:rPr>
                <w:rFonts w:ascii="Calibri" w:hAnsi="Calibri"/>
                <w:szCs w:val="20"/>
              </w:rPr>
              <w:t>by</w:t>
            </w:r>
            <w:r w:rsidR="00DC11D6" w:rsidRPr="00CF3789">
              <w:rPr>
                <w:rFonts w:ascii="Calibri" w:hAnsi="Calibri"/>
                <w:szCs w:val="20"/>
              </w:rPr>
              <w:t xml:space="preserve"> both </w:t>
            </w:r>
            <w:r w:rsidR="00DC11D6">
              <w:rPr>
                <w:rFonts w:ascii="Calibri" w:hAnsi="Calibri"/>
                <w:szCs w:val="20"/>
              </w:rPr>
              <w:t>methods/</w:t>
            </w:r>
            <w:r w:rsidR="00DC11D6" w:rsidRPr="00CF3789">
              <w:rPr>
                <w:rFonts w:ascii="Calibri" w:hAnsi="Calibri"/>
                <w:szCs w:val="20"/>
              </w:rPr>
              <w:t>inst</w:t>
            </w:r>
            <w:r w:rsidR="00DC11D6">
              <w:rPr>
                <w:rFonts w:ascii="Calibri" w:hAnsi="Calibri"/>
                <w:szCs w:val="20"/>
              </w:rPr>
              <w:t xml:space="preserve">ruments </w:t>
            </w:r>
            <w:r w:rsidR="00DC11D6">
              <w:rPr>
                <w:rFonts w:ascii="Calibri" w:hAnsi="Calibri"/>
                <w:b/>
                <w:szCs w:val="20"/>
              </w:rPr>
              <w:t>Biannual</w:t>
            </w:r>
            <w:r>
              <w:rPr>
                <w:rFonts w:ascii="Calibri" w:hAnsi="Calibri"/>
                <w:b/>
                <w:szCs w:val="20"/>
              </w:rPr>
              <w:t>ly.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5.07.F3 Instrument Comparison Log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DC11D6" w:rsidRDefault="00DC11D6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NOTE: QC f</w:t>
            </w:r>
            <w:r w:rsidR="005021E7">
              <w:rPr>
                <w:rFonts w:ascii="Calibri" w:hAnsi="Calibri"/>
                <w:sz w:val="20"/>
                <w:szCs w:val="20"/>
              </w:rPr>
              <w:t>rom a routine patient run can</w:t>
            </w:r>
            <w:r>
              <w:rPr>
                <w:rFonts w:ascii="Calibri" w:hAnsi="Calibri"/>
                <w:sz w:val="20"/>
                <w:szCs w:val="20"/>
              </w:rPr>
              <w:t xml:space="preserve">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5021E7" w:rsidRDefault="005021E7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8.05 GAS </w:t>
            </w:r>
            <w:proofErr w:type="spellStart"/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Group A Strep Assay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Added </w:t>
            </w:r>
            <w:proofErr w:type="spellStart"/>
            <w:r w:rsidR="00714E78">
              <w:rPr>
                <w:rFonts w:ascii="Calibri" w:hAnsi="Calibri" w:cs="Arial"/>
                <w:sz w:val="16"/>
                <w:szCs w:val="16"/>
              </w:rPr>
              <w:t>Bordetella</w:t>
            </w:r>
            <w:proofErr w:type="spellEnd"/>
            <w:r w:rsidR="00714E78">
              <w:rPr>
                <w:rFonts w:ascii="Calibri" w:hAnsi="Calibri" w:cs="Arial"/>
                <w:sz w:val="16"/>
                <w:szCs w:val="16"/>
              </w:rPr>
              <w:t xml:space="preserve">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E7" w:rsidRDefault="005021E7" w:rsidP="002B1492">
      <w:r>
        <w:separator/>
      </w:r>
    </w:p>
  </w:endnote>
  <w:endnote w:type="continuationSeparator" w:id="0">
    <w:p w:rsidR="005021E7" w:rsidRDefault="005021E7" w:rsidP="002B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E7" w:rsidRDefault="005021E7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714E78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714E78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E7" w:rsidRDefault="005021E7" w:rsidP="002B1492">
      <w:r>
        <w:separator/>
      </w:r>
    </w:p>
  </w:footnote>
  <w:footnote w:type="continuationSeparator" w:id="0">
    <w:p w:rsidR="005021E7" w:rsidRDefault="005021E7" w:rsidP="002B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5021E7">
      <w:trPr>
        <w:cantSplit/>
        <w:trHeight w:val="245"/>
      </w:trPr>
      <w:tc>
        <w:tcPr>
          <w:tcW w:w="4500" w:type="dxa"/>
        </w:tcPr>
        <w:p w:rsidR="005021E7" w:rsidRDefault="005021E7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5021E7" w:rsidRDefault="005021E7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5021E7">
      <w:trPr>
        <w:cantSplit/>
        <w:trHeight w:val="245"/>
      </w:trPr>
      <w:tc>
        <w:tcPr>
          <w:tcW w:w="4500" w:type="dxa"/>
        </w:tcPr>
        <w:p w:rsidR="005021E7" w:rsidRDefault="005021E7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v3</w:t>
          </w:r>
        </w:p>
      </w:tc>
      <w:tc>
        <w:tcPr>
          <w:tcW w:w="5292" w:type="dxa"/>
          <w:vMerge/>
        </w:tcPr>
        <w:p w:rsidR="005021E7" w:rsidRDefault="005021E7">
          <w:pPr>
            <w:pStyle w:val="Header"/>
            <w:tabs>
              <w:tab w:val="clear" w:pos="8640"/>
            </w:tabs>
          </w:pPr>
        </w:p>
      </w:tc>
    </w:tr>
    <w:tr w:rsidR="005021E7">
      <w:trPr>
        <w:cantSplit/>
        <w:trHeight w:val="245"/>
      </w:trPr>
      <w:tc>
        <w:tcPr>
          <w:tcW w:w="4500" w:type="dxa"/>
        </w:tcPr>
        <w:p w:rsidR="005021E7" w:rsidRDefault="005021E7" w:rsidP="00DC11D6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10.22.2018</w:t>
          </w:r>
        </w:p>
      </w:tc>
      <w:tc>
        <w:tcPr>
          <w:tcW w:w="5292" w:type="dxa"/>
          <w:vMerge/>
        </w:tcPr>
        <w:p w:rsidR="005021E7" w:rsidRDefault="005021E7">
          <w:pPr>
            <w:pStyle w:val="Header"/>
            <w:tabs>
              <w:tab w:val="clear" w:pos="8640"/>
            </w:tabs>
          </w:pPr>
        </w:p>
      </w:tc>
    </w:tr>
  </w:tbl>
  <w:p w:rsidR="005021E7" w:rsidRDefault="005021E7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1C"/>
    <w:rsid w:val="00004C09"/>
    <w:rsid w:val="000E210B"/>
    <w:rsid w:val="000E5E5E"/>
    <w:rsid w:val="00114395"/>
    <w:rsid w:val="00125472"/>
    <w:rsid w:val="0013398C"/>
    <w:rsid w:val="00160672"/>
    <w:rsid w:val="0019126B"/>
    <w:rsid w:val="00196C1D"/>
    <w:rsid w:val="001C4521"/>
    <w:rsid w:val="001F10C7"/>
    <w:rsid w:val="00227EE0"/>
    <w:rsid w:val="002B1492"/>
    <w:rsid w:val="002F3BAD"/>
    <w:rsid w:val="0030155A"/>
    <w:rsid w:val="003473C9"/>
    <w:rsid w:val="003A38DD"/>
    <w:rsid w:val="003A5BE8"/>
    <w:rsid w:val="003A6959"/>
    <w:rsid w:val="0041436C"/>
    <w:rsid w:val="00414C84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68C1"/>
    <w:rsid w:val="006916A9"/>
    <w:rsid w:val="006A4565"/>
    <w:rsid w:val="006C5351"/>
    <w:rsid w:val="006D041F"/>
    <w:rsid w:val="006F0805"/>
    <w:rsid w:val="007102A9"/>
    <w:rsid w:val="00714E78"/>
    <w:rsid w:val="00727656"/>
    <w:rsid w:val="0074506B"/>
    <w:rsid w:val="00747529"/>
    <w:rsid w:val="007B08F6"/>
    <w:rsid w:val="007B3012"/>
    <w:rsid w:val="007B4030"/>
    <w:rsid w:val="007F0166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E1B62"/>
    <w:rsid w:val="00A00BFE"/>
    <w:rsid w:val="00A021FB"/>
    <w:rsid w:val="00A3337B"/>
    <w:rsid w:val="00A33DDB"/>
    <w:rsid w:val="00A51D37"/>
    <w:rsid w:val="00A60388"/>
    <w:rsid w:val="00A83A57"/>
    <w:rsid w:val="00AB2A7F"/>
    <w:rsid w:val="00AD2D43"/>
    <w:rsid w:val="00AD3BD3"/>
    <w:rsid w:val="00AF0AC4"/>
    <w:rsid w:val="00AF330A"/>
    <w:rsid w:val="00B0551C"/>
    <w:rsid w:val="00B175E9"/>
    <w:rsid w:val="00B335A4"/>
    <w:rsid w:val="00B57EE9"/>
    <w:rsid w:val="00B829D1"/>
    <w:rsid w:val="00B92D2E"/>
    <w:rsid w:val="00BF0E01"/>
    <w:rsid w:val="00C54E91"/>
    <w:rsid w:val="00CE5220"/>
    <w:rsid w:val="00CF3789"/>
    <w:rsid w:val="00D305C5"/>
    <w:rsid w:val="00D467BB"/>
    <w:rsid w:val="00DC11D6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F35280"/>
    <w:rsid w:val="00F35B7D"/>
    <w:rsid w:val="00F71B6F"/>
    <w:rsid w:val="00F825FE"/>
    <w:rsid w:val="00F97E3F"/>
    <w:rsid w:val="00FD7B8F"/>
    <w:rsid w:val="00FE78BF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292D-87DA-46D8-948E-9192143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5211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15</cp:revision>
  <cp:lastPrinted>2017-05-13T23:23:00Z</cp:lastPrinted>
  <dcterms:created xsi:type="dcterms:W3CDTF">2017-05-13T16:52:00Z</dcterms:created>
  <dcterms:modified xsi:type="dcterms:W3CDTF">2018-10-05T13:56:00Z</dcterms:modified>
</cp:coreProperties>
</file>