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Layout w:type="fixed"/>
        <w:tblLook w:val="0000"/>
      </w:tblPr>
      <w:tblGrid>
        <w:gridCol w:w="1800"/>
        <w:gridCol w:w="1260"/>
        <w:gridCol w:w="2340"/>
        <w:gridCol w:w="1980"/>
        <w:gridCol w:w="3780"/>
      </w:tblGrid>
      <w:tr w:rsidR="00AD5CC4">
        <w:trPr>
          <w:cantSplit/>
          <w:tblHeader/>
        </w:trPr>
        <w:tc>
          <w:tcPr>
            <w:tcW w:w="11160" w:type="dxa"/>
            <w:gridSpan w:val="5"/>
          </w:tcPr>
          <w:p w:rsidR="00AD5CC4" w:rsidRDefault="00AD5CC4">
            <w:pPr>
              <w:pStyle w:val="Header"/>
              <w:tabs>
                <w:tab w:val="clear" w:pos="4320"/>
                <w:tab w:val="clear" w:pos="8640"/>
                <w:tab w:val="left" w:pos="11520"/>
              </w:tabs>
              <w:jc w:val="both"/>
              <w:rPr>
                <w:rFonts w:cs="Arial"/>
                <w:b/>
                <w:bCs/>
                <w:color w:val="0000FF"/>
                <w:sz w:val="36"/>
              </w:rPr>
            </w:pPr>
            <w:r>
              <w:rPr>
                <w:rFonts w:cs="Arial"/>
                <w:b/>
                <w:bCs/>
                <w:color w:val="0000FF"/>
                <w:sz w:val="36"/>
              </w:rPr>
              <w:t>Ammonia (NH</w:t>
            </w:r>
            <w:r>
              <w:rPr>
                <w:rFonts w:cs="Arial"/>
                <w:b/>
                <w:bCs/>
                <w:color w:val="0000FF"/>
                <w:sz w:val="36"/>
                <w:vertAlign w:val="subscript"/>
              </w:rPr>
              <w:t>3</w:t>
            </w:r>
            <w:r>
              <w:rPr>
                <w:rFonts w:cs="Arial"/>
                <w:b/>
                <w:bCs/>
                <w:color w:val="0000FF"/>
                <w:sz w:val="36"/>
              </w:rPr>
              <w:t>)</w:t>
            </w:r>
          </w:p>
          <w:p w:rsidR="00AD5CC4" w:rsidRDefault="00AD5CC4">
            <w:pPr>
              <w:pStyle w:val="Header"/>
              <w:tabs>
                <w:tab w:val="clear" w:pos="4320"/>
                <w:tab w:val="clear" w:pos="8640"/>
                <w:tab w:val="left" w:pos="11520"/>
              </w:tabs>
              <w:jc w:val="both"/>
              <w:rPr>
                <w:rFonts w:cs="Arial"/>
                <w:b/>
                <w:bCs/>
                <w:color w:val="0000FF"/>
              </w:rPr>
            </w:pPr>
          </w:p>
        </w:tc>
      </w:tr>
      <w:tr w:rsidR="00AD5CC4" w:rsidTr="00A967D1">
        <w:trPr>
          <w:tblHeader/>
        </w:trPr>
        <w:tc>
          <w:tcPr>
            <w:tcW w:w="1800" w:type="dxa"/>
          </w:tcPr>
          <w:p w:rsidR="00AD5CC4" w:rsidRDefault="00AD5CC4">
            <w:pPr>
              <w:rPr>
                <w:rFonts w:cs="Arial"/>
                <w:b/>
                <w:bCs/>
                <w:color w:val="0000FF"/>
              </w:rPr>
            </w:pPr>
          </w:p>
          <w:p w:rsidR="00AD5CC4" w:rsidRDefault="00AD5CC4">
            <w:pPr>
              <w:rPr>
                <w:rFonts w:cs="Arial"/>
                <w:b/>
                <w:bCs/>
                <w:color w:val="0000FF"/>
              </w:rPr>
            </w:pPr>
            <w:r>
              <w:rPr>
                <w:rFonts w:cs="Arial"/>
                <w:b/>
                <w:bCs/>
                <w:color w:val="0000FF"/>
              </w:rPr>
              <w:t>Purpose</w:t>
            </w:r>
          </w:p>
        </w:tc>
        <w:tc>
          <w:tcPr>
            <w:tcW w:w="9360" w:type="dxa"/>
            <w:gridSpan w:val="4"/>
            <w:tcBorders>
              <w:top w:val="single" w:sz="18" w:space="0" w:color="D9D9D9"/>
              <w:bottom w:val="single" w:sz="18" w:space="0" w:color="D9D9D9"/>
            </w:tcBorders>
          </w:tcPr>
          <w:p w:rsidR="00AD5CC4" w:rsidRPr="00FD6E45" w:rsidRDefault="00AD5CC4" w:rsidP="00FD6E45">
            <w:pPr>
              <w:pStyle w:val="Header"/>
              <w:tabs>
                <w:tab w:val="clear" w:pos="4320"/>
                <w:tab w:val="clear" w:pos="8640"/>
              </w:tabs>
              <w:jc w:val="both"/>
              <w:rPr>
                <w:rFonts w:cs="Arial"/>
                <w:szCs w:val="20"/>
              </w:rPr>
            </w:pPr>
          </w:p>
          <w:p w:rsidR="00FD6E45" w:rsidRPr="00FD6E45" w:rsidRDefault="00AD5CC4" w:rsidP="00FD6E45">
            <w:pPr>
              <w:autoSpaceDE w:val="0"/>
              <w:autoSpaceDN w:val="0"/>
              <w:adjustRightInd w:val="0"/>
              <w:jc w:val="both"/>
              <w:rPr>
                <w:rFonts w:cs="Arial"/>
                <w:szCs w:val="20"/>
              </w:rPr>
            </w:pPr>
            <w:r w:rsidRPr="00FD6E45">
              <w:rPr>
                <w:rStyle w:val="A7"/>
                <w:rFonts w:cs="Arial"/>
                <w:b w:val="0"/>
                <w:bCs w:val="0"/>
                <w:sz w:val="20"/>
                <w:szCs w:val="20"/>
              </w:rPr>
              <w:t>This procedure provides instructions for</w:t>
            </w:r>
            <w:r w:rsidR="00FD6E45" w:rsidRPr="00FD6E45">
              <w:rPr>
                <w:rStyle w:val="A7"/>
                <w:rFonts w:cs="Arial"/>
                <w:b w:val="0"/>
                <w:bCs w:val="0"/>
                <w:sz w:val="20"/>
                <w:szCs w:val="20"/>
              </w:rPr>
              <w:t xml:space="preserve"> performing</w:t>
            </w:r>
            <w:r w:rsidR="00FD6E45" w:rsidRPr="00FD6E45">
              <w:rPr>
                <w:rFonts w:cs="Arial"/>
                <w:szCs w:val="20"/>
              </w:rPr>
              <w:t xml:space="preserve"> the AMM method, an </w:t>
            </w:r>
            <w:r w:rsidR="00FD6E45" w:rsidRPr="00FD6E45">
              <w:rPr>
                <w:rFonts w:cs="Arial"/>
                <w:i/>
                <w:iCs/>
                <w:szCs w:val="20"/>
              </w:rPr>
              <w:t xml:space="preserve">in vitro </w:t>
            </w:r>
            <w:r w:rsidR="00FD6E45" w:rsidRPr="00FD6E45">
              <w:rPr>
                <w:rFonts w:cs="Arial"/>
                <w:szCs w:val="20"/>
              </w:rPr>
              <w:t>diagnostic test for the quantitative measurement of</w:t>
            </w:r>
            <w:r w:rsidR="00FD6E45" w:rsidRPr="00FD6E45">
              <w:rPr>
                <w:rStyle w:val="A7"/>
                <w:rFonts w:cs="Arial"/>
                <w:b w:val="0"/>
                <w:bCs w:val="0"/>
                <w:sz w:val="20"/>
                <w:szCs w:val="20"/>
              </w:rPr>
              <w:t xml:space="preserve"> AMMONIA (NH3) in plasma</w:t>
            </w:r>
            <w:r w:rsidR="00FD6E45" w:rsidRPr="00FD6E45">
              <w:rPr>
                <w:rFonts w:cs="Arial"/>
                <w:szCs w:val="20"/>
              </w:rPr>
              <w:t xml:space="preserve"> on the Dimension Vista® System.</w:t>
            </w:r>
          </w:p>
          <w:p w:rsidR="00AD5CC4" w:rsidRPr="00FD6E45" w:rsidRDefault="00AD5CC4" w:rsidP="00FD6E45">
            <w:pPr>
              <w:jc w:val="both"/>
              <w:rPr>
                <w:rFonts w:cs="Arial"/>
                <w:szCs w:val="20"/>
              </w:rPr>
            </w:pPr>
          </w:p>
        </w:tc>
      </w:tr>
      <w:tr w:rsidR="00AD5CC4" w:rsidTr="00A967D1">
        <w:trPr>
          <w:tblHeader/>
        </w:trPr>
        <w:tc>
          <w:tcPr>
            <w:tcW w:w="1800" w:type="dxa"/>
          </w:tcPr>
          <w:p w:rsidR="00AD5CC4" w:rsidRDefault="00AD5CC4">
            <w:pPr>
              <w:rPr>
                <w:rFonts w:cs="Arial"/>
                <w:b/>
                <w:bCs/>
                <w:color w:val="0000FF"/>
              </w:rPr>
            </w:pPr>
          </w:p>
          <w:p w:rsidR="00AD5CC4" w:rsidRDefault="00AD5CC4">
            <w:pPr>
              <w:rPr>
                <w:rFonts w:cs="Arial"/>
                <w:b/>
                <w:bCs/>
                <w:color w:val="0000FF"/>
              </w:rPr>
            </w:pPr>
            <w:r>
              <w:rPr>
                <w:rFonts w:cs="Arial"/>
                <w:b/>
                <w:bCs/>
                <w:color w:val="0000FF"/>
              </w:rPr>
              <w:t>Policy Statements</w:t>
            </w:r>
          </w:p>
        </w:tc>
        <w:tc>
          <w:tcPr>
            <w:tcW w:w="9360" w:type="dxa"/>
            <w:gridSpan w:val="4"/>
            <w:tcBorders>
              <w:top w:val="single" w:sz="18" w:space="0" w:color="D9D9D9"/>
              <w:bottom w:val="single" w:sz="18" w:space="0" w:color="D9D9D9"/>
            </w:tcBorders>
          </w:tcPr>
          <w:p w:rsidR="00AD5CC4" w:rsidRDefault="00AD5CC4">
            <w:pPr>
              <w:rPr>
                <w:rFonts w:cs="Arial"/>
                <w:szCs w:val="15"/>
              </w:rPr>
            </w:pPr>
          </w:p>
          <w:p w:rsidR="00AD5CC4" w:rsidRDefault="00AD5CC4" w:rsidP="00AE5218">
            <w:pPr>
              <w:pStyle w:val="Header"/>
              <w:tabs>
                <w:tab w:val="clear" w:pos="4320"/>
                <w:tab w:val="clear" w:pos="8640"/>
              </w:tabs>
              <w:rPr>
                <w:rFonts w:cs="Arial"/>
                <w:szCs w:val="15"/>
              </w:rPr>
            </w:pPr>
            <w:r>
              <w:rPr>
                <w:rFonts w:cs="Arial"/>
                <w:szCs w:val="15"/>
              </w:rPr>
              <w:t xml:space="preserve">This procedure applies to all personnel who run the </w:t>
            </w:r>
            <w:r w:rsidR="00AE5218">
              <w:rPr>
                <w:rFonts w:cs="Arial"/>
                <w:szCs w:val="15"/>
              </w:rPr>
              <w:t xml:space="preserve">Siemens </w:t>
            </w:r>
            <w:r>
              <w:rPr>
                <w:rFonts w:cs="Arial"/>
                <w:szCs w:val="15"/>
              </w:rPr>
              <w:t xml:space="preserve">Dimension </w:t>
            </w:r>
            <w:r w:rsidR="00AE5218">
              <w:rPr>
                <w:rFonts w:cs="Arial"/>
                <w:szCs w:val="15"/>
              </w:rPr>
              <w:t>Vista.</w:t>
            </w:r>
          </w:p>
        </w:tc>
      </w:tr>
      <w:tr w:rsidR="00AD5CC4" w:rsidTr="00A967D1">
        <w:trPr>
          <w:tblHeader/>
        </w:trPr>
        <w:tc>
          <w:tcPr>
            <w:tcW w:w="1800" w:type="dxa"/>
          </w:tcPr>
          <w:p w:rsidR="00AD5CC4" w:rsidRDefault="00AD5CC4">
            <w:pPr>
              <w:rPr>
                <w:rFonts w:cs="Arial"/>
                <w:b/>
                <w:bCs/>
                <w:color w:val="0000FF"/>
              </w:rPr>
            </w:pPr>
          </w:p>
          <w:p w:rsidR="00AD5CC4" w:rsidRDefault="00AD5CC4">
            <w:pPr>
              <w:rPr>
                <w:rFonts w:cs="Arial"/>
                <w:b/>
                <w:bCs/>
                <w:color w:val="0000FF"/>
              </w:rPr>
            </w:pPr>
            <w:r>
              <w:rPr>
                <w:rFonts w:cs="Arial"/>
                <w:b/>
                <w:bCs/>
                <w:color w:val="0000FF"/>
              </w:rPr>
              <w:t>Principle</w:t>
            </w:r>
          </w:p>
          <w:p w:rsidR="00AD5CC4" w:rsidRDefault="00AD5CC4">
            <w:pPr>
              <w:rPr>
                <w:rFonts w:cs="Arial"/>
                <w:b/>
                <w:bCs/>
                <w:color w:val="0000FF"/>
              </w:rPr>
            </w:pPr>
          </w:p>
        </w:tc>
        <w:tc>
          <w:tcPr>
            <w:tcW w:w="9360" w:type="dxa"/>
            <w:gridSpan w:val="4"/>
            <w:tcBorders>
              <w:top w:val="single" w:sz="18" w:space="0" w:color="D9D9D9"/>
              <w:bottom w:val="single" w:sz="18" w:space="0" w:color="D9D9D9"/>
            </w:tcBorders>
          </w:tcPr>
          <w:p w:rsidR="00AD5CC4" w:rsidRDefault="00AD5CC4" w:rsidP="00FD6E45">
            <w:pPr>
              <w:pStyle w:val="BodyText"/>
              <w:spacing w:after="0"/>
              <w:jc w:val="both"/>
              <w:rPr>
                <w:rFonts w:cs="Arial"/>
              </w:rPr>
            </w:pPr>
          </w:p>
          <w:p w:rsidR="00AD5CC4" w:rsidRDefault="00AD5CC4" w:rsidP="00FD6E45">
            <w:pPr>
              <w:jc w:val="both"/>
              <w:rPr>
                <w:rFonts w:cs="Arial"/>
              </w:rPr>
            </w:pPr>
            <w:r>
              <w:rPr>
                <w:rFonts w:cs="Arial"/>
              </w:rPr>
              <w:t>The Dimension Ammonia (AMM) assay is an enzymatic method that uses glutamate dehydrogenase (GLDH) and a stabilized NADPH analog. Ammonia rea</w:t>
            </w:r>
            <w:r w:rsidR="007B1C5D">
              <w:rPr>
                <w:rFonts w:cs="Arial"/>
              </w:rPr>
              <w:t>cts with a-ketoglutarate and red</w:t>
            </w:r>
            <w:r>
              <w:rPr>
                <w:rFonts w:cs="Arial"/>
              </w:rPr>
              <w:t>uced cofactor to form L-glutamate and the cofactor. The reaction is catalyzed by glutamate dehydrogenase. The decrease in absorbance due to the oxidation of the reduced cofactor is monitored at 340/700 nm and is proportional to the ammonia concentration.</w:t>
            </w:r>
          </w:p>
          <w:p w:rsidR="00AD5CC4" w:rsidRDefault="00AD5CC4" w:rsidP="00FD6E45">
            <w:pPr>
              <w:jc w:val="both"/>
              <w:rPr>
                <w:rFonts w:cs="Arial"/>
              </w:rPr>
            </w:pPr>
          </w:p>
        </w:tc>
      </w:tr>
      <w:tr w:rsidR="00AD5CC4" w:rsidTr="00A967D1">
        <w:trPr>
          <w:tblHeader/>
        </w:trPr>
        <w:tc>
          <w:tcPr>
            <w:tcW w:w="1800" w:type="dxa"/>
          </w:tcPr>
          <w:p w:rsidR="00AD5CC4" w:rsidRDefault="00AD5CC4">
            <w:pPr>
              <w:rPr>
                <w:rFonts w:cs="Arial"/>
                <w:b/>
                <w:bCs/>
                <w:color w:val="0000FF"/>
              </w:rPr>
            </w:pPr>
          </w:p>
          <w:p w:rsidR="00AD5CC4" w:rsidRDefault="00AD5CC4">
            <w:pPr>
              <w:rPr>
                <w:rFonts w:cs="Arial"/>
                <w:b/>
                <w:bCs/>
                <w:color w:val="0000FF"/>
              </w:rPr>
            </w:pPr>
            <w:r>
              <w:rPr>
                <w:rFonts w:cs="Arial"/>
                <w:b/>
                <w:bCs/>
                <w:color w:val="0000FF"/>
              </w:rPr>
              <w:t>Clinical Significance</w:t>
            </w:r>
          </w:p>
          <w:p w:rsidR="00AD5CC4" w:rsidRDefault="00AD5CC4">
            <w:pPr>
              <w:rPr>
                <w:rFonts w:cs="Arial"/>
                <w:b/>
                <w:bCs/>
                <w:color w:val="0000FF"/>
              </w:rPr>
            </w:pPr>
          </w:p>
        </w:tc>
        <w:tc>
          <w:tcPr>
            <w:tcW w:w="9360" w:type="dxa"/>
            <w:gridSpan w:val="4"/>
            <w:tcBorders>
              <w:top w:val="single" w:sz="18" w:space="0" w:color="D9D9D9"/>
              <w:bottom w:val="single" w:sz="18" w:space="0" w:color="D9D9D9"/>
            </w:tcBorders>
          </w:tcPr>
          <w:p w:rsidR="00AD5CC4" w:rsidRDefault="00AD5CC4" w:rsidP="00FD6E45">
            <w:pPr>
              <w:jc w:val="both"/>
              <w:rPr>
                <w:rFonts w:cs="Arial"/>
                <w:szCs w:val="15"/>
              </w:rPr>
            </w:pPr>
          </w:p>
          <w:p w:rsidR="00AD5CC4" w:rsidRDefault="00AE5218" w:rsidP="0075778A">
            <w:pPr>
              <w:autoSpaceDE w:val="0"/>
              <w:autoSpaceDN w:val="0"/>
              <w:adjustRightInd w:val="0"/>
              <w:jc w:val="both"/>
              <w:rPr>
                <w:rFonts w:cs="Arial"/>
                <w:szCs w:val="20"/>
              </w:rPr>
            </w:pPr>
            <w:r w:rsidRPr="00AE5218">
              <w:rPr>
                <w:rFonts w:cs="Arial"/>
                <w:szCs w:val="20"/>
              </w:rPr>
              <w:t xml:space="preserve">Ammonia measurements are used in the diagnosis and treatment of severe liver disorders such as cirrhosis, hepatitis and Reye’s syndrome. </w:t>
            </w:r>
            <w:r w:rsidR="00AD5CC4">
              <w:rPr>
                <w:rFonts w:cs="Arial"/>
                <w:szCs w:val="15"/>
              </w:rPr>
              <w:t xml:space="preserve">As a rule, only elevated levels of blood ammonia are useful in diagnosis. Ammonia is produced by nearly all body cells in which amino acids are degraded. </w:t>
            </w:r>
            <w:r w:rsidRPr="00AE5218">
              <w:rPr>
                <w:rFonts w:cs="Arial"/>
                <w:szCs w:val="20"/>
              </w:rPr>
              <w:t xml:space="preserve">The major source of circulating ammonia is the gastrointestinal (GI) tract. Under normal conditions, ammonia is metabolized to urea by liver enzymes. Several diseases, both inherited and acquired, cause elevated ammonia (hyperammonemia). The inherited deficiencies of urea cycle enzymes are the major cause of hyperammonemia in infants. Acquired hyperammonemia most often results from liver disease, renal failure, and Reye’s syndrome. Elevated ammonia is toxic to the central nervous system. </w:t>
            </w:r>
          </w:p>
          <w:p w:rsidR="0075778A" w:rsidRDefault="0075778A" w:rsidP="0075778A">
            <w:pPr>
              <w:autoSpaceDE w:val="0"/>
              <w:autoSpaceDN w:val="0"/>
              <w:adjustRightInd w:val="0"/>
              <w:jc w:val="both"/>
              <w:rPr>
                <w:rFonts w:cs="Arial"/>
              </w:rPr>
            </w:pPr>
          </w:p>
        </w:tc>
      </w:tr>
      <w:tr w:rsidR="00AD5CC4" w:rsidTr="00EA60A9">
        <w:trPr>
          <w:trHeight w:val="1134"/>
          <w:tblHeader/>
        </w:trPr>
        <w:tc>
          <w:tcPr>
            <w:tcW w:w="1800" w:type="dxa"/>
            <w:vAlign w:val="center"/>
          </w:tcPr>
          <w:p w:rsidR="00AD5CC4" w:rsidRDefault="00AD5CC4">
            <w:pPr>
              <w:rPr>
                <w:rFonts w:cs="Arial"/>
                <w:b/>
                <w:bCs/>
                <w:color w:val="0000FF"/>
              </w:rPr>
            </w:pPr>
            <w:r>
              <w:rPr>
                <w:rFonts w:cs="Arial"/>
                <w:b/>
                <w:bCs/>
                <w:color w:val="0000FF"/>
              </w:rPr>
              <w:t>Analyzer</w:t>
            </w:r>
          </w:p>
        </w:tc>
        <w:tc>
          <w:tcPr>
            <w:tcW w:w="9360" w:type="dxa"/>
            <w:gridSpan w:val="4"/>
            <w:tcBorders>
              <w:top w:val="single" w:sz="18" w:space="0" w:color="D9D9D9"/>
              <w:bottom w:val="single" w:sz="18" w:space="0" w:color="D9D9D9"/>
            </w:tcBorders>
            <w:vAlign w:val="center"/>
          </w:tcPr>
          <w:p w:rsidR="00EA60A9" w:rsidRPr="00A55968" w:rsidRDefault="00EA60A9" w:rsidP="00EA60A9">
            <w:pPr>
              <w:rPr>
                <w:rFonts w:cs="Arial"/>
                <w:iCs/>
                <w:szCs w:val="20"/>
              </w:rPr>
            </w:pPr>
            <w:r w:rsidRPr="00B52D8C">
              <w:rPr>
                <w:rFonts w:cs="Arial"/>
                <w:b/>
                <w:color w:val="5F497A"/>
                <w:szCs w:val="20"/>
              </w:rPr>
              <w:t>PRIMARY METHOD:</w:t>
            </w:r>
            <w:r w:rsidRPr="00B52D8C">
              <w:rPr>
                <w:rFonts w:cs="Arial"/>
                <w:szCs w:val="20"/>
              </w:rPr>
              <w:t xml:space="preserve"> </w:t>
            </w:r>
            <w:r w:rsidRPr="00A55968">
              <w:rPr>
                <w:rFonts w:cs="Arial"/>
                <w:iCs/>
                <w:szCs w:val="20"/>
              </w:rPr>
              <w:t xml:space="preserve">Siemens </w:t>
            </w:r>
            <w:r w:rsidRPr="00A55968">
              <w:rPr>
                <w:rFonts w:cs="Arial"/>
                <w:szCs w:val="20"/>
              </w:rPr>
              <w:t xml:space="preserve">Dimension Vista® </w:t>
            </w:r>
            <w:r w:rsidRPr="00986520">
              <w:rPr>
                <w:rFonts w:cs="Arial"/>
                <w:szCs w:val="20"/>
              </w:rPr>
              <w:t>500</w:t>
            </w:r>
            <w:r>
              <w:rPr>
                <w:rFonts w:cs="Arial"/>
                <w:szCs w:val="20"/>
              </w:rPr>
              <w:t xml:space="preserve"> </w:t>
            </w:r>
            <w:r w:rsidRPr="00A55968">
              <w:rPr>
                <w:rFonts w:cs="Arial"/>
                <w:szCs w:val="20"/>
              </w:rPr>
              <w:t>System</w:t>
            </w:r>
          </w:p>
          <w:p w:rsidR="00AD5CC4" w:rsidRDefault="00EA60A9" w:rsidP="0075778A">
            <w:pPr>
              <w:rPr>
                <w:rFonts w:cs="Arial"/>
                <w:szCs w:val="15"/>
              </w:rPr>
            </w:pPr>
            <w:r w:rsidRPr="00B52D8C">
              <w:rPr>
                <w:rFonts w:cs="Arial"/>
                <w:b/>
                <w:color w:val="76923C"/>
                <w:szCs w:val="20"/>
              </w:rPr>
              <w:t>SECONDARY (BACKUP) METHOD:</w:t>
            </w:r>
            <w:r w:rsidRPr="00B52D8C">
              <w:rPr>
                <w:rFonts w:cs="Arial"/>
                <w:szCs w:val="20"/>
              </w:rPr>
              <w:t xml:space="preserve"> </w:t>
            </w:r>
            <w:r w:rsidRPr="003F09A3">
              <w:rPr>
                <w:rFonts w:cs="Arial"/>
                <w:szCs w:val="20"/>
              </w:rPr>
              <w:t>Siemens Dimension Vista</w:t>
            </w:r>
            <w:r>
              <w:rPr>
                <w:rFonts w:cs="Arial"/>
                <w:szCs w:val="20"/>
              </w:rPr>
              <w:t>®</w:t>
            </w:r>
            <w:r w:rsidRPr="003F09A3">
              <w:rPr>
                <w:rFonts w:cs="Arial"/>
                <w:szCs w:val="20"/>
              </w:rPr>
              <w:t xml:space="preserve"> 500 on opposite campus</w:t>
            </w:r>
            <w:r>
              <w:rPr>
                <w:rFonts w:cs="Arial"/>
                <w:szCs w:val="20"/>
              </w:rPr>
              <w:t>, freeze sample</w:t>
            </w:r>
            <w:r w:rsidR="0075778A">
              <w:rPr>
                <w:rFonts w:cs="Arial"/>
                <w:szCs w:val="20"/>
              </w:rPr>
              <w:t xml:space="preserve"> </w:t>
            </w:r>
            <w:r w:rsidR="0075778A">
              <w:rPr>
                <w:rFonts w:cs="Arial"/>
              </w:rPr>
              <w:t xml:space="preserve">@ -70 </w:t>
            </w:r>
            <w:r w:rsidR="0075778A">
              <w:rPr>
                <w:rFonts w:cs="Arial"/>
              </w:rPr>
              <w:sym w:font="Symbol" w:char="F0B0"/>
            </w:r>
            <w:r w:rsidR="0075778A">
              <w:rPr>
                <w:rFonts w:cs="Arial"/>
              </w:rPr>
              <w:t>C</w:t>
            </w:r>
            <w:r>
              <w:rPr>
                <w:rFonts w:cs="Arial"/>
                <w:szCs w:val="20"/>
              </w:rPr>
              <w:t xml:space="preserve"> </w:t>
            </w:r>
            <w:r w:rsidR="0075778A">
              <w:rPr>
                <w:rFonts w:cs="Arial"/>
                <w:szCs w:val="20"/>
              </w:rPr>
              <w:t>prior to</w:t>
            </w:r>
            <w:r>
              <w:rPr>
                <w:rFonts w:cs="Arial"/>
                <w:szCs w:val="20"/>
              </w:rPr>
              <w:t xml:space="preserve"> transport</w:t>
            </w:r>
            <w:r w:rsidR="0075778A">
              <w:rPr>
                <w:rFonts w:cs="Arial"/>
                <w:szCs w:val="20"/>
              </w:rPr>
              <w:t>, and transport on dry ice.</w:t>
            </w:r>
          </w:p>
        </w:tc>
      </w:tr>
      <w:tr w:rsidR="00AD5CC4" w:rsidTr="00F153AD">
        <w:trPr>
          <w:trHeight w:val="774"/>
          <w:tblHeader/>
        </w:trPr>
        <w:tc>
          <w:tcPr>
            <w:tcW w:w="1800" w:type="dxa"/>
            <w:vAlign w:val="center"/>
          </w:tcPr>
          <w:p w:rsidR="00AD5CC4" w:rsidRDefault="00AD5CC4">
            <w:pPr>
              <w:rPr>
                <w:rFonts w:cs="Arial"/>
                <w:b/>
                <w:bCs/>
                <w:color w:val="0000FF"/>
              </w:rPr>
            </w:pPr>
            <w:r>
              <w:rPr>
                <w:rFonts w:cs="Arial"/>
                <w:b/>
                <w:bCs/>
                <w:color w:val="0000FF"/>
              </w:rPr>
              <w:t>Sunquest Test Code</w:t>
            </w:r>
          </w:p>
        </w:tc>
        <w:tc>
          <w:tcPr>
            <w:tcW w:w="9360" w:type="dxa"/>
            <w:gridSpan w:val="4"/>
            <w:tcBorders>
              <w:top w:val="single" w:sz="18" w:space="0" w:color="D9D9D9"/>
              <w:bottom w:val="single" w:sz="18" w:space="0" w:color="D9D9D9"/>
            </w:tcBorders>
            <w:vAlign w:val="center"/>
          </w:tcPr>
          <w:p w:rsidR="00AD5CC4" w:rsidRPr="00AE5218" w:rsidRDefault="00AD5CC4">
            <w:pPr>
              <w:rPr>
                <w:rFonts w:cs="Arial"/>
                <w:szCs w:val="20"/>
              </w:rPr>
            </w:pPr>
            <w:r w:rsidRPr="00AE5218">
              <w:rPr>
                <w:rFonts w:cs="Arial"/>
                <w:b/>
                <w:bCs/>
                <w:szCs w:val="20"/>
              </w:rPr>
              <w:t>NH3</w:t>
            </w:r>
            <w:r w:rsidRPr="00AE5218">
              <w:rPr>
                <w:rFonts w:cs="Arial"/>
                <w:szCs w:val="20"/>
              </w:rPr>
              <w:t xml:space="preserve"> </w:t>
            </w:r>
            <w:r w:rsidR="00AE5218">
              <w:rPr>
                <w:rFonts w:cs="Arial"/>
                <w:szCs w:val="20"/>
              </w:rPr>
              <w:t xml:space="preserve">- </w:t>
            </w:r>
            <w:r w:rsidRPr="00AE5218">
              <w:rPr>
                <w:rFonts w:cs="Arial"/>
                <w:szCs w:val="20"/>
              </w:rPr>
              <w:t>Ammonia in plasma</w:t>
            </w:r>
            <w:r w:rsidR="00EA60A9">
              <w:rPr>
                <w:rFonts w:cs="Arial"/>
                <w:szCs w:val="20"/>
              </w:rPr>
              <w:t xml:space="preserve"> in </w:t>
            </w:r>
            <w:r w:rsidR="00EA60A9" w:rsidRPr="00D73ABC">
              <w:rPr>
                <w:rFonts w:cs="Arial"/>
              </w:rPr>
              <w:t>µmol/L</w:t>
            </w:r>
          </w:p>
        </w:tc>
      </w:tr>
      <w:tr w:rsidR="00F153AD" w:rsidTr="00790706">
        <w:trPr>
          <w:trHeight w:val="4266"/>
          <w:tblHeader/>
        </w:trPr>
        <w:tc>
          <w:tcPr>
            <w:tcW w:w="1800" w:type="dxa"/>
          </w:tcPr>
          <w:p w:rsidR="00F153AD" w:rsidRDefault="00F153AD" w:rsidP="00F153AD">
            <w:pPr>
              <w:rPr>
                <w:rFonts w:cs="Arial"/>
                <w:b/>
                <w:bCs/>
                <w:color w:val="0000FF"/>
              </w:rPr>
            </w:pPr>
          </w:p>
          <w:p w:rsidR="00F153AD" w:rsidRDefault="00F153AD" w:rsidP="00F153AD">
            <w:pPr>
              <w:rPr>
                <w:rFonts w:cs="Arial"/>
                <w:b/>
                <w:bCs/>
                <w:color w:val="0000FF"/>
              </w:rPr>
            </w:pPr>
            <w:r>
              <w:rPr>
                <w:rFonts w:cs="Arial"/>
                <w:b/>
                <w:bCs/>
                <w:color w:val="0000FF"/>
              </w:rPr>
              <w:t>Specimen</w:t>
            </w:r>
          </w:p>
          <w:p w:rsidR="00F153AD" w:rsidRDefault="00F153AD" w:rsidP="00F153AD">
            <w:pPr>
              <w:rPr>
                <w:rFonts w:cs="Arial"/>
                <w:b/>
                <w:bCs/>
                <w:color w:val="0000FF"/>
              </w:rPr>
            </w:pPr>
          </w:p>
        </w:tc>
        <w:tc>
          <w:tcPr>
            <w:tcW w:w="9360" w:type="dxa"/>
            <w:gridSpan w:val="4"/>
            <w:tcBorders>
              <w:top w:val="single" w:sz="18" w:space="0" w:color="D9D9D9"/>
              <w:bottom w:val="single" w:sz="18" w:space="0" w:color="D9D9D9"/>
            </w:tcBorders>
            <w:vAlign w:val="center"/>
          </w:tcPr>
          <w:p w:rsidR="00F153AD" w:rsidRDefault="00F153AD" w:rsidP="00F153AD">
            <w:pPr>
              <w:jc w:val="both"/>
              <w:rPr>
                <w:rFonts w:cs="Arial"/>
              </w:rPr>
            </w:pPr>
            <w:r w:rsidRPr="0037434F">
              <w:rPr>
                <w:rFonts w:cs="Arial"/>
                <w:b/>
              </w:rPr>
              <w:t>Patient Preparation:</w:t>
            </w:r>
            <w:r>
              <w:rPr>
                <w:rFonts w:cs="Arial"/>
              </w:rPr>
              <w:t xml:space="preserve"> The patient should avoid smoking for 1 hour prior to specimen collection.</w:t>
            </w:r>
          </w:p>
          <w:p w:rsidR="00F153AD" w:rsidRDefault="00F153AD" w:rsidP="00F153AD">
            <w:pPr>
              <w:jc w:val="both"/>
              <w:rPr>
                <w:rFonts w:cs="Arial"/>
              </w:rPr>
            </w:pPr>
          </w:p>
          <w:p w:rsidR="00F153AD" w:rsidRDefault="00F153AD" w:rsidP="00F153AD">
            <w:pPr>
              <w:jc w:val="both"/>
              <w:rPr>
                <w:rFonts w:cs="Arial"/>
              </w:rPr>
            </w:pPr>
            <w:r w:rsidRPr="00664690">
              <w:rPr>
                <w:rFonts w:cs="Arial"/>
                <w:b/>
              </w:rPr>
              <w:t>Sample:</w:t>
            </w:r>
            <w:r>
              <w:rPr>
                <w:rFonts w:cs="Arial"/>
              </w:rPr>
              <w:t xml:space="preserve"> </w:t>
            </w:r>
          </w:p>
          <w:p w:rsidR="00F153AD" w:rsidRDefault="00F153AD" w:rsidP="00F153AD">
            <w:pPr>
              <w:numPr>
                <w:ilvl w:val="0"/>
                <w:numId w:val="19"/>
              </w:numPr>
              <w:jc w:val="both"/>
              <w:rPr>
                <w:rFonts w:cs="Arial"/>
              </w:rPr>
            </w:pPr>
            <w:r>
              <w:rPr>
                <w:rFonts w:cs="Arial"/>
              </w:rPr>
              <w:t xml:space="preserve">Lithium Heparinized plasma collected by venipuncture. </w:t>
            </w:r>
          </w:p>
          <w:p w:rsidR="00F153AD" w:rsidRDefault="00F153AD" w:rsidP="00F153AD">
            <w:pPr>
              <w:numPr>
                <w:ilvl w:val="0"/>
                <w:numId w:val="19"/>
              </w:numPr>
              <w:jc w:val="both"/>
              <w:rPr>
                <w:rFonts w:cs="Arial"/>
              </w:rPr>
            </w:pPr>
            <w:r>
              <w:rPr>
                <w:rFonts w:cs="Arial"/>
              </w:rPr>
              <w:t xml:space="preserve">Transport specimen to lab on ice slurry within 20 minutes of collection. </w:t>
            </w:r>
          </w:p>
          <w:p w:rsidR="00F153AD" w:rsidRDefault="00F153AD" w:rsidP="00F153AD">
            <w:pPr>
              <w:numPr>
                <w:ilvl w:val="0"/>
                <w:numId w:val="19"/>
              </w:numPr>
              <w:jc w:val="both"/>
              <w:rPr>
                <w:rFonts w:cs="Arial"/>
              </w:rPr>
            </w:pPr>
            <w:r>
              <w:rPr>
                <w:rFonts w:cs="Arial"/>
              </w:rPr>
              <w:t>The tube should be completely filled, and immediately stored tightly capped on ice,</w:t>
            </w:r>
          </w:p>
          <w:p w:rsidR="00F153AD" w:rsidRDefault="00F153AD" w:rsidP="00F153AD">
            <w:pPr>
              <w:jc w:val="both"/>
              <w:rPr>
                <w:rFonts w:cs="Arial"/>
              </w:rPr>
            </w:pPr>
          </w:p>
          <w:p w:rsidR="00F153AD" w:rsidRDefault="00F153AD" w:rsidP="00F153AD">
            <w:pPr>
              <w:tabs>
                <w:tab w:val="left" w:pos="3758"/>
                <w:tab w:val="left" w:pos="14693"/>
              </w:tabs>
              <w:jc w:val="both"/>
              <w:rPr>
                <w:rFonts w:cs="Arial"/>
              </w:rPr>
            </w:pPr>
            <w:r>
              <w:rPr>
                <w:rFonts w:cs="Arial"/>
                <w:b/>
                <w:bCs/>
              </w:rPr>
              <w:t>Minimum volume:</w:t>
            </w:r>
          </w:p>
          <w:p w:rsidR="00F153AD" w:rsidRDefault="00F153AD" w:rsidP="00F153AD">
            <w:pPr>
              <w:tabs>
                <w:tab w:val="left" w:pos="3758"/>
                <w:tab w:val="left" w:pos="14693"/>
              </w:tabs>
              <w:jc w:val="both"/>
              <w:rPr>
                <w:rFonts w:cs="Arial"/>
              </w:rPr>
            </w:pPr>
            <w:r>
              <w:rPr>
                <w:rFonts w:cs="Arial"/>
              </w:rPr>
              <w:t xml:space="preserve">200 µL, </w:t>
            </w:r>
            <w:r w:rsidR="00D33AB7">
              <w:rPr>
                <w:rFonts w:cs="Arial"/>
              </w:rPr>
              <w:t>preferred</w:t>
            </w:r>
            <w:r>
              <w:rPr>
                <w:rFonts w:cs="Arial"/>
              </w:rPr>
              <w:t>, 100 µL minimum, 20 µL actual test volume.</w:t>
            </w:r>
          </w:p>
          <w:p w:rsidR="00F153AD" w:rsidRDefault="00F153AD" w:rsidP="00F153AD">
            <w:pPr>
              <w:jc w:val="both"/>
              <w:rPr>
                <w:rFonts w:cs="Arial"/>
              </w:rPr>
            </w:pPr>
          </w:p>
          <w:p w:rsidR="00F153AD" w:rsidRDefault="00F153AD" w:rsidP="00F153AD">
            <w:pPr>
              <w:jc w:val="both"/>
              <w:rPr>
                <w:rFonts w:cs="Arial"/>
              </w:rPr>
            </w:pPr>
            <w:r>
              <w:rPr>
                <w:rFonts w:cs="Arial"/>
                <w:b/>
                <w:bCs/>
              </w:rPr>
              <w:t>Stability:</w:t>
            </w:r>
            <w:r>
              <w:rPr>
                <w:rFonts w:cs="Arial"/>
              </w:rPr>
              <w:t xml:space="preserve"> </w:t>
            </w:r>
          </w:p>
          <w:p w:rsidR="00F153AD" w:rsidRDefault="00F153AD" w:rsidP="00790706">
            <w:pPr>
              <w:numPr>
                <w:ilvl w:val="0"/>
                <w:numId w:val="20"/>
              </w:numPr>
              <w:jc w:val="both"/>
              <w:rPr>
                <w:rFonts w:cs="Arial"/>
              </w:rPr>
            </w:pPr>
            <w:r>
              <w:rPr>
                <w:rFonts w:cs="Arial"/>
              </w:rPr>
              <w:t xml:space="preserve">Analyze within 30 minutes of centrifugation. </w:t>
            </w:r>
          </w:p>
          <w:p w:rsidR="00F153AD" w:rsidRDefault="00F153AD" w:rsidP="00790706">
            <w:pPr>
              <w:numPr>
                <w:ilvl w:val="0"/>
                <w:numId w:val="20"/>
              </w:numPr>
              <w:jc w:val="both"/>
              <w:rPr>
                <w:rFonts w:cs="Arial"/>
              </w:rPr>
            </w:pPr>
            <w:r>
              <w:rPr>
                <w:rFonts w:cs="Arial"/>
              </w:rPr>
              <w:t>2 hours at 2 – 8 C</w:t>
            </w:r>
            <w:r w:rsidR="00790706">
              <w:rPr>
                <w:rFonts w:cs="Arial"/>
              </w:rPr>
              <w:t xml:space="preserve"> once separated</w:t>
            </w:r>
            <w:r>
              <w:rPr>
                <w:rFonts w:cs="Arial"/>
              </w:rPr>
              <w:t xml:space="preserve">. </w:t>
            </w:r>
            <w:r>
              <w:rPr>
                <w:rFonts w:cs="Arial"/>
                <w:szCs w:val="15"/>
              </w:rPr>
              <w:t>Concentrations may more than double in plasma when stored at room temperature for 6 hours.</w:t>
            </w:r>
            <w:r>
              <w:rPr>
                <w:rFonts w:cs="Arial"/>
              </w:rPr>
              <w:t xml:space="preserve"> </w:t>
            </w:r>
          </w:p>
          <w:p w:rsidR="00F153AD" w:rsidRPr="00790706" w:rsidRDefault="00790706" w:rsidP="00790706">
            <w:pPr>
              <w:numPr>
                <w:ilvl w:val="0"/>
                <w:numId w:val="20"/>
              </w:numPr>
              <w:jc w:val="both"/>
              <w:rPr>
                <w:rFonts w:cs="Arial"/>
              </w:rPr>
            </w:pPr>
            <w:r>
              <w:rPr>
                <w:rFonts w:cs="Arial"/>
              </w:rPr>
              <w:t xml:space="preserve">-70 </w:t>
            </w:r>
            <w:r>
              <w:rPr>
                <w:rFonts w:cs="Arial"/>
              </w:rPr>
              <w:sym w:font="Symbol" w:char="F0B0"/>
            </w:r>
            <w:r>
              <w:rPr>
                <w:rFonts w:cs="Arial"/>
              </w:rPr>
              <w:t>C for 2 days once separated i</w:t>
            </w:r>
            <w:r w:rsidR="00F153AD">
              <w:rPr>
                <w:rFonts w:cs="Arial"/>
              </w:rPr>
              <w:t>f testing must be delayed</w:t>
            </w:r>
            <w:r>
              <w:rPr>
                <w:rFonts w:cs="Arial"/>
              </w:rPr>
              <w:t>.</w:t>
            </w:r>
            <w:r w:rsidR="00F153AD">
              <w:rPr>
                <w:rFonts w:cs="Arial"/>
              </w:rPr>
              <w:t xml:space="preserve"> </w:t>
            </w:r>
          </w:p>
        </w:tc>
      </w:tr>
      <w:tr w:rsidR="00AD5CC4" w:rsidTr="00790706">
        <w:trPr>
          <w:cantSplit/>
          <w:trHeight w:val="3798"/>
          <w:tblHeader/>
        </w:trPr>
        <w:tc>
          <w:tcPr>
            <w:tcW w:w="1800" w:type="dxa"/>
          </w:tcPr>
          <w:p w:rsidR="00AD5CC4" w:rsidRDefault="00AD5CC4">
            <w:pPr>
              <w:rPr>
                <w:rFonts w:cs="Arial"/>
                <w:b/>
                <w:bCs/>
                <w:color w:val="0000FF"/>
              </w:rPr>
            </w:pPr>
          </w:p>
          <w:p w:rsidR="00AD5CC4" w:rsidRDefault="00AD5CC4">
            <w:pPr>
              <w:rPr>
                <w:rFonts w:cs="Arial"/>
                <w:b/>
                <w:bCs/>
                <w:color w:val="0000FF"/>
              </w:rPr>
            </w:pPr>
            <w:r>
              <w:rPr>
                <w:rFonts w:cs="Arial"/>
                <w:b/>
                <w:bCs/>
                <w:color w:val="0000FF"/>
              </w:rPr>
              <w:t>Specimen</w:t>
            </w:r>
            <w:r w:rsidR="00F153AD">
              <w:rPr>
                <w:rFonts w:cs="Arial"/>
                <w:b/>
                <w:bCs/>
                <w:color w:val="0000FF"/>
              </w:rPr>
              <w:t xml:space="preserve"> (cont)</w:t>
            </w:r>
          </w:p>
          <w:p w:rsidR="00AD5CC4" w:rsidRDefault="00AD5CC4">
            <w:pPr>
              <w:rPr>
                <w:rFonts w:cs="Arial"/>
                <w:b/>
                <w:bCs/>
                <w:color w:val="0000FF"/>
              </w:rPr>
            </w:pPr>
          </w:p>
        </w:tc>
        <w:tc>
          <w:tcPr>
            <w:tcW w:w="9360" w:type="dxa"/>
            <w:gridSpan w:val="4"/>
            <w:tcBorders>
              <w:top w:val="single" w:sz="18" w:space="0" w:color="D9D9D9"/>
              <w:bottom w:val="single" w:sz="18" w:space="0" w:color="D9D9D9"/>
            </w:tcBorders>
            <w:vAlign w:val="center"/>
          </w:tcPr>
          <w:p w:rsidR="00790706" w:rsidRDefault="00790706" w:rsidP="00790706">
            <w:pPr>
              <w:jc w:val="both"/>
              <w:rPr>
                <w:rFonts w:cs="Arial"/>
              </w:rPr>
            </w:pPr>
            <w:r>
              <w:rPr>
                <w:rFonts w:cs="Arial"/>
                <w:b/>
                <w:bCs/>
              </w:rPr>
              <w:t>Rejection criteria:</w:t>
            </w:r>
            <w:r>
              <w:rPr>
                <w:rFonts w:cs="Arial"/>
              </w:rPr>
              <w:t xml:space="preserve"> </w:t>
            </w:r>
          </w:p>
          <w:p w:rsidR="00790706" w:rsidRDefault="00790706" w:rsidP="00790706">
            <w:pPr>
              <w:numPr>
                <w:ilvl w:val="0"/>
                <w:numId w:val="21"/>
              </w:numPr>
              <w:jc w:val="both"/>
              <w:rPr>
                <w:rFonts w:cs="Arial"/>
              </w:rPr>
            </w:pPr>
            <w:r>
              <w:rPr>
                <w:rFonts w:cs="Arial"/>
              </w:rPr>
              <w:t xml:space="preserve">Unlabeled tube </w:t>
            </w:r>
          </w:p>
          <w:p w:rsidR="001C017D" w:rsidRDefault="001C017D" w:rsidP="00790706">
            <w:pPr>
              <w:numPr>
                <w:ilvl w:val="0"/>
                <w:numId w:val="21"/>
              </w:numPr>
              <w:jc w:val="both"/>
              <w:rPr>
                <w:rFonts w:cs="Arial"/>
              </w:rPr>
            </w:pPr>
            <w:r>
              <w:rPr>
                <w:rFonts w:cs="Arial"/>
              </w:rPr>
              <w:t>Clotted Samples</w:t>
            </w:r>
          </w:p>
          <w:p w:rsidR="00790706" w:rsidRDefault="00790706" w:rsidP="00790706">
            <w:pPr>
              <w:numPr>
                <w:ilvl w:val="0"/>
                <w:numId w:val="21"/>
              </w:numPr>
              <w:jc w:val="both"/>
              <w:rPr>
                <w:rFonts w:cs="Arial"/>
              </w:rPr>
            </w:pPr>
            <w:r>
              <w:rPr>
                <w:rFonts w:cs="Arial"/>
              </w:rPr>
              <w:t xml:space="preserve">Not received on ice within 20 minutes of collection, </w:t>
            </w:r>
          </w:p>
          <w:p w:rsidR="00790706" w:rsidRDefault="00790706" w:rsidP="00790706">
            <w:pPr>
              <w:numPr>
                <w:ilvl w:val="0"/>
                <w:numId w:val="21"/>
              </w:numPr>
              <w:jc w:val="both"/>
              <w:rPr>
                <w:rFonts w:cs="Arial"/>
              </w:rPr>
            </w:pPr>
            <w:r>
              <w:rPr>
                <w:rFonts w:cs="Arial"/>
              </w:rPr>
              <w:t xml:space="preserve">Hemolyzed samples, HIL index of &gt;3 </w:t>
            </w:r>
          </w:p>
          <w:p w:rsidR="00790706" w:rsidRDefault="00790706" w:rsidP="00790706">
            <w:pPr>
              <w:numPr>
                <w:ilvl w:val="0"/>
                <w:numId w:val="21"/>
              </w:numPr>
              <w:jc w:val="both"/>
              <w:rPr>
                <w:rFonts w:cs="Arial"/>
              </w:rPr>
            </w:pPr>
            <w:r>
              <w:rPr>
                <w:rFonts w:cs="Arial"/>
              </w:rPr>
              <w:t>Fingerstick collection</w:t>
            </w:r>
          </w:p>
          <w:p w:rsidR="00790706" w:rsidRDefault="00790706" w:rsidP="00790706">
            <w:pPr>
              <w:numPr>
                <w:ilvl w:val="0"/>
                <w:numId w:val="21"/>
              </w:numPr>
              <w:autoSpaceDE w:val="0"/>
              <w:autoSpaceDN w:val="0"/>
              <w:adjustRightInd w:val="0"/>
              <w:jc w:val="both"/>
              <w:rPr>
                <w:rFonts w:cs="Arial"/>
                <w:color w:val="000000"/>
                <w:szCs w:val="15"/>
              </w:rPr>
            </w:pPr>
            <w:r>
              <w:rPr>
                <w:rFonts w:cs="Arial"/>
              </w:rPr>
              <w:t xml:space="preserve">Lipemic samples, </w:t>
            </w:r>
            <w:r>
              <w:rPr>
                <w:rFonts w:cs="Arial"/>
                <w:color w:val="000000"/>
                <w:szCs w:val="15"/>
              </w:rPr>
              <w:t>Lipemia (Intralipid®) of &gt;100 mg/dL that trips an error message</w:t>
            </w:r>
          </w:p>
          <w:p w:rsidR="00790706" w:rsidRDefault="00790706" w:rsidP="00790706">
            <w:pPr>
              <w:autoSpaceDE w:val="0"/>
              <w:autoSpaceDN w:val="0"/>
              <w:adjustRightInd w:val="0"/>
              <w:jc w:val="both"/>
              <w:rPr>
                <w:rFonts w:cs="Arial"/>
                <w:color w:val="000000"/>
                <w:szCs w:val="15"/>
              </w:rPr>
            </w:pPr>
          </w:p>
          <w:p w:rsidR="00AE5218" w:rsidRDefault="00AE5218" w:rsidP="00790706">
            <w:pPr>
              <w:autoSpaceDE w:val="0"/>
              <w:autoSpaceDN w:val="0"/>
              <w:adjustRightInd w:val="0"/>
              <w:jc w:val="both"/>
              <w:rPr>
                <w:rFonts w:cs="Arial"/>
                <w:szCs w:val="14"/>
              </w:rPr>
            </w:pPr>
            <w:r>
              <w:rPr>
                <w:rFonts w:cs="Arial"/>
                <w:b/>
                <w:bCs/>
              </w:rPr>
              <w:t>Preparation</w:t>
            </w:r>
          </w:p>
          <w:p w:rsidR="00AE5218" w:rsidRDefault="00D73ABC" w:rsidP="00F153AD">
            <w:pPr>
              <w:numPr>
                <w:ilvl w:val="0"/>
                <w:numId w:val="12"/>
              </w:numPr>
              <w:autoSpaceDE w:val="0"/>
              <w:autoSpaceDN w:val="0"/>
              <w:adjustRightInd w:val="0"/>
              <w:jc w:val="both"/>
              <w:rPr>
                <w:rFonts w:cs="Arial"/>
                <w:szCs w:val="14"/>
              </w:rPr>
            </w:pPr>
            <w:r>
              <w:rPr>
                <w:rFonts w:cs="Arial"/>
                <w:szCs w:val="15"/>
              </w:rPr>
              <w:t>P</w:t>
            </w:r>
            <w:r w:rsidR="00AE5218">
              <w:rPr>
                <w:rFonts w:cs="Arial"/>
                <w:szCs w:val="15"/>
              </w:rPr>
              <w:t xml:space="preserve">lasma should be physically separated from cells </w:t>
            </w:r>
            <w:r>
              <w:rPr>
                <w:rFonts w:cs="Arial"/>
                <w:szCs w:val="15"/>
              </w:rPr>
              <w:t>immediately</w:t>
            </w:r>
            <w:r w:rsidR="00AE5218">
              <w:rPr>
                <w:rFonts w:cs="Arial"/>
                <w:szCs w:val="15"/>
              </w:rPr>
              <w:t>.</w:t>
            </w:r>
            <w:r w:rsidR="00AE5218">
              <w:rPr>
                <w:rFonts w:cs="Arial"/>
                <w:szCs w:val="9"/>
              </w:rPr>
              <w:t xml:space="preserve"> </w:t>
            </w:r>
            <w:r w:rsidR="00AE5218">
              <w:rPr>
                <w:rFonts w:cs="Arial"/>
                <w:szCs w:val="15"/>
              </w:rPr>
              <w:t>Specimens should be free of particulate matter.</w:t>
            </w:r>
            <w:r>
              <w:rPr>
                <w:rFonts w:cs="Arial"/>
                <w:szCs w:val="15"/>
              </w:rPr>
              <w:t xml:space="preserve"> See processing procedure manual.</w:t>
            </w:r>
          </w:p>
          <w:p w:rsidR="00D73ABC" w:rsidRPr="00F153AD" w:rsidRDefault="00AE5218" w:rsidP="00F153AD">
            <w:pPr>
              <w:numPr>
                <w:ilvl w:val="0"/>
                <w:numId w:val="12"/>
              </w:numPr>
              <w:tabs>
                <w:tab w:val="left" w:pos="14693"/>
              </w:tabs>
              <w:autoSpaceDE w:val="0"/>
              <w:autoSpaceDN w:val="0"/>
              <w:adjustRightInd w:val="0"/>
              <w:jc w:val="both"/>
              <w:rPr>
                <w:rFonts w:cs="Arial"/>
              </w:rPr>
            </w:pPr>
            <w:r>
              <w:rPr>
                <w:rFonts w:cs="Arial"/>
                <w:szCs w:val="14"/>
              </w:rPr>
              <w:t>Transfer serum or plasma to a properly labeled Siemens SSC nested on a bar-coded pilot tube. Minimum labeling includes sample accession ID, and/ or patient name, medical record number, collection date and time.</w:t>
            </w:r>
          </w:p>
          <w:p w:rsidR="00F153AD" w:rsidRPr="00F153AD" w:rsidRDefault="00F153AD" w:rsidP="00F153AD">
            <w:pPr>
              <w:numPr>
                <w:ilvl w:val="0"/>
                <w:numId w:val="12"/>
              </w:numPr>
              <w:tabs>
                <w:tab w:val="left" w:pos="14693"/>
              </w:tabs>
              <w:autoSpaceDE w:val="0"/>
              <w:autoSpaceDN w:val="0"/>
              <w:adjustRightInd w:val="0"/>
              <w:jc w:val="both"/>
              <w:rPr>
                <w:rFonts w:cs="Arial"/>
              </w:rPr>
            </w:pPr>
            <w:r>
              <w:rPr>
                <w:rFonts w:cs="Arial"/>
                <w:szCs w:val="14"/>
              </w:rPr>
              <w:t xml:space="preserve">Analyze sample immediately, or store </w:t>
            </w:r>
            <w:r w:rsidR="00F7021A">
              <w:rPr>
                <w:rFonts w:cs="Arial"/>
                <w:szCs w:val="14"/>
              </w:rPr>
              <w:t>appropriately. See above.</w:t>
            </w:r>
          </w:p>
        </w:tc>
      </w:tr>
      <w:tr w:rsidR="00AD5CC4" w:rsidTr="00664690">
        <w:trPr>
          <w:trHeight w:val="4986"/>
          <w:tblHeader/>
        </w:trPr>
        <w:tc>
          <w:tcPr>
            <w:tcW w:w="1800" w:type="dxa"/>
          </w:tcPr>
          <w:p w:rsidR="00AD5CC4" w:rsidRDefault="00AD5CC4">
            <w:pPr>
              <w:rPr>
                <w:rFonts w:cs="Arial"/>
                <w:b/>
                <w:bCs/>
                <w:color w:val="0000FF"/>
              </w:rPr>
            </w:pPr>
          </w:p>
          <w:p w:rsidR="00AD5CC4" w:rsidRDefault="00AD5CC4">
            <w:pPr>
              <w:rPr>
                <w:rFonts w:cs="Arial"/>
                <w:b/>
                <w:bCs/>
                <w:color w:val="0000FF"/>
              </w:rPr>
            </w:pPr>
            <w:r>
              <w:rPr>
                <w:rFonts w:cs="Arial"/>
                <w:b/>
                <w:bCs/>
                <w:color w:val="0000FF"/>
              </w:rPr>
              <w:t>Reagents</w:t>
            </w:r>
          </w:p>
          <w:p w:rsidR="00AD5CC4" w:rsidRDefault="00AD5CC4">
            <w:pPr>
              <w:rPr>
                <w:rFonts w:cs="Arial"/>
                <w:b/>
                <w:bCs/>
                <w:color w:val="0000FF"/>
              </w:rPr>
            </w:pPr>
          </w:p>
        </w:tc>
        <w:tc>
          <w:tcPr>
            <w:tcW w:w="9360" w:type="dxa"/>
            <w:gridSpan w:val="4"/>
            <w:tcBorders>
              <w:top w:val="single" w:sz="18" w:space="0" w:color="D9D9D9"/>
              <w:bottom w:val="single" w:sz="18" w:space="0" w:color="D9D9D9"/>
            </w:tcBorders>
          </w:tcPr>
          <w:p w:rsidR="00D73ABC" w:rsidRDefault="00D73ABC"/>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1620"/>
              <w:gridCol w:w="4837"/>
            </w:tblGrid>
            <w:tr w:rsidR="00D73ABC" w:rsidRPr="00DB1AC3" w:rsidTr="00D73ABC">
              <w:tc>
                <w:tcPr>
                  <w:tcW w:w="2677" w:type="dxa"/>
                </w:tcPr>
                <w:p w:rsidR="00D73ABC" w:rsidRPr="00DB1AC3" w:rsidRDefault="00D73ABC" w:rsidP="00D73ABC">
                  <w:pPr>
                    <w:jc w:val="center"/>
                    <w:rPr>
                      <w:rFonts w:cs="Arial"/>
                      <w:b/>
                      <w:bCs/>
                      <w:i/>
                      <w:szCs w:val="20"/>
                    </w:rPr>
                  </w:pPr>
                  <w:r w:rsidRPr="00DB1AC3">
                    <w:rPr>
                      <w:rFonts w:cs="Arial"/>
                      <w:b/>
                      <w:bCs/>
                      <w:i/>
                      <w:szCs w:val="20"/>
                    </w:rPr>
                    <w:t>Product Description</w:t>
                  </w:r>
                </w:p>
              </w:tc>
              <w:tc>
                <w:tcPr>
                  <w:tcW w:w="1620" w:type="dxa"/>
                </w:tcPr>
                <w:p w:rsidR="00D73ABC" w:rsidRPr="00DB1AC3" w:rsidRDefault="00D73ABC" w:rsidP="00D73ABC">
                  <w:pPr>
                    <w:jc w:val="center"/>
                    <w:rPr>
                      <w:rFonts w:cs="Arial"/>
                      <w:b/>
                      <w:bCs/>
                      <w:i/>
                      <w:szCs w:val="20"/>
                    </w:rPr>
                  </w:pPr>
                  <w:r w:rsidRPr="00DB1AC3">
                    <w:rPr>
                      <w:rFonts w:cs="Arial"/>
                      <w:b/>
                      <w:bCs/>
                      <w:i/>
                      <w:szCs w:val="20"/>
                    </w:rPr>
                    <w:t>Product Code</w:t>
                  </w:r>
                </w:p>
              </w:tc>
              <w:tc>
                <w:tcPr>
                  <w:tcW w:w="4837" w:type="dxa"/>
                </w:tcPr>
                <w:p w:rsidR="00D73ABC" w:rsidRPr="00DB1AC3" w:rsidRDefault="00D73ABC" w:rsidP="00D73ABC">
                  <w:pPr>
                    <w:jc w:val="center"/>
                    <w:rPr>
                      <w:rFonts w:cs="Arial"/>
                      <w:b/>
                      <w:bCs/>
                      <w:i/>
                      <w:szCs w:val="20"/>
                    </w:rPr>
                  </w:pPr>
                  <w:r w:rsidRPr="00DB1AC3">
                    <w:rPr>
                      <w:rFonts w:cs="Arial"/>
                      <w:b/>
                      <w:bCs/>
                      <w:i/>
                      <w:szCs w:val="20"/>
                    </w:rPr>
                    <w:t>Stability</w:t>
                  </w:r>
                </w:p>
              </w:tc>
            </w:tr>
            <w:tr w:rsidR="00D73ABC" w:rsidRPr="00DB1AC3" w:rsidTr="00D73ABC">
              <w:trPr>
                <w:trHeight w:val="836"/>
              </w:trPr>
              <w:tc>
                <w:tcPr>
                  <w:tcW w:w="2677" w:type="dxa"/>
                </w:tcPr>
                <w:p w:rsidR="00D73ABC" w:rsidRPr="00DB1AC3" w:rsidRDefault="00D73ABC" w:rsidP="00D73ABC">
                  <w:pPr>
                    <w:autoSpaceDE w:val="0"/>
                    <w:autoSpaceDN w:val="0"/>
                    <w:adjustRightInd w:val="0"/>
                    <w:rPr>
                      <w:rFonts w:cs="Arial"/>
                      <w:szCs w:val="20"/>
                    </w:rPr>
                  </w:pPr>
                  <w:r>
                    <w:rPr>
                      <w:rFonts w:cs="Arial"/>
                      <w:szCs w:val="20"/>
                    </w:rPr>
                    <w:t>AMM</w:t>
                  </w:r>
                  <w:r w:rsidRPr="00DB1AC3">
                    <w:rPr>
                      <w:rFonts w:cs="Arial"/>
                      <w:szCs w:val="20"/>
                    </w:rPr>
                    <w:t xml:space="preserve"> Flex Reagent Cartridge (Vista)</w:t>
                  </w:r>
                </w:p>
              </w:tc>
              <w:tc>
                <w:tcPr>
                  <w:tcW w:w="1620" w:type="dxa"/>
                </w:tcPr>
                <w:p w:rsidR="00D73ABC" w:rsidRPr="00DB1AC3" w:rsidRDefault="00D73ABC" w:rsidP="00D73ABC">
                  <w:pPr>
                    <w:autoSpaceDE w:val="0"/>
                    <w:autoSpaceDN w:val="0"/>
                    <w:adjustRightInd w:val="0"/>
                    <w:rPr>
                      <w:rFonts w:cs="Arial"/>
                      <w:szCs w:val="20"/>
                    </w:rPr>
                  </w:pPr>
                  <w:r w:rsidRPr="00DB1AC3">
                    <w:rPr>
                      <w:rFonts w:cs="Arial"/>
                      <w:szCs w:val="20"/>
                    </w:rPr>
                    <w:t>K</w:t>
                  </w:r>
                  <w:r>
                    <w:rPr>
                      <w:rFonts w:cs="Arial"/>
                      <w:szCs w:val="20"/>
                    </w:rPr>
                    <w:t>3119</w:t>
                  </w:r>
                </w:p>
              </w:tc>
              <w:tc>
                <w:tcPr>
                  <w:tcW w:w="4837" w:type="dxa"/>
                </w:tcPr>
                <w:p w:rsidR="00D73ABC" w:rsidRPr="00DB1AC3" w:rsidRDefault="00D73ABC" w:rsidP="00684099">
                  <w:pPr>
                    <w:autoSpaceDE w:val="0"/>
                    <w:autoSpaceDN w:val="0"/>
                    <w:adjustRightInd w:val="0"/>
                    <w:spacing w:after="120"/>
                    <w:jc w:val="both"/>
                    <w:rPr>
                      <w:rFonts w:cs="Arial"/>
                      <w:szCs w:val="20"/>
                    </w:rPr>
                  </w:pPr>
                  <w:r w:rsidRPr="00DB1AC3">
                    <w:rPr>
                      <w:rFonts w:cs="Arial"/>
                      <w:b/>
                      <w:bCs/>
                      <w:szCs w:val="20"/>
                    </w:rPr>
                    <w:t xml:space="preserve">Store at: </w:t>
                  </w:r>
                  <w:r w:rsidRPr="00DB1AC3">
                    <w:rPr>
                      <w:rFonts w:cs="Arial"/>
                      <w:szCs w:val="20"/>
                    </w:rPr>
                    <w:t>2 - 8 °C.</w:t>
                  </w:r>
                </w:p>
                <w:p w:rsidR="00D73ABC" w:rsidRPr="00DB1AC3" w:rsidRDefault="00D73ABC" w:rsidP="00684099">
                  <w:pPr>
                    <w:autoSpaceDE w:val="0"/>
                    <w:autoSpaceDN w:val="0"/>
                    <w:adjustRightInd w:val="0"/>
                    <w:spacing w:after="120"/>
                    <w:jc w:val="both"/>
                    <w:rPr>
                      <w:rFonts w:cs="Arial"/>
                      <w:szCs w:val="20"/>
                    </w:rPr>
                  </w:pPr>
                  <w:r w:rsidRPr="00DB1AC3">
                    <w:rPr>
                      <w:rFonts w:cs="Arial"/>
                      <w:b/>
                      <w:bCs/>
                      <w:szCs w:val="20"/>
                    </w:rPr>
                    <w:t>Unopened:</w:t>
                  </w:r>
                  <w:r>
                    <w:rPr>
                      <w:rFonts w:cs="Arial"/>
                      <w:b/>
                      <w:bCs/>
                      <w:szCs w:val="20"/>
                    </w:rPr>
                    <w:t xml:space="preserve"> </w:t>
                  </w:r>
                  <w:r w:rsidRPr="00DB1AC3">
                    <w:rPr>
                      <w:rFonts w:cs="Arial"/>
                      <w:szCs w:val="20"/>
                    </w:rPr>
                    <w:t xml:space="preserve">Refer to carton for expiration date of individual unopened reagent cartridges. </w:t>
                  </w:r>
                </w:p>
                <w:p w:rsidR="00D73ABC" w:rsidRPr="00DB1AC3" w:rsidRDefault="00D73ABC" w:rsidP="00684099">
                  <w:pPr>
                    <w:autoSpaceDE w:val="0"/>
                    <w:autoSpaceDN w:val="0"/>
                    <w:adjustRightInd w:val="0"/>
                    <w:spacing w:after="120"/>
                    <w:jc w:val="both"/>
                    <w:rPr>
                      <w:rFonts w:cs="Arial"/>
                      <w:szCs w:val="20"/>
                    </w:rPr>
                  </w:pPr>
                  <w:r w:rsidRPr="00DB1AC3">
                    <w:rPr>
                      <w:rFonts w:cs="Arial"/>
                      <w:b/>
                      <w:szCs w:val="20"/>
                    </w:rPr>
                    <w:t>On-board:</w:t>
                  </w:r>
                  <w:r>
                    <w:rPr>
                      <w:rFonts w:cs="Arial"/>
                      <w:szCs w:val="20"/>
                    </w:rPr>
                    <w:t xml:space="preserve"> </w:t>
                  </w:r>
                  <w:r w:rsidRPr="00DB1AC3">
                    <w:rPr>
                      <w:rFonts w:cs="Arial"/>
                      <w:szCs w:val="20"/>
                    </w:rPr>
                    <w:t xml:space="preserve">Sealed wells on the instrument are stable for </w:t>
                  </w:r>
                  <w:r>
                    <w:rPr>
                      <w:rFonts w:cs="Arial"/>
                      <w:szCs w:val="20"/>
                    </w:rPr>
                    <w:t>6</w:t>
                  </w:r>
                  <w:r w:rsidRPr="00DB1AC3">
                    <w:rPr>
                      <w:rFonts w:cs="Arial"/>
                      <w:szCs w:val="20"/>
                    </w:rPr>
                    <w:t>0 days.</w:t>
                  </w:r>
                </w:p>
                <w:p w:rsidR="00D73ABC" w:rsidRDefault="00D73ABC" w:rsidP="00684099">
                  <w:pPr>
                    <w:tabs>
                      <w:tab w:val="left" w:pos="1872"/>
                    </w:tabs>
                    <w:autoSpaceDE w:val="0"/>
                    <w:autoSpaceDN w:val="0"/>
                    <w:adjustRightInd w:val="0"/>
                    <w:jc w:val="both"/>
                    <w:rPr>
                      <w:rFonts w:cs="Arial"/>
                      <w:szCs w:val="20"/>
                    </w:rPr>
                  </w:pPr>
                  <w:r w:rsidRPr="00DB1AC3">
                    <w:rPr>
                      <w:rFonts w:cs="Arial"/>
                      <w:b/>
                      <w:bCs/>
                      <w:szCs w:val="20"/>
                    </w:rPr>
                    <w:t>Open well stability:</w:t>
                  </w:r>
                  <w:r>
                    <w:rPr>
                      <w:rFonts w:cs="Arial"/>
                      <w:b/>
                      <w:bCs/>
                      <w:szCs w:val="20"/>
                    </w:rPr>
                    <w:tab/>
                  </w:r>
                  <w:r>
                    <w:rPr>
                      <w:rFonts w:cs="Arial"/>
                      <w:szCs w:val="20"/>
                    </w:rPr>
                    <w:t>3 days for wells 1 – 12</w:t>
                  </w:r>
                </w:p>
                <w:p w:rsidR="00D73ABC" w:rsidRPr="00D73ABC" w:rsidRDefault="00D73ABC" w:rsidP="00684099">
                  <w:pPr>
                    <w:tabs>
                      <w:tab w:val="left" w:pos="1872"/>
                    </w:tabs>
                    <w:autoSpaceDE w:val="0"/>
                    <w:autoSpaceDN w:val="0"/>
                    <w:adjustRightInd w:val="0"/>
                    <w:jc w:val="both"/>
                    <w:rPr>
                      <w:rFonts w:cs="Arial"/>
                      <w:szCs w:val="20"/>
                    </w:rPr>
                  </w:pPr>
                </w:p>
              </w:tc>
            </w:tr>
            <w:tr w:rsidR="00D73ABC" w:rsidRPr="00DB1AC3" w:rsidTr="00D73ABC">
              <w:trPr>
                <w:trHeight w:val="837"/>
              </w:trPr>
              <w:tc>
                <w:tcPr>
                  <w:tcW w:w="2677" w:type="dxa"/>
                </w:tcPr>
                <w:p w:rsidR="00D73ABC" w:rsidRPr="002C4F36" w:rsidRDefault="00D73ABC" w:rsidP="00D73ABC">
                  <w:pPr>
                    <w:autoSpaceDE w:val="0"/>
                    <w:autoSpaceDN w:val="0"/>
                    <w:adjustRightInd w:val="0"/>
                    <w:rPr>
                      <w:rFonts w:eastAsia="Arial Unicode MS" w:cs="Arial"/>
                      <w:szCs w:val="20"/>
                    </w:rPr>
                  </w:pPr>
                  <w:r>
                    <w:rPr>
                      <w:rFonts w:cs="Arial"/>
                      <w:szCs w:val="20"/>
                    </w:rPr>
                    <w:t>CHEM 3</w:t>
                  </w:r>
                  <w:r w:rsidRPr="002C4F36">
                    <w:rPr>
                      <w:rFonts w:cs="Arial"/>
                      <w:szCs w:val="20"/>
                    </w:rPr>
                    <w:t xml:space="preserve"> CAL</w:t>
                  </w:r>
                </w:p>
              </w:tc>
              <w:tc>
                <w:tcPr>
                  <w:tcW w:w="1620" w:type="dxa"/>
                </w:tcPr>
                <w:p w:rsidR="00D73ABC" w:rsidRPr="00DB1AC3" w:rsidRDefault="00D73ABC" w:rsidP="00D73ABC">
                  <w:pPr>
                    <w:autoSpaceDE w:val="0"/>
                    <w:autoSpaceDN w:val="0"/>
                    <w:adjustRightInd w:val="0"/>
                    <w:rPr>
                      <w:rFonts w:eastAsia="Arial Unicode MS" w:cs="Arial"/>
                      <w:szCs w:val="20"/>
                    </w:rPr>
                  </w:pPr>
                  <w:r>
                    <w:rPr>
                      <w:rFonts w:cs="Arial"/>
                      <w:szCs w:val="20"/>
                    </w:rPr>
                    <w:t>KC130A</w:t>
                  </w:r>
                </w:p>
              </w:tc>
              <w:tc>
                <w:tcPr>
                  <w:tcW w:w="4837" w:type="dxa"/>
                </w:tcPr>
                <w:p w:rsidR="00D73ABC" w:rsidRPr="00DB1AC3" w:rsidRDefault="00D73ABC" w:rsidP="00684099">
                  <w:pPr>
                    <w:autoSpaceDE w:val="0"/>
                    <w:autoSpaceDN w:val="0"/>
                    <w:adjustRightInd w:val="0"/>
                    <w:spacing w:after="120"/>
                    <w:jc w:val="both"/>
                    <w:rPr>
                      <w:rFonts w:cs="Arial"/>
                      <w:szCs w:val="20"/>
                    </w:rPr>
                  </w:pPr>
                  <w:r w:rsidRPr="00DB1AC3">
                    <w:rPr>
                      <w:rFonts w:cs="Arial"/>
                      <w:b/>
                      <w:bCs/>
                      <w:szCs w:val="20"/>
                    </w:rPr>
                    <w:t xml:space="preserve">Store at: </w:t>
                  </w:r>
                  <w:r w:rsidRPr="00DB1AC3">
                    <w:rPr>
                      <w:rFonts w:cs="Arial"/>
                      <w:szCs w:val="20"/>
                    </w:rPr>
                    <w:t>2 - 8 °C.</w:t>
                  </w:r>
                </w:p>
                <w:p w:rsidR="00D73ABC" w:rsidRDefault="00D73ABC" w:rsidP="00684099">
                  <w:pPr>
                    <w:autoSpaceDE w:val="0"/>
                    <w:autoSpaceDN w:val="0"/>
                    <w:adjustRightInd w:val="0"/>
                    <w:spacing w:after="120"/>
                    <w:jc w:val="both"/>
                    <w:rPr>
                      <w:rFonts w:cs="Arial"/>
                      <w:b/>
                      <w:szCs w:val="20"/>
                    </w:rPr>
                  </w:pPr>
                  <w:r w:rsidRPr="00DB1AC3">
                    <w:rPr>
                      <w:rFonts w:cs="Arial"/>
                      <w:b/>
                      <w:bCs/>
                      <w:szCs w:val="20"/>
                    </w:rPr>
                    <w:t>Unopened:</w:t>
                  </w:r>
                  <w:r>
                    <w:rPr>
                      <w:rFonts w:cs="Arial"/>
                      <w:b/>
                      <w:bCs/>
                      <w:szCs w:val="20"/>
                    </w:rPr>
                    <w:t xml:space="preserve"> </w:t>
                  </w:r>
                  <w:r w:rsidRPr="00DB1AC3">
                    <w:rPr>
                      <w:rFonts w:cs="Arial"/>
                      <w:szCs w:val="20"/>
                    </w:rPr>
                    <w:t>Refer to carton for expiration date.</w:t>
                  </w:r>
                  <w:r w:rsidRPr="00DB1AC3">
                    <w:rPr>
                      <w:rFonts w:cs="Arial"/>
                      <w:b/>
                      <w:szCs w:val="20"/>
                    </w:rPr>
                    <w:t xml:space="preserve"> </w:t>
                  </w:r>
                </w:p>
                <w:p w:rsidR="00D73ABC" w:rsidRDefault="00D73ABC" w:rsidP="00684099">
                  <w:pPr>
                    <w:autoSpaceDE w:val="0"/>
                    <w:autoSpaceDN w:val="0"/>
                    <w:adjustRightInd w:val="0"/>
                    <w:spacing w:after="120"/>
                    <w:jc w:val="both"/>
                    <w:rPr>
                      <w:rFonts w:cs="Arial"/>
                      <w:szCs w:val="20"/>
                    </w:rPr>
                  </w:pPr>
                  <w:r w:rsidRPr="00DB1AC3">
                    <w:rPr>
                      <w:rFonts w:cs="Arial"/>
                      <w:b/>
                      <w:szCs w:val="20"/>
                    </w:rPr>
                    <w:t>On-board:</w:t>
                  </w:r>
                  <w:r>
                    <w:rPr>
                      <w:rFonts w:cs="Arial"/>
                      <w:szCs w:val="20"/>
                    </w:rPr>
                    <w:t xml:space="preserve"> </w:t>
                  </w:r>
                  <w:r w:rsidRPr="00DB1AC3">
                    <w:rPr>
                      <w:rFonts w:cs="Arial"/>
                      <w:szCs w:val="20"/>
                    </w:rPr>
                    <w:t xml:space="preserve">Once the vial stopper is punctured, assigned values are stable for </w:t>
                  </w:r>
                  <w:r>
                    <w:rPr>
                      <w:rFonts w:cs="Arial"/>
                      <w:szCs w:val="20"/>
                    </w:rPr>
                    <w:t>24 hours</w:t>
                  </w:r>
                  <w:r w:rsidRPr="00DB1AC3">
                    <w:rPr>
                      <w:rFonts w:cs="Arial"/>
                      <w:szCs w:val="20"/>
                    </w:rPr>
                    <w:t xml:space="preserve"> when stored on board the Dimension Vist</w:t>
                  </w:r>
                  <w:r>
                    <w:rPr>
                      <w:rFonts w:cs="Arial"/>
                      <w:szCs w:val="20"/>
                    </w:rPr>
                    <w:t xml:space="preserve">a </w:t>
                  </w:r>
                  <w:r w:rsidRPr="00DB1AC3">
                    <w:rPr>
                      <w:rFonts w:cs="Arial"/>
                      <w:szCs w:val="20"/>
                    </w:rPr>
                    <w:t>System</w:t>
                  </w:r>
                </w:p>
                <w:p w:rsidR="008A4CCC" w:rsidRPr="00DB1AC3" w:rsidRDefault="008A4CCC" w:rsidP="00684099">
                  <w:pPr>
                    <w:autoSpaceDE w:val="0"/>
                    <w:autoSpaceDN w:val="0"/>
                    <w:adjustRightInd w:val="0"/>
                    <w:spacing w:after="120"/>
                    <w:jc w:val="both"/>
                    <w:rPr>
                      <w:rFonts w:cs="Arial"/>
                      <w:szCs w:val="20"/>
                    </w:rPr>
                  </w:pPr>
                  <w:r w:rsidRPr="006B73D7">
                    <w:rPr>
                      <w:rFonts w:cs="Arial"/>
                      <w:b/>
                      <w:szCs w:val="20"/>
                    </w:rPr>
                    <w:t>Opened</w:t>
                  </w:r>
                  <w:r>
                    <w:rPr>
                      <w:rFonts w:cs="Arial"/>
                      <w:szCs w:val="20"/>
                    </w:rPr>
                    <w:t xml:space="preserve">: Assigned values are stable for 30 days when recapped immediately and stored at </w:t>
                  </w:r>
                  <w:r w:rsidRPr="00DB1AC3">
                    <w:rPr>
                      <w:rFonts w:cs="Arial"/>
                      <w:szCs w:val="20"/>
                    </w:rPr>
                    <w:t>2 - 8 °C</w:t>
                  </w:r>
                  <w:r>
                    <w:rPr>
                      <w:rFonts w:cs="Arial"/>
                      <w:szCs w:val="20"/>
                    </w:rPr>
                    <w:t>. Do not use this vial on board.</w:t>
                  </w:r>
                </w:p>
              </w:tc>
            </w:tr>
          </w:tbl>
          <w:p w:rsidR="00AD5CC4" w:rsidRDefault="00AD5CC4" w:rsidP="00D73ABC">
            <w:pPr>
              <w:rPr>
                <w:rFonts w:cs="Arial"/>
              </w:rPr>
            </w:pPr>
          </w:p>
        </w:tc>
      </w:tr>
      <w:tr w:rsidR="00664690" w:rsidTr="00664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1"/>
          <w:tblHeader/>
        </w:trPr>
        <w:tc>
          <w:tcPr>
            <w:tcW w:w="1800" w:type="dxa"/>
            <w:tcBorders>
              <w:top w:val="nil"/>
              <w:left w:val="nil"/>
              <w:bottom w:val="nil"/>
              <w:right w:val="nil"/>
            </w:tcBorders>
          </w:tcPr>
          <w:p w:rsidR="00664690" w:rsidRDefault="00664690" w:rsidP="00B70587">
            <w:pPr>
              <w:rPr>
                <w:rFonts w:cs="Arial"/>
                <w:b/>
                <w:bCs/>
                <w:color w:val="0000FF"/>
              </w:rPr>
            </w:pPr>
          </w:p>
          <w:p w:rsidR="00664690" w:rsidRDefault="00664690" w:rsidP="00B70587">
            <w:pPr>
              <w:rPr>
                <w:rFonts w:cs="Arial"/>
                <w:b/>
                <w:bCs/>
                <w:color w:val="0000FF"/>
              </w:rPr>
            </w:pPr>
            <w:r>
              <w:rPr>
                <w:rFonts w:cs="Arial"/>
                <w:b/>
                <w:bCs/>
                <w:color w:val="0000FF"/>
              </w:rPr>
              <w:t>Risk and Safety</w:t>
            </w:r>
          </w:p>
        </w:tc>
        <w:tc>
          <w:tcPr>
            <w:tcW w:w="9360" w:type="dxa"/>
            <w:gridSpan w:val="4"/>
            <w:tcBorders>
              <w:top w:val="single" w:sz="18" w:space="0" w:color="D9D9D9"/>
              <w:left w:val="nil"/>
              <w:bottom w:val="single" w:sz="18" w:space="0" w:color="D9D9D9"/>
              <w:right w:val="nil"/>
            </w:tcBorders>
            <w:vAlign w:val="center"/>
          </w:tcPr>
          <w:p w:rsidR="00664690" w:rsidRPr="00F75C7E" w:rsidRDefault="00664690" w:rsidP="00664690">
            <w:pPr>
              <w:autoSpaceDE w:val="0"/>
              <w:autoSpaceDN w:val="0"/>
              <w:adjustRightInd w:val="0"/>
              <w:rPr>
                <w:rFonts w:cs="Arial"/>
                <w:szCs w:val="20"/>
              </w:rPr>
            </w:pPr>
            <w:r w:rsidRPr="00F75C7E">
              <w:rPr>
                <w:rFonts w:cs="Arial"/>
                <w:szCs w:val="20"/>
              </w:rPr>
              <w:t>Irritant. Contains a mixture of 5-chloro-2-methyl-2H-isothiazol -3-one and 2</w:t>
            </w:r>
            <w:r w:rsidRPr="00F75C7E">
              <w:rPr>
                <w:rFonts w:eastAsia="MS Gothic" w:hAnsi="MS Gothic" w:cs="Arial"/>
                <w:szCs w:val="20"/>
              </w:rPr>
              <w:t>‑</w:t>
            </w:r>
            <w:r w:rsidRPr="00F75C7E">
              <w:rPr>
                <w:rFonts w:cs="Arial"/>
                <w:szCs w:val="20"/>
              </w:rPr>
              <w:t>methyl</w:t>
            </w:r>
            <w:r w:rsidRPr="00F75C7E">
              <w:rPr>
                <w:rFonts w:eastAsia="MS Gothic" w:hAnsi="MS Gothic" w:cs="Arial"/>
                <w:szCs w:val="20"/>
              </w:rPr>
              <w:t>‑</w:t>
            </w:r>
            <w:r w:rsidRPr="00F75C7E">
              <w:rPr>
                <w:rFonts w:cs="Arial"/>
                <w:szCs w:val="20"/>
              </w:rPr>
              <w:t>2H</w:t>
            </w:r>
            <w:r w:rsidRPr="00F75C7E">
              <w:rPr>
                <w:rFonts w:eastAsia="MS Gothic" w:hAnsi="MS Gothic" w:cs="Arial"/>
                <w:szCs w:val="20"/>
              </w:rPr>
              <w:t>‑</w:t>
            </w:r>
            <w:r w:rsidRPr="00F75C7E">
              <w:rPr>
                <w:rFonts w:cs="Arial"/>
                <w:szCs w:val="20"/>
              </w:rPr>
              <w:t>isothiazol-3-one (3:1).</w:t>
            </w:r>
          </w:p>
          <w:p w:rsidR="00664690" w:rsidRPr="00F75C7E" w:rsidRDefault="00664690" w:rsidP="00664690">
            <w:pPr>
              <w:numPr>
                <w:ilvl w:val="0"/>
                <w:numId w:val="18"/>
              </w:numPr>
              <w:autoSpaceDE w:val="0"/>
              <w:autoSpaceDN w:val="0"/>
              <w:adjustRightInd w:val="0"/>
              <w:rPr>
                <w:rFonts w:cs="Arial"/>
                <w:szCs w:val="20"/>
              </w:rPr>
            </w:pPr>
            <w:r w:rsidRPr="00F75C7E">
              <w:rPr>
                <w:rFonts w:cs="Arial"/>
                <w:szCs w:val="20"/>
              </w:rPr>
              <w:t>May cause sensitization by skin contact.</w:t>
            </w:r>
          </w:p>
          <w:p w:rsidR="00664690" w:rsidRPr="00F75C7E" w:rsidRDefault="00664690" w:rsidP="00664690">
            <w:pPr>
              <w:numPr>
                <w:ilvl w:val="0"/>
                <w:numId w:val="18"/>
              </w:numPr>
              <w:autoSpaceDE w:val="0"/>
              <w:autoSpaceDN w:val="0"/>
              <w:adjustRightInd w:val="0"/>
              <w:rPr>
                <w:rFonts w:cs="Arial"/>
                <w:szCs w:val="20"/>
              </w:rPr>
            </w:pPr>
            <w:r w:rsidRPr="00F75C7E">
              <w:rPr>
                <w:rFonts w:cs="Arial"/>
                <w:szCs w:val="20"/>
              </w:rPr>
              <w:t>Avoid contact with skin.</w:t>
            </w:r>
          </w:p>
          <w:p w:rsidR="00664690" w:rsidRPr="00F75C7E" w:rsidRDefault="00664690" w:rsidP="00664690">
            <w:pPr>
              <w:numPr>
                <w:ilvl w:val="0"/>
                <w:numId w:val="18"/>
              </w:numPr>
              <w:autoSpaceDE w:val="0"/>
              <w:autoSpaceDN w:val="0"/>
              <w:adjustRightInd w:val="0"/>
              <w:rPr>
                <w:rFonts w:cs="Arial"/>
                <w:szCs w:val="20"/>
              </w:rPr>
            </w:pPr>
            <w:r w:rsidRPr="00F75C7E">
              <w:rPr>
                <w:rFonts w:cs="Arial"/>
                <w:szCs w:val="20"/>
              </w:rPr>
              <w:t>Wear suitable gloves.</w:t>
            </w:r>
          </w:p>
          <w:p w:rsidR="00664690" w:rsidRPr="00F75C7E" w:rsidRDefault="00664690" w:rsidP="00664690">
            <w:pPr>
              <w:numPr>
                <w:ilvl w:val="0"/>
                <w:numId w:val="18"/>
              </w:numPr>
              <w:autoSpaceDE w:val="0"/>
              <w:autoSpaceDN w:val="0"/>
              <w:adjustRightInd w:val="0"/>
              <w:rPr>
                <w:rFonts w:cs="Arial"/>
                <w:szCs w:val="20"/>
              </w:rPr>
            </w:pPr>
            <w:r w:rsidRPr="00F75C7E">
              <w:rPr>
                <w:rFonts w:cs="Arial"/>
                <w:szCs w:val="20"/>
              </w:rPr>
              <w:t>Safety data sheets (MSDS/SDS) available on www.siemens.com/diagnostics</w:t>
            </w:r>
          </w:p>
          <w:p w:rsidR="00664690" w:rsidRPr="006D1559" w:rsidRDefault="00664690" w:rsidP="00664690">
            <w:pPr>
              <w:numPr>
                <w:ilvl w:val="0"/>
                <w:numId w:val="17"/>
              </w:numPr>
              <w:autoSpaceDE w:val="0"/>
              <w:autoSpaceDN w:val="0"/>
              <w:adjustRightInd w:val="0"/>
              <w:rPr>
                <w:rFonts w:cs="Arial"/>
                <w:szCs w:val="20"/>
              </w:rPr>
            </w:pPr>
            <w:r w:rsidRPr="006D1559">
              <w:rPr>
                <w:rFonts w:cs="Arial"/>
                <w:szCs w:val="20"/>
              </w:rPr>
              <w:t>Used cuvettes contain human body fluids; handle with appropriate care to avoid skin contact</w:t>
            </w:r>
            <w:r>
              <w:rPr>
                <w:rFonts w:cs="Arial"/>
                <w:szCs w:val="20"/>
              </w:rPr>
              <w:t xml:space="preserve"> </w:t>
            </w:r>
            <w:r w:rsidRPr="006D1559">
              <w:rPr>
                <w:rFonts w:cs="Arial"/>
                <w:szCs w:val="20"/>
              </w:rPr>
              <w:t>or ingestion.</w:t>
            </w:r>
          </w:p>
        </w:tc>
      </w:tr>
      <w:tr w:rsidR="00AD5CC4" w:rsidTr="00664690">
        <w:trPr>
          <w:trHeight w:val="3915"/>
          <w:tblHeader/>
        </w:trPr>
        <w:tc>
          <w:tcPr>
            <w:tcW w:w="1800" w:type="dxa"/>
          </w:tcPr>
          <w:p w:rsidR="00AD5CC4" w:rsidRDefault="00AD5CC4">
            <w:pPr>
              <w:ind w:right="-108"/>
              <w:rPr>
                <w:rFonts w:cs="Arial"/>
                <w:b/>
                <w:bCs/>
                <w:color w:val="0000FF"/>
              </w:rPr>
            </w:pPr>
            <w:r>
              <w:rPr>
                <w:rFonts w:cs="Arial"/>
                <w:b/>
                <w:bCs/>
                <w:color w:val="0000FF"/>
              </w:rPr>
              <w:lastRenderedPageBreak/>
              <w:t>Calibration</w:t>
            </w:r>
          </w:p>
          <w:p w:rsidR="00AD5CC4" w:rsidRDefault="00AD5CC4">
            <w:pPr>
              <w:ind w:right="-108"/>
              <w:rPr>
                <w:rFonts w:cs="Arial"/>
                <w:b/>
                <w:bCs/>
                <w:color w:val="0000FF"/>
              </w:rPr>
            </w:pPr>
          </w:p>
        </w:tc>
        <w:tc>
          <w:tcPr>
            <w:tcW w:w="9360" w:type="dxa"/>
            <w:gridSpan w:val="4"/>
            <w:tcBorders>
              <w:top w:val="single" w:sz="18" w:space="0" w:color="D9D9D9"/>
              <w:bottom w:val="single" w:sz="18" w:space="0" w:color="D9D9D9"/>
            </w:tcBorders>
          </w:tcPr>
          <w:p w:rsidR="00D73ABC" w:rsidRDefault="00D73ABC"/>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7"/>
              <w:gridCol w:w="6179"/>
              <w:gridCol w:w="31"/>
            </w:tblGrid>
            <w:tr w:rsidR="00D73ABC" w:rsidTr="004F7787">
              <w:trPr>
                <w:gridAfter w:val="1"/>
                <w:wAfter w:w="31" w:type="dxa"/>
              </w:trPr>
              <w:tc>
                <w:tcPr>
                  <w:tcW w:w="3037" w:type="dxa"/>
                </w:tcPr>
                <w:p w:rsidR="00D73ABC" w:rsidRDefault="00D73ABC" w:rsidP="00D73ABC">
                  <w:pPr>
                    <w:pStyle w:val="CalVerTable"/>
                    <w:ind w:left="0" w:firstLine="0"/>
                    <w:rPr>
                      <w:rFonts w:ascii="Arial" w:hAnsi="Arial" w:cs="Arial"/>
                    </w:rPr>
                  </w:pPr>
                  <w:r>
                    <w:rPr>
                      <w:rFonts w:ascii="Arial" w:hAnsi="Arial" w:cs="Arial"/>
                    </w:rPr>
                    <w:t>Assay Range:</w:t>
                  </w:r>
                </w:p>
              </w:tc>
              <w:tc>
                <w:tcPr>
                  <w:tcW w:w="6179" w:type="dxa"/>
                </w:tcPr>
                <w:p w:rsidR="00D73ABC" w:rsidRDefault="00D73ABC" w:rsidP="00D73ABC">
                  <w:pPr>
                    <w:pStyle w:val="CalVerTable"/>
                    <w:ind w:left="0" w:firstLine="0"/>
                    <w:rPr>
                      <w:rFonts w:ascii="Arial" w:hAnsi="Arial" w:cs="Arial"/>
                    </w:rPr>
                  </w:pPr>
                  <w:r w:rsidRPr="00D73ABC">
                    <w:rPr>
                      <w:rFonts w:ascii="Arial" w:hAnsi="Arial" w:cs="Arial"/>
                    </w:rPr>
                    <w:t>10 - 750 µmol/L</w:t>
                  </w:r>
                </w:p>
              </w:tc>
            </w:tr>
            <w:tr w:rsidR="00D73ABC" w:rsidTr="004F7787">
              <w:trPr>
                <w:gridAfter w:val="1"/>
                <w:wAfter w:w="31" w:type="dxa"/>
              </w:trPr>
              <w:tc>
                <w:tcPr>
                  <w:tcW w:w="3037" w:type="dxa"/>
                </w:tcPr>
                <w:p w:rsidR="00D73ABC" w:rsidRDefault="00D73ABC" w:rsidP="00D73ABC">
                  <w:pPr>
                    <w:pStyle w:val="CalVerTable"/>
                    <w:ind w:left="0" w:firstLine="0"/>
                    <w:rPr>
                      <w:rFonts w:ascii="Arial" w:hAnsi="Arial" w:cs="Arial"/>
                    </w:rPr>
                  </w:pPr>
                  <w:r>
                    <w:rPr>
                      <w:rFonts w:ascii="Arial" w:hAnsi="Arial" w:cs="Arial"/>
                    </w:rPr>
                    <w:t>Reference Material:</w:t>
                  </w:r>
                </w:p>
              </w:tc>
              <w:tc>
                <w:tcPr>
                  <w:tcW w:w="6179" w:type="dxa"/>
                </w:tcPr>
                <w:p w:rsidR="00D73ABC" w:rsidRDefault="00D73ABC" w:rsidP="00D73ABC">
                  <w:pPr>
                    <w:pStyle w:val="Header"/>
                    <w:tabs>
                      <w:tab w:val="clear" w:pos="4320"/>
                      <w:tab w:val="clear" w:pos="8640"/>
                    </w:tabs>
                    <w:autoSpaceDE w:val="0"/>
                    <w:autoSpaceDN w:val="0"/>
                    <w:adjustRightInd w:val="0"/>
                    <w:rPr>
                      <w:rFonts w:cs="Arial"/>
                      <w:szCs w:val="12"/>
                    </w:rPr>
                  </w:pPr>
                  <w:r>
                    <w:rPr>
                      <w:rFonts w:cs="Arial"/>
                      <w:szCs w:val="20"/>
                    </w:rPr>
                    <w:t>CHEM 3</w:t>
                  </w:r>
                  <w:r w:rsidRPr="002C4F36">
                    <w:rPr>
                      <w:rFonts w:cs="Arial"/>
                      <w:szCs w:val="20"/>
                    </w:rPr>
                    <w:t xml:space="preserve"> CAL</w:t>
                  </w:r>
                  <w:r>
                    <w:rPr>
                      <w:rFonts w:cs="Arial"/>
                    </w:rPr>
                    <w:t xml:space="preserve"> (Cat. No. KC130A)</w:t>
                  </w:r>
                </w:p>
              </w:tc>
            </w:tr>
            <w:tr w:rsidR="00D73ABC" w:rsidTr="004F7787">
              <w:trPr>
                <w:gridAfter w:val="1"/>
                <w:wAfter w:w="31" w:type="dxa"/>
              </w:trPr>
              <w:tc>
                <w:tcPr>
                  <w:tcW w:w="3037" w:type="dxa"/>
                </w:tcPr>
                <w:p w:rsidR="00D73ABC" w:rsidRDefault="00D73ABC" w:rsidP="00D73ABC">
                  <w:pPr>
                    <w:pStyle w:val="CalVerTable"/>
                    <w:ind w:left="0" w:firstLine="0"/>
                    <w:rPr>
                      <w:rFonts w:ascii="Arial" w:hAnsi="Arial" w:cs="Arial"/>
                    </w:rPr>
                  </w:pPr>
                  <w:r>
                    <w:rPr>
                      <w:rFonts w:ascii="Arial" w:hAnsi="Arial" w:cs="Arial"/>
                    </w:rPr>
                    <w:t>Typical Calibration Levels:</w:t>
                  </w:r>
                </w:p>
              </w:tc>
              <w:tc>
                <w:tcPr>
                  <w:tcW w:w="6179" w:type="dxa"/>
                </w:tcPr>
                <w:p w:rsidR="00D73ABC" w:rsidRPr="006A5978" w:rsidRDefault="00D73ABC" w:rsidP="00D73ABC">
                  <w:pPr>
                    <w:autoSpaceDE w:val="0"/>
                    <w:autoSpaceDN w:val="0"/>
                    <w:adjustRightInd w:val="0"/>
                    <w:rPr>
                      <w:rFonts w:cs="Arial"/>
                      <w:szCs w:val="20"/>
                    </w:rPr>
                  </w:pPr>
                  <w:r w:rsidRPr="006A5978">
                    <w:rPr>
                      <w:rFonts w:cs="Arial"/>
                      <w:szCs w:val="20"/>
                    </w:rPr>
                    <w:t>Leve</w:t>
                  </w:r>
                  <w:r>
                    <w:rPr>
                      <w:rFonts w:cs="Arial"/>
                      <w:szCs w:val="20"/>
                    </w:rPr>
                    <w:t xml:space="preserve">l 1 (Calibrator A): 0 </w:t>
                  </w:r>
                  <w:r w:rsidRPr="00D73ABC">
                    <w:rPr>
                      <w:rFonts w:cs="Arial"/>
                    </w:rPr>
                    <w:t>µmol/L</w:t>
                  </w:r>
                </w:p>
                <w:p w:rsidR="00D73ABC" w:rsidRDefault="00D73ABC" w:rsidP="00D73ABC">
                  <w:pPr>
                    <w:pStyle w:val="CalVerTable"/>
                    <w:ind w:left="0" w:firstLine="0"/>
                    <w:rPr>
                      <w:rFonts w:ascii="Arial" w:hAnsi="Arial" w:cs="Arial"/>
                    </w:rPr>
                  </w:pPr>
                  <w:r w:rsidRPr="006A5978">
                    <w:rPr>
                      <w:rFonts w:ascii="Arial" w:hAnsi="Arial" w:cs="Arial"/>
                    </w:rPr>
                    <w:t xml:space="preserve">Level 2 (Calibrator </w:t>
                  </w:r>
                  <w:r>
                    <w:rPr>
                      <w:rFonts w:ascii="Arial" w:hAnsi="Arial" w:cs="Arial"/>
                    </w:rPr>
                    <w:t>B</w:t>
                  </w:r>
                  <w:r w:rsidRPr="006A5978">
                    <w:rPr>
                      <w:rFonts w:ascii="Arial" w:hAnsi="Arial" w:cs="Arial"/>
                    </w:rPr>
                    <w:t xml:space="preserve">): </w:t>
                  </w:r>
                  <w:r>
                    <w:rPr>
                      <w:rFonts w:ascii="Arial" w:hAnsi="Arial" w:cs="Arial"/>
                    </w:rPr>
                    <w:t>850</w:t>
                  </w:r>
                  <w:r w:rsidRPr="006A5978">
                    <w:rPr>
                      <w:rFonts w:ascii="Arial" w:hAnsi="Arial" w:cs="Arial"/>
                    </w:rPr>
                    <w:t xml:space="preserve"> </w:t>
                  </w:r>
                  <w:r w:rsidRPr="00D73ABC">
                    <w:rPr>
                      <w:rFonts w:ascii="Arial" w:hAnsi="Arial" w:cs="Arial"/>
                    </w:rPr>
                    <w:t>µmol/L</w:t>
                  </w:r>
                </w:p>
              </w:tc>
            </w:tr>
            <w:tr w:rsidR="00D73ABC" w:rsidTr="004F7787">
              <w:trPr>
                <w:gridAfter w:val="1"/>
                <w:wAfter w:w="31" w:type="dxa"/>
              </w:trPr>
              <w:tc>
                <w:tcPr>
                  <w:tcW w:w="3037" w:type="dxa"/>
                </w:tcPr>
                <w:p w:rsidR="00D73ABC" w:rsidRDefault="00D73ABC" w:rsidP="00D73ABC">
                  <w:pPr>
                    <w:pStyle w:val="CalVerTable"/>
                    <w:ind w:left="0" w:firstLine="0"/>
                    <w:rPr>
                      <w:rFonts w:ascii="Arial" w:hAnsi="Arial" w:cs="Arial"/>
                    </w:rPr>
                  </w:pPr>
                  <w:r>
                    <w:rPr>
                      <w:rFonts w:ascii="Arial" w:hAnsi="Arial" w:cs="Arial"/>
                    </w:rPr>
                    <w:t>Calibration Scheme:</w:t>
                  </w:r>
                </w:p>
              </w:tc>
              <w:tc>
                <w:tcPr>
                  <w:tcW w:w="6179" w:type="dxa"/>
                </w:tcPr>
                <w:p w:rsidR="00D73ABC" w:rsidRDefault="00D73ABC" w:rsidP="00D73ABC">
                  <w:pPr>
                    <w:pStyle w:val="CalVerTable"/>
                    <w:ind w:left="0" w:firstLine="0"/>
                    <w:rPr>
                      <w:rFonts w:ascii="Arial" w:hAnsi="Arial" w:cs="Arial"/>
                    </w:rPr>
                  </w:pPr>
                  <w:r>
                    <w:rPr>
                      <w:rFonts w:ascii="Arial" w:hAnsi="Arial" w:cs="Arial"/>
                      <w:szCs w:val="12"/>
                    </w:rPr>
                    <w:t>Two levels, n=5</w:t>
                  </w:r>
                </w:p>
              </w:tc>
            </w:tr>
            <w:tr w:rsidR="00D73ABC" w:rsidRPr="0038195B" w:rsidTr="004F7787">
              <w:tc>
                <w:tcPr>
                  <w:tcW w:w="3037" w:type="dxa"/>
                </w:tcPr>
                <w:p w:rsidR="00D73ABC" w:rsidRDefault="00D73ABC" w:rsidP="00D73ABC">
                  <w:pPr>
                    <w:pStyle w:val="CalVerTable"/>
                    <w:ind w:left="0" w:firstLine="0"/>
                    <w:rPr>
                      <w:rFonts w:ascii="Arial" w:hAnsi="Arial" w:cs="Arial"/>
                    </w:rPr>
                  </w:pPr>
                  <w:r>
                    <w:rPr>
                      <w:rFonts w:ascii="Arial" w:hAnsi="Arial" w:cs="Arial"/>
                    </w:rPr>
                    <w:t>Calibration Frequency:</w:t>
                  </w:r>
                </w:p>
              </w:tc>
              <w:tc>
                <w:tcPr>
                  <w:tcW w:w="6210" w:type="dxa"/>
                  <w:gridSpan w:val="2"/>
                </w:tcPr>
                <w:p w:rsidR="00D73ABC" w:rsidRPr="0038195B" w:rsidRDefault="00D73ABC" w:rsidP="00B70587">
                  <w:pPr>
                    <w:numPr>
                      <w:ilvl w:val="0"/>
                      <w:numId w:val="17"/>
                    </w:numPr>
                    <w:autoSpaceDE w:val="0"/>
                    <w:autoSpaceDN w:val="0"/>
                    <w:adjustRightInd w:val="0"/>
                    <w:rPr>
                      <w:rFonts w:cs="Arial"/>
                      <w:szCs w:val="20"/>
                    </w:rPr>
                  </w:pPr>
                  <w:r w:rsidRPr="0038195B">
                    <w:rPr>
                      <w:rFonts w:cs="Arial"/>
                      <w:szCs w:val="20"/>
                    </w:rPr>
                    <w:t>For each new lot of Flex® reagent cartridges</w:t>
                  </w:r>
                </w:p>
                <w:p w:rsidR="00D73ABC" w:rsidRPr="0038195B" w:rsidRDefault="00D73ABC" w:rsidP="00B70587">
                  <w:pPr>
                    <w:numPr>
                      <w:ilvl w:val="0"/>
                      <w:numId w:val="17"/>
                    </w:numPr>
                    <w:autoSpaceDE w:val="0"/>
                    <w:autoSpaceDN w:val="0"/>
                    <w:adjustRightInd w:val="0"/>
                    <w:rPr>
                      <w:rFonts w:cs="Arial"/>
                      <w:szCs w:val="20"/>
                    </w:rPr>
                  </w:pPr>
                  <w:r w:rsidRPr="0038195B">
                    <w:rPr>
                      <w:rFonts w:cs="Arial"/>
                      <w:szCs w:val="20"/>
                    </w:rPr>
                    <w:t xml:space="preserve">Every </w:t>
                  </w:r>
                  <w:r w:rsidR="00C00A5C">
                    <w:rPr>
                      <w:rFonts w:cs="Arial"/>
                      <w:szCs w:val="20"/>
                    </w:rPr>
                    <w:t>60</w:t>
                  </w:r>
                  <w:r w:rsidRPr="0038195B">
                    <w:rPr>
                      <w:rFonts w:cs="Arial"/>
                      <w:szCs w:val="20"/>
                    </w:rPr>
                    <w:t xml:space="preserve"> days for any one lot.</w:t>
                  </w:r>
                </w:p>
                <w:p w:rsidR="00D73ABC" w:rsidRPr="0038195B" w:rsidRDefault="00D73ABC" w:rsidP="00B70587">
                  <w:pPr>
                    <w:numPr>
                      <w:ilvl w:val="0"/>
                      <w:numId w:val="17"/>
                    </w:numPr>
                    <w:autoSpaceDE w:val="0"/>
                    <w:autoSpaceDN w:val="0"/>
                    <w:adjustRightInd w:val="0"/>
                    <w:rPr>
                      <w:rFonts w:cs="Arial"/>
                      <w:szCs w:val="20"/>
                    </w:rPr>
                  </w:pPr>
                  <w:r w:rsidRPr="0038195B">
                    <w:rPr>
                      <w:rFonts w:cs="Arial"/>
                      <w:szCs w:val="20"/>
                    </w:rPr>
                    <w:t>After major maintenance or service, if indicated by QC results</w:t>
                  </w:r>
                </w:p>
                <w:p w:rsidR="00D73ABC" w:rsidRPr="0038195B" w:rsidRDefault="00D73ABC" w:rsidP="00B70587">
                  <w:pPr>
                    <w:pStyle w:val="Header"/>
                    <w:numPr>
                      <w:ilvl w:val="0"/>
                      <w:numId w:val="17"/>
                    </w:numPr>
                    <w:tabs>
                      <w:tab w:val="clear" w:pos="4320"/>
                      <w:tab w:val="clear" w:pos="8640"/>
                    </w:tabs>
                    <w:autoSpaceDE w:val="0"/>
                    <w:autoSpaceDN w:val="0"/>
                    <w:adjustRightInd w:val="0"/>
                    <w:rPr>
                      <w:rFonts w:cs="Arial"/>
                      <w:szCs w:val="20"/>
                    </w:rPr>
                  </w:pPr>
                  <w:r w:rsidRPr="0038195B">
                    <w:rPr>
                      <w:rFonts w:cs="Arial"/>
                      <w:szCs w:val="20"/>
                    </w:rPr>
                    <w:t>As indicated in laboratory quality control procedures</w:t>
                  </w:r>
                </w:p>
                <w:p w:rsidR="00D73ABC" w:rsidRPr="0038195B" w:rsidRDefault="00D73ABC" w:rsidP="00B70587">
                  <w:pPr>
                    <w:pStyle w:val="Pa4"/>
                    <w:numPr>
                      <w:ilvl w:val="0"/>
                      <w:numId w:val="17"/>
                    </w:numPr>
                    <w:rPr>
                      <w:sz w:val="20"/>
                      <w:szCs w:val="20"/>
                    </w:rPr>
                  </w:pPr>
                  <w:r w:rsidRPr="0038195B">
                    <w:rPr>
                      <w:rFonts w:ascii="Arial" w:hAnsi="Arial" w:cs="Arial"/>
                      <w:sz w:val="20"/>
                      <w:szCs w:val="20"/>
                    </w:rPr>
                    <w:t>When required by government regulations</w:t>
                  </w:r>
                </w:p>
              </w:tc>
            </w:tr>
            <w:tr w:rsidR="00D73ABC" w:rsidTr="004F7787">
              <w:trPr>
                <w:gridAfter w:val="1"/>
                <w:wAfter w:w="31" w:type="dxa"/>
              </w:trPr>
              <w:tc>
                <w:tcPr>
                  <w:tcW w:w="3037" w:type="dxa"/>
                </w:tcPr>
                <w:p w:rsidR="00D73ABC" w:rsidRDefault="00C00A5C" w:rsidP="00D73ABC">
                  <w:pPr>
                    <w:rPr>
                      <w:rFonts w:cs="Arial"/>
                    </w:rPr>
                  </w:pPr>
                  <w:r>
                    <w:rPr>
                      <w:rFonts w:cs="Arial"/>
                    </w:rPr>
                    <w:t>Sample Size</w:t>
                  </w:r>
                  <w:r w:rsidR="00D73ABC">
                    <w:rPr>
                      <w:rFonts w:cs="Arial"/>
                    </w:rPr>
                    <w:t>:</w:t>
                  </w:r>
                </w:p>
              </w:tc>
              <w:tc>
                <w:tcPr>
                  <w:tcW w:w="6179" w:type="dxa"/>
                </w:tcPr>
                <w:p w:rsidR="00D73ABC" w:rsidRDefault="00D73ABC" w:rsidP="00D73ABC">
                  <w:pPr>
                    <w:pStyle w:val="CalVerTable"/>
                    <w:tabs>
                      <w:tab w:val="left" w:pos="2271"/>
                    </w:tabs>
                    <w:rPr>
                      <w:rFonts w:ascii="Arial" w:hAnsi="Arial" w:cs="Arial"/>
                    </w:rPr>
                  </w:pPr>
                  <w:r>
                    <w:rPr>
                      <w:rFonts w:ascii="Arial" w:hAnsi="Arial" w:cs="Arial"/>
                    </w:rPr>
                    <w:t xml:space="preserve">Standard sample size = </w:t>
                  </w:r>
                  <w:r>
                    <w:rPr>
                      <w:rFonts w:ascii="Arial" w:hAnsi="Arial" w:cs="Arial"/>
                    </w:rPr>
                    <w:tab/>
                  </w:r>
                  <w:r w:rsidR="00C00A5C">
                    <w:rPr>
                      <w:rFonts w:ascii="Arial" w:hAnsi="Arial" w:cs="Arial"/>
                    </w:rPr>
                    <w:t>20</w:t>
                  </w:r>
                  <w:r>
                    <w:rPr>
                      <w:rFonts w:ascii="Arial" w:hAnsi="Arial" w:cs="Arial"/>
                    </w:rPr>
                    <w:t xml:space="preserve"> µL </w:t>
                  </w:r>
                </w:p>
                <w:p w:rsidR="00D73ABC" w:rsidRDefault="00D73ABC" w:rsidP="00C00A5C">
                  <w:pPr>
                    <w:pStyle w:val="CalVerTable"/>
                    <w:tabs>
                      <w:tab w:val="left" w:pos="2271"/>
                    </w:tabs>
                    <w:ind w:left="0" w:firstLine="0"/>
                    <w:rPr>
                      <w:rFonts w:ascii="Arial" w:hAnsi="Arial" w:cs="Arial"/>
                    </w:rPr>
                  </w:pPr>
                  <w:r>
                    <w:rPr>
                      <w:rFonts w:ascii="Arial" w:hAnsi="Arial" w:cs="Arial"/>
                    </w:rPr>
                    <w:t xml:space="preserve">Autodilute sample size = </w:t>
                  </w:r>
                  <w:r>
                    <w:rPr>
                      <w:rFonts w:ascii="Arial" w:hAnsi="Arial" w:cs="Arial"/>
                    </w:rPr>
                    <w:tab/>
                  </w:r>
                  <w:r w:rsidR="00C00A5C">
                    <w:rPr>
                      <w:rFonts w:ascii="Arial" w:hAnsi="Arial" w:cs="Arial"/>
                    </w:rPr>
                    <w:t>10 µL @ 1:2</w:t>
                  </w:r>
                </w:p>
              </w:tc>
            </w:tr>
            <w:tr w:rsidR="00D73ABC" w:rsidTr="004F7787">
              <w:trPr>
                <w:gridAfter w:val="1"/>
                <w:wAfter w:w="31" w:type="dxa"/>
              </w:trPr>
              <w:tc>
                <w:tcPr>
                  <w:tcW w:w="3037" w:type="dxa"/>
                </w:tcPr>
                <w:p w:rsidR="00D73ABC" w:rsidRDefault="00D73ABC" w:rsidP="00D73ABC">
                  <w:pPr>
                    <w:pStyle w:val="CalVerTable"/>
                    <w:ind w:left="0" w:firstLine="0"/>
                    <w:rPr>
                      <w:rFonts w:ascii="Arial" w:hAnsi="Arial" w:cs="Arial"/>
                    </w:rPr>
                  </w:pPr>
                  <w:r>
                    <w:rPr>
                      <w:rFonts w:ascii="Arial" w:hAnsi="Arial" w:cs="Arial"/>
                    </w:rPr>
                    <w:t>Analytical Measuring Range</w:t>
                  </w:r>
                </w:p>
              </w:tc>
              <w:tc>
                <w:tcPr>
                  <w:tcW w:w="6179" w:type="dxa"/>
                </w:tcPr>
                <w:p w:rsidR="00D73ABC" w:rsidRDefault="00C00A5C" w:rsidP="00D73ABC">
                  <w:pPr>
                    <w:pStyle w:val="CalVerTable"/>
                    <w:ind w:left="0" w:firstLine="0"/>
                    <w:rPr>
                      <w:rFonts w:ascii="Arial" w:hAnsi="Arial" w:cs="Arial"/>
                    </w:rPr>
                  </w:pPr>
                  <w:r>
                    <w:rPr>
                      <w:rFonts w:ascii="Arial" w:hAnsi="Arial" w:cs="Arial"/>
                    </w:rPr>
                    <w:t>10-750</w:t>
                  </w:r>
                  <w:r w:rsidR="00D73ABC">
                    <w:rPr>
                      <w:rFonts w:ascii="Arial" w:hAnsi="Arial" w:cs="Arial"/>
                    </w:rPr>
                    <w:t xml:space="preserve"> </w:t>
                  </w:r>
                  <w:r w:rsidRPr="00D73ABC">
                    <w:rPr>
                      <w:rFonts w:ascii="Arial" w:hAnsi="Arial" w:cs="Arial"/>
                    </w:rPr>
                    <w:t>µmol/L</w:t>
                  </w:r>
                </w:p>
              </w:tc>
            </w:tr>
          </w:tbl>
          <w:p w:rsidR="00AD5CC4" w:rsidRDefault="00AD5CC4">
            <w:pPr>
              <w:rPr>
                <w:rFonts w:cs="Arial"/>
              </w:rPr>
            </w:pPr>
          </w:p>
        </w:tc>
      </w:tr>
      <w:tr w:rsidR="00AD5CC4" w:rsidTr="00686BDB">
        <w:trPr>
          <w:cantSplit/>
          <w:trHeight w:val="1450"/>
          <w:tblHeader/>
        </w:trPr>
        <w:tc>
          <w:tcPr>
            <w:tcW w:w="1800" w:type="dxa"/>
            <w:vAlign w:val="center"/>
          </w:tcPr>
          <w:p w:rsidR="00AD5CC4" w:rsidRDefault="00AD5CC4">
            <w:pPr>
              <w:rPr>
                <w:rFonts w:cs="Arial"/>
                <w:b/>
                <w:bCs/>
                <w:color w:val="0000FF"/>
              </w:rPr>
            </w:pPr>
            <w:r>
              <w:rPr>
                <w:rFonts w:cs="Arial"/>
                <w:b/>
                <w:bCs/>
                <w:color w:val="0000FF"/>
              </w:rPr>
              <w:t>Analytical Measuring Range (AMR)</w:t>
            </w:r>
          </w:p>
        </w:tc>
        <w:tc>
          <w:tcPr>
            <w:tcW w:w="9360" w:type="dxa"/>
            <w:gridSpan w:val="4"/>
            <w:tcBorders>
              <w:top w:val="single" w:sz="18" w:space="0" w:color="D9D9D9"/>
              <w:bottom w:val="single" w:sz="18" w:space="0" w:color="D9D9D9"/>
            </w:tcBorders>
            <w:vAlign w:val="center"/>
          </w:tcPr>
          <w:p w:rsidR="00C00A5C" w:rsidRDefault="00C00A5C" w:rsidP="00C00A5C">
            <w:pPr>
              <w:ind w:left="360"/>
            </w:pPr>
          </w:p>
          <w:p w:rsidR="00C00A5C" w:rsidRDefault="00C00A5C" w:rsidP="00C00A5C">
            <w:pPr>
              <w:numPr>
                <w:ilvl w:val="0"/>
                <w:numId w:val="13"/>
              </w:numPr>
            </w:pPr>
            <w:r w:rsidRPr="00192FFA">
              <w:t>Cal Verification and AMR</w:t>
            </w:r>
            <w:r>
              <w:t xml:space="preserve"> verification are performed at least once every six (6) months.</w:t>
            </w:r>
          </w:p>
          <w:p w:rsidR="00C00A5C" w:rsidRDefault="00C00A5C" w:rsidP="00C00A5C">
            <w:pPr>
              <w:numPr>
                <w:ilvl w:val="0"/>
                <w:numId w:val="13"/>
              </w:numPr>
            </w:pPr>
            <w:r>
              <w:t xml:space="preserve">Touch  Advanced </w:t>
            </w:r>
            <w:r>
              <w:sym w:font="Wingdings" w:char="F0E0"/>
            </w:r>
            <w:r>
              <w:t xml:space="preserve"> Calibrations </w:t>
            </w:r>
            <w:r>
              <w:sym w:font="Wingdings" w:char="F0E0"/>
            </w:r>
            <w:r>
              <w:t xml:space="preserve"> Calibrations by Lot, select method AMM and “</w:t>
            </w:r>
            <w:r>
              <w:rPr>
                <w:rFonts w:cs="Arial"/>
              </w:rPr>
              <w:t>Order a Linearity Study”</w:t>
            </w:r>
          </w:p>
          <w:p w:rsidR="00C00A5C" w:rsidRPr="00192FFA" w:rsidRDefault="00C00A5C" w:rsidP="00C00A5C">
            <w:pPr>
              <w:numPr>
                <w:ilvl w:val="0"/>
                <w:numId w:val="13"/>
              </w:numPr>
            </w:pPr>
            <w:r>
              <w:t>See iGuide “Calibration by Lot” for more information.</w:t>
            </w:r>
          </w:p>
          <w:p w:rsidR="00AD5CC4" w:rsidRDefault="00AD5CC4">
            <w:pPr>
              <w:rPr>
                <w:rFonts w:cs="Arial"/>
              </w:rPr>
            </w:pPr>
          </w:p>
        </w:tc>
      </w:tr>
      <w:tr w:rsidR="00AD5CC4" w:rsidTr="00686BDB">
        <w:trPr>
          <w:cantSplit/>
          <w:trHeight w:val="1880"/>
          <w:tblHeader/>
        </w:trPr>
        <w:tc>
          <w:tcPr>
            <w:tcW w:w="1800" w:type="dxa"/>
            <w:tcBorders>
              <w:bottom w:val="nil"/>
            </w:tcBorders>
          </w:tcPr>
          <w:p w:rsidR="00AD5CC4" w:rsidRDefault="00AD5CC4">
            <w:pPr>
              <w:ind w:right="-108"/>
              <w:rPr>
                <w:rFonts w:cs="Arial"/>
                <w:b/>
                <w:bCs/>
                <w:color w:val="0000FF"/>
              </w:rPr>
            </w:pPr>
          </w:p>
          <w:p w:rsidR="00AD5CC4" w:rsidRDefault="00AD5CC4">
            <w:pPr>
              <w:ind w:right="-108"/>
              <w:rPr>
                <w:rFonts w:cs="Arial"/>
                <w:b/>
                <w:bCs/>
                <w:color w:val="0000FF"/>
              </w:rPr>
            </w:pPr>
            <w:r>
              <w:rPr>
                <w:rFonts w:cs="Arial"/>
                <w:b/>
                <w:bCs/>
                <w:color w:val="0000FF"/>
              </w:rPr>
              <w:t>Quality Control</w:t>
            </w:r>
          </w:p>
          <w:p w:rsidR="00AD5CC4" w:rsidRDefault="00AD5CC4">
            <w:pPr>
              <w:ind w:right="-108"/>
              <w:rPr>
                <w:rFonts w:cs="Arial"/>
                <w:b/>
                <w:bCs/>
                <w:color w:val="0000FF"/>
              </w:rPr>
            </w:pPr>
          </w:p>
          <w:p w:rsidR="00AD5CC4" w:rsidRDefault="00AD5CC4">
            <w:pPr>
              <w:ind w:right="-108"/>
              <w:rPr>
                <w:rFonts w:cs="Arial"/>
                <w:b/>
                <w:bCs/>
                <w:color w:val="0000FF"/>
              </w:rPr>
            </w:pPr>
          </w:p>
        </w:tc>
        <w:tc>
          <w:tcPr>
            <w:tcW w:w="9360" w:type="dxa"/>
            <w:gridSpan w:val="4"/>
            <w:tcBorders>
              <w:top w:val="single" w:sz="18" w:space="0" w:color="D9D9D9"/>
              <w:bottom w:val="single" w:sz="18" w:space="0" w:color="D9D9D9"/>
            </w:tcBorders>
          </w:tcPr>
          <w:p w:rsidR="00AD5CC4" w:rsidRDefault="00AD5CC4" w:rsidP="00D200D1">
            <w:pPr>
              <w:pStyle w:val="Header"/>
              <w:tabs>
                <w:tab w:val="clear" w:pos="4320"/>
                <w:tab w:val="clear" w:pos="8640"/>
              </w:tabs>
              <w:jc w:val="both"/>
              <w:rPr>
                <w:rFonts w:cs="Arial"/>
              </w:rPr>
            </w:pPr>
          </w:p>
          <w:p w:rsidR="00AD5CC4" w:rsidRDefault="00AD5CC4" w:rsidP="00D200D1">
            <w:pPr>
              <w:pStyle w:val="Header"/>
              <w:tabs>
                <w:tab w:val="clear" w:pos="4320"/>
                <w:tab w:val="clear" w:pos="8640"/>
              </w:tabs>
              <w:jc w:val="both"/>
              <w:rPr>
                <w:rFonts w:cs="Arial"/>
              </w:rPr>
            </w:pPr>
            <w:r>
              <w:rPr>
                <w:rFonts w:cs="Arial"/>
              </w:rPr>
              <w:t>Bio-Rad Liquichek</w:t>
            </w:r>
            <w:r>
              <w:rPr>
                <w:rFonts w:cs="Arial"/>
              </w:rPr>
              <w:sym w:font="Symbol" w:char="F0E4"/>
            </w:r>
            <w:r>
              <w:rPr>
                <w:rFonts w:cs="Arial"/>
              </w:rPr>
              <w:t xml:space="preserve"> Ethanol/Ammonia Control, Level 1 &amp; 3</w:t>
            </w:r>
            <w:r w:rsidR="00C00A5C">
              <w:rPr>
                <w:rFonts w:cs="Arial"/>
              </w:rPr>
              <w:t xml:space="preserve"> </w:t>
            </w:r>
            <w:r w:rsidR="00D200D1">
              <w:rPr>
                <w:rFonts w:cs="Arial"/>
              </w:rPr>
              <w:t>supplied</w:t>
            </w:r>
            <w:r w:rsidR="00C00A5C">
              <w:rPr>
                <w:rFonts w:cs="Arial"/>
              </w:rPr>
              <w:t xml:space="preserve"> in Vista Vials</w:t>
            </w:r>
          </w:p>
          <w:p w:rsidR="00AD5CC4" w:rsidRDefault="00AD5CC4" w:rsidP="00D200D1">
            <w:pPr>
              <w:pStyle w:val="Header"/>
              <w:tabs>
                <w:tab w:val="clear" w:pos="4320"/>
                <w:tab w:val="clear" w:pos="8640"/>
              </w:tabs>
              <w:jc w:val="both"/>
              <w:rPr>
                <w:rFonts w:cs="Arial"/>
              </w:rPr>
            </w:pPr>
          </w:p>
          <w:p w:rsidR="00AD5CC4" w:rsidRDefault="00AD5CC4" w:rsidP="00D200D1">
            <w:pPr>
              <w:pStyle w:val="Header"/>
              <w:tabs>
                <w:tab w:val="clear" w:pos="4320"/>
                <w:tab w:val="clear" w:pos="8640"/>
              </w:tabs>
              <w:jc w:val="both"/>
              <w:rPr>
                <w:rFonts w:cs="Arial"/>
              </w:rPr>
            </w:pPr>
            <w:r>
              <w:rPr>
                <w:rFonts w:cs="Arial"/>
                <w:b/>
                <w:bCs/>
              </w:rPr>
              <w:t>Frequency:</w:t>
            </w:r>
            <w:r>
              <w:rPr>
                <w:rFonts w:cs="Arial"/>
              </w:rPr>
              <w:t xml:space="preserve"> </w:t>
            </w:r>
            <w:r w:rsidR="00C00A5C">
              <w:rPr>
                <w:rFonts w:cs="Arial"/>
              </w:rPr>
              <w:t>Daily</w:t>
            </w:r>
          </w:p>
          <w:p w:rsidR="00AD5CC4" w:rsidRDefault="00AD5CC4" w:rsidP="00D200D1">
            <w:pPr>
              <w:jc w:val="both"/>
              <w:rPr>
                <w:rFonts w:cs="Arial"/>
              </w:rPr>
            </w:pPr>
          </w:p>
          <w:p w:rsidR="00AD5CC4" w:rsidRDefault="00AD5CC4" w:rsidP="00D200D1">
            <w:pPr>
              <w:jc w:val="both"/>
              <w:rPr>
                <w:rFonts w:cs="Arial"/>
              </w:rPr>
            </w:pPr>
            <w:r>
              <w:rPr>
                <w:rFonts w:cs="Arial"/>
                <w:b/>
                <w:bCs/>
              </w:rPr>
              <w:t>Stability:</w:t>
            </w:r>
            <w:r>
              <w:rPr>
                <w:rFonts w:cs="Arial"/>
              </w:rPr>
              <w:t xml:space="preserve"> Refer to</w:t>
            </w:r>
            <w:r w:rsidR="00C00A5C">
              <w:rPr>
                <w:rFonts w:cs="Arial"/>
              </w:rPr>
              <w:t xml:space="preserve"> the current lot product insert</w:t>
            </w:r>
          </w:p>
          <w:p w:rsidR="00AD5CC4" w:rsidRDefault="00AD5CC4" w:rsidP="00D200D1">
            <w:pPr>
              <w:jc w:val="both"/>
              <w:rPr>
                <w:rFonts w:cs="Arial"/>
              </w:rPr>
            </w:pPr>
          </w:p>
          <w:p w:rsidR="00AD5CC4" w:rsidRDefault="00AD5CC4" w:rsidP="00D200D1">
            <w:pPr>
              <w:jc w:val="both"/>
              <w:rPr>
                <w:rFonts w:cs="Arial"/>
              </w:rPr>
            </w:pPr>
            <w:r>
              <w:rPr>
                <w:rFonts w:cs="Arial"/>
                <w:b/>
                <w:bCs/>
              </w:rPr>
              <w:t>Sunquest Control names:</w:t>
            </w:r>
            <w:r>
              <w:rPr>
                <w:rFonts w:cs="Arial"/>
              </w:rPr>
              <w:t xml:space="preserve"> Level 1 = C-NHL, Level 3 = C-NHH </w:t>
            </w:r>
          </w:p>
          <w:p w:rsidR="00AD5CC4" w:rsidRDefault="00AD5CC4" w:rsidP="00D200D1">
            <w:pPr>
              <w:jc w:val="both"/>
              <w:rPr>
                <w:rFonts w:cs="Arial"/>
              </w:rPr>
            </w:pPr>
          </w:p>
          <w:p w:rsidR="00C00A5C" w:rsidRPr="001036DA" w:rsidRDefault="00C00A5C" w:rsidP="00D200D1">
            <w:pPr>
              <w:jc w:val="both"/>
              <w:rPr>
                <w:rFonts w:cs="Arial"/>
              </w:rPr>
            </w:pPr>
            <w:r>
              <w:rPr>
                <w:rFonts w:cs="Arial"/>
                <w:b/>
                <w:bCs/>
              </w:rPr>
              <w:t xml:space="preserve">Acceptable ranges: </w:t>
            </w:r>
          </w:p>
          <w:p w:rsidR="00C00A5C" w:rsidRDefault="00C00A5C" w:rsidP="00D200D1">
            <w:pPr>
              <w:numPr>
                <w:ilvl w:val="0"/>
                <w:numId w:val="14"/>
              </w:numPr>
              <w:jc w:val="both"/>
              <w:rPr>
                <w:rFonts w:cs="Arial"/>
              </w:rPr>
            </w:pPr>
            <w:r>
              <w:rPr>
                <w:rFonts w:cs="Arial"/>
              </w:rPr>
              <w:t>Ranges are current in Sunquest and the instrument. Refer to the Quality Control Procedure for QC exception codes.</w:t>
            </w:r>
          </w:p>
          <w:p w:rsidR="00C00A5C" w:rsidRDefault="00C00A5C" w:rsidP="00D200D1">
            <w:pPr>
              <w:numPr>
                <w:ilvl w:val="0"/>
                <w:numId w:val="14"/>
              </w:numPr>
              <w:autoSpaceDE w:val="0"/>
              <w:autoSpaceDN w:val="0"/>
              <w:adjustRightInd w:val="0"/>
              <w:jc w:val="both"/>
              <w:rPr>
                <w:rFonts w:eastAsia="Arial Unicode MS" w:cs="Arial"/>
                <w:szCs w:val="22"/>
              </w:rPr>
            </w:pPr>
            <w:r>
              <w:rPr>
                <w:rFonts w:eastAsia="Arial Unicode MS" w:cs="Arial"/>
                <w:szCs w:val="22"/>
              </w:rPr>
              <w:t xml:space="preserve">If a control value is outside the confidence interval, the determination must be repeated. If the repeated determination confirms the deviation, a new reference curve should be established. </w:t>
            </w:r>
          </w:p>
          <w:p w:rsidR="00C00A5C" w:rsidRDefault="00C00A5C" w:rsidP="00D200D1">
            <w:pPr>
              <w:numPr>
                <w:ilvl w:val="0"/>
                <w:numId w:val="14"/>
              </w:numPr>
              <w:jc w:val="both"/>
              <w:rPr>
                <w:rFonts w:eastAsia="Arial Unicode MS" w:cs="Arial"/>
                <w:szCs w:val="22"/>
              </w:rPr>
            </w:pPr>
            <w:r>
              <w:rPr>
                <w:rFonts w:eastAsia="Arial Unicode MS" w:cs="Arial"/>
                <w:szCs w:val="22"/>
              </w:rPr>
              <w:t>Do not release patient results until the cause of deviation has been identified and corrected</w:t>
            </w:r>
          </w:p>
          <w:p w:rsidR="00C00A5C" w:rsidRDefault="00C00A5C" w:rsidP="00D200D1">
            <w:pPr>
              <w:numPr>
                <w:ilvl w:val="0"/>
                <w:numId w:val="14"/>
              </w:numPr>
              <w:jc w:val="both"/>
              <w:rPr>
                <w:rFonts w:cs="Arial"/>
                <w:iCs/>
              </w:rPr>
            </w:pPr>
            <w:r>
              <w:rPr>
                <w:rFonts w:eastAsia="Arial Unicode MS" w:cs="Arial"/>
                <w:szCs w:val="13"/>
              </w:rPr>
              <w:t>When a new lot of control is received, validate the manufacturer’s insert range by running the new lot in parallel with the current lot, and confirming that the results obtained are within the stated range</w:t>
            </w:r>
          </w:p>
          <w:p w:rsidR="00AD5CC4" w:rsidRDefault="00AD5CC4" w:rsidP="00D200D1">
            <w:pPr>
              <w:jc w:val="both"/>
              <w:rPr>
                <w:rFonts w:cs="Arial"/>
              </w:rPr>
            </w:pPr>
          </w:p>
        </w:tc>
      </w:tr>
      <w:tr w:rsidR="00AD5CC4" w:rsidTr="00686BDB">
        <w:trPr>
          <w:tblHeader/>
        </w:trPr>
        <w:tc>
          <w:tcPr>
            <w:tcW w:w="1800" w:type="dxa"/>
          </w:tcPr>
          <w:p w:rsidR="00AD5CC4" w:rsidRDefault="00AD5CC4">
            <w:pPr>
              <w:rPr>
                <w:rFonts w:cs="Arial"/>
                <w:b/>
                <w:bCs/>
                <w:color w:val="0000FF"/>
              </w:rPr>
            </w:pPr>
          </w:p>
          <w:p w:rsidR="00AD5CC4" w:rsidRDefault="00AD5CC4">
            <w:pPr>
              <w:rPr>
                <w:rFonts w:cs="Arial"/>
                <w:b/>
                <w:bCs/>
                <w:color w:val="0000FF"/>
              </w:rPr>
            </w:pPr>
            <w:r>
              <w:rPr>
                <w:rFonts w:cs="Arial"/>
                <w:b/>
                <w:bCs/>
                <w:color w:val="0000FF"/>
              </w:rPr>
              <w:t>Interferences</w:t>
            </w:r>
          </w:p>
          <w:p w:rsidR="00AD5CC4" w:rsidRDefault="00AD5CC4">
            <w:pPr>
              <w:rPr>
                <w:rFonts w:cs="Arial"/>
                <w:b/>
                <w:bCs/>
                <w:color w:val="0000FF"/>
              </w:rPr>
            </w:pPr>
          </w:p>
        </w:tc>
        <w:tc>
          <w:tcPr>
            <w:tcW w:w="9360" w:type="dxa"/>
            <w:gridSpan w:val="4"/>
            <w:tcBorders>
              <w:top w:val="single" w:sz="18" w:space="0" w:color="D9D9D9"/>
              <w:bottom w:val="single" w:sz="18" w:space="0" w:color="D9D9D9"/>
            </w:tcBorders>
          </w:tcPr>
          <w:p w:rsidR="00AD5CC4" w:rsidRPr="00183708" w:rsidRDefault="00AD5CC4">
            <w:pPr>
              <w:pStyle w:val="Bullets"/>
              <w:ind w:left="0" w:firstLine="0"/>
              <w:rPr>
                <w:rFonts w:ascii="Arial" w:hAnsi="Arial" w:cs="Arial"/>
              </w:rPr>
            </w:pPr>
          </w:p>
          <w:p w:rsidR="00C00A5C" w:rsidRPr="00183708" w:rsidRDefault="0079136A" w:rsidP="00C00A5C">
            <w:pPr>
              <w:pStyle w:val="TableText"/>
              <w:adjustRightInd w:val="0"/>
              <w:spacing w:after="120"/>
              <w:rPr>
                <w:rFonts w:ascii="Arial" w:hAnsi="Arial" w:cs="Arial"/>
                <w:szCs w:val="20"/>
              </w:rPr>
            </w:pPr>
            <w:r>
              <w:rPr>
                <w:rFonts w:ascii="Arial" w:hAnsi="Arial" w:cs="Arial"/>
                <w:noProof/>
                <w:szCs w:val="20"/>
                <w:lang w:eastAsia="zh-TW"/>
              </w:rPr>
              <w:pict>
                <v:shapetype id="_x0000_t202" coordsize="21600,21600" o:spt="202" path="m,l,21600r21600,l21600,xe">
                  <v:stroke joinstyle="miter"/>
                  <v:path gradientshapeok="t" o:connecttype="rect"/>
                </v:shapetype>
                <v:shape id="_x0000_s1026" type="#_x0000_t202" style="position:absolute;margin-left:109.75pt;margin-top:16.05pt;width:257.25pt;height:21.9pt;z-index:251657728;mso-width-relative:margin;mso-height-relative:margin" stroked="f">
                  <v:textbox>
                    <w:txbxContent>
                      <w:p w:rsidR="00F153AD" w:rsidRPr="0075778A" w:rsidRDefault="00F153AD" w:rsidP="00E84DAF">
                        <w:pPr>
                          <w:rPr>
                            <w:rFonts w:cs="Arial"/>
                            <w:b/>
                            <w:szCs w:val="20"/>
                          </w:rPr>
                        </w:pPr>
                        <w:r w:rsidRPr="0075778A">
                          <w:rPr>
                            <w:rFonts w:cs="Arial"/>
                            <w:b/>
                            <w:szCs w:val="20"/>
                          </w:rPr>
                          <w:t>DO NOT USE HEMOLYZED SAMPLES!</w:t>
                        </w:r>
                      </w:p>
                    </w:txbxContent>
                  </v:textbox>
                </v:shape>
              </w:pict>
            </w:r>
            <w:r w:rsidR="00C00A5C" w:rsidRPr="00183708">
              <w:rPr>
                <w:rFonts w:ascii="Arial" w:hAnsi="Arial" w:cs="Arial"/>
                <w:szCs w:val="20"/>
              </w:rPr>
              <w:t xml:space="preserve">Hemolysis, Icterus &amp; Lipemia (HIL) Index Values: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
              <w:gridCol w:w="450"/>
              <w:gridCol w:w="450"/>
            </w:tblGrid>
            <w:tr w:rsidR="00C00A5C" w:rsidRPr="00183708" w:rsidTr="00C00A5C">
              <w:tc>
                <w:tcPr>
                  <w:tcW w:w="517" w:type="dxa"/>
                </w:tcPr>
                <w:p w:rsidR="00C00A5C" w:rsidRPr="00183708" w:rsidRDefault="00C00A5C" w:rsidP="00C00A5C">
                  <w:pPr>
                    <w:autoSpaceDE w:val="0"/>
                    <w:autoSpaceDN w:val="0"/>
                    <w:adjustRightInd w:val="0"/>
                    <w:jc w:val="center"/>
                    <w:rPr>
                      <w:rFonts w:cs="Arial"/>
                      <w:b/>
                      <w:szCs w:val="20"/>
                    </w:rPr>
                  </w:pPr>
                  <w:r w:rsidRPr="00183708">
                    <w:rPr>
                      <w:rFonts w:cs="Arial"/>
                      <w:b/>
                      <w:szCs w:val="20"/>
                    </w:rPr>
                    <w:t>H</w:t>
                  </w:r>
                </w:p>
              </w:tc>
              <w:tc>
                <w:tcPr>
                  <w:tcW w:w="450" w:type="dxa"/>
                </w:tcPr>
                <w:p w:rsidR="00C00A5C" w:rsidRPr="00183708" w:rsidRDefault="00C00A5C" w:rsidP="00C00A5C">
                  <w:pPr>
                    <w:autoSpaceDE w:val="0"/>
                    <w:autoSpaceDN w:val="0"/>
                    <w:adjustRightInd w:val="0"/>
                    <w:jc w:val="center"/>
                    <w:rPr>
                      <w:rFonts w:cs="Arial"/>
                      <w:b/>
                      <w:szCs w:val="20"/>
                    </w:rPr>
                  </w:pPr>
                  <w:r w:rsidRPr="00183708">
                    <w:rPr>
                      <w:rFonts w:cs="Arial"/>
                      <w:b/>
                      <w:szCs w:val="20"/>
                    </w:rPr>
                    <w:t>I</w:t>
                  </w:r>
                </w:p>
              </w:tc>
              <w:tc>
                <w:tcPr>
                  <w:tcW w:w="450" w:type="dxa"/>
                </w:tcPr>
                <w:p w:rsidR="00C00A5C" w:rsidRPr="00183708" w:rsidRDefault="00C00A5C" w:rsidP="00C00A5C">
                  <w:pPr>
                    <w:autoSpaceDE w:val="0"/>
                    <w:autoSpaceDN w:val="0"/>
                    <w:adjustRightInd w:val="0"/>
                    <w:jc w:val="center"/>
                    <w:rPr>
                      <w:rFonts w:cs="Arial"/>
                      <w:b/>
                      <w:szCs w:val="20"/>
                    </w:rPr>
                  </w:pPr>
                  <w:r w:rsidRPr="00183708">
                    <w:rPr>
                      <w:rFonts w:cs="Arial"/>
                      <w:b/>
                      <w:szCs w:val="20"/>
                    </w:rPr>
                    <w:t>L</w:t>
                  </w:r>
                </w:p>
              </w:tc>
            </w:tr>
            <w:tr w:rsidR="00C00A5C" w:rsidRPr="00183708" w:rsidTr="00C00A5C">
              <w:tc>
                <w:tcPr>
                  <w:tcW w:w="517" w:type="dxa"/>
                </w:tcPr>
                <w:p w:rsidR="00C00A5C" w:rsidRPr="00183708" w:rsidRDefault="00C00A5C" w:rsidP="00C00A5C">
                  <w:pPr>
                    <w:autoSpaceDE w:val="0"/>
                    <w:autoSpaceDN w:val="0"/>
                    <w:adjustRightInd w:val="0"/>
                    <w:jc w:val="center"/>
                    <w:rPr>
                      <w:rFonts w:cs="Arial"/>
                      <w:szCs w:val="20"/>
                    </w:rPr>
                  </w:pPr>
                  <w:r w:rsidRPr="00183708">
                    <w:rPr>
                      <w:rFonts w:cs="Arial"/>
                      <w:szCs w:val="20"/>
                    </w:rPr>
                    <w:t>4</w:t>
                  </w:r>
                </w:p>
              </w:tc>
              <w:tc>
                <w:tcPr>
                  <w:tcW w:w="450" w:type="dxa"/>
                </w:tcPr>
                <w:p w:rsidR="00C00A5C" w:rsidRPr="00183708" w:rsidRDefault="00C00A5C" w:rsidP="00C00A5C">
                  <w:pPr>
                    <w:autoSpaceDE w:val="0"/>
                    <w:autoSpaceDN w:val="0"/>
                    <w:adjustRightInd w:val="0"/>
                    <w:jc w:val="center"/>
                    <w:rPr>
                      <w:rFonts w:cs="Arial"/>
                      <w:szCs w:val="20"/>
                    </w:rPr>
                  </w:pPr>
                  <w:r w:rsidRPr="00183708">
                    <w:rPr>
                      <w:rFonts w:cs="Arial"/>
                      <w:szCs w:val="20"/>
                    </w:rPr>
                    <w:t>7</w:t>
                  </w:r>
                </w:p>
              </w:tc>
              <w:tc>
                <w:tcPr>
                  <w:tcW w:w="450" w:type="dxa"/>
                </w:tcPr>
                <w:p w:rsidR="00C00A5C" w:rsidRPr="00183708" w:rsidRDefault="00C00A5C" w:rsidP="00C00A5C">
                  <w:pPr>
                    <w:autoSpaceDE w:val="0"/>
                    <w:autoSpaceDN w:val="0"/>
                    <w:adjustRightInd w:val="0"/>
                    <w:jc w:val="center"/>
                    <w:rPr>
                      <w:rFonts w:cs="Arial"/>
                      <w:szCs w:val="20"/>
                    </w:rPr>
                  </w:pPr>
                  <w:r w:rsidRPr="00183708">
                    <w:rPr>
                      <w:rFonts w:cs="Arial"/>
                      <w:szCs w:val="20"/>
                    </w:rPr>
                    <w:t>3</w:t>
                  </w:r>
                </w:p>
              </w:tc>
            </w:tr>
          </w:tbl>
          <w:p w:rsidR="00C00A5C" w:rsidRPr="00183708" w:rsidRDefault="00C00A5C" w:rsidP="00C00A5C">
            <w:pPr>
              <w:autoSpaceDE w:val="0"/>
              <w:autoSpaceDN w:val="0"/>
              <w:adjustRightInd w:val="0"/>
              <w:rPr>
                <w:rFonts w:cs="Arial"/>
                <w:szCs w:val="20"/>
              </w:rPr>
            </w:pPr>
          </w:p>
          <w:p w:rsidR="00C00A5C" w:rsidRPr="00183708" w:rsidRDefault="00C00A5C" w:rsidP="00C00A5C">
            <w:pPr>
              <w:pStyle w:val="TableText"/>
              <w:adjustRightInd w:val="0"/>
              <w:rPr>
                <w:rFonts w:ascii="Arial" w:hAnsi="Arial" w:cs="Arial"/>
                <w:szCs w:val="20"/>
              </w:rPr>
            </w:pPr>
            <w:r w:rsidRPr="00183708">
              <w:rPr>
                <w:rFonts w:ascii="Arial" w:hAnsi="Arial" w:cs="Arial"/>
                <w:szCs w:val="20"/>
              </w:rPr>
              <w:t>Interfering Substances:</w:t>
            </w:r>
          </w:p>
          <w:p w:rsidR="00C00A5C" w:rsidRPr="00183708" w:rsidRDefault="00C00A5C" w:rsidP="00C00A5C">
            <w:pPr>
              <w:rPr>
                <w:rFonts w:cs="Arial"/>
                <w:szCs w:val="20"/>
              </w:rPr>
            </w:pPr>
          </w:p>
          <w:p w:rsidR="00AD5CC4" w:rsidRPr="00183708" w:rsidRDefault="00C00A5C">
            <w:pPr>
              <w:pStyle w:val="Bullets"/>
              <w:numPr>
                <w:ilvl w:val="0"/>
                <w:numId w:val="6"/>
              </w:numPr>
              <w:rPr>
                <w:rFonts w:ascii="Arial" w:hAnsi="Arial" w:cs="Arial"/>
              </w:rPr>
            </w:pPr>
            <w:r w:rsidRPr="00183708">
              <w:rPr>
                <w:rFonts w:ascii="Arial" w:hAnsi="Arial" w:cs="Arial"/>
              </w:rPr>
              <w:t>H</w:t>
            </w:r>
            <w:r w:rsidR="00AD5CC4" w:rsidRPr="00183708">
              <w:rPr>
                <w:rFonts w:ascii="Arial" w:hAnsi="Arial" w:cs="Arial"/>
              </w:rPr>
              <w:t xml:space="preserve">emolyzed samples may indicate traumatic collection. </w:t>
            </w:r>
            <w:r w:rsidR="00F46B38" w:rsidRPr="00183708">
              <w:rPr>
                <w:rFonts w:ascii="Arial" w:hAnsi="Arial" w:cs="Arial"/>
              </w:rPr>
              <w:t xml:space="preserve">Hemoglobin increases AMM results. </w:t>
            </w:r>
            <w:r w:rsidRPr="00183708">
              <w:rPr>
                <w:rFonts w:ascii="Arial" w:hAnsi="Arial" w:cs="Arial"/>
                <w:b/>
                <w:color w:val="000000"/>
              </w:rPr>
              <w:t>DO NOT USE</w:t>
            </w:r>
            <w:r w:rsidR="00AD5CC4" w:rsidRPr="00183708">
              <w:rPr>
                <w:rFonts w:ascii="Arial" w:hAnsi="Arial" w:cs="Arial"/>
                <w:b/>
                <w:color w:val="000000"/>
              </w:rPr>
              <w:t xml:space="preserve"> </w:t>
            </w:r>
            <w:r w:rsidRPr="00183708">
              <w:rPr>
                <w:rFonts w:ascii="Arial" w:hAnsi="Arial" w:cs="Arial"/>
                <w:b/>
                <w:color w:val="000000"/>
              </w:rPr>
              <w:t>HEMOLYZED SAMPLES</w:t>
            </w:r>
            <w:r w:rsidR="00AD5CC4" w:rsidRPr="00183708">
              <w:rPr>
                <w:rFonts w:ascii="Arial" w:hAnsi="Arial" w:cs="Arial"/>
                <w:b/>
                <w:color w:val="000000"/>
              </w:rPr>
              <w:t>.</w:t>
            </w:r>
          </w:p>
          <w:p w:rsidR="00AD5CC4" w:rsidRPr="00183708" w:rsidRDefault="00AD5CC4">
            <w:pPr>
              <w:numPr>
                <w:ilvl w:val="0"/>
                <w:numId w:val="6"/>
              </w:numPr>
              <w:rPr>
                <w:rFonts w:cs="Arial"/>
                <w:szCs w:val="20"/>
              </w:rPr>
            </w:pPr>
            <w:r w:rsidRPr="00183708">
              <w:rPr>
                <w:rFonts w:cs="Arial"/>
                <w:szCs w:val="20"/>
              </w:rPr>
              <w:t>Smoking, laboratory atmosphere, venipuncture technique, and in vitro amino acid metabolism are all possible sources of error for the measurement of ammonia.</w:t>
            </w:r>
          </w:p>
          <w:p w:rsidR="00AD5CC4" w:rsidRPr="00183708" w:rsidRDefault="00AD5CC4">
            <w:pPr>
              <w:pStyle w:val="Pa26"/>
              <w:numPr>
                <w:ilvl w:val="0"/>
                <w:numId w:val="6"/>
              </w:numPr>
              <w:rPr>
                <w:rFonts w:ascii="Arial" w:hAnsi="Arial" w:cs="Arial"/>
                <w:color w:val="000000"/>
                <w:sz w:val="20"/>
                <w:szCs w:val="20"/>
              </w:rPr>
            </w:pPr>
            <w:r w:rsidRPr="00183708">
              <w:rPr>
                <w:rFonts w:ascii="Arial" w:hAnsi="Arial" w:cs="Arial"/>
                <w:color w:val="000000"/>
                <w:sz w:val="20"/>
                <w:szCs w:val="20"/>
              </w:rPr>
              <w:t xml:space="preserve">Bilirubin (unconjugated) of </w:t>
            </w:r>
            <w:r w:rsidR="00C00A5C" w:rsidRPr="00183708">
              <w:rPr>
                <w:rFonts w:ascii="Arial" w:hAnsi="Arial" w:cs="Arial"/>
                <w:color w:val="000000"/>
                <w:sz w:val="20"/>
                <w:szCs w:val="20"/>
              </w:rPr>
              <w:t>60</w:t>
            </w:r>
            <w:r w:rsidRPr="00183708">
              <w:rPr>
                <w:rFonts w:ascii="Arial" w:hAnsi="Arial" w:cs="Arial"/>
                <w:color w:val="000000"/>
                <w:sz w:val="20"/>
                <w:szCs w:val="20"/>
              </w:rPr>
              <w:t xml:space="preserve"> mg/dL </w:t>
            </w:r>
            <w:r w:rsidR="00C00A5C" w:rsidRPr="00183708">
              <w:rPr>
                <w:rFonts w:ascii="Arial" w:hAnsi="Arial" w:cs="Arial"/>
                <w:color w:val="000000"/>
                <w:sz w:val="20"/>
                <w:szCs w:val="20"/>
              </w:rPr>
              <w:t>decreases AMM results by 16</w:t>
            </w:r>
            <w:r w:rsidR="00AD37D3" w:rsidRPr="00183708">
              <w:rPr>
                <w:rFonts w:ascii="Arial" w:hAnsi="Arial" w:cs="Arial"/>
                <w:color w:val="000000"/>
                <w:sz w:val="20"/>
                <w:szCs w:val="20"/>
              </w:rPr>
              <w:t>% a</w:t>
            </w:r>
            <w:r w:rsidR="00C00A5C" w:rsidRPr="00183708">
              <w:rPr>
                <w:rFonts w:ascii="Arial" w:hAnsi="Arial" w:cs="Arial"/>
                <w:color w:val="000000"/>
                <w:sz w:val="20"/>
                <w:szCs w:val="20"/>
              </w:rPr>
              <w:t>t an ammonia concentration of 50</w:t>
            </w:r>
            <w:r w:rsidR="00AD37D3" w:rsidRPr="00183708">
              <w:rPr>
                <w:rFonts w:ascii="Arial" w:hAnsi="Arial" w:cs="Arial"/>
                <w:color w:val="000000"/>
                <w:sz w:val="20"/>
                <w:szCs w:val="20"/>
              </w:rPr>
              <w:t xml:space="preserve"> μmol/L, and decreases AMM results by &lt;10% </w:t>
            </w:r>
            <w:r w:rsidR="006229CB" w:rsidRPr="00183708">
              <w:rPr>
                <w:rFonts w:ascii="Arial" w:hAnsi="Arial" w:cs="Arial"/>
                <w:color w:val="000000"/>
                <w:sz w:val="20"/>
                <w:szCs w:val="20"/>
              </w:rPr>
              <w:t>at an ammonia concentration of 426 μmol/L</w:t>
            </w:r>
            <w:r w:rsidR="00AD37D3" w:rsidRPr="00183708">
              <w:rPr>
                <w:rFonts w:ascii="Arial" w:hAnsi="Arial" w:cs="Arial"/>
                <w:color w:val="000000"/>
                <w:sz w:val="20"/>
                <w:szCs w:val="20"/>
              </w:rPr>
              <w:t>.</w:t>
            </w:r>
          </w:p>
          <w:p w:rsidR="006229CB" w:rsidRPr="00183708" w:rsidRDefault="006229CB" w:rsidP="006229CB">
            <w:pPr>
              <w:numPr>
                <w:ilvl w:val="0"/>
                <w:numId w:val="6"/>
              </w:numPr>
              <w:rPr>
                <w:rFonts w:cs="Arial"/>
                <w:szCs w:val="20"/>
              </w:rPr>
            </w:pPr>
            <w:r w:rsidRPr="00183708">
              <w:rPr>
                <w:rFonts w:cs="Arial"/>
                <w:szCs w:val="20"/>
              </w:rPr>
              <w:t>Dextran increases ammonia results. Refer to product insert for additional information.</w:t>
            </w:r>
          </w:p>
          <w:p w:rsidR="006229CB" w:rsidRPr="00183708" w:rsidRDefault="006229CB" w:rsidP="006229CB">
            <w:pPr>
              <w:numPr>
                <w:ilvl w:val="0"/>
                <w:numId w:val="6"/>
              </w:numPr>
              <w:rPr>
                <w:rFonts w:cs="Arial"/>
                <w:szCs w:val="20"/>
              </w:rPr>
            </w:pPr>
            <w:r w:rsidRPr="00183708">
              <w:rPr>
                <w:rFonts w:cs="Arial"/>
                <w:szCs w:val="20"/>
              </w:rPr>
              <w:t>Elevated IgG may increase AMM results. Refer to product insert for more information.</w:t>
            </w:r>
          </w:p>
          <w:p w:rsidR="006229CB" w:rsidRPr="00183708" w:rsidRDefault="00AD5CC4" w:rsidP="006229CB">
            <w:pPr>
              <w:pStyle w:val="Pa5"/>
              <w:numPr>
                <w:ilvl w:val="0"/>
                <w:numId w:val="6"/>
              </w:numPr>
              <w:rPr>
                <w:rFonts w:ascii="Arial" w:hAnsi="Arial" w:cs="Arial"/>
                <w:color w:val="000000"/>
                <w:sz w:val="20"/>
                <w:szCs w:val="20"/>
              </w:rPr>
            </w:pPr>
            <w:r w:rsidRPr="00183708">
              <w:rPr>
                <w:rFonts w:ascii="Arial" w:hAnsi="Arial" w:cs="Arial"/>
                <w:color w:val="000000"/>
                <w:sz w:val="20"/>
                <w:szCs w:val="20"/>
              </w:rPr>
              <w:t xml:space="preserve">Lipemia (Intralipid®) of </w:t>
            </w:r>
            <w:r w:rsidR="006229CB" w:rsidRPr="00183708">
              <w:rPr>
                <w:rFonts w:ascii="Arial" w:hAnsi="Arial" w:cs="Arial"/>
                <w:color w:val="000000"/>
                <w:sz w:val="20"/>
                <w:szCs w:val="20"/>
              </w:rPr>
              <w:t>&gt;</w:t>
            </w:r>
            <w:r w:rsidR="00C00A5C" w:rsidRPr="00183708">
              <w:rPr>
                <w:rFonts w:ascii="Arial" w:hAnsi="Arial" w:cs="Arial"/>
                <w:color w:val="000000"/>
                <w:sz w:val="20"/>
                <w:szCs w:val="20"/>
              </w:rPr>
              <w:t>100</w:t>
            </w:r>
            <w:r w:rsidRPr="00183708">
              <w:rPr>
                <w:rFonts w:ascii="Arial" w:hAnsi="Arial" w:cs="Arial"/>
                <w:color w:val="000000"/>
                <w:sz w:val="20"/>
                <w:szCs w:val="20"/>
              </w:rPr>
              <w:t xml:space="preserve"> mg/dL tripped a test report message; therefore the magnitude of the interference could not be determined.</w:t>
            </w:r>
            <w:r w:rsidR="006229CB" w:rsidRPr="00183708">
              <w:rPr>
                <w:rFonts w:ascii="Arial" w:hAnsi="Arial" w:cs="Arial"/>
                <w:b/>
                <w:bCs/>
                <w:color w:val="000000"/>
                <w:sz w:val="20"/>
                <w:szCs w:val="20"/>
              </w:rPr>
              <w:t xml:space="preserve"> Do not clear lipemia</w:t>
            </w:r>
            <w:r w:rsidR="006229CB" w:rsidRPr="00183708">
              <w:rPr>
                <w:rFonts w:ascii="Arial" w:hAnsi="Arial" w:cs="Arial"/>
                <w:color w:val="000000"/>
                <w:sz w:val="20"/>
                <w:szCs w:val="20"/>
              </w:rPr>
              <w:t xml:space="preserve"> in samples that tripped a test report message, as the results may be invalid.</w:t>
            </w:r>
          </w:p>
          <w:p w:rsidR="00183708" w:rsidRDefault="00183708" w:rsidP="00183708">
            <w:pPr>
              <w:numPr>
                <w:ilvl w:val="0"/>
                <w:numId w:val="6"/>
              </w:numPr>
              <w:autoSpaceDE w:val="0"/>
              <w:autoSpaceDN w:val="0"/>
              <w:adjustRightInd w:val="0"/>
              <w:rPr>
                <w:rFonts w:cs="Arial"/>
                <w:szCs w:val="20"/>
              </w:rPr>
            </w:pPr>
            <w:r w:rsidRPr="00183708">
              <w:rPr>
                <w:rFonts w:cs="Arial"/>
                <w:szCs w:val="20"/>
              </w:rPr>
              <w:t>Triglycerides at 3000 mg/dL tripped a test report message; therefore the magnitude of the interference could not be determined.</w:t>
            </w:r>
          </w:p>
          <w:p w:rsidR="00231639" w:rsidRPr="00183708" w:rsidRDefault="00231639" w:rsidP="00183708">
            <w:pPr>
              <w:numPr>
                <w:ilvl w:val="0"/>
                <w:numId w:val="6"/>
              </w:numPr>
              <w:autoSpaceDE w:val="0"/>
              <w:autoSpaceDN w:val="0"/>
              <w:adjustRightInd w:val="0"/>
              <w:rPr>
                <w:rFonts w:cs="Arial"/>
                <w:szCs w:val="20"/>
              </w:rPr>
            </w:pPr>
            <w:r>
              <w:rPr>
                <w:rFonts w:cs="Arial"/>
                <w:szCs w:val="20"/>
              </w:rPr>
              <w:t>Sulfasalazine and Sulfapyridine interfere with NADH and or/NADPH reaction assays. Venipuncture should occure prior to sulfasalazine administration due to the potential for falsely elevated results.  Venipuncture should occure prior to sulfasalazine administration due to the potential for falsely depressed results.</w:t>
            </w:r>
          </w:p>
          <w:p w:rsidR="00C00A5C" w:rsidRPr="00183708" w:rsidRDefault="00C00A5C" w:rsidP="00C00A5C">
            <w:pPr>
              <w:rPr>
                <w:rFonts w:cs="Arial"/>
                <w:szCs w:val="20"/>
              </w:rPr>
            </w:pPr>
          </w:p>
          <w:p w:rsidR="00C00A5C" w:rsidRPr="00183708" w:rsidRDefault="00CE32C1" w:rsidP="00C00A5C">
            <w:pPr>
              <w:rPr>
                <w:rFonts w:cs="Arial"/>
                <w:szCs w:val="20"/>
              </w:rPr>
            </w:pPr>
            <w:r w:rsidRPr="00183708">
              <w:rPr>
                <w:rFonts w:cs="Arial"/>
                <w:szCs w:val="20"/>
              </w:rPr>
              <w:t xml:space="preserve"> </w:t>
            </w:r>
            <w:r w:rsidR="00C00A5C" w:rsidRPr="00183708">
              <w:rPr>
                <w:rFonts w:cs="Arial"/>
                <w:szCs w:val="20"/>
              </w:rPr>
              <w:t>Refer to the Siemens IFU for a list of non-interfering substances.</w:t>
            </w:r>
          </w:p>
          <w:p w:rsidR="00AD5CC4" w:rsidRPr="00183708" w:rsidRDefault="00AD5CC4" w:rsidP="006229CB">
            <w:pPr>
              <w:rPr>
                <w:rFonts w:cs="Arial"/>
                <w:szCs w:val="20"/>
              </w:rPr>
            </w:pPr>
          </w:p>
        </w:tc>
      </w:tr>
      <w:tr w:rsidR="00AD5CC4" w:rsidTr="00686BDB">
        <w:trPr>
          <w:tblHeader/>
        </w:trPr>
        <w:tc>
          <w:tcPr>
            <w:tcW w:w="1800" w:type="dxa"/>
          </w:tcPr>
          <w:p w:rsidR="00AD5CC4" w:rsidRDefault="00AD5CC4">
            <w:pPr>
              <w:rPr>
                <w:rFonts w:cs="Arial"/>
                <w:b/>
                <w:bCs/>
                <w:color w:val="0000FF"/>
              </w:rPr>
            </w:pPr>
            <w:r>
              <w:rPr>
                <w:rFonts w:cs="Arial"/>
                <w:b/>
                <w:bCs/>
                <w:color w:val="0000FF"/>
              </w:rPr>
              <w:t>Reference Range</w:t>
            </w:r>
          </w:p>
          <w:p w:rsidR="00AD5CC4" w:rsidRDefault="00AD5CC4">
            <w:pPr>
              <w:rPr>
                <w:rFonts w:cs="Arial"/>
                <w:b/>
                <w:bCs/>
                <w:color w:val="0000FF"/>
              </w:rPr>
            </w:pPr>
          </w:p>
        </w:tc>
        <w:tc>
          <w:tcPr>
            <w:tcW w:w="9360" w:type="dxa"/>
            <w:gridSpan w:val="4"/>
            <w:tcBorders>
              <w:top w:val="single" w:sz="18" w:space="0" w:color="D9D9D9"/>
              <w:bottom w:val="single" w:sz="18" w:space="0" w:color="D9D9D9"/>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2"/>
              <w:gridCol w:w="2372"/>
            </w:tblGrid>
            <w:tr w:rsidR="00AD5CC4" w:rsidTr="0075778A">
              <w:trPr>
                <w:cantSplit/>
              </w:trPr>
              <w:tc>
                <w:tcPr>
                  <w:tcW w:w="4744" w:type="dxa"/>
                  <w:gridSpan w:val="2"/>
                  <w:tcBorders>
                    <w:top w:val="nil"/>
                    <w:left w:val="nil"/>
                    <w:right w:val="nil"/>
                  </w:tcBorders>
                </w:tcPr>
                <w:p w:rsidR="00AD5CC4" w:rsidRDefault="00AD5CC4">
                  <w:pPr>
                    <w:rPr>
                      <w:rFonts w:cs="Arial"/>
                    </w:rPr>
                  </w:pPr>
                </w:p>
              </w:tc>
            </w:tr>
            <w:tr w:rsidR="00AD5CC4">
              <w:tc>
                <w:tcPr>
                  <w:tcW w:w="2372" w:type="dxa"/>
                </w:tcPr>
                <w:p w:rsidR="00AD5CC4" w:rsidRDefault="00AD5CC4">
                  <w:pPr>
                    <w:pStyle w:val="Header"/>
                    <w:tabs>
                      <w:tab w:val="clear" w:pos="4320"/>
                      <w:tab w:val="clear" w:pos="8640"/>
                    </w:tabs>
                    <w:rPr>
                      <w:rFonts w:cs="Arial"/>
                    </w:rPr>
                  </w:pPr>
                  <w:r>
                    <w:rPr>
                      <w:rFonts w:cs="Arial"/>
                    </w:rPr>
                    <w:t>AGE</w:t>
                  </w:r>
                </w:p>
              </w:tc>
              <w:tc>
                <w:tcPr>
                  <w:tcW w:w="2372" w:type="dxa"/>
                </w:tcPr>
                <w:p w:rsidR="00AD5CC4" w:rsidRDefault="00AD5CC4">
                  <w:pPr>
                    <w:rPr>
                      <w:rFonts w:cs="Arial"/>
                    </w:rPr>
                  </w:pPr>
                  <w:r>
                    <w:rPr>
                      <w:rFonts w:cs="Arial"/>
                    </w:rPr>
                    <w:t>NORMAL</w:t>
                  </w:r>
                </w:p>
              </w:tc>
            </w:tr>
            <w:tr w:rsidR="00AD5CC4">
              <w:tc>
                <w:tcPr>
                  <w:tcW w:w="2372" w:type="dxa"/>
                </w:tcPr>
                <w:p w:rsidR="00AD5CC4" w:rsidRDefault="00AD5CC4">
                  <w:pPr>
                    <w:rPr>
                      <w:rFonts w:cs="Arial"/>
                    </w:rPr>
                  </w:pPr>
                  <w:r>
                    <w:rPr>
                      <w:rFonts w:cs="Arial"/>
                    </w:rPr>
                    <w:t>18 years</w:t>
                  </w:r>
                </w:p>
              </w:tc>
              <w:tc>
                <w:tcPr>
                  <w:tcW w:w="2372" w:type="dxa"/>
                </w:tcPr>
                <w:p w:rsidR="00AD5CC4" w:rsidRDefault="00AD5CC4">
                  <w:pPr>
                    <w:rPr>
                      <w:rFonts w:cs="Arial"/>
                    </w:rPr>
                  </w:pPr>
                  <w:r>
                    <w:rPr>
                      <w:rFonts w:cs="Arial"/>
                    </w:rPr>
                    <w:t>11-32 µmol/L</w:t>
                  </w:r>
                </w:p>
              </w:tc>
            </w:tr>
            <w:tr w:rsidR="00AD5CC4">
              <w:tc>
                <w:tcPr>
                  <w:tcW w:w="2372" w:type="dxa"/>
                </w:tcPr>
                <w:p w:rsidR="00AD5CC4" w:rsidRDefault="00AD5CC4">
                  <w:pPr>
                    <w:rPr>
                      <w:rFonts w:cs="Arial"/>
                    </w:rPr>
                  </w:pPr>
                  <w:r>
                    <w:rPr>
                      <w:rFonts w:cs="Arial"/>
                    </w:rPr>
                    <w:t>1 month</w:t>
                  </w:r>
                </w:p>
              </w:tc>
              <w:tc>
                <w:tcPr>
                  <w:tcW w:w="2372" w:type="dxa"/>
                </w:tcPr>
                <w:p w:rsidR="00AD5CC4" w:rsidRDefault="00AD5CC4">
                  <w:pPr>
                    <w:rPr>
                      <w:rFonts w:cs="Arial"/>
                    </w:rPr>
                  </w:pPr>
                  <w:r>
                    <w:rPr>
                      <w:rFonts w:cs="Arial"/>
                    </w:rPr>
                    <w:t>21-50 µmol/L</w:t>
                  </w:r>
                </w:p>
              </w:tc>
            </w:tr>
            <w:tr w:rsidR="00AD5CC4">
              <w:tc>
                <w:tcPr>
                  <w:tcW w:w="2372" w:type="dxa"/>
                </w:tcPr>
                <w:p w:rsidR="00AD5CC4" w:rsidRDefault="00AD5CC4">
                  <w:pPr>
                    <w:pStyle w:val="Header"/>
                    <w:tabs>
                      <w:tab w:val="clear" w:pos="4320"/>
                      <w:tab w:val="clear" w:pos="8640"/>
                    </w:tabs>
                    <w:rPr>
                      <w:rFonts w:cs="Arial"/>
                    </w:rPr>
                  </w:pPr>
                  <w:r>
                    <w:rPr>
                      <w:rFonts w:cs="Arial"/>
                    </w:rPr>
                    <w:t>14 days</w:t>
                  </w:r>
                </w:p>
              </w:tc>
              <w:tc>
                <w:tcPr>
                  <w:tcW w:w="2372" w:type="dxa"/>
                </w:tcPr>
                <w:p w:rsidR="00AD5CC4" w:rsidRDefault="00AD5CC4">
                  <w:pPr>
                    <w:rPr>
                      <w:rFonts w:cs="Arial"/>
                    </w:rPr>
                  </w:pPr>
                  <w:r>
                    <w:rPr>
                      <w:rFonts w:cs="Arial"/>
                    </w:rPr>
                    <w:t>56-92 µmol/L</w:t>
                  </w:r>
                </w:p>
              </w:tc>
            </w:tr>
            <w:tr w:rsidR="00AD5CC4">
              <w:tc>
                <w:tcPr>
                  <w:tcW w:w="2372" w:type="dxa"/>
                  <w:tcBorders>
                    <w:bottom w:val="single" w:sz="4" w:space="0" w:color="auto"/>
                  </w:tcBorders>
                </w:tcPr>
                <w:p w:rsidR="00AD5CC4" w:rsidRDefault="00AD5CC4">
                  <w:pPr>
                    <w:rPr>
                      <w:rFonts w:cs="Arial"/>
                    </w:rPr>
                  </w:pPr>
                  <w:r>
                    <w:rPr>
                      <w:rFonts w:cs="Arial"/>
                    </w:rPr>
                    <w:t>0 days</w:t>
                  </w:r>
                </w:p>
              </w:tc>
              <w:tc>
                <w:tcPr>
                  <w:tcW w:w="2372" w:type="dxa"/>
                  <w:tcBorders>
                    <w:bottom w:val="single" w:sz="4" w:space="0" w:color="auto"/>
                  </w:tcBorders>
                </w:tcPr>
                <w:p w:rsidR="00AD5CC4" w:rsidRDefault="00AD5CC4">
                  <w:pPr>
                    <w:rPr>
                      <w:rFonts w:cs="Arial"/>
                    </w:rPr>
                  </w:pPr>
                  <w:r>
                    <w:rPr>
                      <w:rFonts w:cs="Arial"/>
                    </w:rPr>
                    <w:t>64-107 µmol/L</w:t>
                  </w:r>
                </w:p>
              </w:tc>
            </w:tr>
            <w:tr w:rsidR="00AD5CC4">
              <w:trPr>
                <w:cantSplit/>
              </w:trPr>
              <w:tc>
                <w:tcPr>
                  <w:tcW w:w="4744" w:type="dxa"/>
                  <w:gridSpan w:val="2"/>
                  <w:tcBorders>
                    <w:left w:val="nil"/>
                    <w:bottom w:val="nil"/>
                    <w:right w:val="nil"/>
                  </w:tcBorders>
                </w:tcPr>
                <w:p w:rsidR="00AD5CC4" w:rsidRDefault="00AD5CC4">
                  <w:pPr>
                    <w:rPr>
                      <w:rFonts w:cs="Arial"/>
                    </w:rPr>
                  </w:pPr>
                </w:p>
              </w:tc>
            </w:tr>
          </w:tbl>
          <w:p w:rsidR="00AD5CC4" w:rsidRDefault="00AD5CC4">
            <w:pPr>
              <w:rPr>
                <w:rFonts w:cs="Arial"/>
                <w:highlight w:val="yellow"/>
              </w:rPr>
            </w:pPr>
          </w:p>
        </w:tc>
      </w:tr>
      <w:tr w:rsidR="00AD5CC4" w:rsidTr="00686BDB">
        <w:trPr>
          <w:trHeight w:val="699"/>
          <w:tblHeader/>
        </w:trPr>
        <w:tc>
          <w:tcPr>
            <w:tcW w:w="1800" w:type="dxa"/>
          </w:tcPr>
          <w:p w:rsidR="00AD5CC4" w:rsidRDefault="00AD5CC4">
            <w:pPr>
              <w:rPr>
                <w:rFonts w:cs="Arial"/>
                <w:b/>
                <w:bCs/>
                <w:color w:val="0000FF"/>
              </w:rPr>
            </w:pPr>
          </w:p>
          <w:p w:rsidR="00AD5CC4" w:rsidRDefault="00AD5CC4">
            <w:pPr>
              <w:rPr>
                <w:rFonts w:cs="Arial"/>
                <w:b/>
                <w:bCs/>
                <w:color w:val="0000FF"/>
              </w:rPr>
            </w:pPr>
            <w:r>
              <w:rPr>
                <w:rFonts w:cs="Arial"/>
                <w:b/>
                <w:bCs/>
                <w:color w:val="0000FF"/>
              </w:rPr>
              <w:t>Critical Values</w:t>
            </w:r>
          </w:p>
          <w:p w:rsidR="00AD5CC4" w:rsidRDefault="00AD5CC4">
            <w:pPr>
              <w:rPr>
                <w:rFonts w:cs="Arial"/>
                <w:b/>
                <w:bCs/>
                <w:color w:val="0000FF"/>
              </w:rPr>
            </w:pPr>
          </w:p>
        </w:tc>
        <w:tc>
          <w:tcPr>
            <w:tcW w:w="9360" w:type="dxa"/>
            <w:gridSpan w:val="4"/>
            <w:tcBorders>
              <w:top w:val="single" w:sz="18" w:space="0" w:color="D9D9D9"/>
              <w:bottom w:val="single" w:sz="18" w:space="0" w:color="D9D9D9"/>
            </w:tcBorders>
          </w:tcPr>
          <w:p w:rsidR="00AD5CC4" w:rsidRDefault="00AD5CC4">
            <w:pPr>
              <w:rPr>
                <w:rFonts w:cs="Arial"/>
              </w:rPr>
            </w:pPr>
          </w:p>
          <w:p w:rsidR="00AD5CC4" w:rsidRDefault="007D5B60">
            <w:pPr>
              <w:rPr>
                <w:rFonts w:cs="Arial"/>
              </w:rPr>
            </w:pPr>
            <w:r>
              <w:rPr>
                <w:rFonts w:cs="Arial"/>
              </w:rPr>
              <w:t>&gt;150 µmol/L. C</w:t>
            </w:r>
            <w:r w:rsidR="00AD5CC4">
              <w:rPr>
                <w:rFonts w:cs="Arial"/>
              </w:rPr>
              <w:t>all result according to Critical Results Reporting Policy</w:t>
            </w:r>
          </w:p>
        </w:tc>
      </w:tr>
      <w:tr w:rsidR="00AD5CC4" w:rsidTr="00EB7D96">
        <w:trPr>
          <w:trHeight w:val="1791"/>
          <w:tblHeader/>
        </w:trPr>
        <w:tc>
          <w:tcPr>
            <w:tcW w:w="1800" w:type="dxa"/>
          </w:tcPr>
          <w:p w:rsidR="00AD5CC4" w:rsidRDefault="00AD5CC4">
            <w:pPr>
              <w:rPr>
                <w:rFonts w:cs="Arial"/>
                <w:b/>
                <w:bCs/>
                <w:color w:val="0000FF"/>
              </w:rPr>
            </w:pPr>
          </w:p>
          <w:p w:rsidR="00AD5CC4" w:rsidRDefault="00AD5CC4">
            <w:pPr>
              <w:rPr>
                <w:rFonts w:cs="Arial"/>
                <w:b/>
                <w:bCs/>
                <w:color w:val="0000FF"/>
              </w:rPr>
            </w:pPr>
            <w:r>
              <w:rPr>
                <w:rFonts w:cs="Arial"/>
                <w:b/>
                <w:bCs/>
                <w:color w:val="0000FF"/>
              </w:rPr>
              <w:t>Limitations</w:t>
            </w:r>
          </w:p>
          <w:p w:rsidR="00AD5CC4" w:rsidRDefault="00AD5CC4">
            <w:pPr>
              <w:rPr>
                <w:rFonts w:cs="Arial"/>
                <w:b/>
                <w:bCs/>
                <w:color w:val="0000FF"/>
              </w:rPr>
            </w:pPr>
          </w:p>
        </w:tc>
        <w:tc>
          <w:tcPr>
            <w:tcW w:w="9360" w:type="dxa"/>
            <w:gridSpan w:val="4"/>
            <w:tcBorders>
              <w:top w:val="single" w:sz="18" w:space="0" w:color="D9D9D9"/>
              <w:bottom w:val="single" w:sz="18" w:space="0" w:color="D9D9D9"/>
            </w:tcBorders>
            <w:vAlign w:val="center"/>
          </w:tcPr>
          <w:p w:rsidR="00AD5CC4" w:rsidRDefault="00AD5CC4" w:rsidP="00EB7D96">
            <w:pPr>
              <w:jc w:val="both"/>
              <w:rPr>
                <w:rFonts w:cs="Arial"/>
              </w:rPr>
            </w:pPr>
            <w:r>
              <w:rPr>
                <w:rFonts w:cs="Arial"/>
              </w:rPr>
              <w:t xml:space="preserve">Linear range of detection: </w:t>
            </w:r>
            <w:r w:rsidR="00CE32C1">
              <w:rPr>
                <w:rFonts w:cs="Arial"/>
              </w:rPr>
              <w:t>10 - 750</w:t>
            </w:r>
            <w:r>
              <w:rPr>
                <w:rFonts w:cs="Arial"/>
              </w:rPr>
              <w:t xml:space="preserve"> µmol/L</w:t>
            </w:r>
          </w:p>
          <w:p w:rsidR="00E84DAF" w:rsidRDefault="00E84DAF" w:rsidP="00EB7D96">
            <w:pPr>
              <w:jc w:val="both"/>
              <w:rPr>
                <w:rFonts w:cs="Arial"/>
              </w:rPr>
            </w:pPr>
          </w:p>
          <w:p w:rsidR="00AD5CC4" w:rsidRDefault="00E84DAF" w:rsidP="00EB7D96">
            <w:pPr>
              <w:jc w:val="both"/>
              <w:rPr>
                <w:rFonts w:cs="Arial"/>
              </w:rPr>
            </w:pPr>
            <w:r w:rsidRPr="00941576">
              <w:rPr>
                <w:rFonts w:cs="Arial"/>
                <w:szCs w:val="20"/>
              </w:rPr>
              <w:t>The instrument reporting system contains flags and comments to provide the user with information regarding instrument processing errors, instrument status information and potential</w:t>
            </w:r>
            <w:r>
              <w:rPr>
                <w:rFonts w:cs="Arial"/>
                <w:szCs w:val="20"/>
              </w:rPr>
              <w:t xml:space="preserve"> errors in</w:t>
            </w:r>
            <w:r w:rsidRPr="00941576">
              <w:rPr>
                <w:rFonts w:cs="Arial"/>
                <w:szCs w:val="20"/>
              </w:rPr>
              <w:t xml:space="preserve"> results. Refer to the Dimension Vista® iGuide for the meaning of report flags and comments. Any report containing flags and/or comments should be addressed and not reported.</w:t>
            </w:r>
          </w:p>
        </w:tc>
      </w:tr>
      <w:tr w:rsidR="00AD5CC4" w:rsidTr="00EB7D96">
        <w:trPr>
          <w:trHeight w:val="2655"/>
          <w:tblHeader/>
        </w:trPr>
        <w:tc>
          <w:tcPr>
            <w:tcW w:w="1800" w:type="dxa"/>
          </w:tcPr>
          <w:p w:rsidR="00AD5CC4" w:rsidRDefault="00AD5CC4">
            <w:pPr>
              <w:rPr>
                <w:rFonts w:cs="Arial"/>
                <w:b/>
                <w:bCs/>
                <w:color w:val="0000FF"/>
              </w:rPr>
            </w:pPr>
          </w:p>
          <w:p w:rsidR="00AD5CC4" w:rsidRDefault="00AD5CC4">
            <w:pPr>
              <w:rPr>
                <w:rFonts w:cs="Arial"/>
                <w:b/>
                <w:bCs/>
                <w:color w:val="0000FF"/>
              </w:rPr>
            </w:pPr>
            <w:r>
              <w:rPr>
                <w:rFonts w:cs="Arial"/>
                <w:b/>
                <w:bCs/>
                <w:color w:val="0000FF"/>
              </w:rPr>
              <w:t>Dilutions</w:t>
            </w:r>
          </w:p>
          <w:p w:rsidR="00AD5CC4" w:rsidRDefault="00AD5CC4">
            <w:pPr>
              <w:rPr>
                <w:rFonts w:cs="Arial"/>
                <w:b/>
                <w:bCs/>
                <w:color w:val="0000FF"/>
              </w:rPr>
            </w:pPr>
          </w:p>
        </w:tc>
        <w:tc>
          <w:tcPr>
            <w:tcW w:w="9360" w:type="dxa"/>
            <w:gridSpan w:val="4"/>
            <w:tcBorders>
              <w:top w:val="single" w:sz="18" w:space="0" w:color="D9D9D9"/>
              <w:bottom w:val="single" w:sz="18" w:space="0" w:color="D9D9D9"/>
            </w:tcBorders>
            <w:vAlign w:val="center"/>
          </w:tcPr>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7"/>
              <w:gridCol w:w="7110"/>
            </w:tblGrid>
            <w:tr w:rsidR="00E84DAF" w:rsidTr="00EB7D96">
              <w:tc>
                <w:tcPr>
                  <w:tcW w:w="2137" w:type="dxa"/>
                  <w:vAlign w:val="center"/>
                </w:tcPr>
                <w:p w:rsidR="00E84DAF" w:rsidRPr="007A579D" w:rsidRDefault="00E84DAF" w:rsidP="00EB7D96">
                  <w:pPr>
                    <w:pStyle w:val="BodyText"/>
                    <w:rPr>
                      <w:rFonts w:cs="Arial"/>
                    </w:rPr>
                  </w:pPr>
                  <w:r>
                    <w:rPr>
                      <w:rFonts w:cs="Arial"/>
                    </w:rPr>
                    <w:t>Maximum Dilution:</w:t>
                  </w:r>
                </w:p>
              </w:tc>
              <w:tc>
                <w:tcPr>
                  <w:tcW w:w="7110" w:type="dxa"/>
                  <w:vAlign w:val="center"/>
                </w:tcPr>
                <w:p w:rsidR="00E84DAF" w:rsidRDefault="00E84DAF" w:rsidP="00EB7D96">
                  <w:pPr>
                    <w:pStyle w:val="BodyText"/>
                    <w:rPr>
                      <w:rFonts w:cs="Arial"/>
                    </w:rPr>
                  </w:pPr>
                  <w:r>
                    <w:rPr>
                      <w:rFonts w:cs="Arial"/>
                    </w:rPr>
                    <w:t>1:2</w:t>
                  </w:r>
                </w:p>
              </w:tc>
            </w:tr>
            <w:tr w:rsidR="00E84DAF" w:rsidRPr="007A579D" w:rsidTr="00EB7D96">
              <w:trPr>
                <w:trHeight w:val="359"/>
              </w:trPr>
              <w:tc>
                <w:tcPr>
                  <w:tcW w:w="2137" w:type="dxa"/>
                  <w:vAlign w:val="center"/>
                </w:tcPr>
                <w:p w:rsidR="00E84DAF" w:rsidRPr="007A579D" w:rsidRDefault="00E84DAF" w:rsidP="00EB7D96">
                  <w:pPr>
                    <w:pStyle w:val="BodyText"/>
                    <w:rPr>
                      <w:rFonts w:cs="Arial"/>
                    </w:rPr>
                  </w:pPr>
                  <w:r w:rsidRPr="007A579D">
                    <w:rPr>
                      <w:rFonts w:cs="Arial"/>
                    </w:rPr>
                    <w:t>Surplus Rack</w:t>
                  </w:r>
                  <w:r>
                    <w:rPr>
                      <w:rFonts w:cs="Arial"/>
                    </w:rPr>
                    <w:t>:</w:t>
                  </w:r>
                </w:p>
              </w:tc>
              <w:tc>
                <w:tcPr>
                  <w:tcW w:w="7110" w:type="dxa"/>
                  <w:vAlign w:val="center"/>
                </w:tcPr>
                <w:p w:rsidR="00E84DAF" w:rsidRPr="007A579D" w:rsidRDefault="00E84DAF" w:rsidP="00EB7D96">
                  <w:pPr>
                    <w:autoSpaceDE w:val="0"/>
                    <w:autoSpaceDN w:val="0"/>
                    <w:adjustRightInd w:val="0"/>
                    <w:rPr>
                      <w:rFonts w:cs="Arial"/>
                      <w:szCs w:val="20"/>
                    </w:rPr>
                  </w:pPr>
                  <w:r w:rsidRPr="007A579D">
                    <w:rPr>
                      <w:rFonts w:cs="Arial"/>
                      <w:szCs w:val="20"/>
                    </w:rPr>
                    <w:t>Samples with results &gt;</w:t>
                  </w:r>
                  <w:r>
                    <w:rPr>
                      <w:rFonts w:cs="Arial"/>
                      <w:szCs w:val="20"/>
                    </w:rPr>
                    <w:t xml:space="preserve">750 </w:t>
                  </w:r>
                  <w:r>
                    <w:rPr>
                      <w:rFonts w:cs="Arial"/>
                    </w:rPr>
                    <w:t>µmol/L</w:t>
                  </w:r>
                  <w:r>
                    <w:rPr>
                      <w:rFonts w:cs="Arial"/>
                      <w:szCs w:val="20"/>
                    </w:rPr>
                    <w:t xml:space="preserve"> reflex to a 1:2 autodilution. </w:t>
                  </w:r>
                </w:p>
              </w:tc>
            </w:tr>
            <w:tr w:rsidR="00E84DAF" w:rsidRPr="0090549B" w:rsidTr="00EB7D96">
              <w:trPr>
                <w:trHeight w:val="611"/>
              </w:trPr>
              <w:tc>
                <w:tcPr>
                  <w:tcW w:w="2137" w:type="dxa"/>
                  <w:vAlign w:val="center"/>
                </w:tcPr>
                <w:p w:rsidR="00E84DAF" w:rsidRPr="007A579D" w:rsidRDefault="00E84DAF" w:rsidP="00EB7D96">
                  <w:pPr>
                    <w:pStyle w:val="BodyText"/>
                    <w:rPr>
                      <w:rFonts w:cs="Arial"/>
                    </w:rPr>
                  </w:pPr>
                  <w:r w:rsidRPr="007A579D">
                    <w:rPr>
                      <w:rFonts w:cs="Arial"/>
                    </w:rPr>
                    <w:t>Limited Rack</w:t>
                  </w:r>
                  <w:r>
                    <w:rPr>
                      <w:rFonts w:cs="Arial"/>
                    </w:rPr>
                    <w:t>:</w:t>
                  </w:r>
                </w:p>
              </w:tc>
              <w:tc>
                <w:tcPr>
                  <w:tcW w:w="7110" w:type="dxa"/>
                  <w:vAlign w:val="center"/>
                </w:tcPr>
                <w:p w:rsidR="00E84DAF" w:rsidRPr="0090549B" w:rsidRDefault="00E84DAF" w:rsidP="00EB7D96">
                  <w:pPr>
                    <w:autoSpaceDE w:val="0"/>
                    <w:autoSpaceDN w:val="0"/>
                    <w:adjustRightInd w:val="0"/>
                    <w:rPr>
                      <w:rFonts w:cs="Arial"/>
                      <w:szCs w:val="20"/>
                    </w:rPr>
                  </w:pPr>
                  <w:r w:rsidRPr="007A579D">
                    <w:rPr>
                      <w:rFonts w:cs="Arial"/>
                      <w:szCs w:val="20"/>
                    </w:rPr>
                    <w:t>Samples with results &gt;</w:t>
                  </w:r>
                  <w:r>
                    <w:rPr>
                      <w:rFonts w:cs="Arial"/>
                      <w:szCs w:val="20"/>
                    </w:rPr>
                    <w:t xml:space="preserve">750 </w:t>
                  </w:r>
                  <w:r>
                    <w:rPr>
                      <w:rFonts w:cs="Arial"/>
                    </w:rPr>
                    <w:t>µmol/L</w:t>
                  </w:r>
                  <w:r w:rsidRPr="007A579D">
                    <w:rPr>
                      <w:rFonts w:cs="Arial"/>
                      <w:szCs w:val="20"/>
                    </w:rPr>
                    <w:t xml:space="preserve"> should be repeated as an Add-On Test </w:t>
                  </w:r>
                  <w:r>
                    <w:rPr>
                      <w:rFonts w:cs="Arial"/>
                      <w:szCs w:val="20"/>
                    </w:rPr>
                    <w:t xml:space="preserve">with a Special Dilution of 1:2. </w:t>
                  </w:r>
                </w:p>
              </w:tc>
            </w:tr>
            <w:tr w:rsidR="00EB7D96" w:rsidRPr="0090549B" w:rsidTr="00EB7D96">
              <w:trPr>
                <w:trHeight w:val="350"/>
              </w:trPr>
              <w:tc>
                <w:tcPr>
                  <w:tcW w:w="2137" w:type="dxa"/>
                  <w:vAlign w:val="center"/>
                </w:tcPr>
                <w:p w:rsidR="00EB7D96" w:rsidRPr="007A579D" w:rsidRDefault="00EB7D96" w:rsidP="00EB7D96">
                  <w:pPr>
                    <w:pStyle w:val="BodyText"/>
                    <w:rPr>
                      <w:rFonts w:cs="Arial"/>
                    </w:rPr>
                  </w:pPr>
                  <w:r>
                    <w:rPr>
                      <w:rFonts w:cs="Arial"/>
                    </w:rPr>
                    <w:t>Manual Dilution</w:t>
                  </w:r>
                </w:p>
              </w:tc>
              <w:tc>
                <w:tcPr>
                  <w:tcW w:w="7110" w:type="dxa"/>
                  <w:vAlign w:val="center"/>
                </w:tcPr>
                <w:p w:rsidR="00EB7D96" w:rsidRPr="007A579D" w:rsidRDefault="00EB7D96" w:rsidP="00EB7D96">
                  <w:pPr>
                    <w:autoSpaceDE w:val="0"/>
                    <w:autoSpaceDN w:val="0"/>
                    <w:adjustRightInd w:val="0"/>
                    <w:rPr>
                      <w:rFonts w:cs="Arial"/>
                      <w:szCs w:val="20"/>
                    </w:rPr>
                  </w:pPr>
                  <w:r>
                    <w:rPr>
                      <w:rFonts w:cs="Arial"/>
                      <w:szCs w:val="20"/>
                    </w:rPr>
                    <w:t>Do not dilute manually.</w:t>
                  </w:r>
                </w:p>
              </w:tc>
            </w:tr>
          </w:tbl>
          <w:p w:rsidR="00EB7D96" w:rsidRDefault="00EB7D96" w:rsidP="00EB7D96">
            <w:pPr>
              <w:rPr>
                <w:rFonts w:cs="Arial"/>
              </w:rPr>
            </w:pPr>
          </w:p>
          <w:p w:rsidR="00AD5CC4" w:rsidRDefault="00AD5CC4" w:rsidP="00EB7D96">
            <w:pPr>
              <w:rPr>
                <w:rFonts w:cs="Arial"/>
              </w:rPr>
            </w:pPr>
            <w:r>
              <w:rPr>
                <w:rFonts w:cs="Arial"/>
              </w:rPr>
              <w:t>Results with “dilution” appended are reportable.</w:t>
            </w:r>
          </w:p>
        </w:tc>
      </w:tr>
      <w:tr w:rsidR="00AD5CC4" w:rsidTr="00686BDB">
        <w:trPr>
          <w:tblHeader/>
        </w:trPr>
        <w:tc>
          <w:tcPr>
            <w:tcW w:w="1800" w:type="dxa"/>
          </w:tcPr>
          <w:p w:rsidR="00AD5CC4" w:rsidRDefault="00AD5CC4">
            <w:pPr>
              <w:rPr>
                <w:rFonts w:cs="Arial"/>
                <w:b/>
                <w:bCs/>
                <w:color w:val="0000FF"/>
              </w:rPr>
            </w:pPr>
          </w:p>
          <w:p w:rsidR="00AD5CC4" w:rsidRDefault="00AD5CC4">
            <w:pPr>
              <w:rPr>
                <w:rFonts w:cs="Arial"/>
                <w:b/>
                <w:bCs/>
                <w:color w:val="0000FF"/>
              </w:rPr>
            </w:pPr>
            <w:r>
              <w:rPr>
                <w:rFonts w:cs="Arial"/>
                <w:b/>
                <w:bCs/>
                <w:color w:val="0000FF"/>
              </w:rPr>
              <w:t>Result Reporting</w:t>
            </w:r>
          </w:p>
          <w:p w:rsidR="00AD5CC4" w:rsidRDefault="00AD5CC4">
            <w:pPr>
              <w:rPr>
                <w:rFonts w:cs="Arial"/>
                <w:b/>
                <w:bCs/>
                <w:color w:val="0000FF"/>
              </w:rPr>
            </w:pPr>
          </w:p>
        </w:tc>
        <w:tc>
          <w:tcPr>
            <w:tcW w:w="9360" w:type="dxa"/>
            <w:gridSpan w:val="4"/>
            <w:tcBorders>
              <w:top w:val="single" w:sz="18" w:space="0" w:color="D9D9D9"/>
              <w:bottom w:val="single" w:sz="18" w:space="0" w:color="D9D9D9"/>
            </w:tcBorders>
          </w:tcPr>
          <w:p w:rsidR="00AD5CC4" w:rsidRDefault="00AD5CC4" w:rsidP="00EB7D96">
            <w:pPr>
              <w:pStyle w:val="Header"/>
              <w:tabs>
                <w:tab w:val="clear" w:pos="4320"/>
                <w:tab w:val="clear" w:pos="8640"/>
              </w:tabs>
              <w:jc w:val="both"/>
              <w:rPr>
                <w:rFonts w:cs="Arial"/>
              </w:rPr>
            </w:pPr>
          </w:p>
          <w:p w:rsidR="00AD5CC4" w:rsidRDefault="00AD5CC4" w:rsidP="00EB7D96">
            <w:pPr>
              <w:pStyle w:val="Header"/>
              <w:numPr>
                <w:ilvl w:val="0"/>
                <w:numId w:val="4"/>
              </w:numPr>
              <w:tabs>
                <w:tab w:val="clear" w:pos="4320"/>
                <w:tab w:val="clear" w:pos="8640"/>
              </w:tabs>
              <w:jc w:val="both"/>
              <w:rPr>
                <w:rFonts w:cs="Arial"/>
              </w:rPr>
            </w:pPr>
            <w:r>
              <w:rPr>
                <w:rFonts w:cs="Arial"/>
              </w:rPr>
              <w:t xml:space="preserve">Results between </w:t>
            </w:r>
            <w:r w:rsidR="00CE32C1">
              <w:rPr>
                <w:rFonts w:cs="Arial"/>
              </w:rPr>
              <w:t>10 - 750</w:t>
            </w:r>
            <w:r>
              <w:rPr>
                <w:rFonts w:cs="Arial"/>
              </w:rPr>
              <w:t xml:space="preserve"> µmol/L without error messages are released.</w:t>
            </w:r>
          </w:p>
          <w:p w:rsidR="00AD5CC4" w:rsidRDefault="00AD5CC4" w:rsidP="00EB7D96">
            <w:pPr>
              <w:pStyle w:val="Header"/>
              <w:numPr>
                <w:ilvl w:val="0"/>
                <w:numId w:val="4"/>
              </w:numPr>
              <w:tabs>
                <w:tab w:val="clear" w:pos="4320"/>
                <w:tab w:val="clear" w:pos="8640"/>
              </w:tabs>
              <w:jc w:val="both"/>
              <w:rPr>
                <w:rFonts w:cs="Arial"/>
              </w:rPr>
            </w:pPr>
            <w:r>
              <w:rPr>
                <w:rFonts w:cs="Arial"/>
              </w:rPr>
              <w:t>Results below 1</w:t>
            </w:r>
            <w:r w:rsidR="00CE32C1">
              <w:rPr>
                <w:rFonts w:cs="Arial"/>
              </w:rPr>
              <w:t>0</w:t>
            </w:r>
            <w:r>
              <w:rPr>
                <w:rFonts w:cs="Arial"/>
              </w:rPr>
              <w:t xml:space="preserve"> µmol/L are reported as &lt;1</w:t>
            </w:r>
            <w:r w:rsidR="00CE32C1">
              <w:rPr>
                <w:rFonts w:cs="Arial"/>
              </w:rPr>
              <w:t>0</w:t>
            </w:r>
            <w:r>
              <w:rPr>
                <w:rFonts w:cs="Arial"/>
              </w:rPr>
              <w:t xml:space="preserve"> µmol/L.</w:t>
            </w:r>
          </w:p>
          <w:p w:rsidR="00AD5CC4" w:rsidRDefault="00AD5CC4" w:rsidP="00EB7D96">
            <w:pPr>
              <w:pStyle w:val="Header"/>
              <w:numPr>
                <w:ilvl w:val="0"/>
                <w:numId w:val="4"/>
              </w:numPr>
              <w:tabs>
                <w:tab w:val="clear" w:pos="4320"/>
                <w:tab w:val="clear" w:pos="8640"/>
              </w:tabs>
              <w:jc w:val="both"/>
              <w:rPr>
                <w:rFonts w:cs="Arial"/>
              </w:rPr>
            </w:pPr>
            <w:r>
              <w:rPr>
                <w:rFonts w:cs="Arial"/>
              </w:rPr>
              <w:t xml:space="preserve">Results &gt; </w:t>
            </w:r>
            <w:r w:rsidR="00CE32C1">
              <w:rPr>
                <w:rFonts w:cs="Arial"/>
              </w:rPr>
              <w:t>750</w:t>
            </w:r>
            <w:r>
              <w:rPr>
                <w:rFonts w:cs="Arial"/>
              </w:rPr>
              <w:t xml:space="preserve"> µmol/L without error messages following a maximum dilution of 1:2 may be reported.</w:t>
            </w:r>
          </w:p>
          <w:p w:rsidR="00AD5CC4" w:rsidRDefault="00AD5CC4" w:rsidP="00EB7D96">
            <w:pPr>
              <w:pStyle w:val="Header"/>
              <w:numPr>
                <w:ilvl w:val="0"/>
                <w:numId w:val="4"/>
              </w:numPr>
              <w:tabs>
                <w:tab w:val="clear" w:pos="4320"/>
                <w:tab w:val="clear" w:pos="8640"/>
              </w:tabs>
              <w:jc w:val="both"/>
              <w:rPr>
                <w:rFonts w:cs="Arial"/>
              </w:rPr>
            </w:pPr>
            <w:r>
              <w:rPr>
                <w:rFonts w:cs="Arial"/>
              </w:rPr>
              <w:t xml:space="preserve">Results with </w:t>
            </w:r>
            <w:r w:rsidR="007D5B60">
              <w:rPr>
                <w:rFonts w:cs="Arial"/>
              </w:rPr>
              <w:t xml:space="preserve">“Above </w:t>
            </w:r>
            <w:r>
              <w:rPr>
                <w:rFonts w:cs="Arial"/>
              </w:rPr>
              <w:t>assay range</w:t>
            </w:r>
            <w:r w:rsidR="007D5B60">
              <w:rPr>
                <w:rFonts w:cs="Arial"/>
              </w:rPr>
              <w:t>”</w:t>
            </w:r>
            <w:r>
              <w:rPr>
                <w:rFonts w:cs="Arial"/>
              </w:rPr>
              <w:t xml:space="preserve"> appended following a maximum dilution of 1:2 are reported as &gt; </w:t>
            </w:r>
            <w:r w:rsidR="00CE32C1">
              <w:rPr>
                <w:rFonts w:cs="Arial"/>
              </w:rPr>
              <w:t>15</w:t>
            </w:r>
            <w:r>
              <w:rPr>
                <w:rFonts w:cs="Arial"/>
              </w:rPr>
              <w:t>00 µmol/L</w:t>
            </w:r>
          </w:p>
          <w:p w:rsidR="00DF4AD9" w:rsidRPr="00DF4AD9" w:rsidRDefault="00DF4AD9" w:rsidP="00EB7D96">
            <w:pPr>
              <w:numPr>
                <w:ilvl w:val="0"/>
                <w:numId w:val="2"/>
              </w:numPr>
              <w:jc w:val="both"/>
              <w:rPr>
                <w:rFonts w:cs="Arial"/>
              </w:rPr>
            </w:pPr>
            <w:r>
              <w:rPr>
                <w:rFonts w:cs="Arial"/>
              </w:rPr>
              <w:t xml:space="preserve">Append </w:t>
            </w:r>
            <w:r w:rsidR="00C01BEA">
              <w:rPr>
                <w:rFonts w:cs="Arial"/>
              </w:rPr>
              <w:t xml:space="preserve">the comment “BIN” to samples </w:t>
            </w:r>
            <w:r w:rsidR="007D5B60">
              <w:rPr>
                <w:rFonts w:cs="Arial"/>
              </w:rPr>
              <w:t>with a HIL index of 7 or greater.</w:t>
            </w:r>
            <w:r>
              <w:rPr>
                <w:rFonts w:cs="Arial"/>
              </w:rPr>
              <w:t xml:space="preserve"> </w:t>
            </w:r>
            <w:r w:rsidR="007D5B60">
              <w:rPr>
                <w:rFonts w:cs="Arial"/>
              </w:rPr>
              <w:t>Refer to</w:t>
            </w:r>
            <w:r>
              <w:rPr>
                <w:rFonts w:cs="Arial"/>
              </w:rPr>
              <w:t xml:space="preserve"> </w:t>
            </w:r>
            <w:hyperlink r:id="rId12" w:history="1">
              <w:r w:rsidRPr="00D25A70">
                <w:rPr>
                  <w:rStyle w:val="Hyperlink"/>
                  <w:rFonts w:cs="Arial"/>
                </w:rPr>
                <w:t>CH5.101 HIL on Dimension Vista</w:t>
              </w:r>
            </w:hyperlink>
          </w:p>
          <w:p w:rsidR="00AD5CC4" w:rsidRDefault="00AD5CC4" w:rsidP="00EB7D96">
            <w:pPr>
              <w:pStyle w:val="Header"/>
              <w:tabs>
                <w:tab w:val="clear" w:pos="4320"/>
                <w:tab w:val="clear" w:pos="8640"/>
              </w:tabs>
              <w:jc w:val="both"/>
              <w:rPr>
                <w:rFonts w:cs="Arial"/>
              </w:rPr>
            </w:pPr>
          </w:p>
        </w:tc>
      </w:tr>
      <w:tr w:rsidR="00AD5CC4" w:rsidTr="00686BDB">
        <w:trPr>
          <w:trHeight w:val="1025"/>
          <w:tblHeader/>
        </w:trPr>
        <w:tc>
          <w:tcPr>
            <w:tcW w:w="1800" w:type="dxa"/>
            <w:vAlign w:val="center"/>
          </w:tcPr>
          <w:p w:rsidR="00AD5CC4" w:rsidRDefault="00AD5CC4">
            <w:pPr>
              <w:rPr>
                <w:rFonts w:cs="Arial"/>
                <w:b/>
                <w:bCs/>
                <w:color w:val="0000FF"/>
              </w:rPr>
            </w:pPr>
            <w:r>
              <w:rPr>
                <w:rFonts w:cs="Arial"/>
                <w:b/>
                <w:bCs/>
                <w:color w:val="0000FF"/>
              </w:rPr>
              <w:t>Specimen Storage</w:t>
            </w:r>
          </w:p>
        </w:tc>
        <w:tc>
          <w:tcPr>
            <w:tcW w:w="9360" w:type="dxa"/>
            <w:gridSpan w:val="4"/>
            <w:tcBorders>
              <w:top w:val="single" w:sz="18" w:space="0" w:color="D9D9D9"/>
              <w:bottom w:val="single" w:sz="18" w:space="0" w:color="D9D9D9"/>
            </w:tcBorders>
            <w:vAlign w:val="center"/>
          </w:tcPr>
          <w:p w:rsidR="00AD5CC4" w:rsidRDefault="00AD5CC4">
            <w:pPr>
              <w:rPr>
                <w:rFonts w:cs="Arial"/>
              </w:rPr>
            </w:pPr>
            <w:r>
              <w:rPr>
                <w:rFonts w:cs="Arial"/>
              </w:rPr>
              <w:t>Promptly stopper tested specimen and store upright in specimen rack. Every 8 hours remove spec</w:t>
            </w:r>
            <w:r w:rsidR="00EB7D96">
              <w:rPr>
                <w:rFonts w:cs="Arial"/>
              </w:rPr>
              <w:t>imens to refrigerator</w:t>
            </w:r>
            <w:r>
              <w:rPr>
                <w:rFonts w:cs="Arial"/>
              </w:rPr>
              <w:t>/freezer storage. Samples are retained 7 days in specimen storage freezer.</w:t>
            </w:r>
          </w:p>
        </w:tc>
      </w:tr>
      <w:tr w:rsidR="00AD5CC4" w:rsidTr="00686BDB">
        <w:trPr>
          <w:tblHeader/>
        </w:trPr>
        <w:tc>
          <w:tcPr>
            <w:tcW w:w="1800" w:type="dxa"/>
          </w:tcPr>
          <w:p w:rsidR="00E30197" w:rsidRDefault="00E30197">
            <w:pPr>
              <w:ind w:right="-108"/>
              <w:rPr>
                <w:rFonts w:cs="Arial"/>
                <w:b/>
                <w:bCs/>
                <w:color w:val="0000FF"/>
              </w:rPr>
            </w:pPr>
          </w:p>
          <w:p w:rsidR="00AD5CC4" w:rsidRDefault="00AD5CC4">
            <w:pPr>
              <w:ind w:right="-108"/>
              <w:rPr>
                <w:rFonts w:cs="Arial"/>
                <w:b/>
                <w:bCs/>
                <w:color w:val="0000FF"/>
              </w:rPr>
            </w:pPr>
            <w:r>
              <w:rPr>
                <w:rFonts w:cs="Arial"/>
                <w:b/>
                <w:bCs/>
                <w:color w:val="0000FF"/>
              </w:rPr>
              <w:t>References</w:t>
            </w:r>
          </w:p>
        </w:tc>
        <w:tc>
          <w:tcPr>
            <w:tcW w:w="9360" w:type="dxa"/>
            <w:gridSpan w:val="4"/>
            <w:tcBorders>
              <w:top w:val="single" w:sz="18" w:space="0" w:color="D9D9D9"/>
              <w:bottom w:val="single" w:sz="18" w:space="0" w:color="D9D9D9"/>
            </w:tcBorders>
          </w:tcPr>
          <w:p w:rsidR="00AD5CC4" w:rsidRPr="00585A2E" w:rsidRDefault="00AD5CC4">
            <w:pPr>
              <w:rPr>
                <w:rFonts w:cs="Arial"/>
                <w:bCs/>
              </w:rPr>
            </w:pPr>
          </w:p>
          <w:p w:rsidR="00AD5CC4" w:rsidRPr="00585A2E" w:rsidRDefault="004F7787" w:rsidP="00E84DAF">
            <w:pPr>
              <w:numPr>
                <w:ilvl w:val="0"/>
                <w:numId w:val="15"/>
              </w:numPr>
              <w:rPr>
                <w:rFonts w:cs="Arial"/>
              </w:rPr>
            </w:pPr>
            <w:r>
              <w:rPr>
                <w:rStyle w:val="A7"/>
                <w:rFonts w:cs="Arial"/>
                <w:b w:val="0"/>
                <w:bCs w:val="0"/>
                <w:color w:val="auto"/>
                <w:sz w:val="20"/>
                <w:szCs w:val="24"/>
              </w:rPr>
              <w:t xml:space="preserve">Siemens Dimension Vista® </w:t>
            </w:r>
            <w:r w:rsidR="00AD5CC4" w:rsidRPr="00585A2E">
              <w:rPr>
                <w:rFonts w:cs="Arial"/>
                <w:bCs/>
                <w:szCs w:val="20"/>
              </w:rPr>
              <w:t>AM</w:t>
            </w:r>
            <w:r w:rsidR="00CE32C1" w:rsidRPr="00585A2E">
              <w:rPr>
                <w:rFonts w:cs="Arial"/>
                <w:bCs/>
                <w:szCs w:val="20"/>
              </w:rPr>
              <w:t>M</w:t>
            </w:r>
            <w:r w:rsidR="00AD5CC4" w:rsidRPr="00585A2E">
              <w:rPr>
                <w:rFonts w:cs="Arial"/>
                <w:bCs/>
                <w:szCs w:val="20"/>
              </w:rPr>
              <w:t xml:space="preserve"> Flex® reagent cartridge </w:t>
            </w:r>
            <w:r w:rsidR="00EC5920">
              <w:rPr>
                <w:rFonts w:cs="Arial"/>
                <w:bCs/>
                <w:szCs w:val="20"/>
              </w:rPr>
              <w:t>Instru</w:t>
            </w:r>
            <w:r>
              <w:rPr>
                <w:rFonts w:cs="Arial"/>
                <w:bCs/>
                <w:szCs w:val="20"/>
              </w:rPr>
              <w:t>ctions for Use,</w:t>
            </w:r>
            <w:r w:rsidR="00EC5920">
              <w:rPr>
                <w:rFonts w:cs="Arial"/>
                <w:bCs/>
                <w:szCs w:val="20"/>
              </w:rPr>
              <w:t xml:space="preserve"> Siemens Healthcare Diagnostics,</w:t>
            </w:r>
            <w:r w:rsidR="00AD5CC4" w:rsidRPr="00585A2E">
              <w:rPr>
                <w:rFonts w:cs="Arial"/>
                <w:bCs/>
                <w:szCs w:val="20"/>
              </w:rPr>
              <w:t xml:space="preserve"> PN </w:t>
            </w:r>
            <w:r w:rsidR="00E84DAF" w:rsidRPr="00585A2E">
              <w:rPr>
                <w:rFonts w:cs="Arial"/>
                <w:szCs w:val="20"/>
              </w:rPr>
              <w:t xml:space="preserve">781119.001 </w:t>
            </w:r>
            <w:r w:rsidR="00AD5CC4" w:rsidRPr="00585A2E">
              <w:rPr>
                <w:rFonts w:cs="Arial"/>
                <w:bCs/>
                <w:szCs w:val="20"/>
              </w:rPr>
              <w:t xml:space="preserve">Issue Date </w:t>
            </w:r>
            <w:r w:rsidR="00E84DAF" w:rsidRPr="00585A2E">
              <w:rPr>
                <w:rFonts w:cs="Arial"/>
                <w:bCs/>
                <w:szCs w:val="20"/>
              </w:rPr>
              <w:t>04-08-2013</w:t>
            </w:r>
            <w:r w:rsidR="00AD5CC4" w:rsidRPr="00585A2E">
              <w:rPr>
                <w:rFonts w:cs="Arial"/>
                <w:bCs/>
                <w:szCs w:val="20"/>
              </w:rPr>
              <w:t xml:space="preserve"> Rev. </w:t>
            </w:r>
            <w:r w:rsidR="00E84DAF" w:rsidRPr="00585A2E">
              <w:rPr>
                <w:rFonts w:cs="Arial"/>
                <w:bCs/>
                <w:szCs w:val="20"/>
              </w:rPr>
              <w:t>A</w:t>
            </w:r>
          </w:p>
          <w:p w:rsidR="00585A2E" w:rsidRPr="00585A2E" w:rsidRDefault="004F7787" w:rsidP="00E84DAF">
            <w:pPr>
              <w:numPr>
                <w:ilvl w:val="0"/>
                <w:numId w:val="15"/>
              </w:numPr>
              <w:rPr>
                <w:rStyle w:val="A7"/>
                <w:rFonts w:cs="Arial"/>
                <w:b w:val="0"/>
                <w:bCs w:val="0"/>
                <w:color w:val="auto"/>
                <w:sz w:val="20"/>
                <w:szCs w:val="24"/>
              </w:rPr>
            </w:pPr>
            <w:r>
              <w:rPr>
                <w:rStyle w:val="A7"/>
                <w:rFonts w:cs="Arial"/>
                <w:b w:val="0"/>
                <w:bCs w:val="0"/>
                <w:color w:val="auto"/>
                <w:sz w:val="20"/>
                <w:szCs w:val="24"/>
              </w:rPr>
              <w:t xml:space="preserve">Siemens Dimension Vista® Chem 3 Cal </w:t>
            </w:r>
            <w:r w:rsidR="00EC5920">
              <w:rPr>
                <w:rFonts w:cs="Arial"/>
                <w:bCs/>
                <w:szCs w:val="20"/>
              </w:rPr>
              <w:t>Instructions</w:t>
            </w:r>
            <w:r>
              <w:rPr>
                <w:rStyle w:val="A7"/>
                <w:rFonts w:cs="Arial"/>
                <w:b w:val="0"/>
                <w:bCs w:val="0"/>
                <w:color w:val="auto"/>
                <w:sz w:val="20"/>
                <w:szCs w:val="24"/>
              </w:rPr>
              <w:t xml:space="preserve"> for Use, Siemens Healthcare Diagnostics, June 1, 2014</w:t>
            </w:r>
          </w:p>
          <w:p w:rsidR="00AD5CC4" w:rsidRPr="00585A2E" w:rsidRDefault="00AD5CC4" w:rsidP="00E84DAF">
            <w:pPr>
              <w:numPr>
                <w:ilvl w:val="0"/>
                <w:numId w:val="15"/>
              </w:numPr>
              <w:rPr>
                <w:rFonts w:cs="Arial"/>
                <w:bCs/>
              </w:rPr>
            </w:pPr>
            <w:r w:rsidRPr="00585A2E">
              <w:rPr>
                <w:rFonts w:cs="Arial"/>
                <w:bCs/>
                <w:szCs w:val="15"/>
              </w:rPr>
              <w:t>Burtis, CA and Ashwood, ER, Tietz Textbook of Clinical Chemistry, 3</w:t>
            </w:r>
            <w:r w:rsidRPr="00585A2E">
              <w:rPr>
                <w:rFonts w:cs="Arial"/>
                <w:bCs/>
                <w:szCs w:val="15"/>
                <w:vertAlign w:val="superscript"/>
              </w:rPr>
              <w:t>rd</w:t>
            </w:r>
            <w:r w:rsidRPr="00585A2E">
              <w:rPr>
                <w:rFonts w:cs="Arial"/>
                <w:bCs/>
                <w:szCs w:val="15"/>
              </w:rPr>
              <w:t xml:space="preserve"> Edition, Philadelphia, PA: WB Saunders Co. 1999, p 1146-7.</w:t>
            </w:r>
          </w:p>
          <w:p w:rsidR="00AD5CC4" w:rsidRPr="00585A2E" w:rsidRDefault="00AD5CC4" w:rsidP="00E84DAF">
            <w:pPr>
              <w:numPr>
                <w:ilvl w:val="0"/>
                <w:numId w:val="15"/>
              </w:numPr>
              <w:rPr>
                <w:rFonts w:cs="Arial"/>
                <w:bCs/>
              </w:rPr>
            </w:pPr>
            <w:r w:rsidRPr="00585A2E">
              <w:rPr>
                <w:rFonts w:cs="Arial"/>
                <w:bCs/>
                <w:szCs w:val="12"/>
              </w:rPr>
              <w:t>Biorad Liquichek Ethanol/Ammonia Control Product Insert, Bio-Rad Laboratories</w:t>
            </w:r>
          </w:p>
          <w:p w:rsidR="00E84DAF" w:rsidRDefault="00E84DAF" w:rsidP="00E84DAF">
            <w:pPr>
              <w:ind w:left="360"/>
              <w:rPr>
                <w:rFonts w:cs="Arial"/>
                <w:bCs/>
              </w:rPr>
            </w:pPr>
          </w:p>
        </w:tc>
      </w:tr>
      <w:tr w:rsidR="00AD5CC4" w:rsidTr="00686BDB">
        <w:tblPrEx>
          <w:tblBorders>
            <w:bottom w:val="single" w:sz="4" w:space="0" w:color="auto"/>
          </w:tblBorders>
        </w:tblPrEx>
        <w:trPr>
          <w:trHeight w:val="165"/>
        </w:trPr>
        <w:tc>
          <w:tcPr>
            <w:tcW w:w="1800" w:type="dxa"/>
            <w:tcBorders>
              <w:top w:val="nil"/>
              <w:left w:val="nil"/>
              <w:bottom w:val="nil"/>
            </w:tcBorders>
          </w:tcPr>
          <w:p w:rsidR="00AD5CC4" w:rsidRDefault="00AD5CC4">
            <w:pPr>
              <w:rPr>
                <w:rFonts w:cs="Arial"/>
                <w:b/>
                <w:bCs/>
                <w:color w:val="0000FF"/>
              </w:rPr>
            </w:pPr>
          </w:p>
        </w:tc>
        <w:tc>
          <w:tcPr>
            <w:tcW w:w="9360" w:type="dxa"/>
            <w:gridSpan w:val="4"/>
            <w:tcBorders>
              <w:top w:val="single" w:sz="18" w:space="0" w:color="D9D9D9"/>
              <w:bottom w:val="single" w:sz="4" w:space="0" w:color="auto"/>
              <w:right w:val="nil"/>
            </w:tcBorders>
          </w:tcPr>
          <w:p w:rsidR="00AD5CC4" w:rsidRDefault="00AD5CC4">
            <w:pPr>
              <w:rPr>
                <w:rFonts w:cs="Arial"/>
                <w:iCs/>
              </w:rPr>
            </w:pPr>
          </w:p>
        </w:tc>
      </w:tr>
      <w:tr w:rsidR="00AD5CC4" w:rsidTr="00437306">
        <w:tblPrEx>
          <w:tblBorders>
            <w:bottom w:val="single" w:sz="4" w:space="0" w:color="auto"/>
          </w:tblBorders>
        </w:tblPrEx>
        <w:trPr>
          <w:cantSplit/>
          <w:trHeight w:val="225"/>
        </w:trPr>
        <w:tc>
          <w:tcPr>
            <w:tcW w:w="1800" w:type="dxa"/>
            <w:vMerge w:val="restart"/>
            <w:tcBorders>
              <w:left w:val="nil"/>
              <w:bottom w:val="nil"/>
              <w:right w:val="single" w:sz="4" w:space="0" w:color="auto"/>
            </w:tcBorders>
          </w:tcPr>
          <w:p w:rsidR="00AD5CC4" w:rsidRDefault="00AD5CC4">
            <w:pPr>
              <w:rPr>
                <w:rFonts w:cs="Arial"/>
                <w:b/>
                <w:bCs/>
                <w:color w:val="3366FF"/>
              </w:rPr>
            </w:pPr>
            <w:r>
              <w:rPr>
                <w:rFonts w:cs="Arial"/>
                <w:b/>
                <w:bCs/>
                <w:color w:val="0000FF"/>
              </w:rPr>
              <w:t>Historical Record</w:t>
            </w:r>
          </w:p>
        </w:tc>
        <w:tc>
          <w:tcPr>
            <w:tcW w:w="1260" w:type="dxa"/>
            <w:tcBorders>
              <w:top w:val="single" w:sz="4" w:space="0" w:color="auto"/>
              <w:left w:val="single" w:sz="4" w:space="0" w:color="auto"/>
              <w:bottom w:val="single" w:sz="4" w:space="0" w:color="auto"/>
              <w:right w:val="single" w:sz="4" w:space="0" w:color="auto"/>
            </w:tcBorders>
          </w:tcPr>
          <w:p w:rsidR="00AD5CC4" w:rsidRDefault="00AD5CC4">
            <w:pPr>
              <w:rPr>
                <w:rFonts w:cs="Arial"/>
                <w:b/>
                <w:bCs/>
              </w:rPr>
            </w:pPr>
            <w:r>
              <w:rPr>
                <w:rFonts w:cs="Arial"/>
                <w:b/>
                <w:bCs/>
              </w:rPr>
              <w:t>Version</w:t>
            </w:r>
          </w:p>
        </w:tc>
        <w:tc>
          <w:tcPr>
            <w:tcW w:w="2340" w:type="dxa"/>
            <w:tcBorders>
              <w:top w:val="single" w:sz="4" w:space="0" w:color="auto"/>
              <w:left w:val="single" w:sz="4" w:space="0" w:color="auto"/>
              <w:bottom w:val="single" w:sz="4" w:space="0" w:color="auto"/>
              <w:right w:val="single" w:sz="4" w:space="0" w:color="auto"/>
            </w:tcBorders>
          </w:tcPr>
          <w:p w:rsidR="00AD5CC4" w:rsidRDefault="00AD5CC4">
            <w:pPr>
              <w:rPr>
                <w:rFonts w:cs="Arial"/>
                <w:b/>
                <w:bCs/>
                <w:iCs/>
              </w:rPr>
            </w:pPr>
            <w:r>
              <w:rPr>
                <w:rFonts w:cs="Arial"/>
                <w:b/>
                <w:bCs/>
                <w:iCs/>
              </w:rPr>
              <w:t>Written/Revised by:</w:t>
            </w:r>
          </w:p>
        </w:tc>
        <w:tc>
          <w:tcPr>
            <w:tcW w:w="1980" w:type="dxa"/>
            <w:tcBorders>
              <w:top w:val="single" w:sz="4" w:space="0" w:color="auto"/>
              <w:left w:val="single" w:sz="4" w:space="0" w:color="auto"/>
              <w:bottom w:val="single" w:sz="4" w:space="0" w:color="auto"/>
              <w:right w:val="single" w:sz="4" w:space="0" w:color="auto"/>
            </w:tcBorders>
          </w:tcPr>
          <w:p w:rsidR="00AD5CC4" w:rsidRDefault="00AD5CC4">
            <w:pPr>
              <w:rPr>
                <w:rFonts w:cs="Arial"/>
                <w:b/>
                <w:bCs/>
                <w:iCs/>
              </w:rPr>
            </w:pPr>
            <w:r>
              <w:rPr>
                <w:rFonts w:cs="Arial"/>
                <w:b/>
                <w:bCs/>
                <w:iCs/>
              </w:rPr>
              <w:t>Effective Date:</w:t>
            </w:r>
          </w:p>
        </w:tc>
        <w:tc>
          <w:tcPr>
            <w:tcW w:w="3780" w:type="dxa"/>
            <w:tcBorders>
              <w:top w:val="single" w:sz="4" w:space="0" w:color="auto"/>
              <w:left w:val="single" w:sz="4" w:space="0" w:color="auto"/>
              <w:bottom w:val="single" w:sz="4" w:space="0" w:color="auto"/>
              <w:right w:val="single" w:sz="4" w:space="0" w:color="auto"/>
            </w:tcBorders>
          </w:tcPr>
          <w:p w:rsidR="00AD5CC4" w:rsidRDefault="00AD5CC4">
            <w:pPr>
              <w:rPr>
                <w:rFonts w:cs="Arial"/>
                <w:b/>
                <w:bCs/>
                <w:iCs/>
              </w:rPr>
            </w:pPr>
            <w:r>
              <w:rPr>
                <w:rFonts w:cs="Arial"/>
                <w:b/>
                <w:bCs/>
                <w:iCs/>
              </w:rPr>
              <w:t>Summary of Revisions</w:t>
            </w:r>
          </w:p>
        </w:tc>
      </w:tr>
      <w:tr w:rsidR="00AD5CC4" w:rsidTr="00231639">
        <w:tblPrEx>
          <w:tblBorders>
            <w:bottom w:val="single" w:sz="4" w:space="0" w:color="auto"/>
          </w:tblBorders>
        </w:tblPrEx>
        <w:trPr>
          <w:cantSplit/>
          <w:trHeight w:val="135"/>
        </w:trPr>
        <w:tc>
          <w:tcPr>
            <w:tcW w:w="1800" w:type="dxa"/>
            <w:vMerge/>
            <w:tcBorders>
              <w:left w:val="nil"/>
              <w:bottom w:val="nil"/>
              <w:right w:val="single" w:sz="4" w:space="0" w:color="auto"/>
            </w:tcBorders>
          </w:tcPr>
          <w:p w:rsidR="00AD5CC4" w:rsidRDefault="00AD5CC4">
            <w:pPr>
              <w:rPr>
                <w:rFonts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AD5CC4" w:rsidRDefault="00AE5218" w:rsidP="00AE5218">
            <w:pPr>
              <w:jc w:val="center"/>
              <w:rPr>
                <w:rFonts w:cs="Arial"/>
              </w:rPr>
            </w:pPr>
            <w:r>
              <w:rPr>
                <w:rFonts w:cs="Arial"/>
              </w:rPr>
              <w:t>1</w:t>
            </w:r>
          </w:p>
        </w:tc>
        <w:tc>
          <w:tcPr>
            <w:tcW w:w="2340" w:type="dxa"/>
            <w:tcBorders>
              <w:top w:val="single" w:sz="4" w:space="0" w:color="auto"/>
              <w:left w:val="single" w:sz="4" w:space="0" w:color="auto"/>
              <w:bottom w:val="single" w:sz="4" w:space="0" w:color="auto"/>
              <w:right w:val="single" w:sz="4" w:space="0" w:color="auto"/>
            </w:tcBorders>
          </w:tcPr>
          <w:p w:rsidR="00AD5CC4" w:rsidRDefault="00AD5CC4">
            <w:pPr>
              <w:rPr>
                <w:rFonts w:cs="Arial"/>
                <w:iCs/>
              </w:rPr>
            </w:pPr>
            <w:r>
              <w:rPr>
                <w:rFonts w:cs="Arial"/>
              </w:rPr>
              <w:t>D. Riedel</w:t>
            </w:r>
          </w:p>
        </w:tc>
        <w:tc>
          <w:tcPr>
            <w:tcW w:w="1980" w:type="dxa"/>
            <w:tcBorders>
              <w:top w:val="single" w:sz="4" w:space="0" w:color="auto"/>
              <w:left w:val="single" w:sz="4" w:space="0" w:color="auto"/>
              <w:bottom w:val="single" w:sz="4" w:space="0" w:color="auto"/>
              <w:right w:val="single" w:sz="4" w:space="0" w:color="auto"/>
            </w:tcBorders>
          </w:tcPr>
          <w:p w:rsidR="00AD5CC4" w:rsidRDefault="00AD5CC4">
            <w:pPr>
              <w:rPr>
                <w:rFonts w:cs="Arial"/>
                <w:iCs/>
              </w:rPr>
            </w:pPr>
            <w:r>
              <w:rPr>
                <w:rFonts w:cs="Arial"/>
              </w:rPr>
              <w:t>Nov. 2000</w:t>
            </w:r>
          </w:p>
        </w:tc>
        <w:tc>
          <w:tcPr>
            <w:tcW w:w="3780" w:type="dxa"/>
            <w:tcBorders>
              <w:top w:val="single" w:sz="4" w:space="0" w:color="auto"/>
              <w:left w:val="single" w:sz="4" w:space="0" w:color="auto"/>
              <w:bottom w:val="single" w:sz="4" w:space="0" w:color="auto"/>
              <w:right w:val="single" w:sz="4" w:space="0" w:color="auto"/>
            </w:tcBorders>
          </w:tcPr>
          <w:p w:rsidR="00AD5CC4" w:rsidRDefault="00AD5CC4">
            <w:pPr>
              <w:rPr>
                <w:rFonts w:cs="Arial"/>
                <w:iCs/>
              </w:rPr>
            </w:pPr>
            <w:r>
              <w:rPr>
                <w:rFonts w:cs="Arial"/>
                <w:iCs/>
              </w:rPr>
              <w:t>Initial Version</w:t>
            </w:r>
          </w:p>
        </w:tc>
      </w:tr>
      <w:tr w:rsidR="00AD5CC4" w:rsidTr="00231639">
        <w:tblPrEx>
          <w:tblBorders>
            <w:bottom w:val="single" w:sz="4" w:space="0" w:color="auto"/>
          </w:tblBorders>
        </w:tblPrEx>
        <w:trPr>
          <w:cantSplit/>
          <w:trHeight w:val="143"/>
        </w:trPr>
        <w:tc>
          <w:tcPr>
            <w:tcW w:w="1800" w:type="dxa"/>
            <w:vMerge/>
            <w:tcBorders>
              <w:left w:val="nil"/>
              <w:bottom w:val="nil"/>
              <w:right w:val="single" w:sz="4" w:space="0" w:color="auto"/>
            </w:tcBorders>
          </w:tcPr>
          <w:p w:rsidR="00AD5CC4" w:rsidRDefault="00AD5CC4">
            <w:pPr>
              <w:rPr>
                <w:rFonts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AD5CC4" w:rsidRDefault="00AE5218" w:rsidP="00AE5218">
            <w:pPr>
              <w:jc w:val="center"/>
              <w:rPr>
                <w:rFonts w:cs="Arial"/>
                <w:iCs/>
              </w:rPr>
            </w:pPr>
            <w:r>
              <w:rPr>
                <w:rFonts w:cs="Arial"/>
                <w:iCs/>
              </w:rPr>
              <w:t>2</w:t>
            </w:r>
          </w:p>
        </w:tc>
        <w:tc>
          <w:tcPr>
            <w:tcW w:w="2340" w:type="dxa"/>
            <w:tcBorders>
              <w:top w:val="single" w:sz="4" w:space="0" w:color="auto"/>
              <w:left w:val="single" w:sz="4" w:space="0" w:color="auto"/>
              <w:bottom w:val="single" w:sz="4" w:space="0" w:color="auto"/>
              <w:right w:val="single" w:sz="4" w:space="0" w:color="auto"/>
            </w:tcBorders>
          </w:tcPr>
          <w:p w:rsidR="00AD5CC4" w:rsidRDefault="00AD5CC4">
            <w:pPr>
              <w:rPr>
                <w:rFonts w:cs="Arial"/>
                <w:iCs/>
              </w:rPr>
            </w:pPr>
            <w:r>
              <w:rPr>
                <w:rFonts w:cs="Arial"/>
              </w:rPr>
              <w:t>L. Lichty</w:t>
            </w:r>
          </w:p>
        </w:tc>
        <w:tc>
          <w:tcPr>
            <w:tcW w:w="1980" w:type="dxa"/>
            <w:tcBorders>
              <w:top w:val="single" w:sz="4" w:space="0" w:color="auto"/>
              <w:left w:val="single" w:sz="4" w:space="0" w:color="auto"/>
              <w:bottom w:val="single" w:sz="4" w:space="0" w:color="auto"/>
              <w:right w:val="single" w:sz="4" w:space="0" w:color="auto"/>
            </w:tcBorders>
          </w:tcPr>
          <w:p w:rsidR="00AD5CC4" w:rsidRDefault="00AD5CC4">
            <w:pPr>
              <w:rPr>
                <w:rFonts w:cs="Arial"/>
                <w:iCs/>
              </w:rPr>
            </w:pPr>
            <w:r>
              <w:rPr>
                <w:rFonts w:cs="Arial"/>
              </w:rPr>
              <w:t>6/15/2005</w:t>
            </w:r>
          </w:p>
        </w:tc>
        <w:tc>
          <w:tcPr>
            <w:tcW w:w="3780" w:type="dxa"/>
            <w:tcBorders>
              <w:top w:val="single" w:sz="4" w:space="0" w:color="auto"/>
              <w:left w:val="single" w:sz="4" w:space="0" w:color="auto"/>
              <w:bottom w:val="single" w:sz="4" w:space="0" w:color="auto"/>
              <w:right w:val="single" w:sz="4" w:space="0" w:color="auto"/>
            </w:tcBorders>
          </w:tcPr>
          <w:p w:rsidR="00AD5CC4" w:rsidRDefault="00AD5CC4">
            <w:pPr>
              <w:rPr>
                <w:rFonts w:cs="Arial"/>
                <w:iCs/>
              </w:rPr>
            </w:pPr>
          </w:p>
        </w:tc>
      </w:tr>
      <w:tr w:rsidR="00AD5CC4" w:rsidTr="00231639">
        <w:tblPrEx>
          <w:tblBorders>
            <w:bottom w:val="single" w:sz="4" w:space="0" w:color="auto"/>
          </w:tblBorders>
        </w:tblPrEx>
        <w:trPr>
          <w:cantSplit/>
          <w:trHeight w:val="165"/>
        </w:trPr>
        <w:tc>
          <w:tcPr>
            <w:tcW w:w="1800" w:type="dxa"/>
            <w:vMerge/>
            <w:tcBorders>
              <w:left w:val="nil"/>
              <w:bottom w:val="nil"/>
              <w:right w:val="single" w:sz="4" w:space="0" w:color="auto"/>
            </w:tcBorders>
          </w:tcPr>
          <w:p w:rsidR="00AD5CC4" w:rsidRDefault="00AD5CC4">
            <w:pPr>
              <w:rPr>
                <w:rFonts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AD5CC4" w:rsidRDefault="00AE5218" w:rsidP="00AE5218">
            <w:pPr>
              <w:jc w:val="center"/>
              <w:rPr>
                <w:rFonts w:cs="Arial"/>
                <w:iCs/>
              </w:rPr>
            </w:pPr>
            <w:r>
              <w:rPr>
                <w:rFonts w:cs="Arial"/>
                <w:iCs/>
              </w:rPr>
              <w:t>3</w:t>
            </w:r>
          </w:p>
        </w:tc>
        <w:tc>
          <w:tcPr>
            <w:tcW w:w="2340" w:type="dxa"/>
            <w:tcBorders>
              <w:top w:val="single" w:sz="4" w:space="0" w:color="auto"/>
              <w:left w:val="single" w:sz="4" w:space="0" w:color="auto"/>
              <w:bottom w:val="single" w:sz="4" w:space="0" w:color="auto"/>
              <w:right w:val="single" w:sz="4" w:space="0" w:color="auto"/>
            </w:tcBorders>
          </w:tcPr>
          <w:p w:rsidR="00AD5CC4" w:rsidRDefault="00AD5CC4">
            <w:pPr>
              <w:rPr>
                <w:rFonts w:cs="Arial"/>
                <w:iCs/>
              </w:rPr>
            </w:pPr>
            <w:r>
              <w:rPr>
                <w:rFonts w:cs="Arial"/>
              </w:rPr>
              <w:t>L. Lichty</w:t>
            </w:r>
          </w:p>
        </w:tc>
        <w:tc>
          <w:tcPr>
            <w:tcW w:w="1980" w:type="dxa"/>
            <w:tcBorders>
              <w:top w:val="single" w:sz="4" w:space="0" w:color="auto"/>
              <w:left w:val="single" w:sz="4" w:space="0" w:color="auto"/>
              <w:bottom w:val="single" w:sz="4" w:space="0" w:color="auto"/>
              <w:right w:val="single" w:sz="4" w:space="0" w:color="auto"/>
            </w:tcBorders>
          </w:tcPr>
          <w:p w:rsidR="00AD5CC4" w:rsidRDefault="00AD5CC4">
            <w:pPr>
              <w:rPr>
                <w:rFonts w:cs="Arial"/>
                <w:iCs/>
              </w:rPr>
            </w:pPr>
            <w:r>
              <w:rPr>
                <w:rFonts w:cs="Arial"/>
              </w:rPr>
              <w:t>12/15/06</w:t>
            </w:r>
          </w:p>
        </w:tc>
        <w:tc>
          <w:tcPr>
            <w:tcW w:w="3780" w:type="dxa"/>
            <w:tcBorders>
              <w:top w:val="single" w:sz="4" w:space="0" w:color="auto"/>
              <w:left w:val="single" w:sz="4" w:space="0" w:color="auto"/>
              <w:bottom w:val="single" w:sz="4" w:space="0" w:color="auto"/>
              <w:right w:val="single" w:sz="4" w:space="0" w:color="auto"/>
            </w:tcBorders>
          </w:tcPr>
          <w:p w:rsidR="00AD5CC4" w:rsidRDefault="00AD5CC4">
            <w:pPr>
              <w:rPr>
                <w:rFonts w:cs="Arial"/>
                <w:iCs/>
              </w:rPr>
            </w:pPr>
          </w:p>
        </w:tc>
      </w:tr>
      <w:tr w:rsidR="00AD5CC4" w:rsidTr="00231639">
        <w:tblPrEx>
          <w:tblBorders>
            <w:bottom w:val="single" w:sz="4" w:space="0" w:color="auto"/>
          </w:tblBorders>
        </w:tblPrEx>
        <w:trPr>
          <w:cantSplit/>
          <w:trHeight w:val="255"/>
        </w:trPr>
        <w:tc>
          <w:tcPr>
            <w:tcW w:w="1800" w:type="dxa"/>
            <w:vMerge/>
            <w:tcBorders>
              <w:left w:val="nil"/>
              <w:bottom w:val="nil"/>
              <w:right w:val="single" w:sz="4" w:space="0" w:color="auto"/>
            </w:tcBorders>
          </w:tcPr>
          <w:p w:rsidR="00AD5CC4" w:rsidRDefault="00AD5CC4">
            <w:pPr>
              <w:rPr>
                <w:rFonts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AD5CC4" w:rsidRDefault="00AE5218" w:rsidP="00AE5218">
            <w:pPr>
              <w:jc w:val="center"/>
              <w:rPr>
                <w:rFonts w:cs="Arial"/>
                <w:iCs/>
              </w:rPr>
            </w:pPr>
            <w:r>
              <w:rPr>
                <w:rFonts w:cs="Arial"/>
                <w:iCs/>
              </w:rPr>
              <w:t>4</w:t>
            </w:r>
          </w:p>
        </w:tc>
        <w:tc>
          <w:tcPr>
            <w:tcW w:w="2340" w:type="dxa"/>
            <w:tcBorders>
              <w:top w:val="single" w:sz="4" w:space="0" w:color="auto"/>
              <w:left w:val="single" w:sz="4" w:space="0" w:color="auto"/>
              <w:bottom w:val="single" w:sz="4" w:space="0" w:color="auto"/>
              <w:right w:val="single" w:sz="4" w:space="0" w:color="auto"/>
            </w:tcBorders>
          </w:tcPr>
          <w:p w:rsidR="00AD5CC4" w:rsidRDefault="00AD5CC4">
            <w:pPr>
              <w:rPr>
                <w:rFonts w:cs="Arial"/>
                <w:iCs/>
              </w:rPr>
            </w:pPr>
            <w:r>
              <w:rPr>
                <w:rFonts w:cs="Arial"/>
              </w:rPr>
              <w:t>L. Lichty</w:t>
            </w:r>
          </w:p>
        </w:tc>
        <w:tc>
          <w:tcPr>
            <w:tcW w:w="1980" w:type="dxa"/>
            <w:tcBorders>
              <w:top w:val="single" w:sz="4" w:space="0" w:color="auto"/>
              <w:left w:val="single" w:sz="4" w:space="0" w:color="auto"/>
              <w:bottom w:val="single" w:sz="4" w:space="0" w:color="auto"/>
              <w:right w:val="single" w:sz="4" w:space="0" w:color="auto"/>
            </w:tcBorders>
          </w:tcPr>
          <w:p w:rsidR="00AD5CC4" w:rsidRDefault="00AD5CC4">
            <w:pPr>
              <w:rPr>
                <w:rFonts w:cs="Arial"/>
                <w:iCs/>
              </w:rPr>
            </w:pPr>
            <w:r>
              <w:rPr>
                <w:rFonts w:cs="Arial"/>
                <w:iCs/>
              </w:rPr>
              <w:t>April 1, 2011</w:t>
            </w:r>
          </w:p>
        </w:tc>
        <w:tc>
          <w:tcPr>
            <w:tcW w:w="3780" w:type="dxa"/>
            <w:tcBorders>
              <w:top w:val="single" w:sz="4" w:space="0" w:color="auto"/>
              <w:left w:val="single" w:sz="4" w:space="0" w:color="auto"/>
              <w:bottom w:val="single" w:sz="4" w:space="0" w:color="auto"/>
              <w:right w:val="single" w:sz="4" w:space="0" w:color="auto"/>
            </w:tcBorders>
          </w:tcPr>
          <w:p w:rsidR="00AD5CC4" w:rsidRDefault="00AD5CC4" w:rsidP="00FE2A3B">
            <w:pPr>
              <w:rPr>
                <w:rFonts w:cs="Arial"/>
                <w:iCs/>
              </w:rPr>
            </w:pPr>
            <w:r>
              <w:rPr>
                <w:rFonts w:cs="Arial"/>
                <w:iCs/>
              </w:rPr>
              <w:t xml:space="preserve">New format, </w:t>
            </w:r>
            <w:r w:rsidR="00FE2A3B">
              <w:rPr>
                <w:rFonts w:cs="Arial"/>
                <w:iCs/>
              </w:rPr>
              <w:t>p</w:t>
            </w:r>
            <w:r>
              <w:rPr>
                <w:rFonts w:cs="Arial"/>
                <w:iCs/>
              </w:rPr>
              <w:t>ackage insert revisions. Renumbered from CH 3.09</w:t>
            </w:r>
          </w:p>
        </w:tc>
      </w:tr>
      <w:tr w:rsidR="00AD5CC4" w:rsidTr="00231639">
        <w:tblPrEx>
          <w:tblBorders>
            <w:bottom w:val="single" w:sz="4" w:space="0" w:color="auto"/>
          </w:tblBorders>
        </w:tblPrEx>
        <w:trPr>
          <w:cantSplit/>
          <w:trHeight w:val="255"/>
        </w:trPr>
        <w:tc>
          <w:tcPr>
            <w:tcW w:w="1800" w:type="dxa"/>
            <w:vMerge/>
            <w:tcBorders>
              <w:left w:val="nil"/>
              <w:right w:val="single" w:sz="4" w:space="0" w:color="auto"/>
            </w:tcBorders>
          </w:tcPr>
          <w:p w:rsidR="00AD5CC4" w:rsidRDefault="00AD5CC4">
            <w:pPr>
              <w:rPr>
                <w:rFonts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AD5CC4" w:rsidRDefault="00AE5218" w:rsidP="00AE5218">
            <w:pPr>
              <w:jc w:val="center"/>
              <w:rPr>
                <w:rFonts w:cs="Arial"/>
                <w:iCs/>
              </w:rPr>
            </w:pPr>
            <w:r>
              <w:rPr>
                <w:rFonts w:cs="Arial"/>
                <w:iCs/>
              </w:rPr>
              <w:t>5</w:t>
            </w:r>
          </w:p>
        </w:tc>
        <w:tc>
          <w:tcPr>
            <w:tcW w:w="2340" w:type="dxa"/>
            <w:tcBorders>
              <w:top w:val="single" w:sz="4" w:space="0" w:color="auto"/>
              <w:left w:val="single" w:sz="4" w:space="0" w:color="auto"/>
              <w:bottom w:val="single" w:sz="4" w:space="0" w:color="auto"/>
              <w:right w:val="single" w:sz="4" w:space="0" w:color="auto"/>
            </w:tcBorders>
          </w:tcPr>
          <w:p w:rsidR="00AD5CC4" w:rsidRDefault="00AD5CC4">
            <w:pPr>
              <w:rPr>
                <w:rFonts w:cs="Arial"/>
                <w:iCs/>
              </w:rPr>
            </w:pPr>
            <w:r>
              <w:rPr>
                <w:rFonts w:cs="Arial"/>
                <w:iCs/>
              </w:rPr>
              <w:t>L. Lichty</w:t>
            </w:r>
          </w:p>
        </w:tc>
        <w:tc>
          <w:tcPr>
            <w:tcW w:w="1980" w:type="dxa"/>
            <w:tcBorders>
              <w:top w:val="single" w:sz="4" w:space="0" w:color="auto"/>
              <w:left w:val="single" w:sz="4" w:space="0" w:color="auto"/>
              <w:bottom w:val="single" w:sz="4" w:space="0" w:color="auto"/>
              <w:right w:val="single" w:sz="4" w:space="0" w:color="auto"/>
            </w:tcBorders>
          </w:tcPr>
          <w:p w:rsidR="00AD5CC4" w:rsidRDefault="00AD5CC4">
            <w:pPr>
              <w:rPr>
                <w:rFonts w:cs="Arial"/>
                <w:iCs/>
              </w:rPr>
            </w:pPr>
            <w:r>
              <w:rPr>
                <w:rFonts w:cs="Arial"/>
                <w:iCs/>
              </w:rPr>
              <w:t>2/28/13</w:t>
            </w:r>
          </w:p>
        </w:tc>
        <w:tc>
          <w:tcPr>
            <w:tcW w:w="3780" w:type="dxa"/>
            <w:tcBorders>
              <w:top w:val="single" w:sz="4" w:space="0" w:color="auto"/>
              <w:left w:val="single" w:sz="4" w:space="0" w:color="auto"/>
              <w:bottom w:val="single" w:sz="4" w:space="0" w:color="auto"/>
              <w:right w:val="single" w:sz="4" w:space="0" w:color="auto"/>
            </w:tcBorders>
          </w:tcPr>
          <w:p w:rsidR="00AD5CC4" w:rsidRDefault="00AD5CC4">
            <w:pPr>
              <w:rPr>
                <w:rFonts w:cs="Arial"/>
                <w:iCs/>
              </w:rPr>
            </w:pPr>
            <w:r>
              <w:rPr>
                <w:rFonts w:cs="Arial"/>
                <w:iCs/>
              </w:rPr>
              <w:t>Clarify max dilution reporting</w:t>
            </w:r>
          </w:p>
        </w:tc>
      </w:tr>
      <w:tr w:rsidR="00CE32C1" w:rsidTr="00231639">
        <w:tblPrEx>
          <w:tblBorders>
            <w:bottom w:val="single" w:sz="4" w:space="0" w:color="auto"/>
          </w:tblBorders>
        </w:tblPrEx>
        <w:trPr>
          <w:cantSplit/>
          <w:trHeight w:val="255"/>
        </w:trPr>
        <w:tc>
          <w:tcPr>
            <w:tcW w:w="1800" w:type="dxa"/>
            <w:tcBorders>
              <w:left w:val="nil"/>
              <w:right w:val="single" w:sz="4" w:space="0" w:color="auto"/>
            </w:tcBorders>
          </w:tcPr>
          <w:p w:rsidR="00CE32C1" w:rsidRDefault="00CE32C1">
            <w:pPr>
              <w:rPr>
                <w:rFonts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CE32C1" w:rsidRDefault="00AE5218" w:rsidP="00AE5218">
            <w:pPr>
              <w:jc w:val="center"/>
              <w:rPr>
                <w:rFonts w:cs="Arial"/>
                <w:iCs/>
              </w:rPr>
            </w:pPr>
            <w:r>
              <w:rPr>
                <w:rFonts w:cs="Arial"/>
                <w:iCs/>
              </w:rPr>
              <w:t>6</w:t>
            </w:r>
          </w:p>
        </w:tc>
        <w:tc>
          <w:tcPr>
            <w:tcW w:w="2340" w:type="dxa"/>
            <w:tcBorders>
              <w:top w:val="single" w:sz="4" w:space="0" w:color="auto"/>
              <w:left w:val="single" w:sz="4" w:space="0" w:color="auto"/>
              <w:bottom w:val="single" w:sz="4" w:space="0" w:color="auto"/>
              <w:right w:val="single" w:sz="4" w:space="0" w:color="auto"/>
            </w:tcBorders>
          </w:tcPr>
          <w:p w:rsidR="00CE32C1" w:rsidRDefault="00CE32C1">
            <w:pPr>
              <w:rPr>
                <w:rFonts w:cs="Arial"/>
                <w:iCs/>
              </w:rPr>
            </w:pPr>
            <w:r>
              <w:rPr>
                <w:rFonts w:cs="Arial"/>
                <w:iCs/>
              </w:rPr>
              <w:t>L. Lichty</w:t>
            </w:r>
          </w:p>
        </w:tc>
        <w:tc>
          <w:tcPr>
            <w:tcW w:w="1980" w:type="dxa"/>
            <w:tcBorders>
              <w:top w:val="single" w:sz="4" w:space="0" w:color="auto"/>
              <w:left w:val="single" w:sz="4" w:space="0" w:color="auto"/>
              <w:bottom w:val="single" w:sz="4" w:space="0" w:color="auto"/>
              <w:right w:val="single" w:sz="4" w:space="0" w:color="auto"/>
            </w:tcBorders>
          </w:tcPr>
          <w:p w:rsidR="00CE32C1" w:rsidRDefault="00CE32C1">
            <w:pPr>
              <w:rPr>
                <w:rFonts w:cs="Arial"/>
                <w:iCs/>
              </w:rPr>
            </w:pPr>
            <w:r>
              <w:rPr>
                <w:rFonts w:cs="Arial"/>
                <w:iCs/>
              </w:rPr>
              <w:t>12/19/13</w:t>
            </w:r>
          </w:p>
        </w:tc>
        <w:tc>
          <w:tcPr>
            <w:tcW w:w="3780" w:type="dxa"/>
            <w:tcBorders>
              <w:top w:val="single" w:sz="4" w:space="0" w:color="auto"/>
              <w:left w:val="single" w:sz="4" w:space="0" w:color="auto"/>
              <w:bottom w:val="single" w:sz="4" w:space="0" w:color="auto"/>
              <w:right w:val="single" w:sz="4" w:space="0" w:color="auto"/>
            </w:tcBorders>
          </w:tcPr>
          <w:p w:rsidR="00CE32C1" w:rsidRDefault="00CE32C1">
            <w:pPr>
              <w:rPr>
                <w:rFonts w:cs="Arial"/>
                <w:iCs/>
              </w:rPr>
            </w:pPr>
            <w:r>
              <w:rPr>
                <w:rFonts w:cs="Arial"/>
                <w:iCs/>
              </w:rPr>
              <w:t>Revised for new AMM reagent</w:t>
            </w:r>
            <w:r w:rsidR="00AE5218">
              <w:rPr>
                <w:rFonts w:cs="Arial"/>
                <w:iCs/>
              </w:rPr>
              <w:t xml:space="preserve"> (RXL)</w:t>
            </w:r>
          </w:p>
        </w:tc>
      </w:tr>
      <w:tr w:rsidR="00CE32C1" w:rsidTr="00231639">
        <w:tblPrEx>
          <w:tblBorders>
            <w:bottom w:val="single" w:sz="4" w:space="0" w:color="auto"/>
          </w:tblBorders>
        </w:tblPrEx>
        <w:trPr>
          <w:cantSplit/>
          <w:trHeight w:val="255"/>
        </w:trPr>
        <w:tc>
          <w:tcPr>
            <w:tcW w:w="1800" w:type="dxa"/>
            <w:tcBorders>
              <w:left w:val="nil"/>
              <w:right w:val="single" w:sz="4" w:space="0" w:color="auto"/>
            </w:tcBorders>
          </w:tcPr>
          <w:p w:rsidR="00CE32C1" w:rsidRDefault="00CE32C1">
            <w:pPr>
              <w:rPr>
                <w:rFonts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CE32C1" w:rsidRDefault="00AE5218" w:rsidP="00AE5218">
            <w:pPr>
              <w:jc w:val="center"/>
              <w:rPr>
                <w:rFonts w:cs="Arial"/>
                <w:iCs/>
              </w:rPr>
            </w:pPr>
            <w:r>
              <w:rPr>
                <w:rFonts w:cs="Arial"/>
                <w:iCs/>
              </w:rPr>
              <w:t>7</w:t>
            </w:r>
          </w:p>
        </w:tc>
        <w:tc>
          <w:tcPr>
            <w:tcW w:w="2340" w:type="dxa"/>
            <w:tcBorders>
              <w:top w:val="single" w:sz="4" w:space="0" w:color="auto"/>
              <w:left w:val="single" w:sz="4" w:space="0" w:color="auto"/>
              <w:bottom w:val="single" w:sz="4" w:space="0" w:color="auto"/>
              <w:right w:val="single" w:sz="4" w:space="0" w:color="auto"/>
            </w:tcBorders>
          </w:tcPr>
          <w:p w:rsidR="00CE32C1" w:rsidRDefault="00AE5218">
            <w:pPr>
              <w:rPr>
                <w:rFonts w:cs="Arial"/>
                <w:iCs/>
              </w:rPr>
            </w:pPr>
            <w:r>
              <w:rPr>
                <w:rFonts w:cs="Arial"/>
                <w:iCs/>
              </w:rPr>
              <w:t>L. Lichty</w:t>
            </w:r>
          </w:p>
        </w:tc>
        <w:tc>
          <w:tcPr>
            <w:tcW w:w="1980" w:type="dxa"/>
            <w:tcBorders>
              <w:top w:val="single" w:sz="4" w:space="0" w:color="auto"/>
              <w:left w:val="single" w:sz="4" w:space="0" w:color="auto"/>
              <w:bottom w:val="single" w:sz="4" w:space="0" w:color="auto"/>
              <w:right w:val="single" w:sz="4" w:space="0" w:color="auto"/>
            </w:tcBorders>
          </w:tcPr>
          <w:p w:rsidR="00CE32C1" w:rsidRDefault="00AE5218">
            <w:pPr>
              <w:rPr>
                <w:rFonts w:cs="Arial"/>
                <w:iCs/>
              </w:rPr>
            </w:pPr>
            <w:r>
              <w:rPr>
                <w:rFonts w:cs="Arial"/>
                <w:iCs/>
              </w:rPr>
              <w:t>12/17/13</w:t>
            </w:r>
          </w:p>
        </w:tc>
        <w:tc>
          <w:tcPr>
            <w:tcW w:w="3780" w:type="dxa"/>
            <w:tcBorders>
              <w:top w:val="single" w:sz="4" w:space="0" w:color="auto"/>
              <w:left w:val="single" w:sz="4" w:space="0" w:color="auto"/>
              <w:bottom w:val="single" w:sz="4" w:space="0" w:color="auto"/>
              <w:right w:val="single" w:sz="4" w:space="0" w:color="auto"/>
            </w:tcBorders>
          </w:tcPr>
          <w:p w:rsidR="00CE32C1" w:rsidRDefault="00AE5218" w:rsidP="004F7787">
            <w:pPr>
              <w:rPr>
                <w:rFonts w:cs="Arial"/>
                <w:iCs/>
              </w:rPr>
            </w:pPr>
            <w:r>
              <w:rPr>
                <w:rFonts w:cs="Arial"/>
                <w:iCs/>
              </w:rPr>
              <w:t xml:space="preserve">Siemens </w:t>
            </w:r>
            <w:r w:rsidR="004F7787">
              <w:rPr>
                <w:rFonts w:cs="Arial"/>
                <w:iCs/>
              </w:rPr>
              <w:t xml:space="preserve">AMM - </w:t>
            </w:r>
            <w:r>
              <w:rPr>
                <w:rFonts w:cs="Arial"/>
                <w:iCs/>
              </w:rPr>
              <w:t xml:space="preserve">CLSI Procedure </w:t>
            </w:r>
            <w:r w:rsidR="004F7787">
              <w:rPr>
                <w:rFonts w:cs="Arial"/>
                <w:iCs/>
              </w:rPr>
              <w:t>for Vista, Rev B, September 3, 2013</w:t>
            </w:r>
          </w:p>
        </w:tc>
      </w:tr>
      <w:tr w:rsidR="00AE5218" w:rsidTr="00231639">
        <w:tblPrEx>
          <w:tblBorders>
            <w:bottom w:val="single" w:sz="4" w:space="0" w:color="auto"/>
          </w:tblBorders>
        </w:tblPrEx>
        <w:trPr>
          <w:cantSplit/>
          <w:trHeight w:val="255"/>
        </w:trPr>
        <w:tc>
          <w:tcPr>
            <w:tcW w:w="1800" w:type="dxa"/>
            <w:tcBorders>
              <w:left w:val="nil"/>
              <w:right w:val="single" w:sz="4" w:space="0" w:color="auto"/>
            </w:tcBorders>
          </w:tcPr>
          <w:p w:rsidR="00AE5218" w:rsidRDefault="00AE5218">
            <w:pPr>
              <w:rPr>
                <w:rFonts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AE5218" w:rsidRDefault="00AE5218" w:rsidP="00AE5218">
            <w:pPr>
              <w:jc w:val="center"/>
              <w:rPr>
                <w:rFonts w:cs="Arial"/>
                <w:iCs/>
              </w:rPr>
            </w:pPr>
            <w:r>
              <w:rPr>
                <w:rFonts w:cs="Arial"/>
                <w:iCs/>
              </w:rPr>
              <w:t>8</w:t>
            </w:r>
          </w:p>
        </w:tc>
        <w:tc>
          <w:tcPr>
            <w:tcW w:w="2340" w:type="dxa"/>
            <w:tcBorders>
              <w:top w:val="single" w:sz="4" w:space="0" w:color="auto"/>
              <w:left w:val="single" w:sz="4" w:space="0" w:color="auto"/>
              <w:bottom w:val="single" w:sz="4" w:space="0" w:color="auto"/>
              <w:right w:val="single" w:sz="4" w:space="0" w:color="auto"/>
            </w:tcBorders>
          </w:tcPr>
          <w:p w:rsidR="00AE5218" w:rsidRDefault="00AE5218">
            <w:pPr>
              <w:rPr>
                <w:rFonts w:cs="Arial"/>
                <w:iCs/>
              </w:rPr>
            </w:pPr>
            <w:r>
              <w:rPr>
                <w:rFonts w:cs="Arial"/>
                <w:iCs/>
              </w:rPr>
              <w:t>D. Helfinstine</w:t>
            </w:r>
            <w:r w:rsidR="004F7787">
              <w:rPr>
                <w:rFonts w:cs="Arial"/>
                <w:iCs/>
              </w:rPr>
              <w:t>/L. Lichty</w:t>
            </w:r>
          </w:p>
        </w:tc>
        <w:tc>
          <w:tcPr>
            <w:tcW w:w="1980" w:type="dxa"/>
            <w:tcBorders>
              <w:top w:val="single" w:sz="4" w:space="0" w:color="auto"/>
              <w:left w:val="single" w:sz="4" w:space="0" w:color="auto"/>
              <w:bottom w:val="single" w:sz="4" w:space="0" w:color="auto"/>
              <w:right w:val="single" w:sz="4" w:space="0" w:color="auto"/>
            </w:tcBorders>
          </w:tcPr>
          <w:p w:rsidR="00AE5218" w:rsidRDefault="00EC5920" w:rsidP="00EB7D96">
            <w:pPr>
              <w:rPr>
                <w:rFonts w:cs="Arial"/>
                <w:iCs/>
              </w:rPr>
            </w:pPr>
            <w:r>
              <w:rPr>
                <w:rFonts w:cs="Arial"/>
                <w:iCs/>
              </w:rPr>
              <w:t>8/4</w:t>
            </w:r>
            <w:r w:rsidR="00AE5218">
              <w:rPr>
                <w:rFonts w:cs="Arial"/>
                <w:iCs/>
              </w:rPr>
              <w:t>/14</w:t>
            </w:r>
          </w:p>
        </w:tc>
        <w:tc>
          <w:tcPr>
            <w:tcW w:w="3780" w:type="dxa"/>
            <w:tcBorders>
              <w:top w:val="single" w:sz="4" w:space="0" w:color="auto"/>
              <w:left w:val="single" w:sz="4" w:space="0" w:color="auto"/>
              <w:bottom w:val="single" w:sz="4" w:space="0" w:color="auto"/>
              <w:right w:val="single" w:sz="4" w:space="0" w:color="auto"/>
            </w:tcBorders>
          </w:tcPr>
          <w:p w:rsidR="00AE5218" w:rsidRDefault="00FE2A3B">
            <w:pPr>
              <w:rPr>
                <w:rFonts w:cs="Arial"/>
                <w:iCs/>
              </w:rPr>
            </w:pPr>
            <w:r>
              <w:rPr>
                <w:rFonts w:cs="Arial"/>
                <w:iCs/>
              </w:rPr>
              <w:t>Replaces Ammonia on RxL</w:t>
            </w:r>
          </w:p>
        </w:tc>
      </w:tr>
      <w:tr w:rsidR="00AF697A" w:rsidTr="00231639">
        <w:tblPrEx>
          <w:tblBorders>
            <w:bottom w:val="single" w:sz="4" w:space="0" w:color="auto"/>
          </w:tblBorders>
        </w:tblPrEx>
        <w:trPr>
          <w:cantSplit/>
          <w:trHeight w:val="255"/>
        </w:trPr>
        <w:tc>
          <w:tcPr>
            <w:tcW w:w="1800" w:type="dxa"/>
            <w:tcBorders>
              <w:left w:val="nil"/>
              <w:right w:val="single" w:sz="4" w:space="0" w:color="auto"/>
            </w:tcBorders>
          </w:tcPr>
          <w:p w:rsidR="00AF697A" w:rsidRDefault="00AF697A">
            <w:pPr>
              <w:rPr>
                <w:rFonts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AF697A" w:rsidRDefault="00AF697A" w:rsidP="00AE5218">
            <w:pPr>
              <w:jc w:val="center"/>
              <w:rPr>
                <w:rFonts w:cs="Arial"/>
                <w:iCs/>
              </w:rPr>
            </w:pPr>
            <w:r>
              <w:rPr>
                <w:rFonts w:cs="Arial"/>
                <w:iCs/>
              </w:rPr>
              <w:t>9</w:t>
            </w:r>
          </w:p>
        </w:tc>
        <w:tc>
          <w:tcPr>
            <w:tcW w:w="2340" w:type="dxa"/>
            <w:tcBorders>
              <w:top w:val="single" w:sz="4" w:space="0" w:color="auto"/>
              <w:left w:val="single" w:sz="4" w:space="0" w:color="auto"/>
              <w:bottom w:val="single" w:sz="4" w:space="0" w:color="auto"/>
              <w:right w:val="single" w:sz="4" w:space="0" w:color="auto"/>
            </w:tcBorders>
          </w:tcPr>
          <w:p w:rsidR="00AF697A" w:rsidRDefault="00AF697A">
            <w:pPr>
              <w:rPr>
                <w:rFonts w:cs="Arial"/>
                <w:iCs/>
              </w:rPr>
            </w:pPr>
            <w:r>
              <w:rPr>
                <w:rFonts w:cs="Arial"/>
                <w:iCs/>
              </w:rPr>
              <w:t>Erin Bartos</w:t>
            </w:r>
          </w:p>
        </w:tc>
        <w:tc>
          <w:tcPr>
            <w:tcW w:w="1980" w:type="dxa"/>
            <w:tcBorders>
              <w:top w:val="single" w:sz="4" w:space="0" w:color="auto"/>
              <w:left w:val="single" w:sz="4" w:space="0" w:color="auto"/>
              <w:bottom w:val="single" w:sz="4" w:space="0" w:color="auto"/>
              <w:right w:val="single" w:sz="4" w:space="0" w:color="auto"/>
            </w:tcBorders>
          </w:tcPr>
          <w:p w:rsidR="00AF697A" w:rsidRDefault="00AF697A" w:rsidP="00EB7D96">
            <w:pPr>
              <w:rPr>
                <w:rFonts w:cs="Arial"/>
                <w:iCs/>
              </w:rPr>
            </w:pPr>
            <w:r>
              <w:rPr>
                <w:rFonts w:cs="Arial"/>
                <w:iCs/>
              </w:rPr>
              <w:t>6/13/2017</w:t>
            </w:r>
          </w:p>
        </w:tc>
        <w:tc>
          <w:tcPr>
            <w:tcW w:w="3780" w:type="dxa"/>
            <w:tcBorders>
              <w:top w:val="single" w:sz="4" w:space="0" w:color="auto"/>
              <w:left w:val="single" w:sz="4" w:space="0" w:color="auto"/>
              <w:bottom w:val="single" w:sz="4" w:space="0" w:color="auto"/>
              <w:right w:val="single" w:sz="4" w:space="0" w:color="auto"/>
            </w:tcBorders>
          </w:tcPr>
          <w:p w:rsidR="00AF697A" w:rsidRDefault="00AF697A">
            <w:pPr>
              <w:rPr>
                <w:rFonts w:cs="Arial"/>
                <w:iCs/>
              </w:rPr>
            </w:pPr>
            <w:r>
              <w:rPr>
                <w:rFonts w:cs="Arial"/>
                <w:iCs/>
              </w:rPr>
              <w:t>Biennial Review</w:t>
            </w:r>
          </w:p>
        </w:tc>
      </w:tr>
      <w:tr w:rsidR="00231639" w:rsidTr="00231639">
        <w:tblPrEx>
          <w:tblBorders>
            <w:bottom w:val="single" w:sz="4" w:space="0" w:color="auto"/>
          </w:tblBorders>
        </w:tblPrEx>
        <w:trPr>
          <w:cantSplit/>
          <w:trHeight w:val="255"/>
        </w:trPr>
        <w:tc>
          <w:tcPr>
            <w:tcW w:w="1800" w:type="dxa"/>
            <w:tcBorders>
              <w:left w:val="nil"/>
              <w:right w:val="single" w:sz="4" w:space="0" w:color="auto"/>
            </w:tcBorders>
          </w:tcPr>
          <w:p w:rsidR="00231639" w:rsidRDefault="00231639">
            <w:pPr>
              <w:rPr>
                <w:rFonts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231639" w:rsidRDefault="00231639" w:rsidP="00AE5218">
            <w:pPr>
              <w:jc w:val="center"/>
              <w:rPr>
                <w:rFonts w:cs="Arial"/>
                <w:iCs/>
              </w:rPr>
            </w:pPr>
            <w:r>
              <w:rPr>
                <w:rFonts w:cs="Arial"/>
                <w:iCs/>
              </w:rPr>
              <w:t>10</w:t>
            </w:r>
          </w:p>
        </w:tc>
        <w:tc>
          <w:tcPr>
            <w:tcW w:w="2340" w:type="dxa"/>
            <w:tcBorders>
              <w:top w:val="single" w:sz="4" w:space="0" w:color="auto"/>
              <w:left w:val="single" w:sz="4" w:space="0" w:color="auto"/>
              <w:bottom w:val="single" w:sz="4" w:space="0" w:color="auto"/>
              <w:right w:val="single" w:sz="4" w:space="0" w:color="auto"/>
            </w:tcBorders>
          </w:tcPr>
          <w:p w:rsidR="00231639" w:rsidRDefault="00231639">
            <w:pPr>
              <w:rPr>
                <w:rFonts w:cs="Arial"/>
                <w:iCs/>
              </w:rPr>
            </w:pPr>
            <w:r>
              <w:rPr>
                <w:rFonts w:cs="Arial"/>
                <w:iCs/>
              </w:rPr>
              <w:t>Kelsi Brown</w:t>
            </w:r>
          </w:p>
        </w:tc>
        <w:tc>
          <w:tcPr>
            <w:tcW w:w="1980" w:type="dxa"/>
            <w:tcBorders>
              <w:top w:val="single" w:sz="4" w:space="0" w:color="auto"/>
              <w:left w:val="single" w:sz="4" w:space="0" w:color="auto"/>
              <w:bottom w:val="single" w:sz="4" w:space="0" w:color="auto"/>
              <w:right w:val="single" w:sz="4" w:space="0" w:color="auto"/>
            </w:tcBorders>
          </w:tcPr>
          <w:p w:rsidR="00231639" w:rsidRDefault="00231639" w:rsidP="00EB7D96">
            <w:pPr>
              <w:rPr>
                <w:rFonts w:cs="Arial"/>
                <w:iCs/>
              </w:rPr>
            </w:pPr>
            <w:r>
              <w:rPr>
                <w:rFonts w:cs="Arial"/>
                <w:iCs/>
              </w:rPr>
              <w:t>September 6, 2017</w:t>
            </w:r>
          </w:p>
        </w:tc>
        <w:tc>
          <w:tcPr>
            <w:tcW w:w="3780" w:type="dxa"/>
            <w:tcBorders>
              <w:top w:val="single" w:sz="4" w:space="0" w:color="auto"/>
              <w:left w:val="single" w:sz="4" w:space="0" w:color="auto"/>
              <w:bottom w:val="single" w:sz="4" w:space="0" w:color="auto"/>
              <w:right w:val="single" w:sz="4" w:space="0" w:color="auto"/>
            </w:tcBorders>
          </w:tcPr>
          <w:p w:rsidR="00231639" w:rsidRDefault="00231639">
            <w:pPr>
              <w:rPr>
                <w:rFonts w:cs="Arial"/>
                <w:iCs/>
              </w:rPr>
            </w:pPr>
            <w:r>
              <w:rPr>
                <w:rFonts w:cs="Arial"/>
                <w:iCs/>
              </w:rPr>
              <w:t>Updated interferences per package insert from Siemens.</w:t>
            </w:r>
          </w:p>
        </w:tc>
      </w:tr>
      <w:tr w:rsidR="001C017D" w:rsidTr="00231639">
        <w:tblPrEx>
          <w:tblBorders>
            <w:bottom w:val="single" w:sz="4" w:space="0" w:color="auto"/>
          </w:tblBorders>
        </w:tblPrEx>
        <w:trPr>
          <w:cantSplit/>
          <w:trHeight w:val="255"/>
        </w:trPr>
        <w:tc>
          <w:tcPr>
            <w:tcW w:w="1800" w:type="dxa"/>
            <w:tcBorders>
              <w:left w:val="nil"/>
              <w:right w:val="single" w:sz="4" w:space="0" w:color="auto"/>
            </w:tcBorders>
          </w:tcPr>
          <w:p w:rsidR="001C017D" w:rsidRDefault="001C017D">
            <w:pPr>
              <w:rPr>
                <w:rFonts w:cs="Arial"/>
                <w:b/>
                <w:bCs/>
                <w:color w:val="3366FF"/>
              </w:rPr>
            </w:pPr>
          </w:p>
        </w:tc>
        <w:tc>
          <w:tcPr>
            <w:tcW w:w="1260" w:type="dxa"/>
            <w:tcBorders>
              <w:top w:val="single" w:sz="4" w:space="0" w:color="auto"/>
              <w:left w:val="single" w:sz="4" w:space="0" w:color="auto"/>
              <w:bottom w:val="single" w:sz="4" w:space="0" w:color="auto"/>
              <w:right w:val="single" w:sz="4" w:space="0" w:color="auto"/>
            </w:tcBorders>
          </w:tcPr>
          <w:p w:rsidR="001C017D" w:rsidRDefault="001C017D" w:rsidP="00AE5218">
            <w:pPr>
              <w:jc w:val="center"/>
              <w:rPr>
                <w:rFonts w:cs="Arial"/>
                <w:iCs/>
              </w:rPr>
            </w:pPr>
            <w:r>
              <w:rPr>
                <w:rFonts w:cs="Arial"/>
                <w:iCs/>
              </w:rPr>
              <w:t>11</w:t>
            </w:r>
          </w:p>
        </w:tc>
        <w:tc>
          <w:tcPr>
            <w:tcW w:w="2340" w:type="dxa"/>
            <w:tcBorders>
              <w:top w:val="single" w:sz="4" w:space="0" w:color="auto"/>
              <w:left w:val="single" w:sz="4" w:space="0" w:color="auto"/>
              <w:bottom w:val="single" w:sz="4" w:space="0" w:color="auto"/>
              <w:right w:val="single" w:sz="4" w:space="0" w:color="auto"/>
            </w:tcBorders>
          </w:tcPr>
          <w:p w:rsidR="001C017D" w:rsidRDefault="001C017D">
            <w:pPr>
              <w:rPr>
                <w:rFonts w:cs="Arial"/>
                <w:iCs/>
              </w:rPr>
            </w:pPr>
            <w:r>
              <w:rPr>
                <w:rFonts w:cs="Arial"/>
                <w:iCs/>
              </w:rPr>
              <w:t>Erin Bartos</w:t>
            </w:r>
          </w:p>
        </w:tc>
        <w:tc>
          <w:tcPr>
            <w:tcW w:w="1980" w:type="dxa"/>
            <w:tcBorders>
              <w:top w:val="single" w:sz="4" w:space="0" w:color="auto"/>
              <w:left w:val="single" w:sz="4" w:space="0" w:color="auto"/>
              <w:bottom w:val="single" w:sz="4" w:space="0" w:color="auto"/>
              <w:right w:val="single" w:sz="4" w:space="0" w:color="auto"/>
            </w:tcBorders>
          </w:tcPr>
          <w:p w:rsidR="001C017D" w:rsidRDefault="001C017D" w:rsidP="00EB7D96">
            <w:pPr>
              <w:rPr>
                <w:rFonts w:cs="Arial"/>
                <w:iCs/>
              </w:rPr>
            </w:pPr>
            <w:r>
              <w:rPr>
                <w:rFonts w:cs="Arial"/>
                <w:iCs/>
              </w:rPr>
              <w:t>10/16/2018</w:t>
            </w:r>
          </w:p>
        </w:tc>
        <w:tc>
          <w:tcPr>
            <w:tcW w:w="3780" w:type="dxa"/>
            <w:tcBorders>
              <w:top w:val="single" w:sz="4" w:space="0" w:color="auto"/>
              <w:left w:val="single" w:sz="4" w:space="0" w:color="auto"/>
              <w:bottom w:val="single" w:sz="4" w:space="0" w:color="auto"/>
              <w:right w:val="single" w:sz="4" w:space="0" w:color="auto"/>
            </w:tcBorders>
          </w:tcPr>
          <w:p w:rsidR="001C017D" w:rsidRDefault="001C017D">
            <w:pPr>
              <w:rPr>
                <w:rFonts w:cs="Arial"/>
                <w:iCs/>
              </w:rPr>
            </w:pPr>
            <w:r>
              <w:rPr>
                <w:rFonts w:cs="Arial"/>
                <w:iCs/>
              </w:rPr>
              <w:t>Added rejection of clotted samples</w:t>
            </w:r>
          </w:p>
        </w:tc>
      </w:tr>
      <w:tr w:rsidR="00686BDB" w:rsidTr="00686BDB">
        <w:tblPrEx>
          <w:tblBorders>
            <w:bottom w:val="single" w:sz="4" w:space="0" w:color="auto"/>
          </w:tblBorders>
        </w:tblPrEx>
        <w:trPr>
          <w:cantSplit/>
          <w:trHeight w:val="255"/>
        </w:trPr>
        <w:tc>
          <w:tcPr>
            <w:tcW w:w="1800" w:type="dxa"/>
            <w:tcBorders>
              <w:left w:val="nil"/>
              <w:bottom w:val="nil"/>
              <w:right w:val="nil"/>
            </w:tcBorders>
          </w:tcPr>
          <w:p w:rsidR="00686BDB" w:rsidRDefault="00686BDB">
            <w:pPr>
              <w:rPr>
                <w:rFonts w:cs="Arial"/>
                <w:b/>
                <w:bCs/>
                <w:color w:val="3366FF"/>
              </w:rPr>
            </w:pPr>
          </w:p>
        </w:tc>
        <w:tc>
          <w:tcPr>
            <w:tcW w:w="9360" w:type="dxa"/>
            <w:gridSpan w:val="4"/>
            <w:tcBorders>
              <w:top w:val="single" w:sz="4" w:space="0" w:color="auto"/>
              <w:left w:val="nil"/>
              <w:bottom w:val="single" w:sz="18" w:space="0" w:color="D9D9D9"/>
              <w:right w:val="nil"/>
            </w:tcBorders>
          </w:tcPr>
          <w:p w:rsidR="00686BDB" w:rsidRDefault="00686BDB">
            <w:pPr>
              <w:rPr>
                <w:rFonts w:cs="Arial"/>
                <w:iCs/>
              </w:rPr>
            </w:pPr>
          </w:p>
        </w:tc>
      </w:tr>
    </w:tbl>
    <w:p w:rsidR="00AD5CC4" w:rsidRDefault="00AD5CC4"/>
    <w:sectPr w:rsidR="00AD5CC4" w:rsidSect="0075778A">
      <w:headerReference w:type="default" r:id="rId13"/>
      <w:footerReference w:type="default" r:id="rId14"/>
      <w:pgSz w:w="12240" w:h="15840" w:code="1"/>
      <w:pgMar w:top="720" w:right="720" w:bottom="720" w:left="180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DA2" w:rsidRDefault="006D6DA2">
      <w:r>
        <w:separator/>
      </w:r>
    </w:p>
  </w:endnote>
  <w:endnote w:type="continuationSeparator" w:id="0">
    <w:p w:rsidR="006D6DA2" w:rsidRDefault="006D6D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vetica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AD" w:rsidRPr="00EA60A9" w:rsidRDefault="00F153AD" w:rsidP="00EA60A9">
    <w:pPr>
      <w:pStyle w:val="Footer"/>
      <w:tabs>
        <w:tab w:val="clear" w:pos="8640"/>
        <w:tab w:val="right" w:pos="9720"/>
      </w:tabs>
      <w:ind w:left="-180" w:hanging="1080"/>
      <w:rPr>
        <w:sz w:val="18"/>
        <w:szCs w:val="18"/>
      </w:rPr>
    </w:pPr>
    <w:r w:rsidRPr="00EA60A9">
      <w:rPr>
        <w:rFonts w:cs="Arial"/>
        <w:sz w:val="18"/>
        <w:szCs w:val="18"/>
      </w:rPr>
      <w:t>Laboratory, Children’s Hospitals and Clinics of Minnesota, Minneapolis/St. Paul, MN</w:t>
    </w:r>
    <w:r w:rsidRPr="00EA60A9">
      <w:rPr>
        <w:sz w:val="18"/>
        <w:szCs w:val="18"/>
      </w:rPr>
      <w:t xml:space="preserve"> </w:t>
    </w:r>
    <w:r w:rsidRPr="00EA60A9">
      <w:rPr>
        <w:sz w:val="18"/>
        <w:szCs w:val="18"/>
      </w:rPr>
      <w:tab/>
      <w:t xml:space="preserve">Page </w:t>
    </w:r>
    <w:r w:rsidR="0079136A" w:rsidRPr="00EA60A9">
      <w:rPr>
        <w:sz w:val="18"/>
        <w:szCs w:val="18"/>
      </w:rPr>
      <w:fldChar w:fldCharType="begin"/>
    </w:r>
    <w:r w:rsidRPr="00EA60A9">
      <w:rPr>
        <w:sz w:val="18"/>
        <w:szCs w:val="18"/>
      </w:rPr>
      <w:instrText xml:space="preserve"> PAGE </w:instrText>
    </w:r>
    <w:r w:rsidR="0079136A" w:rsidRPr="00EA60A9">
      <w:rPr>
        <w:sz w:val="18"/>
        <w:szCs w:val="18"/>
      </w:rPr>
      <w:fldChar w:fldCharType="separate"/>
    </w:r>
    <w:r w:rsidR="001C017D">
      <w:rPr>
        <w:noProof/>
        <w:sz w:val="18"/>
        <w:szCs w:val="18"/>
      </w:rPr>
      <w:t>5</w:t>
    </w:r>
    <w:r w:rsidR="0079136A" w:rsidRPr="00EA60A9">
      <w:rPr>
        <w:sz w:val="18"/>
        <w:szCs w:val="18"/>
      </w:rPr>
      <w:fldChar w:fldCharType="end"/>
    </w:r>
    <w:r w:rsidRPr="00EA60A9">
      <w:rPr>
        <w:sz w:val="18"/>
        <w:szCs w:val="18"/>
      </w:rPr>
      <w:t xml:space="preserve"> of </w:t>
    </w:r>
    <w:r w:rsidR="0079136A" w:rsidRPr="00EA60A9">
      <w:rPr>
        <w:sz w:val="18"/>
        <w:szCs w:val="18"/>
      </w:rPr>
      <w:fldChar w:fldCharType="begin"/>
    </w:r>
    <w:r w:rsidRPr="00EA60A9">
      <w:rPr>
        <w:sz w:val="18"/>
        <w:szCs w:val="18"/>
      </w:rPr>
      <w:instrText xml:space="preserve"> NUMPAGES </w:instrText>
    </w:r>
    <w:r w:rsidR="0079136A" w:rsidRPr="00EA60A9">
      <w:rPr>
        <w:sz w:val="18"/>
        <w:szCs w:val="18"/>
      </w:rPr>
      <w:fldChar w:fldCharType="separate"/>
    </w:r>
    <w:r w:rsidR="001C017D">
      <w:rPr>
        <w:noProof/>
        <w:sz w:val="18"/>
        <w:szCs w:val="18"/>
      </w:rPr>
      <w:t>5</w:t>
    </w:r>
    <w:r w:rsidR="0079136A" w:rsidRPr="00EA60A9">
      <w:rPr>
        <w:sz w:val="18"/>
        <w:szCs w:val="18"/>
      </w:rPr>
      <w:fldChar w:fldCharType="end"/>
    </w:r>
  </w:p>
  <w:p w:rsidR="00F153AD" w:rsidRPr="00EA60A9" w:rsidRDefault="00F153AD" w:rsidP="0075778A">
    <w:pPr>
      <w:pStyle w:val="Footer"/>
      <w:tabs>
        <w:tab w:val="clear" w:pos="8640"/>
        <w:tab w:val="right" w:pos="9720"/>
      </w:tabs>
      <w:ind w:left="-180" w:hanging="1080"/>
      <w:rPr>
        <w:sz w:val="18"/>
        <w:szCs w:val="18"/>
      </w:rPr>
    </w:pPr>
    <w:r w:rsidRPr="00EA60A9">
      <w:rPr>
        <w:rFonts w:cs="Arial"/>
        <w:sz w:val="18"/>
        <w:szCs w:val="18"/>
      </w:rPr>
      <w:t>Printed copy expires at 2359 on date of print.</w:t>
    </w:r>
    <w:r w:rsidRPr="00EA60A9">
      <w:rPr>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DA2" w:rsidRDefault="006D6DA2">
      <w:r>
        <w:separator/>
      </w:r>
    </w:p>
  </w:footnote>
  <w:footnote w:type="continuationSeparator" w:id="0">
    <w:p w:rsidR="006D6DA2" w:rsidRDefault="006D6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3AD" w:rsidRPr="00AF697A" w:rsidRDefault="001C017D">
    <w:pPr>
      <w:ind w:left="-1260" w:right="-1260"/>
      <w:rPr>
        <w:rFonts w:cs="Arial"/>
      </w:rPr>
    </w:pPr>
    <w:r>
      <w:rPr>
        <w:noProof/>
      </w:rPr>
      <w:drawing>
        <wp:anchor distT="0" distB="0" distL="114300" distR="114300" simplePos="0" relativeHeight="251660288" behindDoc="0" locked="0" layoutInCell="1" allowOverlap="1">
          <wp:simplePos x="0" y="0"/>
          <wp:positionH relativeFrom="column">
            <wp:posOffset>5050155</wp:posOffset>
          </wp:positionH>
          <wp:positionV relativeFrom="paragraph">
            <wp:posOffset>-194945</wp:posOffset>
          </wp:positionV>
          <wp:extent cx="1419225" cy="454660"/>
          <wp:effectExtent l="19050" t="0" r="9525" b="0"/>
          <wp:wrapSquare wrapText="bothSides"/>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419225" cy="454660"/>
                  </a:xfrm>
                  <a:prstGeom prst="rect">
                    <a:avLst/>
                  </a:prstGeom>
                  <a:noFill/>
                </pic:spPr>
              </pic:pic>
            </a:graphicData>
          </a:graphic>
        </wp:anchor>
      </w:drawing>
    </w:r>
    <w:r w:rsidR="00AF697A">
      <w:rPr>
        <w:rFonts w:cs="Arial"/>
      </w:rPr>
      <w:t xml:space="preserve">CH 6.08 Ammonia </w:t>
    </w:r>
  </w:p>
  <w:p w:rsidR="00F153AD" w:rsidRDefault="001C017D">
    <w:pPr>
      <w:ind w:left="-1260" w:right="-1260"/>
      <w:rPr>
        <w:rFonts w:cs="Arial"/>
      </w:rPr>
    </w:pPr>
    <w:r>
      <w:rPr>
        <w:rFonts w:cs="Arial"/>
      </w:rPr>
      <w:t>Version 11</w:t>
    </w:r>
  </w:p>
  <w:p w:rsidR="00F153AD" w:rsidRDefault="00F153AD">
    <w:pPr>
      <w:ind w:left="-1260" w:right="-1260"/>
      <w:rPr>
        <w:rFonts w:cs="Arial"/>
      </w:rPr>
    </w:pPr>
    <w:r>
      <w:rPr>
        <w:rFonts w:cs="Arial"/>
      </w:rPr>
      <w:t xml:space="preserve">Effective Date: </w:t>
    </w:r>
    <w:r w:rsidR="001C017D">
      <w:rPr>
        <w:rFonts w:cs="Arial"/>
      </w:rPr>
      <w:t>October 16, 2018</w:t>
    </w:r>
  </w:p>
  <w:p w:rsidR="00F153AD" w:rsidRDefault="00F153AD">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18216AF"/>
    <w:multiLevelType w:val="hybridMultilevel"/>
    <w:tmpl w:val="D974E19C"/>
    <w:lvl w:ilvl="0" w:tplc="BDC009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A52A30"/>
    <w:multiLevelType w:val="hybridMultilevel"/>
    <w:tmpl w:val="8068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53B7E"/>
    <w:multiLevelType w:val="hybridMultilevel"/>
    <w:tmpl w:val="081C7396"/>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9F2E31"/>
    <w:multiLevelType w:val="hybridMultilevel"/>
    <w:tmpl w:val="9718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460D3"/>
    <w:multiLevelType w:val="hybridMultilevel"/>
    <w:tmpl w:val="A4CCAB9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7B2B4D"/>
    <w:multiLevelType w:val="hybridMultilevel"/>
    <w:tmpl w:val="C81A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C4185"/>
    <w:multiLevelType w:val="hybridMultilevel"/>
    <w:tmpl w:val="9B184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4C1008"/>
    <w:multiLevelType w:val="hybridMultilevel"/>
    <w:tmpl w:val="55E6B99A"/>
    <w:lvl w:ilvl="0" w:tplc="0409000F">
      <w:start w:val="1"/>
      <w:numFmt w:val="decimal"/>
      <w:lvlText w:val="%1."/>
      <w:lvlJc w:val="left"/>
      <w:pPr>
        <w:tabs>
          <w:tab w:val="num" w:pos="473"/>
        </w:tabs>
        <w:ind w:left="473" w:hanging="360"/>
      </w:pPr>
    </w:lvl>
    <w:lvl w:ilvl="1" w:tplc="04090019">
      <w:start w:val="1"/>
      <w:numFmt w:val="lowerLetter"/>
      <w:lvlText w:val="%2."/>
      <w:lvlJc w:val="left"/>
      <w:pPr>
        <w:tabs>
          <w:tab w:val="num" w:pos="1193"/>
        </w:tabs>
        <w:ind w:left="1193" w:hanging="360"/>
      </w:pPr>
    </w:lvl>
    <w:lvl w:ilvl="2" w:tplc="0409001B">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10">
    <w:nsid w:val="1F362220"/>
    <w:multiLevelType w:val="hybridMultilevel"/>
    <w:tmpl w:val="11869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24D253C"/>
    <w:multiLevelType w:val="hybridMultilevel"/>
    <w:tmpl w:val="3C7E3ADC"/>
    <w:lvl w:ilvl="0" w:tplc="12A23B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767098"/>
    <w:multiLevelType w:val="hybridMultilevel"/>
    <w:tmpl w:val="8824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7D7E4A"/>
    <w:multiLevelType w:val="hybridMultilevel"/>
    <w:tmpl w:val="E89675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1B742E"/>
    <w:multiLevelType w:val="hybridMultilevel"/>
    <w:tmpl w:val="CEF87A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2016D08"/>
    <w:multiLevelType w:val="hybridMultilevel"/>
    <w:tmpl w:val="8ABA8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462675"/>
    <w:multiLevelType w:val="hybridMultilevel"/>
    <w:tmpl w:val="0D4CA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31B41B3"/>
    <w:multiLevelType w:val="hybridMultilevel"/>
    <w:tmpl w:val="52EEE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8"/>
  </w:num>
  <w:num w:numId="4">
    <w:abstractNumId w:val="12"/>
  </w:num>
  <w:num w:numId="5">
    <w:abstractNumId w:val="15"/>
  </w:num>
  <w:num w:numId="6">
    <w:abstractNumId w:val="14"/>
  </w:num>
  <w:num w:numId="7">
    <w:abstractNumId w:val="20"/>
  </w:num>
  <w:num w:numId="8">
    <w:abstractNumId w:val="3"/>
  </w:num>
  <w:num w:numId="9">
    <w:abstractNumId w:val="0"/>
  </w:num>
  <w:num w:numId="10">
    <w:abstractNumId w:val="6"/>
  </w:num>
  <w:num w:numId="11">
    <w:abstractNumId w:val="19"/>
  </w:num>
  <w:num w:numId="12">
    <w:abstractNumId w:val="9"/>
  </w:num>
  <w:num w:numId="13">
    <w:abstractNumId w:val="10"/>
  </w:num>
  <w:num w:numId="14">
    <w:abstractNumId w:val="1"/>
  </w:num>
  <w:num w:numId="15">
    <w:abstractNumId w:val="8"/>
  </w:num>
  <w:num w:numId="16">
    <w:abstractNumId w:val="5"/>
  </w:num>
  <w:num w:numId="17">
    <w:abstractNumId w:val="16"/>
  </w:num>
  <w:num w:numId="18">
    <w:abstractNumId w:val="17"/>
  </w:num>
  <w:num w:numId="19">
    <w:abstractNumId w:val="13"/>
  </w:num>
  <w:num w:numId="20">
    <w:abstractNumId w:val="7"/>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gutterAtTop/>
  <w:defaultTabStop w:val="720"/>
  <w:noPunctuationKerning/>
  <w:characterSpacingControl w:val="doNotCompress"/>
  <w:hdrShapeDefaults>
    <o:shapedefaults v:ext="edit" spidmax="2052">
      <o:colormenu v:ext="edit" strokecolor="none"/>
    </o:shapedefaults>
  </w:hdrShapeDefaults>
  <w:footnotePr>
    <w:footnote w:id="-1"/>
    <w:footnote w:id="0"/>
  </w:footnotePr>
  <w:endnotePr>
    <w:endnote w:id="-1"/>
    <w:endnote w:id="0"/>
  </w:endnotePr>
  <w:compat/>
  <w:rsids>
    <w:rsidRoot w:val="00AD5CC4"/>
    <w:rsid w:val="000426AB"/>
    <w:rsid w:val="000457DF"/>
    <w:rsid w:val="0005222D"/>
    <w:rsid w:val="000615F7"/>
    <w:rsid w:val="00120607"/>
    <w:rsid w:val="00183708"/>
    <w:rsid w:val="001C017D"/>
    <w:rsid w:val="00231639"/>
    <w:rsid w:val="00274DC4"/>
    <w:rsid w:val="0037434F"/>
    <w:rsid w:val="00437306"/>
    <w:rsid w:val="004A199E"/>
    <w:rsid w:val="004F7787"/>
    <w:rsid w:val="00585A2E"/>
    <w:rsid w:val="005A7B9F"/>
    <w:rsid w:val="005C516D"/>
    <w:rsid w:val="006229CB"/>
    <w:rsid w:val="00664690"/>
    <w:rsid w:val="00684099"/>
    <w:rsid w:val="00684AE4"/>
    <w:rsid w:val="00686BDB"/>
    <w:rsid w:val="006D6DA2"/>
    <w:rsid w:val="0075778A"/>
    <w:rsid w:val="00790706"/>
    <w:rsid w:val="0079136A"/>
    <w:rsid w:val="007B1C5D"/>
    <w:rsid w:val="007D5B60"/>
    <w:rsid w:val="00897336"/>
    <w:rsid w:val="008A4CCC"/>
    <w:rsid w:val="00A967D1"/>
    <w:rsid w:val="00AD37D3"/>
    <w:rsid w:val="00AD5CC4"/>
    <w:rsid w:val="00AE5218"/>
    <w:rsid w:val="00AF697A"/>
    <w:rsid w:val="00B3414B"/>
    <w:rsid w:val="00B70587"/>
    <w:rsid w:val="00C00A5C"/>
    <w:rsid w:val="00C01BEA"/>
    <w:rsid w:val="00C21B39"/>
    <w:rsid w:val="00C25CFC"/>
    <w:rsid w:val="00C82634"/>
    <w:rsid w:val="00CE32C1"/>
    <w:rsid w:val="00D200D1"/>
    <w:rsid w:val="00D25A70"/>
    <w:rsid w:val="00D33AB7"/>
    <w:rsid w:val="00D73ABC"/>
    <w:rsid w:val="00DE75B0"/>
    <w:rsid w:val="00DF4AD9"/>
    <w:rsid w:val="00E30197"/>
    <w:rsid w:val="00E52D62"/>
    <w:rsid w:val="00E84DAF"/>
    <w:rsid w:val="00EA60A9"/>
    <w:rsid w:val="00EB7D96"/>
    <w:rsid w:val="00EC5920"/>
    <w:rsid w:val="00F153AD"/>
    <w:rsid w:val="00F46B38"/>
    <w:rsid w:val="00F7021A"/>
    <w:rsid w:val="00FD6E45"/>
    <w:rsid w:val="00FE2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2D"/>
    <w:rPr>
      <w:rFonts w:ascii="Arial" w:hAnsi="Arial"/>
      <w:szCs w:val="24"/>
    </w:rPr>
  </w:style>
  <w:style w:type="paragraph" w:styleId="Heading1">
    <w:name w:val="heading 1"/>
    <w:basedOn w:val="Normal"/>
    <w:next w:val="Normal"/>
    <w:qFormat/>
    <w:rsid w:val="0005222D"/>
    <w:pPr>
      <w:keepNext/>
      <w:numPr>
        <w:numId w:val="9"/>
      </w:numPr>
      <w:jc w:val="both"/>
      <w:outlineLvl w:val="0"/>
    </w:pPr>
    <w:rPr>
      <w:rFonts w:ascii="Times New Roman" w:hAnsi="Times New Roman" w:cs="Arial"/>
      <w:b/>
      <w:bCs/>
      <w:kern w:val="32"/>
      <w:sz w:val="26"/>
      <w:szCs w:val="32"/>
    </w:rPr>
  </w:style>
  <w:style w:type="paragraph" w:styleId="Heading2">
    <w:name w:val="heading 2"/>
    <w:basedOn w:val="Normal"/>
    <w:next w:val="Normal"/>
    <w:qFormat/>
    <w:rsid w:val="0005222D"/>
    <w:pPr>
      <w:keepNext/>
      <w:numPr>
        <w:ilvl w:val="1"/>
        <w:numId w:val="9"/>
      </w:numPr>
      <w:jc w:val="both"/>
      <w:outlineLvl w:val="1"/>
    </w:pPr>
    <w:rPr>
      <w:rFonts w:ascii="Times New Roman" w:hAnsi="Times New Roman" w:cs="Arial"/>
      <w:b/>
      <w:bCs/>
      <w:iCs/>
      <w:sz w:val="24"/>
      <w:szCs w:val="28"/>
    </w:rPr>
  </w:style>
  <w:style w:type="paragraph" w:styleId="Heading3">
    <w:name w:val="heading 3"/>
    <w:basedOn w:val="Normal"/>
    <w:next w:val="Normal"/>
    <w:qFormat/>
    <w:rsid w:val="0005222D"/>
    <w:pPr>
      <w:keepNext/>
      <w:numPr>
        <w:ilvl w:val="2"/>
        <w:numId w:val="9"/>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05222D"/>
    <w:pPr>
      <w:keepNext/>
      <w:numPr>
        <w:ilvl w:val="3"/>
        <w:numId w:val="9"/>
      </w:numPr>
      <w:jc w:val="both"/>
      <w:outlineLvl w:val="3"/>
    </w:pPr>
    <w:rPr>
      <w:rFonts w:ascii="Times New Roman" w:hAnsi="Times New Roman"/>
      <w:bCs/>
      <w:sz w:val="22"/>
      <w:szCs w:val="28"/>
    </w:rPr>
  </w:style>
  <w:style w:type="paragraph" w:styleId="Heading5">
    <w:name w:val="heading 5"/>
    <w:aliases w:val="Block Label"/>
    <w:basedOn w:val="Normal"/>
    <w:next w:val="Normal"/>
    <w:qFormat/>
    <w:rsid w:val="0005222D"/>
    <w:pPr>
      <w:keepNext/>
      <w:numPr>
        <w:ilvl w:val="4"/>
        <w:numId w:val="9"/>
      </w:numPr>
      <w:spacing w:before="20"/>
      <w:jc w:val="both"/>
      <w:outlineLvl w:val="4"/>
    </w:pPr>
    <w:rPr>
      <w:rFonts w:ascii="Times New Roman" w:hAnsi="Times New Roman"/>
      <w:sz w:val="22"/>
    </w:rPr>
  </w:style>
  <w:style w:type="paragraph" w:styleId="Heading6">
    <w:name w:val="heading 6"/>
    <w:basedOn w:val="Normal"/>
    <w:next w:val="Normal"/>
    <w:qFormat/>
    <w:rsid w:val="0005222D"/>
    <w:pPr>
      <w:keepNext/>
      <w:numPr>
        <w:ilvl w:val="5"/>
        <w:numId w:val="9"/>
      </w:numPr>
      <w:jc w:val="both"/>
      <w:outlineLvl w:val="5"/>
    </w:pPr>
    <w:rPr>
      <w:rFonts w:ascii="Times New Roman" w:hAnsi="Times New Roman"/>
      <w:b/>
      <w:bCs/>
      <w:sz w:val="18"/>
    </w:rPr>
  </w:style>
  <w:style w:type="paragraph" w:styleId="Heading7">
    <w:name w:val="heading 7"/>
    <w:basedOn w:val="Normal"/>
    <w:next w:val="Normal"/>
    <w:qFormat/>
    <w:rsid w:val="0005222D"/>
    <w:pPr>
      <w:keepNext/>
      <w:numPr>
        <w:ilvl w:val="6"/>
        <w:numId w:val="9"/>
      </w:numPr>
      <w:jc w:val="both"/>
      <w:outlineLvl w:val="6"/>
    </w:pPr>
    <w:rPr>
      <w:rFonts w:ascii="Times New Roman" w:hAnsi="Times New Roman"/>
      <w:sz w:val="28"/>
    </w:rPr>
  </w:style>
  <w:style w:type="paragraph" w:styleId="Heading8">
    <w:name w:val="heading 8"/>
    <w:basedOn w:val="Normal"/>
    <w:next w:val="Normal"/>
    <w:qFormat/>
    <w:rsid w:val="0005222D"/>
    <w:pPr>
      <w:keepNext/>
      <w:numPr>
        <w:ilvl w:val="7"/>
        <w:numId w:val="9"/>
      </w:numPr>
      <w:jc w:val="center"/>
      <w:outlineLvl w:val="7"/>
    </w:pPr>
    <w:rPr>
      <w:rFonts w:ascii="Times New Roman" w:hAnsi="Times New Roman"/>
      <w:b/>
      <w:bCs/>
      <w:sz w:val="22"/>
    </w:rPr>
  </w:style>
  <w:style w:type="paragraph" w:styleId="Heading9">
    <w:name w:val="heading 9"/>
    <w:basedOn w:val="Normal"/>
    <w:next w:val="Normal"/>
    <w:qFormat/>
    <w:rsid w:val="0005222D"/>
    <w:pPr>
      <w:keepNext/>
      <w:numPr>
        <w:ilvl w:val="8"/>
        <w:numId w:val="9"/>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5222D"/>
    <w:pPr>
      <w:tabs>
        <w:tab w:val="center" w:pos="4320"/>
        <w:tab w:val="right" w:pos="8640"/>
      </w:tabs>
    </w:pPr>
  </w:style>
  <w:style w:type="paragraph" w:styleId="Footer">
    <w:name w:val="footer"/>
    <w:basedOn w:val="Normal"/>
    <w:semiHidden/>
    <w:rsid w:val="0005222D"/>
    <w:pPr>
      <w:tabs>
        <w:tab w:val="center" w:pos="4320"/>
        <w:tab w:val="right" w:pos="8640"/>
      </w:tabs>
    </w:pPr>
  </w:style>
  <w:style w:type="paragraph" w:customStyle="1" w:styleId="CalVerTable">
    <w:name w:val="CalVerTable"/>
    <w:basedOn w:val="BodyText"/>
    <w:rsid w:val="0005222D"/>
    <w:pPr>
      <w:spacing w:after="40" w:line="160" w:lineRule="atLeast"/>
      <w:ind w:left="3240" w:hanging="3240"/>
    </w:pPr>
    <w:rPr>
      <w:rFonts w:ascii="Times New Roman" w:hAnsi="Times New Roman"/>
      <w:szCs w:val="20"/>
    </w:rPr>
  </w:style>
  <w:style w:type="paragraph" w:styleId="BodyText">
    <w:name w:val="Body Text"/>
    <w:basedOn w:val="Normal"/>
    <w:semiHidden/>
    <w:rsid w:val="0005222D"/>
    <w:pPr>
      <w:spacing w:after="120"/>
    </w:pPr>
  </w:style>
  <w:style w:type="paragraph" w:customStyle="1" w:styleId="Reagents">
    <w:name w:val="Reagents"/>
    <w:basedOn w:val="Normal"/>
    <w:rsid w:val="0005222D"/>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Bullets">
    <w:name w:val="Bullets"/>
    <w:basedOn w:val="Normal"/>
    <w:rsid w:val="0005222D"/>
    <w:pPr>
      <w:spacing w:after="40" w:line="160" w:lineRule="atLeast"/>
      <w:ind w:left="274" w:hanging="274"/>
    </w:pPr>
    <w:rPr>
      <w:rFonts w:ascii="Times New Roman" w:hAnsi="Times New Roman"/>
      <w:szCs w:val="20"/>
    </w:rPr>
  </w:style>
  <w:style w:type="paragraph" w:styleId="Title">
    <w:name w:val="Title"/>
    <w:basedOn w:val="Normal"/>
    <w:qFormat/>
    <w:rsid w:val="0005222D"/>
    <w:pPr>
      <w:jc w:val="center"/>
    </w:pPr>
    <w:rPr>
      <w:b/>
      <w:bCs/>
      <w:sz w:val="28"/>
    </w:rPr>
  </w:style>
  <w:style w:type="character" w:customStyle="1" w:styleId="A7">
    <w:name w:val="A7"/>
    <w:rsid w:val="0005222D"/>
    <w:rPr>
      <w:b/>
      <w:bCs/>
      <w:color w:val="000000"/>
      <w:sz w:val="15"/>
      <w:szCs w:val="15"/>
    </w:rPr>
  </w:style>
  <w:style w:type="paragraph" w:customStyle="1" w:styleId="Pa4">
    <w:name w:val="Pa4"/>
    <w:basedOn w:val="Normal"/>
    <w:next w:val="Normal"/>
    <w:rsid w:val="0005222D"/>
    <w:pPr>
      <w:autoSpaceDE w:val="0"/>
      <w:autoSpaceDN w:val="0"/>
      <w:adjustRightInd w:val="0"/>
      <w:spacing w:line="151" w:lineRule="atLeast"/>
    </w:pPr>
    <w:rPr>
      <w:rFonts w:ascii="Helen Pro Cond" w:hAnsi="Helen Pro Cond"/>
      <w:sz w:val="24"/>
    </w:rPr>
  </w:style>
  <w:style w:type="paragraph" w:customStyle="1" w:styleId="Pa5">
    <w:name w:val="Pa5"/>
    <w:basedOn w:val="Normal"/>
    <w:next w:val="Normal"/>
    <w:rsid w:val="0005222D"/>
    <w:pPr>
      <w:autoSpaceDE w:val="0"/>
      <w:autoSpaceDN w:val="0"/>
      <w:adjustRightInd w:val="0"/>
      <w:spacing w:line="151" w:lineRule="atLeast"/>
    </w:pPr>
    <w:rPr>
      <w:rFonts w:ascii="Helen Pro Cond" w:hAnsi="Helen Pro Cond"/>
      <w:sz w:val="24"/>
    </w:rPr>
  </w:style>
  <w:style w:type="character" w:customStyle="1" w:styleId="A11">
    <w:name w:val="A11"/>
    <w:rsid w:val="0005222D"/>
    <w:rPr>
      <w:b/>
      <w:bCs/>
      <w:color w:val="000000"/>
      <w:sz w:val="15"/>
      <w:szCs w:val="15"/>
      <w:u w:val="single"/>
    </w:rPr>
  </w:style>
  <w:style w:type="paragraph" w:customStyle="1" w:styleId="Pa10">
    <w:name w:val="Pa10"/>
    <w:basedOn w:val="Normal"/>
    <w:next w:val="Normal"/>
    <w:rsid w:val="0005222D"/>
    <w:pPr>
      <w:autoSpaceDE w:val="0"/>
      <w:autoSpaceDN w:val="0"/>
      <w:adjustRightInd w:val="0"/>
      <w:spacing w:line="141" w:lineRule="atLeast"/>
    </w:pPr>
    <w:rPr>
      <w:rFonts w:ascii="Helen Pro Cond" w:hAnsi="Helen Pro Cond"/>
      <w:sz w:val="24"/>
    </w:rPr>
  </w:style>
  <w:style w:type="paragraph" w:customStyle="1" w:styleId="Pa25">
    <w:name w:val="Pa25"/>
    <w:basedOn w:val="Normal"/>
    <w:next w:val="Normal"/>
    <w:rsid w:val="0005222D"/>
    <w:pPr>
      <w:autoSpaceDE w:val="0"/>
      <w:autoSpaceDN w:val="0"/>
      <w:adjustRightInd w:val="0"/>
      <w:spacing w:line="151" w:lineRule="atLeast"/>
    </w:pPr>
    <w:rPr>
      <w:rFonts w:ascii="Helen Pro Cond" w:hAnsi="Helen Pro Cond"/>
      <w:sz w:val="24"/>
    </w:rPr>
  </w:style>
  <w:style w:type="paragraph" w:customStyle="1" w:styleId="Pa26">
    <w:name w:val="Pa26"/>
    <w:basedOn w:val="Normal"/>
    <w:next w:val="Normal"/>
    <w:rsid w:val="0005222D"/>
    <w:pPr>
      <w:autoSpaceDE w:val="0"/>
      <w:autoSpaceDN w:val="0"/>
      <w:adjustRightInd w:val="0"/>
      <w:spacing w:line="151" w:lineRule="atLeast"/>
    </w:pPr>
    <w:rPr>
      <w:rFonts w:ascii="Helen Pro Cond" w:hAnsi="Helen Pro Cond"/>
      <w:sz w:val="24"/>
    </w:rPr>
  </w:style>
  <w:style w:type="character" w:customStyle="1" w:styleId="A8">
    <w:name w:val="A8"/>
    <w:rsid w:val="0005222D"/>
    <w:rPr>
      <w:color w:val="000000"/>
      <w:sz w:val="8"/>
      <w:szCs w:val="8"/>
    </w:rPr>
  </w:style>
  <w:style w:type="paragraph" w:customStyle="1" w:styleId="TableText">
    <w:name w:val="Table Text"/>
    <w:basedOn w:val="Normal"/>
    <w:rsid w:val="0005222D"/>
    <w:pPr>
      <w:autoSpaceDE w:val="0"/>
      <w:autoSpaceDN w:val="0"/>
    </w:pPr>
    <w:rPr>
      <w:rFonts w:ascii="Times New Roman" w:hAnsi="Times New Roman"/>
    </w:rPr>
  </w:style>
  <w:style w:type="character" w:customStyle="1" w:styleId="A5">
    <w:name w:val="A5"/>
    <w:uiPriority w:val="99"/>
    <w:rsid w:val="00D73ABC"/>
    <w:rPr>
      <w:rFonts w:cs="Helvetica Condensed"/>
      <w:color w:val="000000"/>
      <w:sz w:val="7"/>
      <w:szCs w:val="7"/>
    </w:rPr>
  </w:style>
  <w:style w:type="paragraph" w:styleId="BalloonText">
    <w:name w:val="Balloon Text"/>
    <w:basedOn w:val="Normal"/>
    <w:link w:val="BalloonTextChar"/>
    <w:uiPriority w:val="99"/>
    <w:semiHidden/>
    <w:unhideWhenUsed/>
    <w:rsid w:val="00E84DAF"/>
    <w:rPr>
      <w:rFonts w:ascii="Tahoma" w:hAnsi="Tahoma" w:cs="Tahoma"/>
      <w:sz w:val="16"/>
      <w:szCs w:val="16"/>
    </w:rPr>
  </w:style>
  <w:style w:type="character" w:customStyle="1" w:styleId="BalloonTextChar">
    <w:name w:val="Balloon Text Char"/>
    <w:basedOn w:val="DefaultParagraphFont"/>
    <w:link w:val="BalloonText"/>
    <w:uiPriority w:val="99"/>
    <w:semiHidden/>
    <w:rsid w:val="00E84DAF"/>
    <w:rPr>
      <w:rFonts w:ascii="Tahoma" w:hAnsi="Tahoma" w:cs="Tahoma"/>
      <w:sz w:val="16"/>
      <w:szCs w:val="16"/>
    </w:rPr>
  </w:style>
  <w:style w:type="paragraph" w:customStyle="1" w:styleId="Pa18">
    <w:name w:val="Pa18"/>
    <w:basedOn w:val="Normal"/>
    <w:next w:val="Normal"/>
    <w:rsid w:val="00664690"/>
    <w:pPr>
      <w:autoSpaceDE w:val="0"/>
      <w:autoSpaceDN w:val="0"/>
      <w:adjustRightInd w:val="0"/>
      <w:spacing w:line="151" w:lineRule="atLeast"/>
    </w:pPr>
    <w:rPr>
      <w:rFonts w:ascii="Helen Pro Cond" w:hAnsi="Helen Pro Cond"/>
      <w:sz w:val="24"/>
    </w:rPr>
  </w:style>
  <w:style w:type="paragraph" w:customStyle="1" w:styleId="Pa6">
    <w:name w:val="Pa6"/>
    <w:basedOn w:val="Normal"/>
    <w:next w:val="Normal"/>
    <w:rsid w:val="00664690"/>
    <w:pPr>
      <w:autoSpaceDE w:val="0"/>
      <w:autoSpaceDN w:val="0"/>
      <w:adjustRightInd w:val="0"/>
      <w:spacing w:line="151" w:lineRule="atLeast"/>
    </w:pPr>
    <w:rPr>
      <w:rFonts w:ascii="Helen Pro Cond" w:hAnsi="Helen Pro Cond"/>
      <w:sz w:val="24"/>
    </w:rPr>
  </w:style>
  <w:style w:type="character" w:styleId="Hyperlink">
    <w:name w:val="Hyperlink"/>
    <w:basedOn w:val="DefaultParagraphFont"/>
    <w:uiPriority w:val="99"/>
    <w:unhideWhenUsed/>
    <w:rsid w:val="00120607"/>
    <w:rPr>
      <w:color w:val="0000FF"/>
      <w:u w:val="single"/>
    </w:rPr>
  </w:style>
  <w:style w:type="paragraph" w:customStyle="1" w:styleId="Default">
    <w:name w:val="Default"/>
    <w:rsid w:val="00231639"/>
    <w:pPr>
      <w:autoSpaceDE w:val="0"/>
      <w:autoSpaceDN w:val="0"/>
      <w:adjustRightInd w:val="0"/>
    </w:pPr>
    <w:rPr>
      <w:rFonts w:ascii="Helen Pro Cond" w:hAnsi="Helen Pro Cond"/>
      <w:color w:val="000000"/>
      <w:sz w:val="24"/>
      <w:szCs w:val="24"/>
    </w:rPr>
  </w:style>
</w:styles>
</file>

<file path=word/webSettings.xml><?xml version="1.0" encoding="utf-8"?>
<w:webSettings xmlns:r="http://schemas.openxmlformats.org/officeDocument/2006/relationships" xmlns:w="http://schemas.openxmlformats.org/wordprocessingml/2006/main">
  <w:divs>
    <w:div w:id="261887981">
      <w:bodyDiv w:val="1"/>
      <w:marLeft w:val="0"/>
      <w:marRight w:val="0"/>
      <w:marTop w:val="0"/>
      <w:marBottom w:val="0"/>
      <w:divBdr>
        <w:top w:val="none" w:sz="0" w:space="0" w:color="auto"/>
        <w:left w:val="none" w:sz="0" w:space="0" w:color="auto"/>
        <w:bottom w:val="none" w:sz="0" w:space="0" w:color="auto"/>
        <w:right w:val="none" w:sz="0" w:space="0" w:color="auto"/>
      </w:divBdr>
    </w:div>
    <w:div w:id="652367994">
      <w:bodyDiv w:val="1"/>
      <w:marLeft w:val="0"/>
      <w:marRight w:val="0"/>
      <w:marTop w:val="0"/>
      <w:marBottom w:val="0"/>
      <w:divBdr>
        <w:top w:val="none" w:sz="0" w:space="0" w:color="auto"/>
        <w:left w:val="none" w:sz="0" w:space="0" w:color="auto"/>
        <w:bottom w:val="none" w:sz="0" w:space="0" w:color="auto"/>
        <w:right w:val="none" w:sz="0" w:space="0" w:color="auto"/>
      </w:divBdr>
    </w:div>
    <w:div w:id="115371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khan.childrensmn.org/Manuals/Lab/SOP/Chem/Procedure/20682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2019-09-06T05:00:00+00:00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6.08 Ammonia</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F6TN54CWY5RS-50183619-32154</_dlc_DocId>
    <_dlc_DocIdUrl xmlns="199f0838-75a6-4f0c-9be1-f2c07140bccc">
      <Url>http://vcpsharepoint2/references/_layouts/15/DocIdRedir.aspx?ID=F6TN54CWY5RS-50183619-32154</Url>
      <Description>F6TN54CWY5RS-50183619-32154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690DF-2EDF-498A-AE75-BE1212697C1C}">
  <ds:schemaRefs>
    <ds:schemaRef ds:uri="http://schemas.microsoft.com/sharepoint/events"/>
  </ds:schemaRefs>
</ds:datastoreItem>
</file>

<file path=customXml/itemProps2.xml><?xml version="1.0" encoding="utf-8"?>
<ds:datastoreItem xmlns:ds="http://schemas.openxmlformats.org/officeDocument/2006/customXml" ds:itemID="{88FA6CB1-CCAC-4049-9A0B-4EDB604FE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996EF-A01D-42FC-A43C-89E061BB0AA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3F3ACC19-6AFC-4237-9DC9-92C58DC853CF}">
  <ds:schemaRefs>
    <ds:schemaRef ds:uri="http://schemas.microsoft.com/sharepoint/v3/contenttype/forms"/>
  </ds:schemaRefs>
</ds:datastoreItem>
</file>

<file path=customXml/itemProps5.xml><?xml version="1.0" encoding="utf-8"?>
<ds:datastoreItem xmlns:ds="http://schemas.openxmlformats.org/officeDocument/2006/customXml" ds:itemID="{F16A130C-F10B-4EEA-86F6-F2A08B11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Children's Hospitals and Clinics of MN</Company>
  <LinksUpToDate>false</LinksUpToDate>
  <CharactersWithSpaces>10375</CharactersWithSpaces>
  <SharedDoc>false</SharedDoc>
  <HLinks>
    <vt:vector size="6" baseType="variant">
      <vt:variant>
        <vt:i4>4390980</vt:i4>
      </vt:variant>
      <vt:variant>
        <vt:i4>0</vt:i4>
      </vt:variant>
      <vt:variant>
        <vt:i4>0</vt:i4>
      </vt:variant>
      <vt:variant>
        <vt:i4>5</vt:i4>
      </vt:variant>
      <vt:variant>
        <vt:lpwstr>http://khan.childrensmn.org/Manuals/Lab/SOP/Chem/Procedure/206820.pdf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Ammonia</dc:title>
  <dc:creator>CE080372</dc:creator>
  <dc:description>biennial review, updated pdf to docx 6/13/17 ERB_x000d_
9/6/17 Updated interferences per package insert from Siemens.</dc:description>
  <cp:lastModifiedBy>CE155076</cp:lastModifiedBy>
  <cp:revision>2</cp:revision>
  <cp:lastPrinted>2011-06-16T20:39:00Z</cp:lastPrinted>
  <dcterms:created xsi:type="dcterms:W3CDTF">2018-10-16T12:05:00Z</dcterms:created>
  <dcterms:modified xsi:type="dcterms:W3CDTF">2018-10-16T12:05:00Z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4e7d422d-a0bd-4535-9f80-3130b65c2be7</vt:lpwstr>
  </property>
</Properties>
</file>