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772"/>
        <w:gridCol w:w="308"/>
        <w:gridCol w:w="1800"/>
        <w:gridCol w:w="360"/>
        <w:gridCol w:w="1620"/>
        <w:gridCol w:w="4500"/>
      </w:tblGrid>
      <w:tr w:rsidR="00D444F4">
        <w:trPr>
          <w:cantSplit/>
        </w:trPr>
        <w:tc>
          <w:tcPr>
            <w:tcW w:w="10980" w:type="dxa"/>
            <w:gridSpan w:val="7"/>
            <w:tcBorders>
              <w:top w:val="nil"/>
              <w:left w:val="nil"/>
              <w:bottom w:val="nil"/>
              <w:right w:val="nil"/>
            </w:tcBorders>
          </w:tcPr>
          <w:p w:rsidR="00D444F4" w:rsidRDefault="00B5104A">
            <w:pPr>
              <w:rPr>
                <w:rFonts w:ascii="Arial" w:hAnsi="Arial" w:cs="Arial"/>
                <w:b/>
                <w:bCs/>
                <w:color w:val="3366FF"/>
                <w:sz w:val="36"/>
              </w:rPr>
            </w:pPr>
            <w:bookmarkStart w:id="0" w:name="_GoBack"/>
            <w:bookmarkEnd w:id="0"/>
            <w:r>
              <w:rPr>
                <w:rFonts w:ascii="Arial" w:hAnsi="Arial" w:cs="Arial"/>
                <w:b/>
                <w:bCs/>
                <w:color w:val="3366FF"/>
                <w:sz w:val="36"/>
              </w:rPr>
              <w:t>Using Hemotemp Indicators</w:t>
            </w:r>
          </w:p>
          <w:p w:rsidR="00D444F4" w:rsidRDefault="00D444F4">
            <w:pPr>
              <w:pStyle w:val="BodyText"/>
              <w:rPr>
                <w:rFonts w:ascii="Arial" w:hAnsi="Arial" w:cs="Arial"/>
                <w:sz w:val="24"/>
              </w:rPr>
            </w:pPr>
          </w:p>
        </w:tc>
      </w:tr>
      <w:tr w:rsidR="00D444F4">
        <w:trPr>
          <w:cantSplit/>
          <w:trHeight w:val="780"/>
        </w:trPr>
        <w:tc>
          <w:tcPr>
            <w:tcW w:w="1620" w:type="dxa"/>
            <w:tcBorders>
              <w:top w:val="nil"/>
              <w:left w:val="nil"/>
              <w:bottom w:val="nil"/>
              <w:right w:val="nil"/>
            </w:tcBorders>
          </w:tcPr>
          <w:p w:rsidR="00D444F4" w:rsidRDefault="00D444F4">
            <w:pPr>
              <w:pStyle w:val="Header"/>
              <w:tabs>
                <w:tab w:val="clear" w:pos="4320"/>
                <w:tab w:val="clear" w:pos="8640"/>
              </w:tabs>
              <w:rPr>
                <w:rFonts w:ascii="Arial" w:hAnsi="Arial" w:cs="Arial"/>
                <w:b/>
                <w:sz w:val="20"/>
              </w:rPr>
            </w:pPr>
          </w:p>
          <w:p w:rsidR="00D444F4" w:rsidRDefault="00B5104A">
            <w:pPr>
              <w:rPr>
                <w:rFonts w:ascii="Arial" w:hAnsi="Arial" w:cs="Arial"/>
                <w:b/>
                <w:bCs/>
                <w:color w:val="3366FF"/>
                <w:sz w:val="20"/>
              </w:rPr>
            </w:pPr>
            <w:r>
              <w:rPr>
                <w:rFonts w:ascii="Arial" w:hAnsi="Arial" w:cs="Arial"/>
                <w:b/>
                <w:bCs/>
                <w:color w:val="3366FF"/>
                <w:sz w:val="20"/>
              </w:rPr>
              <w:t>Purpose</w:t>
            </w:r>
          </w:p>
        </w:tc>
        <w:tc>
          <w:tcPr>
            <w:tcW w:w="9360" w:type="dxa"/>
            <w:gridSpan w:val="6"/>
            <w:tcBorders>
              <w:top w:val="single" w:sz="12" w:space="0" w:color="C0C0C0"/>
              <w:left w:val="nil"/>
              <w:bottom w:val="single" w:sz="12" w:space="0" w:color="C0C0C0"/>
              <w:right w:val="nil"/>
            </w:tcBorders>
          </w:tcPr>
          <w:p w:rsidR="00D444F4" w:rsidRDefault="00D444F4">
            <w:pPr>
              <w:pStyle w:val="BodyText"/>
              <w:jc w:val="left"/>
              <w:rPr>
                <w:rFonts w:ascii="Arial" w:hAnsi="Arial" w:cs="Arial"/>
              </w:rPr>
            </w:pPr>
          </w:p>
          <w:p w:rsidR="00D444F4" w:rsidRDefault="00B5104A">
            <w:pPr>
              <w:pStyle w:val="TableText"/>
              <w:autoSpaceDE/>
              <w:autoSpaceDN/>
              <w:rPr>
                <w:rFonts w:ascii="Arial" w:hAnsi="Arial" w:cs="Arial"/>
              </w:rPr>
            </w:pPr>
            <w:r>
              <w:rPr>
                <w:rFonts w:ascii="Arial" w:hAnsi="Arial" w:cs="Arial"/>
              </w:rPr>
              <w:t xml:space="preserve">This procedure provides instructions for </w:t>
            </w:r>
            <w:r>
              <w:rPr>
                <w:rFonts w:ascii="Arial" w:hAnsi="Arial"/>
              </w:rPr>
              <w:t>the</w:t>
            </w:r>
            <w:r w:rsidR="00E74B4C">
              <w:rPr>
                <w:rFonts w:ascii="Arial" w:hAnsi="Arial"/>
              </w:rPr>
              <w:t xml:space="preserve"> calibration and</w:t>
            </w:r>
            <w:r>
              <w:rPr>
                <w:rFonts w:ascii="Arial" w:hAnsi="Arial"/>
              </w:rPr>
              <w:t xml:space="preserve"> use of Hemotemp indicators on red cell units issued in coolers or to surgery.</w:t>
            </w:r>
          </w:p>
        </w:tc>
      </w:tr>
      <w:tr w:rsidR="00D444F4">
        <w:trPr>
          <w:cantSplit/>
          <w:trHeight w:val="627"/>
        </w:trPr>
        <w:tc>
          <w:tcPr>
            <w:tcW w:w="1620" w:type="dxa"/>
            <w:tcBorders>
              <w:top w:val="nil"/>
              <w:left w:val="nil"/>
              <w:bottom w:val="nil"/>
              <w:right w:val="nil"/>
            </w:tcBorders>
          </w:tcPr>
          <w:p w:rsidR="00D444F4" w:rsidRDefault="00D444F4">
            <w:pPr>
              <w:rPr>
                <w:rFonts w:ascii="Arial" w:hAnsi="Arial" w:cs="Arial"/>
                <w:b/>
                <w:bCs/>
                <w:color w:val="3366FF"/>
                <w:sz w:val="20"/>
              </w:rPr>
            </w:pPr>
          </w:p>
          <w:p w:rsidR="00D444F4" w:rsidRDefault="00B5104A">
            <w:pPr>
              <w:rPr>
                <w:rFonts w:ascii="Arial" w:hAnsi="Arial" w:cs="Arial"/>
                <w:b/>
                <w:bCs/>
                <w:color w:val="3366FF"/>
                <w:sz w:val="20"/>
              </w:rPr>
            </w:pPr>
            <w:r>
              <w:rPr>
                <w:rFonts w:ascii="Arial" w:hAnsi="Arial" w:cs="Arial"/>
                <w:b/>
                <w:bCs/>
                <w:color w:val="3366FF"/>
                <w:sz w:val="20"/>
              </w:rPr>
              <w:t>Policy Statements</w:t>
            </w:r>
          </w:p>
        </w:tc>
        <w:tc>
          <w:tcPr>
            <w:tcW w:w="9360" w:type="dxa"/>
            <w:gridSpan w:val="6"/>
            <w:tcBorders>
              <w:top w:val="single" w:sz="12" w:space="0" w:color="C0C0C0"/>
              <w:left w:val="nil"/>
              <w:bottom w:val="single" w:sz="12" w:space="0" w:color="C0C0C0"/>
              <w:right w:val="nil"/>
            </w:tcBorders>
          </w:tcPr>
          <w:p w:rsidR="00D444F4" w:rsidRDefault="00D444F4">
            <w:pPr>
              <w:ind w:left="360"/>
              <w:jc w:val="left"/>
              <w:rPr>
                <w:rFonts w:ascii="Arial" w:hAnsi="Arial" w:cs="Arial"/>
                <w:iCs/>
                <w:sz w:val="20"/>
              </w:rPr>
            </w:pPr>
          </w:p>
          <w:p w:rsidR="00D444F4" w:rsidRDefault="00B5104A" w:rsidP="00B5104A">
            <w:pPr>
              <w:numPr>
                <w:ilvl w:val="0"/>
                <w:numId w:val="2"/>
              </w:numPr>
              <w:tabs>
                <w:tab w:val="left" w:pos="252"/>
              </w:tabs>
              <w:jc w:val="left"/>
              <w:rPr>
                <w:rFonts w:ascii="Arial" w:hAnsi="Arial"/>
                <w:sz w:val="20"/>
              </w:rPr>
            </w:pPr>
            <w:r>
              <w:rPr>
                <w:rFonts w:ascii="Arial" w:hAnsi="Arial"/>
                <w:sz w:val="20"/>
              </w:rPr>
              <w:t>Hemotemp indicators should not be the sole method of determining the clinical acceptability of blood.</w:t>
            </w:r>
          </w:p>
          <w:p w:rsidR="00D444F4" w:rsidRDefault="00B5104A" w:rsidP="00B5104A">
            <w:pPr>
              <w:numPr>
                <w:ilvl w:val="0"/>
                <w:numId w:val="2"/>
              </w:numPr>
              <w:tabs>
                <w:tab w:val="left" w:pos="252"/>
              </w:tabs>
              <w:jc w:val="left"/>
              <w:rPr>
                <w:rFonts w:ascii="Arial" w:hAnsi="Arial"/>
                <w:sz w:val="20"/>
              </w:rPr>
            </w:pPr>
            <w:r>
              <w:rPr>
                <w:rFonts w:ascii="Arial" w:hAnsi="Arial"/>
                <w:sz w:val="20"/>
              </w:rPr>
              <w:t>Hemotemp indicators shall be used on all red cell units issued in cooler or to a remote blood bank storage refrigerator.</w:t>
            </w:r>
          </w:p>
          <w:p w:rsidR="00D444F4" w:rsidRDefault="00B5104A" w:rsidP="00B5104A">
            <w:pPr>
              <w:numPr>
                <w:ilvl w:val="0"/>
                <w:numId w:val="2"/>
              </w:numPr>
              <w:tabs>
                <w:tab w:val="left" w:pos="252"/>
              </w:tabs>
              <w:jc w:val="left"/>
              <w:rPr>
                <w:rFonts w:ascii="Arial" w:hAnsi="Arial"/>
                <w:sz w:val="20"/>
              </w:rPr>
            </w:pPr>
            <w:r>
              <w:rPr>
                <w:rFonts w:ascii="Arial" w:hAnsi="Arial"/>
                <w:sz w:val="20"/>
              </w:rPr>
              <w:t>Hemotemp indicators are not appropriate for use for red cell products issued in syringes.</w:t>
            </w:r>
          </w:p>
          <w:p w:rsidR="00D444F4" w:rsidRDefault="00B5104A" w:rsidP="00B5104A">
            <w:pPr>
              <w:numPr>
                <w:ilvl w:val="0"/>
                <w:numId w:val="2"/>
              </w:numPr>
              <w:tabs>
                <w:tab w:val="left" w:pos="252"/>
              </w:tabs>
              <w:jc w:val="left"/>
              <w:rPr>
                <w:rFonts w:ascii="Arial" w:hAnsi="Arial"/>
                <w:sz w:val="20"/>
              </w:rPr>
            </w:pPr>
            <w:r>
              <w:rPr>
                <w:rFonts w:ascii="Arial" w:hAnsi="Arial"/>
                <w:sz w:val="20"/>
              </w:rPr>
              <w:t>Indicators may be stored at 38-42</w:t>
            </w:r>
            <w:r>
              <w:rPr>
                <w:rFonts w:ascii="Arial" w:hAnsi="Arial"/>
                <w:sz w:val="20"/>
              </w:rPr>
              <w:sym w:font="Symbol" w:char="F0B0"/>
            </w:r>
            <w:r>
              <w:rPr>
                <w:rFonts w:ascii="Arial" w:hAnsi="Arial"/>
                <w:sz w:val="20"/>
              </w:rPr>
              <w:t>C for up to 4 weeks.</w:t>
            </w:r>
          </w:p>
          <w:p w:rsidR="00D444F4" w:rsidRDefault="00B5104A" w:rsidP="00B5104A">
            <w:pPr>
              <w:numPr>
                <w:ilvl w:val="0"/>
                <w:numId w:val="2"/>
              </w:numPr>
              <w:tabs>
                <w:tab w:val="left" w:pos="252"/>
              </w:tabs>
              <w:jc w:val="left"/>
              <w:rPr>
                <w:rFonts w:ascii="Arial" w:hAnsi="Arial" w:cs="Arial"/>
                <w:iCs/>
                <w:sz w:val="20"/>
              </w:rPr>
            </w:pPr>
            <w:r>
              <w:rPr>
                <w:rFonts w:ascii="Arial" w:hAnsi="Arial"/>
                <w:sz w:val="20"/>
              </w:rPr>
              <w:t>The irreversible “flower” portion is dependent on both temperature and time.</w:t>
            </w:r>
          </w:p>
          <w:p w:rsidR="00D444F4" w:rsidRPr="00E74B4C" w:rsidRDefault="00B5104A" w:rsidP="00B5104A">
            <w:pPr>
              <w:numPr>
                <w:ilvl w:val="0"/>
                <w:numId w:val="2"/>
              </w:numPr>
              <w:tabs>
                <w:tab w:val="left" w:pos="252"/>
              </w:tabs>
              <w:jc w:val="left"/>
              <w:rPr>
                <w:rFonts w:ascii="Arial" w:hAnsi="Arial" w:cs="Arial"/>
                <w:iCs/>
                <w:sz w:val="20"/>
              </w:rPr>
            </w:pPr>
            <w:r>
              <w:rPr>
                <w:rFonts w:ascii="Arial" w:hAnsi="Arial"/>
                <w:sz w:val="20"/>
              </w:rPr>
              <w:t>The blood bag must be stored at 1-3</w:t>
            </w:r>
            <w:r>
              <w:rPr>
                <w:rFonts w:ascii="Arial" w:hAnsi="Arial"/>
                <w:sz w:val="20"/>
              </w:rPr>
              <w:sym w:font="Symbol" w:char="F0B0"/>
            </w:r>
            <w:r>
              <w:rPr>
                <w:rFonts w:ascii="Arial" w:hAnsi="Arial"/>
                <w:sz w:val="20"/>
              </w:rPr>
              <w:t>C for t least 10 hours prior to activation of the HemoTemp® II indicator.</w:t>
            </w:r>
          </w:p>
          <w:p w:rsidR="00E74B4C" w:rsidRDefault="00E74B4C" w:rsidP="00B5104A">
            <w:pPr>
              <w:numPr>
                <w:ilvl w:val="0"/>
                <w:numId w:val="2"/>
              </w:numPr>
              <w:tabs>
                <w:tab w:val="left" w:pos="252"/>
              </w:tabs>
              <w:jc w:val="left"/>
              <w:rPr>
                <w:rFonts w:ascii="Arial" w:hAnsi="Arial" w:cs="Arial"/>
                <w:iCs/>
                <w:sz w:val="20"/>
              </w:rPr>
            </w:pPr>
            <w:r>
              <w:rPr>
                <w:rFonts w:ascii="Arial" w:hAnsi="Arial"/>
                <w:sz w:val="20"/>
              </w:rPr>
              <w:t>Each new lot of HemoTemp indicators will be calibrated before use.</w:t>
            </w:r>
          </w:p>
          <w:p w:rsidR="00D444F4" w:rsidRDefault="00D444F4">
            <w:pPr>
              <w:tabs>
                <w:tab w:val="left" w:pos="432"/>
              </w:tabs>
              <w:ind w:left="72"/>
              <w:jc w:val="left"/>
              <w:rPr>
                <w:rFonts w:ascii="Arial" w:hAnsi="Arial" w:cs="Arial"/>
                <w:iCs/>
                <w:sz w:val="20"/>
              </w:rPr>
            </w:pPr>
          </w:p>
        </w:tc>
      </w:tr>
      <w:tr w:rsidR="00D444F4">
        <w:trPr>
          <w:cantSplit/>
          <w:trHeight w:val="150"/>
        </w:trPr>
        <w:tc>
          <w:tcPr>
            <w:tcW w:w="1620" w:type="dxa"/>
            <w:tcBorders>
              <w:top w:val="nil"/>
              <w:left w:val="nil"/>
              <w:bottom w:val="nil"/>
              <w:right w:val="nil"/>
            </w:tcBorders>
          </w:tcPr>
          <w:p w:rsidR="00D444F4" w:rsidRDefault="00D444F4">
            <w:pPr>
              <w:rPr>
                <w:rFonts w:ascii="Arial" w:hAnsi="Arial" w:cs="Arial"/>
                <w:b/>
                <w:color w:val="3366FF"/>
                <w:sz w:val="20"/>
              </w:rPr>
            </w:pPr>
          </w:p>
          <w:p w:rsidR="00D444F4" w:rsidRDefault="00B5104A">
            <w:pPr>
              <w:rPr>
                <w:rFonts w:ascii="Arial" w:hAnsi="Arial" w:cs="Arial"/>
                <w:b/>
                <w:bCs/>
                <w:color w:val="3366FF"/>
                <w:sz w:val="20"/>
              </w:rPr>
            </w:pPr>
            <w:r>
              <w:rPr>
                <w:rFonts w:ascii="Arial" w:hAnsi="Arial" w:cs="Arial"/>
                <w:b/>
                <w:color w:val="3366FF"/>
                <w:sz w:val="20"/>
              </w:rPr>
              <w:t>Materials</w:t>
            </w:r>
          </w:p>
        </w:tc>
        <w:tc>
          <w:tcPr>
            <w:tcW w:w="9360" w:type="dxa"/>
            <w:gridSpan w:val="6"/>
            <w:tcBorders>
              <w:top w:val="single" w:sz="12" w:space="0" w:color="C0C0C0"/>
              <w:left w:val="nil"/>
              <w:bottom w:val="single" w:sz="6" w:space="0" w:color="auto"/>
              <w:right w:val="nil"/>
            </w:tcBorders>
          </w:tcPr>
          <w:p w:rsidR="00D444F4" w:rsidRDefault="00D444F4">
            <w:pPr>
              <w:ind w:left="360"/>
              <w:jc w:val="left"/>
              <w:rPr>
                <w:rFonts w:ascii="Arial" w:hAnsi="Arial"/>
                <w:sz w:val="20"/>
              </w:rPr>
            </w:pPr>
          </w:p>
          <w:p w:rsidR="00D444F4" w:rsidRDefault="00B5104A" w:rsidP="00B5104A">
            <w:pPr>
              <w:numPr>
                <w:ilvl w:val="0"/>
                <w:numId w:val="3"/>
              </w:numPr>
              <w:jc w:val="left"/>
              <w:rPr>
                <w:rFonts w:ascii="Arial" w:hAnsi="Arial"/>
                <w:sz w:val="20"/>
              </w:rPr>
            </w:pPr>
            <w:r>
              <w:rPr>
                <w:rFonts w:ascii="Arial" w:hAnsi="Arial"/>
                <w:sz w:val="20"/>
              </w:rPr>
              <w:t>Hemotemp indicator</w:t>
            </w:r>
          </w:p>
          <w:p w:rsidR="00D444F4" w:rsidRDefault="00B5104A" w:rsidP="00B5104A">
            <w:pPr>
              <w:numPr>
                <w:ilvl w:val="0"/>
                <w:numId w:val="3"/>
              </w:numPr>
              <w:jc w:val="left"/>
              <w:rPr>
                <w:rFonts w:ascii="Arial" w:hAnsi="Arial" w:cs="Arial"/>
                <w:iCs/>
                <w:sz w:val="20"/>
              </w:rPr>
            </w:pPr>
            <w:r>
              <w:rPr>
                <w:rFonts w:ascii="Arial" w:hAnsi="Arial"/>
                <w:sz w:val="20"/>
              </w:rPr>
              <w:t>40</w:t>
            </w:r>
            <w:r>
              <w:rPr>
                <w:rFonts w:ascii="Arial" w:hAnsi="Arial"/>
                <w:sz w:val="20"/>
              </w:rPr>
              <w:sym w:font="Symbol" w:char="F0B0"/>
            </w:r>
            <w:r>
              <w:rPr>
                <w:rFonts w:ascii="Arial" w:hAnsi="Arial"/>
                <w:sz w:val="20"/>
              </w:rPr>
              <w:t>C heated block</w:t>
            </w:r>
          </w:p>
          <w:p w:rsidR="00D444F4" w:rsidRDefault="00D444F4">
            <w:pPr>
              <w:ind w:left="360"/>
              <w:jc w:val="left"/>
              <w:rPr>
                <w:rFonts w:ascii="Arial" w:hAnsi="Arial" w:cs="Arial"/>
                <w:iCs/>
                <w:sz w:val="20"/>
              </w:rPr>
            </w:pPr>
          </w:p>
        </w:tc>
      </w:tr>
      <w:tr w:rsidR="00D444F4">
        <w:tc>
          <w:tcPr>
            <w:tcW w:w="1620" w:type="dxa"/>
            <w:tcBorders>
              <w:top w:val="nil"/>
              <w:left w:val="nil"/>
              <w:bottom w:val="nil"/>
              <w:right w:val="nil"/>
            </w:tcBorders>
          </w:tcPr>
          <w:p w:rsidR="00D444F4" w:rsidRDefault="00D444F4">
            <w:pPr>
              <w:rPr>
                <w:rFonts w:ascii="Arial" w:hAnsi="Arial" w:cs="Arial"/>
                <w:b/>
                <w:color w:val="3366FF"/>
                <w:sz w:val="20"/>
              </w:rPr>
            </w:pPr>
          </w:p>
          <w:p w:rsidR="00D444F4" w:rsidRDefault="00B5104A">
            <w:pPr>
              <w:jc w:val="left"/>
              <w:rPr>
                <w:rFonts w:ascii="Arial" w:hAnsi="Arial" w:cs="Arial"/>
                <w:color w:val="3366FF"/>
                <w:sz w:val="20"/>
              </w:rPr>
            </w:pPr>
            <w:r>
              <w:rPr>
                <w:rFonts w:ascii="Arial" w:hAnsi="Arial" w:cs="Arial"/>
                <w:b/>
                <w:color w:val="3366FF"/>
                <w:sz w:val="20"/>
              </w:rPr>
              <w:t>Procedure</w:t>
            </w:r>
          </w:p>
        </w:tc>
        <w:tc>
          <w:tcPr>
            <w:tcW w:w="9360" w:type="dxa"/>
            <w:gridSpan w:val="6"/>
            <w:tcBorders>
              <w:top w:val="single" w:sz="12" w:space="0" w:color="C0C0C0"/>
              <w:left w:val="nil"/>
              <w:bottom w:val="single" w:sz="4" w:space="0" w:color="auto"/>
              <w:right w:val="nil"/>
            </w:tcBorders>
          </w:tcPr>
          <w:p w:rsidR="00D444F4" w:rsidRDefault="00D444F4">
            <w:pPr>
              <w:jc w:val="left"/>
              <w:rPr>
                <w:rFonts w:ascii="Arial" w:hAnsi="Arial" w:cs="Arial"/>
                <w:sz w:val="20"/>
              </w:rPr>
            </w:pPr>
          </w:p>
          <w:p w:rsidR="00D444F4" w:rsidRDefault="00D444F4">
            <w:pPr>
              <w:jc w:val="left"/>
              <w:rPr>
                <w:rFonts w:ascii="Arial" w:hAnsi="Arial" w:cs="Arial"/>
                <w:sz w:val="20"/>
              </w:rPr>
            </w:pPr>
          </w:p>
        </w:tc>
      </w:tr>
      <w:tr w:rsidR="00D444F4">
        <w:trPr>
          <w:cantSplit/>
        </w:trPr>
        <w:tc>
          <w:tcPr>
            <w:tcW w:w="1620" w:type="dxa"/>
            <w:tcBorders>
              <w:top w:val="nil"/>
              <w:left w:val="nil"/>
              <w:bottom w:val="nil"/>
              <w:right w:val="single" w:sz="4" w:space="0" w:color="auto"/>
            </w:tcBorders>
          </w:tcPr>
          <w:p w:rsidR="00D444F4" w:rsidRDefault="00D444F4">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D444F4" w:rsidRDefault="00B5104A">
            <w:pPr>
              <w:jc w:val="center"/>
              <w:rPr>
                <w:rFonts w:ascii="Arial" w:hAnsi="Arial" w:cs="Arial"/>
              </w:rPr>
            </w:pPr>
            <w:r>
              <w:rPr>
                <w:rFonts w:ascii="Arial" w:hAnsi="Arial" w:cs="Arial"/>
                <w:b/>
                <w:bCs/>
                <w:sz w:val="20"/>
              </w:rPr>
              <w:t>Step</w:t>
            </w:r>
          </w:p>
        </w:tc>
        <w:tc>
          <w:tcPr>
            <w:tcW w:w="8588" w:type="dxa"/>
            <w:gridSpan w:val="5"/>
            <w:tcBorders>
              <w:top w:val="single" w:sz="4" w:space="0" w:color="auto"/>
              <w:left w:val="single" w:sz="4" w:space="0" w:color="auto"/>
              <w:bottom w:val="single" w:sz="4" w:space="0" w:color="auto"/>
            </w:tcBorders>
            <w:shd w:val="clear" w:color="auto" w:fill="F3F3F3"/>
          </w:tcPr>
          <w:p w:rsidR="00D444F4" w:rsidRDefault="00B5104A">
            <w:pPr>
              <w:pStyle w:val="TableHeaderText"/>
              <w:autoSpaceDE/>
              <w:autoSpaceDN/>
              <w:rPr>
                <w:rFonts w:ascii="Arial" w:hAnsi="Arial" w:cs="Arial"/>
              </w:rPr>
            </w:pPr>
            <w:r>
              <w:rPr>
                <w:rFonts w:ascii="Arial" w:hAnsi="Arial" w:cs="Arial"/>
              </w:rPr>
              <w:t>Action</w:t>
            </w:r>
          </w:p>
        </w:tc>
      </w:tr>
      <w:tr w:rsidR="00D444F4">
        <w:trPr>
          <w:cantSplit/>
        </w:trPr>
        <w:tc>
          <w:tcPr>
            <w:tcW w:w="1620" w:type="dxa"/>
            <w:tcBorders>
              <w:top w:val="nil"/>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D444F4" w:rsidRDefault="00B5104A">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6" w:space="0" w:color="auto"/>
            </w:tcBorders>
          </w:tcPr>
          <w:p w:rsidR="00D444F4" w:rsidRDefault="00B5104A">
            <w:pPr>
              <w:jc w:val="left"/>
              <w:rPr>
                <w:rFonts w:ascii="Arial" w:hAnsi="Arial"/>
                <w:sz w:val="20"/>
              </w:rPr>
            </w:pPr>
            <w:r>
              <w:rPr>
                <w:rFonts w:ascii="Arial" w:hAnsi="Arial"/>
                <w:sz w:val="20"/>
              </w:rPr>
              <w:t>Pull strip from the box and tear off the required number of individual indicators at the perforation leaving the backing on.</w:t>
            </w:r>
          </w:p>
          <w:p w:rsidR="00D444F4" w:rsidRDefault="00D444F4">
            <w:pPr>
              <w:jc w:val="left"/>
              <w:rPr>
                <w:rFonts w:ascii="Arial" w:hAnsi="Arial"/>
                <w:sz w:val="20"/>
              </w:rPr>
            </w:pPr>
          </w:p>
        </w:tc>
      </w:tr>
      <w:tr w:rsidR="00D444F4">
        <w:trPr>
          <w:cantSplit/>
        </w:trPr>
        <w:tc>
          <w:tcPr>
            <w:tcW w:w="1620" w:type="dxa"/>
            <w:tcBorders>
              <w:top w:val="nil"/>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D444F4" w:rsidRDefault="00B5104A">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nil"/>
            </w:tcBorders>
          </w:tcPr>
          <w:p w:rsidR="00D444F4" w:rsidRDefault="00B5104A">
            <w:pPr>
              <w:jc w:val="left"/>
              <w:rPr>
                <w:rFonts w:ascii="Arial" w:hAnsi="Arial"/>
                <w:sz w:val="20"/>
              </w:rPr>
            </w:pPr>
            <w:r>
              <w:rPr>
                <w:rFonts w:ascii="Arial" w:hAnsi="Arial"/>
                <w:sz w:val="20"/>
              </w:rPr>
              <w:t>Confirm that the irreversible flower portion is non-blue.</w:t>
            </w:r>
          </w:p>
          <w:p w:rsidR="00D444F4" w:rsidRDefault="00D444F4">
            <w:pPr>
              <w:jc w:val="left"/>
              <w:rPr>
                <w:rFonts w:ascii="Arial" w:hAnsi="Arial"/>
                <w:sz w:val="20"/>
              </w:rPr>
            </w:pPr>
          </w:p>
        </w:tc>
      </w:tr>
      <w:tr w:rsidR="00D444F4">
        <w:trPr>
          <w:cantSplit/>
          <w:trHeight w:val="372"/>
        </w:trPr>
        <w:tc>
          <w:tcPr>
            <w:tcW w:w="1620" w:type="dxa"/>
            <w:tcBorders>
              <w:top w:val="nil"/>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D444F4" w:rsidRDefault="00B5104A">
            <w:pPr>
              <w:jc w:val="center"/>
              <w:rPr>
                <w:rFonts w:ascii="Arial" w:hAnsi="Arial" w:cs="Arial"/>
                <w:sz w:val="20"/>
              </w:rPr>
            </w:pPr>
            <w:r>
              <w:rPr>
                <w:rFonts w:ascii="Arial" w:hAnsi="Arial" w:cs="Arial"/>
                <w:sz w:val="20"/>
              </w:rPr>
              <w:t>3</w:t>
            </w:r>
          </w:p>
        </w:tc>
        <w:tc>
          <w:tcPr>
            <w:tcW w:w="8588" w:type="dxa"/>
            <w:gridSpan w:val="5"/>
            <w:tcBorders>
              <w:left w:val="single" w:sz="6" w:space="0" w:color="auto"/>
              <w:right w:val="single" w:sz="4" w:space="0" w:color="auto"/>
            </w:tcBorders>
          </w:tcPr>
          <w:p w:rsidR="00D444F4" w:rsidRDefault="00B5104A">
            <w:pPr>
              <w:jc w:val="left"/>
              <w:rPr>
                <w:rFonts w:ascii="Arial" w:hAnsi="Arial"/>
                <w:sz w:val="20"/>
              </w:rPr>
            </w:pPr>
            <w:r>
              <w:rPr>
                <w:rFonts w:ascii="Arial" w:hAnsi="Arial"/>
                <w:sz w:val="20"/>
              </w:rPr>
              <w:t>Write today’s date on bottom of indicator.</w:t>
            </w:r>
          </w:p>
          <w:p w:rsidR="00D444F4" w:rsidRDefault="00D444F4">
            <w:pPr>
              <w:jc w:val="left"/>
              <w:rPr>
                <w:rFonts w:ascii="Arial" w:hAnsi="Arial"/>
                <w:color w:val="FF0000"/>
                <w:sz w:val="20"/>
              </w:rPr>
            </w:pPr>
          </w:p>
        </w:tc>
      </w:tr>
      <w:tr w:rsidR="00D444F4">
        <w:trPr>
          <w:cantSplit/>
        </w:trPr>
        <w:tc>
          <w:tcPr>
            <w:tcW w:w="1620" w:type="dxa"/>
            <w:tcBorders>
              <w:top w:val="nil"/>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D444F4" w:rsidRDefault="00B5104A">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rsidR="00D444F4" w:rsidRDefault="00B5104A">
            <w:pPr>
              <w:jc w:val="left"/>
              <w:rPr>
                <w:rFonts w:ascii="Arial" w:hAnsi="Arial"/>
                <w:sz w:val="20"/>
              </w:rPr>
            </w:pPr>
            <w:r>
              <w:rPr>
                <w:rFonts w:ascii="Arial" w:hAnsi="Arial"/>
                <w:sz w:val="20"/>
              </w:rPr>
              <w:t>Heat the indicator to 38-42</w:t>
            </w:r>
            <w:r>
              <w:rPr>
                <w:rFonts w:ascii="Arial" w:hAnsi="Arial"/>
                <w:sz w:val="20"/>
              </w:rPr>
              <w:sym w:font="Symbol" w:char="F0B0"/>
            </w:r>
            <w:r>
              <w:rPr>
                <w:rFonts w:ascii="Arial" w:hAnsi="Arial"/>
                <w:sz w:val="20"/>
              </w:rPr>
              <w:t xml:space="preserve">C for 60 seconds or longer by placing the irreversible flower portion facing down into the heating block. </w:t>
            </w:r>
          </w:p>
          <w:p w:rsidR="00D444F4" w:rsidRDefault="00B5104A" w:rsidP="00B5104A">
            <w:pPr>
              <w:numPr>
                <w:ilvl w:val="0"/>
                <w:numId w:val="4"/>
              </w:numPr>
              <w:jc w:val="left"/>
              <w:rPr>
                <w:rFonts w:ascii="Arial" w:hAnsi="Arial"/>
                <w:sz w:val="20"/>
              </w:rPr>
            </w:pPr>
            <w:r>
              <w:rPr>
                <w:rFonts w:ascii="Arial" w:hAnsi="Arial"/>
                <w:sz w:val="20"/>
              </w:rPr>
              <w:t>Do not use a microwave oven or other heat source</w:t>
            </w:r>
          </w:p>
          <w:p w:rsidR="00D444F4" w:rsidRDefault="00B5104A">
            <w:pPr>
              <w:jc w:val="left"/>
              <w:rPr>
                <w:rFonts w:ascii="Arial" w:hAnsi="Arial"/>
                <w:sz w:val="20"/>
              </w:rPr>
            </w:pPr>
            <w:r>
              <w:rPr>
                <w:rFonts w:ascii="Arial" w:hAnsi="Arial"/>
                <w:color w:val="FF0000"/>
                <w:sz w:val="20"/>
              </w:rPr>
              <w:t>Note: Indicators may be stored up to 4 weeks in incubator.</w:t>
            </w:r>
          </w:p>
        </w:tc>
      </w:tr>
      <w:tr w:rsidR="00D444F4">
        <w:trPr>
          <w:cantSplit/>
        </w:trPr>
        <w:tc>
          <w:tcPr>
            <w:tcW w:w="1620" w:type="dxa"/>
            <w:tcBorders>
              <w:top w:val="nil"/>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D444F4" w:rsidRDefault="00B5104A">
            <w:pPr>
              <w:jc w:val="center"/>
              <w:rPr>
                <w:rFonts w:ascii="Arial" w:hAnsi="Arial"/>
                <w:sz w:val="20"/>
              </w:rPr>
            </w:pPr>
            <w:r>
              <w:rPr>
                <w:rFonts w:ascii="Arial" w:hAnsi="Arial"/>
                <w:sz w:val="20"/>
              </w:rPr>
              <w:t>5</w:t>
            </w:r>
          </w:p>
        </w:tc>
        <w:tc>
          <w:tcPr>
            <w:tcW w:w="8588" w:type="dxa"/>
            <w:gridSpan w:val="5"/>
            <w:tcBorders>
              <w:left w:val="single" w:sz="6" w:space="0" w:color="auto"/>
              <w:bottom w:val="single" w:sz="4" w:space="0" w:color="auto"/>
            </w:tcBorders>
          </w:tcPr>
          <w:p w:rsidR="00D444F4" w:rsidRDefault="00B5104A">
            <w:pPr>
              <w:jc w:val="left"/>
              <w:rPr>
                <w:rFonts w:ascii="Arial" w:hAnsi="Arial"/>
                <w:sz w:val="20"/>
              </w:rPr>
            </w:pPr>
            <w:r>
              <w:rPr>
                <w:rFonts w:ascii="Arial" w:hAnsi="Arial"/>
                <w:sz w:val="20"/>
              </w:rPr>
              <w:t xml:space="preserve"> Confirm that the flower is blue and you see the outline of the irreversible “flower” portion..</w:t>
            </w:r>
          </w:p>
          <w:p w:rsidR="00D444F4" w:rsidRDefault="00D444F4">
            <w:pPr>
              <w:pStyle w:val="TableText"/>
              <w:autoSpaceDE/>
              <w:autoSpaceDN/>
              <w:rPr>
                <w:rFonts w:ascii="Arial" w:hAnsi="Arial"/>
              </w:rPr>
            </w:pPr>
          </w:p>
        </w:tc>
      </w:tr>
      <w:tr w:rsidR="00D444F4">
        <w:trPr>
          <w:cantSplit/>
        </w:trPr>
        <w:tc>
          <w:tcPr>
            <w:tcW w:w="1620" w:type="dxa"/>
            <w:tcBorders>
              <w:top w:val="nil"/>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D444F4" w:rsidRDefault="00B5104A">
            <w:pPr>
              <w:jc w:val="center"/>
              <w:rPr>
                <w:rFonts w:ascii="Arial" w:hAnsi="Arial"/>
                <w:sz w:val="20"/>
              </w:rPr>
            </w:pPr>
            <w:r>
              <w:rPr>
                <w:rFonts w:ascii="Arial" w:hAnsi="Arial"/>
                <w:sz w:val="20"/>
              </w:rPr>
              <w:t>6</w:t>
            </w:r>
          </w:p>
        </w:tc>
        <w:tc>
          <w:tcPr>
            <w:tcW w:w="8588" w:type="dxa"/>
            <w:gridSpan w:val="5"/>
            <w:tcBorders>
              <w:left w:val="single" w:sz="6" w:space="0" w:color="auto"/>
              <w:bottom w:val="single" w:sz="4" w:space="0" w:color="auto"/>
            </w:tcBorders>
          </w:tcPr>
          <w:p w:rsidR="00D444F4" w:rsidRDefault="00B5104A">
            <w:pPr>
              <w:jc w:val="left"/>
              <w:rPr>
                <w:rFonts w:ascii="Arial" w:hAnsi="Arial"/>
                <w:sz w:val="20"/>
              </w:rPr>
            </w:pPr>
            <w:r>
              <w:rPr>
                <w:rFonts w:ascii="Arial" w:hAnsi="Arial"/>
                <w:sz w:val="20"/>
              </w:rPr>
              <w:t>Remove the backing from the indicator and placed on a refrigerated blood bag.</w:t>
            </w:r>
          </w:p>
          <w:p w:rsidR="00D444F4" w:rsidRDefault="00B5104A">
            <w:pPr>
              <w:jc w:val="left"/>
              <w:rPr>
                <w:rFonts w:ascii="Arial" w:hAnsi="Arial"/>
                <w:color w:val="FF0000"/>
                <w:sz w:val="20"/>
              </w:rPr>
            </w:pPr>
            <w:r>
              <w:rPr>
                <w:rFonts w:ascii="Arial" w:hAnsi="Arial"/>
                <w:color w:val="FF0000"/>
                <w:sz w:val="20"/>
              </w:rPr>
              <w:t>Note: The Hemotemp should be placed on the refrigerated blood bag immediately when it is removed from the BB refrigerator. All other processing and issuing steps should occur immediately after the Hematemp has been applied.</w:t>
            </w:r>
          </w:p>
        </w:tc>
      </w:tr>
      <w:tr w:rsidR="00D444F4">
        <w:trPr>
          <w:cantSplit/>
        </w:trPr>
        <w:tc>
          <w:tcPr>
            <w:tcW w:w="1620" w:type="dxa"/>
            <w:tcBorders>
              <w:top w:val="nil"/>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D444F4" w:rsidRDefault="00B5104A">
            <w:pPr>
              <w:jc w:val="center"/>
              <w:rPr>
                <w:rFonts w:ascii="Arial" w:hAnsi="Arial"/>
                <w:sz w:val="20"/>
              </w:rPr>
            </w:pPr>
            <w:r>
              <w:rPr>
                <w:rFonts w:ascii="Arial" w:hAnsi="Arial"/>
                <w:sz w:val="20"/>
              </w:rPr>
              <w:t>7</w:t>
            </w:r>
          </w:p>
        </w:tc>
        <w:tc>
          <w:tcPr>
            <w:tcW w:w="8588" w:type="dxa"/>
            <w:gridSpan w:val="5"/>
            <w:tcBorders>
              <w:left w:val="single" w:sz="6" w:space="0" w:color="auto"/>
              <w:bottom w:val="single" w:sz="4" w:space="0" w:color="auto"/>
            </w:tcBorders>
          </w:tcPr>
          <w:p w:rsidR="00D444F4" w:rsidRDefault="00B5104A">
            <w:pPr>
              <w:jc w:val="left"/>
              <w:rPr>
                <w:rFonts w:ascii="Arial" w:hAnsi="Arial"/>
                <w:sz w:val="20"/>
              </w:rPr>
            </w:pPr>
            <w:r>
              <w:rPr>
                <w:rFonts w:ascii="Arial" w:hAnsi="Arial"/>
                <w:sz w:val="20"/>
              </w:rPr>
              <w:t>Press the indicator onto the center or near the bottom of the refrigerated blood bag. For proper activation:</w:t>
            </w:r>
          </w:p>
          <w:p w:rsidR="00D444F4" w:rsidRDefault="00B5104A" w:rsidP="00B5104A">
            <w:pPr>
              <w:numPr>
                <w:ilvl w:val="0"/>
                <w:numId w:val="5"/>
              </w:numPr>
              <w:jc w:val="left"/>
              <w:rPr>
                <w:rFonts w:ascii="Arial" w:hAnsi="Arial"/>
                <w:sz w:val="20"/>
              </w:rPr>
            </w:pPr>
            <w:r>
              <w:rPr>
                <w:rFonts w:ascii="Arial" w:hAnsi="Arial"/>
                <w:sz w:val="20"/>
              </w:rPr>
              <w:t>The blood bag must contain 100 mLs</w:t>
            </w:r>
          </w:p>
          <w:p w:rsidR="00D444F4" w:rsidRDefault="00B5104A" w:rsidP="00B5104A">
            <w:pPr>
              <w:numPr>
                <w:ilvl w:val="0"/>
                <w:numId w:val="5"/>
              </w:numPr>
              <w:jc w:val="left"/>
              <w:rPr>
                <w:rFonts w:ascii="Arial" w:hAnsi="Arial"/>
                <w:sz w:val="20"/>
              </w:rPr>
            </w:pPr>
            <w:r>
              <w:rPr>
                <w:rFonts w:ascii="Arial" w:hAnsi="Arial"/>
                <w:sz w:val="20"/>
              </w:rPr>
              <w:t>The blood bag should be refrigerated at 3</w:t>
            </w:r>
            <w:r>
              <w:rPr>
                <w:rFonts w:ascii="Arial" w:hAnsi="Arial"/>
                <w:sz w:val="20"/>
              </w:rPr>
              <w:sym w:font="Symbol" w:char="F0B0"/>
            </w:r>
            <w:r>
              <w:rPr>
                <w:rFonts w:ascii="Arial" w:hAnsi="Arial"/>
                <w:sz w:val="20"/>
              </w:rPr>
              <w:t>C for at least 10 hours</w:t>
            </w:r>
          </w:p>
          <w:p w:rsidR="00D444F4" w:rsidRDefault="00B5104A" w:rsidP="00B5104A">
            <w:pPr>
              <w:numPr>
                <w:ilvl w:val="0"/>
                <w:numId w:val="5"/>
              </w:numPr>
              <w:jc w:val="left"/>
              <w:rPr>
                <w:rFonts w:ascii="Arial" w:hAnsi="Arial"/>
                <w:sz w:val="20"/>
              </w:rPr>
            </w:pPr>
            <w:r>
              <w:rPr>
                <w:rFonts w:ascii="Arial" w:hAnsi="Arial"/>
                <w:sz w:val="20"/>
              </w:rPr>
              <w:t>The blood bag should be free of moisture and oils</w:t>
            </w:r>
          </w:p>
        </w:tc>
      </w:tr>
      <w:tr w:rsidR="00D444F4">
        <w:trPr>
          <w:cantSplit/>
        </w:trPr>
        <w:tc>
          <w:tcPr>
            <w:tcW w:w="1620" w:type="dxa"/>
            <w:tcBorders>
              <w:top w:val="nil"/>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D444F4" w:rsidRDefault="00B5104A">
            <w:pPr>
              <w:jc w:val="center"/>
              <w:rPr>
                <w:rFonts w:ascii="Arial" w:hAnsi="Arial"/>
                <w:sz w:val="20"/>
              </w:rPr>
            </w:pPr>
            <w:r>
              <w:rPr>
                <w:rFonts w:ascii="Arial" w:hAnsi="Arial"/>
                <w:sz w:val="20"/>
              </w:rPr>
              <w:t>8</w:t>
            </w:r>
          </w:p>
        </w:tc>
        <w:tc>
          <w:tcPr>
            <w:tcW w:w="8588" w:type="dxa"/>
            <w:gridSpan w:val="5"/>
            <w:tcBorders>
              <w:left w:val="single" w:sz="6" w:space="0" w:color="auto"/>
              <w:bottom w:val="single" w:sz="4" w:space="0" w:color="auto"/>
            </w:tcBorders>
          </w:tcPr>
          <w:p w:rsidR="00D444F4" w:rsidRDefault="00B5104A">
            <w:pPr>
              <w:jc w:val="left"/>
              <w:rPr>
                <w:rFonts w:ascii="Arial" w:hAnsi="Arial"/>
                <w:sz w:val="20"/>
              </w:rPr>
            </w:pPr>
            <w:r>
              <w:rPr>
                <w:rFonts w:ascii="Arial" w:hAnsi="Arial"/>
                <w:sz w:val="20"/>
              </w:rPr>
              <w:t>Place the blood bag with the face of the indicator down on a flat surface and rotate the bag back and forth to ensure proper adhesion.</w:t>
            </w:r>
          </w:p>
        </w:tc>
      </w:tr>
      <w:tr w:rsidR="00D444F4">
        <w:trPr>
          <w:cantSplit/>
          <w:trHeight w:val="210"/>
        </w:trPr>
        <w:tc>
          <w:tcPr>
            <w:tcW w:w="1620" w:type="dxa"/>
            <w:vMerge w:val="restart"/>
            <w:tcBorders>
              <w:top w:val="nil"/>
              <w:left w:val="nil"/>
              <w:right w:val="single" w:sz="6" w:space="0" w:color="auto"/>
            </w:tcBorders>
            <w:vAlign w:val="center"/>
          </w:tcPr>
          <w:p w:rsidR="00D444F4" w:rsidRDefault="00D444F4">
            <w:pPr>
              <w:rPr>
                <w:rFonts w:ascii="Arial" w:hAnsi="Arial" w:cs="Arial"/>
                <w:bCs/>
                <w:color w:val="3366FF"/>
                <w:sz w:val="20"/>
              </w:rPr>
            </w:pPr>
          </w:p>
        </w:tc>
        <w:tc>
          <w:tcPr>
            <w:tcW w:w="772" w:type="dxa"/>
            <w:vMerge w:val="restart"/>
            <w:tcBorders>
              <w:top w:val="single" w:sz="6" w:space="0" w:color="auto"/>
              <w:left w:val="single" w:sz="6" w:space="0" w:color="auto"/>
              <w:right w:val="single" w:sz="6" w:space="0" w:color="auto"/>
            </w:tcBorders>
          </w:tcPr>
          <w:p w:rsidR="00D444F4" w:rsidRDefault="00B5104A">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tcPr>
          <w:p w:rsidR="00D444F4" w:rsidRDefault="00B5104A">
            <w:pPr>
              <w:jc w:val="left"/>
              <w:rPr>
                <w:rFonts w:ascii="Arial" w:hAnsi="Arial"/>
                <w:sz w:val="20"/>
              </w:rPr>
            </w:pPr>
            <w:r>
              <w:rPr>
                <w:rFonts w:ascii="Arial" w:hAnsi="Arial"/>
                <w:sz w:val="20"/>
              </w:rPr>
              <w:t>Confirm color of the flower on the indicator.</w:t>
            </w:r>
          </w:p>
        </w:tc>
      </w:tr>
      <w:tr w:rsidR="00D444F4">
        <w:trPr>
          <w:cantSplit/>
          <w:trHeight w:val="285"/>
        </w:trPr>
        <w:tc>
          <w:tcPr>
            <w:tcW w:w="1620" w:type="dxa"/>
            <w:vMerge/>
            <w:tcBorders>
              <w:left w:val="nil"/>
              <w:right w:val="single" w:sz="6" w:space="0" w:color="auto"/>
            </w:tcBorders>
            <w:vAlign w:val="center"/>
          </w:tcPr>
          <w:p w:rsidR="00D444F4" w:rsidRDefault="00D444F4">
            <w:pPr>
              <w:rPr>
                <w:rFonts w:ascii="Arial" w:hAnsi="Arial" w:cs="Arial"/>
                <w:bCs/>
                <w:color w:val="3366FF"/>
                <w:sz w:val="20"/>
              </w:rPr>
            </w:pPr>
          </w:p>
        </w:tc>
        <w:tc>
          <w:tcPr>
            <w:tcW w:w="772" w:type="dxa"/>
            <w:vMerge/>
            <w:tcBorders>
              <w:left w:val="single" w:sz="6" w:space="0" w:color="auto"/>
              <w:right w:val="single" w:sz="6" w:space="0" w:color="auto"/>
            </w:tcBorders>
          </w:tcPr>
          <w:p w:rsidR="00D444F4" w:rsidRDefault="00D444F4">
            <w:pPr>
              <w:jc w:val="center"/>
              <w:rPr>
                <w:rFonts w:ascii="Arial" w:hAnsi="Arial" w:cs="Arial"/>
                <w:sz w:val="20"/>
              </w:rPr>
            </w:pPr>
          </w:p>
        </w:tc>
        <w:tc>
          <w:tcPr>
            <w:tcW w:w="2108" w:type="dxa"/>
            <w:gridSpan w:val="2"/>
            <w:tcBorders>
              <w:left w:val="single" w:sz="6" w:space="0" w:color="auto"/>
              <w:bottom w:val="single" w:sz="4" w:space="0" w:color="auto"/>
              <w:right w:val="single" w:sz="4" w:space="0" w:color="auto"/>
            </w:tcBorders>
          </w:tcPr>
          <w:p w:rsidR="00D444F4" w:rsidRDefault="00B5104A">
            <w:pPr>
              <w:jc w:val="left"/>
              <w:rPr>
                <w:rFonts w:ascii="Arial" w:hAnsi="Arial"/>
                <w:b/>
                <w:bCs/>
                <w:sz w:val="20"/>
              </w:rPr>
            </w:pPr>
            <w:r>
              <w:rPr>
                <w:rFonts w:ascii="Arial" w:hAnsi="Arial"/>
                <w:b/>
                <w:bCs/>
                <w:sz w:val="20"/>
              </w:rPr>
              <w:t>If</w:t>
            </w:r>
          </w:p>
        </w:tc>
        <w:tc>
          <w:tcPr>
            <w:tcW w:w="6480" w:type="dxa"/>
            <w:gridSpan w:val="3"/>
            <w:tcBorders>
              <w:left w:val="single" w:sz="4" w:space="0" w:color="auto"/>
              <w:bottom w:val="single" w:sz="4" w:space="0" w:color="auto"/>
            </w:tcBorders>
          </w:tcPr>
          <w:p w:rsidR="00D444F4" w:rsidRDefault="00B5104A">
            <w:pPr>
              <w:jc w:val="left"/>
              <w:rPr>
                <w:rFonts w:ascii="Arial" w:hAnsi="Arial"/>
                <w:b/>
                <w:bCs/>
                <w:sz w:val="20"/>
              </w:rPr>
            </w:pPr>
            <w:r>
              <w:rPr>
                <w:rFonts w:ascii="Arial" w:hAnsi="Arial"/>
                <w:b/>
                <w:bCs/>
                <w:sz w:val="20"/>
              </w:rPr>
              <w:t>Then</w:t>
            </w:r>
          </w:p>
        </w:tc>
      </w:tr>
      <w:tr w:rsidR="00D444F4">
        <w:trPr>
          <w:cantSplit/>
          <w:trHeight w:val="165"/>
        </w:trPr>
        <w:tc>
          <w:tcPr>
            <w:tcW w:w="1620" w:type="dxa"/>
            <w:vMerge/>
            <w:tcBorders>
              <w:left w:val="nil"/>
              <w:right w:val="single" w:sz="6" w:space="0" w:color="auto"/>
            </w:tcBorders>
            <w:vAlign w:val="center"/>
          </w:tcPr>
          <w:p w:rsidR="00D444F4" w:rsidRDefault="00D444F4">
            <w:pPr>
              <w:rPr>
                <w:rFonts w:ascii="Arial" w:hAnsi="Arial" w:cs="Arial"/>
                <w:bCs/>
                <w:color w:val="3366FF"/>
                <w:sz w:val="20"/>
              </w:rPr>
            </w:pPr>
          </w:p>
        </w:tc>
        <w:tc>
          <w:tcPr>
            <w:tcW w:w="772" w:type="dxa"/>
            <w:vMerge/>
            <w:tcBorders>
              <w:left w:val="single" w:sz="6" w:space="0" w:color="auto"/>
              <w:right w:val="single" w:sz="6" w:space="0" w:color="auto"/>
            </w:tcBorders>
          </w:tcPr>
          <w:p w:rsidR="00D444F4" w:rsidRDefault="00D444F4">
            <w:pPr>
              <w:jc w:val="center"/>
              <w:rPr>
                <w:rFonts w:ascii="Arial" w:hAnsi="Arial" w:cs="Arial"/>
                <w:sz w:val="20"/>
              </w:rPr>
            </w:pPr>
          </w:p>
        </w:tc>
        <w:tc>
          <w:tcPr>
            <w:tcW w:w="2108" w:type="dxa"/>
            <w:gridSpan w:val="2"/>
            <w:tcBorders>
              <w:left w:val="single" w:sz="6" w:space="0" w:color="auto"/>
              <w:bottom w:val="single" w:sz="4" w:space="0" w:color="auto"/>
              <w:right w:val="single" w:sz="4" w:space="0" w:color="auto"/>
            </w:tcBorders>
          </w:tcPr>
          <w:p w:rsidR="00D444F4" w:rsidRDefault="00B5104A">
            <w:pPr>
              <w:pStyle w:val="TableText"/>
              <w:autoSpaceDE/>
              <w:autoSpaceDN/>
              <w:rPr>
                <w:rFonts w:ascii="Arial" w:hAnsi="Arial"/>
              </w:rPr>
            </w:pPr>
            <w:r>
              <w:rPr>
                <w:rFonts w:ascii="Arial" w:hAnsi="Arial"/>
              </w:rPr>
              <w:t>Flower is blue</w:t>
            </w:r>
          </w:p>
        </w:tc>
        <w:tc>
          <w:tcPr>
            <w:tcW w:w="6480" w:type="dxa"/>
            <w:gridSpan w:val="3"/>
            <w:tcBorders>
              <w:left w:val="single" w:sz="4" w:space="0" w:color="auto"/>
              <w:bottom w:val="single" w:sz="4" w:space="0" w:color="auto"/>
            </w:tcBorders>
          </w:tcPr>
          <w:p w:rsidR="00D444F4" w:rsidRDefault="00B5104A">
            <w:pPr>
              <w:jc w:val="left"/>
              <w:rPr>
                <w:rFonts w:ascii="Arial" w:hAnsi="Arial"/>
                <w:sz w:val="20"/>
              </w:rPr>
            </w:pPr>
            <w:r>
              <w:rPr>
                <w:rFonts w:ascii="Arial" w:hAnsi="Arial"/>
                <w:sz w:val="20"/>
              </w:rPr>
              <w:t>Indicator is activated and acceptable</w:t>
            </w:r>
          </w:p>
        </w:tc>
      </w:tr>
      <w:tr w:rsidR="00D444F4">
        <w:trPr>
          <w:cantSplit/>
          <w:trHeight w:val="285"/>
        </w:trPr>
        <w:tc>
          <w:tcPr>
            <w:tcW w:w="1620" w:type="dxa"/>
            <w:vMerge/>
            <w:tcBorders>
              <w:left w:val="nil"/>
              <w:bottom w:val="nil"/>
              <w:right w:val="single" w:sz="6" w:space="0" w:color="auto"/>
            </w:tcBorders>
            <w:vAlign w:val="center"/>
          </w:tcPr>
          <w:p w:rsidR="00D444F4" w:rsidRDefault="00D444F4">
            <w:pPr>
              <w:rPr>
                <w:rFonts w:ascii="Arial" w:hAnsi="Arial" w:cs="Arial"/>
                <w:bCs/>
                <w:color w:val="3366FF"/>
                <w:sz w:val="20"/>
              </w:rPr>
            </w:pPr>
          </w:p>
        </w:tc>
        <w:tc>
          <w:tcPr>
            <w:tcW w:w="772" w:type="dxa"/>
            <w:vMerge/>
            <w:tcBorders>
              <w:left w:val="single" w:sz="6" w:space="0" w:color="auto"/>
              <w:bottom w:val="single" w:sz="6" w:space="0" w:color="auto"/>
              <w:right w:val="single" w:sz="6" w:space="0" w:color="auto"/>
            </w:tcBorders>
          </w:tcPr>
          <w:p w:rsidR="00D444F4" w:rsidRDefault="00D444F4">
            <w:pPr>
              <w:jc w:val="center"/>
              <w:rPr>
                <w:rFonts w:ascii="Arial" w:hAnsi="Arial" w:cs="Arial"/>
                <w:sz w:val="20"/>
              </w:rPr>
            </w:pPr>
          </w:p>
        </w:tc>
        <w:tc>
          <w:tcPr>
            <w:tcW w:w="2108" w:type="dxa"/>
            <w:gridSpan w:val="2"/>
            <w:tcBorders>
              <w:left w:val="single" w:sz="6" w:space="0" w:color="auto"/>
              <w:bottom w:val="single" w:sz="4" w:space="0" w:color="auto"/>
              <w:right w:val="single" w:sz="4" w:space="0" w:color="auto"/>
            </w:tcBorders>
          </w:tcPr>
          <w:p w:rsidR="00D444F4" w:rsidRDefault="00B5104A">
            <w:pPr>
              <w:jc w:val="left"/>
              <w:rPr>
                <w:rFonts w:ascii="Arial" w:hAnsi="Arial"/>
                <w:sz w:val="20"/>
              </w:rPr>
            </w:pPr>
            <w:r>
              <w:rPr>
                <w:rFonts w:ascii="Arial" w:hAnsi="Arial"/>
                <w:sz w:val="20"/>
              </w:rPr>
              <w:t>Flower in Non-blue</w:t>
            </w:r>
          </w:p>
        </w:tc>
        <w:tc>
          <w:tcPr>
            <w:tcW w:w="6480" w:type="dxa"/>
            <w:gridSpan w:val="3"/>
            <w:tcBorders>
              <w:left w:val="single" w:sz="4" w:space="0" w:color="auto"/>
              <w:bottom w:val="single" w:sz="4" w:space="0" w:color="auto"/>
            </w:tcBorders>
          </w:tcPr>
          <w:p w:rsidR="00D444F4" w:rsidRDefault="00B5104A">
            <w:pPr>
              <w:jc w:val="left"/>
              <w:rPr>
                <w:rFonts w:ascii="Arial" w:hAnsi="Arial"/>
                <w:sz w:val="20"/>
              </w:rPr>
            </w:pPr>
            <w:r>
              <w:rPr>
                <w:rFonts w:ascii="Arial" w:hAnsi="Arial"/>
                <w:sz w:val="20"/>
              </w:rPr>
              <w:t>Remove the indicator and repeat the above procedure with a new indicator.</w:t>
            </w:r>
          </w:p>
        </w:tc>
      </w:tr>
      <w:tr w:rsidR="00D444F4">
        <w:trPr>
          <w:cantSplit/>
          <w:trHeight w:val="228"/>
        </w:trPr>
        <w:tc>
          <w:tcPr>
            <w:tcW w:w="1620" w:type="dxa"/>
            <w:tcBorders>
              <w:top w:val="nil"/>
              <w:left w:val="nil"/>
              <w:bottom w:val="nil"/>
              <w:right w:val="nil"/>
            </w:tcBorders>
          </w:tcPr>
          <w:p w:rsidR="00D444F4" w:rsidRPr="00E74B4C" w:rsidRDefault="00E74B4C">
            <w:pPr>
              <w:rPr>
                <w:rFonts w:ascii="Arial" w:hAnsi="Arial" w:cs="Arial"/>
                <w:b/>
                <w:color w:val="2E74B5" w:themeColor="accent1" w:themeShade="BF"/>
                <w:sz w:val="20"/>
              </w:rPr>
            </w:pPr>
            <w:r w:rsidRPr="00E74B4C">
              <w:rPr>
                <w:rFonts w:ascii="Arial" w:hAnsi="Arial" w:cs="Arial"/>
                <w:b/>
                <w:color w:val="2E74B5" w:themeColor="accent1" w:themeShade="BF"/>
                <w:sz w:val="20"/>
              </w:rPr>
              <w:lastRenderedPageBreak/>
              <w:t>Calibration</w:t>
            </w:r>
          </w:p>
          <w:p w:rsidR="00E74B4C" w:rsidRDefault="00E74B4C">
            <w:pPr>
              <w:rPr>
                <w:rFonts w:ascii="Arial" w:hAnsi="Arial" w:cs="Arial"/>
                <w:b/>
                <w:sz w:val="20"/>
              </w:rPr>
            </w:pPr>
            <w:r w:rsidRPr="00E74B4C">
              <w:rPr>
                <w:rFonts w:ascii="Arial" w:hAnsi="Arial" w:cs="Arial"/>
                <w:b/>
                <w:color w:val="2E74B5" w:themeColor="accent1" w:themeShade="BF"/>
                <w:sz w:val="20"/>
              </w:rPr>
              <w:t>Instructions</w:t>
            </w:r>
          </w:p>
        </w:tc>
        <w:tc>
          <w:tcPr>
            <w:tcW w:w="9360" w:type="dxa"/>
            <w:gridSpan w:val="6"/>
            <w:tcBorders>
              <w:top w:val="nil"/>
              <w:left w:val="nil"/>
              <w:bottom w:val="single" w:sz="12" w:space="0" w:color="C0C0C0"/>
              <w:right w:val="nil"/>
            </w:tcBorders>
          </w:tcPr>
          <w:tbl>
            <w:tblPr>
              <w:tblStyle w:val="TableGrid"/>
              <w:tblpPr w:leftFromText="180" w:rightFromText="180" w:tblpY="435"/>
              <w:tblOverlap w:val="never"/>
              <w:tblW w:w="0" w:type="auto"/>
              <w:tblLayout w:type="fixed"/>
              <w:tblLook w:val="04A0"/>
            </w:tblPr>
            <w:tblGrid>
              <w:gridCol w:w="715"/>
              <w:gridCol w:w="8414"/>
            </w:tblGrid>
            <w:tr w:rsidR="00E74B4C" w:rsidTr="00E74B4C">
              <w:tc>
                <w:tcPr>
                  <w:tcW w:w="715" w:type="dxa"/>
                </w:tcPr>
                <w:p w:rsidR="00E74B4C" w:rsidRDefault="00AE1E85" w:rsidP="00AE1E85">
                  <w:pPr>
                    <w:jc w:val="center"/>
                    <w:rPr>
                      <w:rFonts w:ascii="Arial" w:hAnsi="Arial" w:cs="Arial"/>
                      <w:iCs/>
                      <w:sz w:val="20"/>
                    </w:rPr>
                  </w:pPr>
                  <w:r>
                    <w:rPr>
                      <w:rFonts w:ascii="Arial" w:hAnsi="Arial" w:cs="Arial"/>
                      <w:iCs/>
                      <w:sz w:val="20"/>
                    </w:rPr>
                    <w:t>1</w:t>
                  </w:r>
                </w:p>
              </w:tc>
              <w:tc>
                <w:tcPr>
                  <w:tcW w:w="8414" w:type="dxa"/>
                </w:tcPr>
                <w:p w:rsidR="00E74B4C" w:rsidRDefault="00AE1E85">
                  <w:pPr>
                    <w:jc w:val="left"/>
                    <w:rPr>
                      <w:rFonts w:ascii="Arial" w:hAnsi="Arial" w:cs="Arial"/>
                      <w:iCs/>
                      <w:sz w:val="20"/>
                    </w:rPr>
                  </w:pPr>
                  <w:r>
                    <w:rPr>
                      <w:rFonts w:ascii="Arial" w:hAnsi="Arial" w:cs="Arial"/>
                      <w:iCs/>
                      <w:sz w:val="20"/>
                    </w:rPr>
                    <w:t>Assemble a control bag simply fill a blood bag with distilled water the same weight as blood units are filled.</w:t>
                  </w:r>
                </w:p>
              </w:tc>
            </w:tr>
            <w:tr w:rsidR="00E74B4C" w:rsidTr="00E74B4C">
              <w:tc>
                <w:tcPr>
                  <w:tcW w:w="715" w:type="dxa"/>
                </w:tcPr>
                <w:p w:rsidR="00E74B4C" w:rsidRDefault="00AE1E85" w:rsidP="00AE1E85">
                  <w:pPr>
                    <w:jc w:val="center"/>
                    <w:rPr>
                      <w:rFonts w:ascii="Arial" w:hAnsi="Arial" w:cs="Arial"/>
                      <w:iCs/>
                      <w:sz w:val="20"/>
                    </w:rPr>
                  </w:pPr>
                  <w:r>
                    <w:rPr>
                      <w:rFonts w:ascii="Arial" w:hAnsi="Arial" w:cs="Arial"/>
                      <w:iCs/>
                      <w:sz w:val="20"/>
                    </w:rPr>
                    <w:t>2</w:t>
                  </w:r>
                </w:p>
              </w:tc>
              <w:tc>
                <w:tcPr>
                  <w:tcW w:w="8414" w:type="dxa"/>
                </w:tcPr>
                <w:p w:rsidR="00E74B4C" w:rsidRDefault="00AE1E85">
                  <w:pPr>
                    <w:jc w:val="left"/>
                    <w:rPr>
                      <w:rFonts w:ascii="Arial" w:hAnsi="Arial" w:cs="Arial"/>
                      <w:iCs/>
                      <w:sz w:val="20"/>
                    </w:rPr>
                  </w:pPr>
                  <w:r>
                    <w:rPr>
                      <w:rFonts w:ascii="Arial" w:hAnsi="Arial" w:cs="Arial"/>
                      <w:iCs/>
                      <w:sz w:val="20"/>
                    </w:rPr>
                    <w:t>Place water filled bag into the refrigerator for at least 10 hours before calibration of hemotemps.</w:t>
                  </w:r>
                </w:p>
              </w:tc>
            </w:tr>
            <w:tr w:rsidR="00E74B4C" w:rsidTr="00E74B4C">
              <w:tc>
                <w:tcPr>
                  <w:tcW w:w="715" w:type="dxa"/>
                </w:tcPr>
                <w:p w:rsidR="00E74B4C" w:rsidRDefault="00AE1E85" w:rsidP="00AE1E85">
                  <w:pPr>
                    <w:jc w:val="center"/>
                    <w:rPr>
                      <w:rFonts w:ascii="Arial" w:hAnsi="Arial" w:cs="Arial"/>
                      <w:iCs/>
                      <w:sz w:val="20"/>
                    </w:rPr>
                  </w:pPr>
                  <w:r>
                    <w:rPr>
                      <w:rFonts w:ascii="Arial" w:hAnsi="Arial" w:cs="Arial"/>
                      <w:iCs/>
                      <w:sz w:val="20"/>
                    </w:rPr>
                    <w:t>3</w:t>
                  </w:r>
                </w:p>
              </w:tc>
              <w:tc>
                <w:tcPr>
                  <w:tcW w:w="8414" w:type="dxa"/>
                </w:tcPr>
                <w:p w:rsidR="00E74B4C" w:rsidRDefault="00916150" w:rsidP="00916150">
                  <w:pPr>
                    <w:jc w:val="left"/>
                    <w:rPr>
                      <w:rFonts w:ascii="Arial" w:hAnsi="Arial" w:cs="Arial"/>
                      <w:iCs/>
                      <w:sz w:val="20"/>
                    </w:rPr>
                  </w:pPr>
                  <w:r>
                    <w:rPr>
                      <w:rFonts w:ascii="Arial" w:hAnsi="Arial" w:cs="Arial"/>
                      <w:iCs/>
                      <w:sz w:val="20"/>
                    </w:rPr>
                    <w:t xml:space="preserve"> </w:t>
                  </w:r>
                  <w:r w:rsidR="005A396C">
                    <w:rPr>
                      <w:rFonts w:ascii="Arial" w:hAnsi="Arial" w:cs="Arial"/>
                      <w:iCs/>
                      <w:sz w:val="20"/>
                    </w:rPr>
                    <w:t>Attached infrared</w:t>
                  </w:r>
                  <w:r>
                    <w:rPr>
                      <w:rFonts w:ascii="Arial" w:hAnsi="Arial" w:cs="Arial"/>
                      <w:iCs/>
                      <w:sz w:val="20"/>
                    </w:rPr>
                    <w:t xml:space="preserve"> pro</w:t>
                  </w:r>
                  <w:r w:rsidR="005A396C">
                    <w:rPr>
                      <w:rFonts w:ascii="Arial" w:hAnsi="Arial" w:cs="Arial"/>
                      <w:iCs/>
                      <w:sz w:val="20"/>
                    </w:rPr>
                    <w:t>be to the infrared thermometer.</w:t>
                  </w:r>
                </w:p>
                <w:p w:rsidR="005A396C" w:rsidRDefault="005A396C" w:rsidP="00916150">
                  <w:pPr>
                    <w:jc w:val="left"/>
                    <w:rPr>
                      <w:rFonts w:ascii="Arial" w:hAnsi="Arial" w:cs="Arial"/>
                      <w:iCs/>
                      <w:sz w:val="20"/>
                    </w:rPr>
                  </w:pPr>
                  <w:r>
                    <w:rPr>
                      <w:noProof/>
                    </w:rPr>
                    <w:drawing>
                      <wp:inline distT="0" distB="0" distL="0" distR="0">
                        <wp:extent cx="4705350" cy="3114675"/>
                        <wp:effectExtent l="19050" t="0" r="0" b="0"/>
                        <wp:docPr id="2" name="Picture 1" descr="C:\Users\CE005489\AppData\Local\Temp\XPgrpwise\5C752223secmpsmpspo100168756D11DE641\IMG_0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05489\AppData\Local\Temp\XPgrpwise\5C752223secmpsmpspo100168756D11DE641\IMG_0499.jpg"/>
                                <pic:cNvPicPr>
                                  <a:picLocks noChangeAspect="1" noChangeArrowheads="1"/>
                                </pic:cNvPicPr>
                              </pic:nvPicPr>
                              <pic:blipFill>
                                <a:blip r:embed="rId11" cstate="print"/>
                                <a:srcRect/>
                                <a:stretch>
                                  <a:fillRect/>
                                </a:stretch>
                              </pic:blipFill>
                              <pic:spPr bwMode="auto">
                                <a:xfrm>
                                  <a:off x="0" y="0"/>
                                  <a:ext cx="4705350" cy="3114675"/>
                                </a:xfrm>
                                <a:prstGeom prst="rect">
                                  <a:avLst/>
                                </a:prstGeom>
                                <a:noFill/>
                                <a:ln w="9525">
                                  <a:noFill/>
                                  <a:miter lim="800000"/>
                                  <a:headEnd/>
                                  <a:tailEnd/>
                                </a:ln>
                              </pic:spPr>
                            </pic:pic>
                          </a:graphicData>
                        </a:graphic>
                      </wp:inline>
                    </w:drawing>
                  </w:r>
                </w:p>
              </w:tc>
            </w:tr>
            <w:tr w:rsidR="005A396C" w:rsidTr="00E74B4C">
              <w:tc>
                <w:tcPr>
                  <w:tcW w:w="715" w:type="dxa"/>
                </w:tcPr>
                <w:p w:rsidR="005A396C" w:rsidRDefault="005A396C" w:rsidP="00AE1E85">
                  <w:pPr>
                    <w:jc w:val="center"/>
                    <w:rPr>
                      <w:rFonts w:ascii="Arial" w:hAnsi="Arial" w:cs="Arial"/>
                      <w:iCs/>
                      <w:sz w:val="20"/>
                    </w:rPr>
                  </w:pPr>
                  <w:r>
                    <w:rPr>
                      <w:rFonts w:ascii="Arial" w:hAnsi="Arial" w:cs="Arial"/>
                      <w:iCs/>
                      <w:sz w:val="20"/>
                    </w:rPr>
                    <w:t>4</w:t>
                  </w:r>
                </w:p>
              </w:tc>
              <w:tc>
                <w:tcPr>
                  <w:tcW w:w="8414" w:type="dxa"/>
                </w:tcPr>
                <w:p w:rsidR="005A396C" w:rsidRDefault="005A396C">
                  <w:pPr>
                    <w:jc w:val="left"/>
                    <w:rPr>
                      <w:rFonts w:ascii="Arial" w:hAnsi="Arial" w:cs="Arial"/>
                      <w:iCs/>
                      <w:sz w:val="20"/>
                    </w:rPr>
                  </w:pPr>
                  <w:r>
                    <w:rPr>
                      <w:rFonts w:ascii="Arial" w:hAnsi="Arial" w:cs="Arial"/>
                      <w:iCs/>
                      <w:sz w:val="20"/>
                    </w:rPr>
                    <w:t>Set thermometer to probe reading by click on the mode button.</w:t>
                  </w:r>
                </w:p>
                <w:p w:rsidR="005A396C" w:rsidRDefault="005A396C">
                  <w:pPr>
                    <w:jc w:val="left"/>
                    <w:rPr>
                      <w:rFonts w:ascii="Arial" w:hAnsi="Arial" w:cs="Arial"/>
                      <w:iCs/>
                      <w:sz w:val="20"/>
                    </w:rPr>
                  </w:pPr>
                  <w:r>
                    <w:rPr>
                      <w:noProof/>
                    </w:rPr>
                    <w:drawing>
                      <wp:inline distT="0" distB="0" distL="0" distR="0">
                        <wp:extent cx="4572000" cy="3667125"/>
                        <wp:effectExtent l="19050" t="0" r="0" b="0"/>
                        <wp:docPr id="4" name="Picture 4" descr="C:\Users\CE005489\AppData\Local\Microsoft\Windows\Temporary Internet Files\Content.Word\IMG_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005489\AppData\Local\Microsoft\Windows\Temporary Internet Files\Content.Word\IMG_0501.jpg"/>
                                <pic:cNvPicPr>
                                  <a:picLocks noChangeAspect="1" noChangeArrowheads="1"/>
                                </pic:cNvPicPr>
                              </pic:nvPicPr>
                              <pic:blipFill>
                                <a:blip r:embed="rId12" cstate="print"/>
                                <a:srcRect/>
                                <a:stretch>
                                  <a:fillRect/>
                                </a:stretch>
                              </pic:blipFill>
                              <pic:spPr bwMode="auto">
                                <a:xfrm>
                                  <a:off x="0" y="0"/>
                                  <a:ext cx="4572000" cy="3667125"/>
                                </a:xfrm>
                                <a:prstGeom prst="rect">
                                  <a:avLst/>
                                </a:prstGeom>
                                <a:noFill/>
                                <a:ln w="9525">
                                  <a:noFill/>
                                  <a:miter lim="800000"/>
                                  <a:headEnd/>
                                  <a:tailEnd/>
                                </a:ln>
                              </pic:spPr>
                            </pic:pic>
                          </a:graphicData>
                        </a:graphic>
                      </wp:inline>
                    </w:drawing>
                  </w:r>
                </w:p>
              </w:tc>
            </w:tr>
          </w:tbl>
          <w:p w:rsidR="00D444F4" w:rsidRDefault="00D444F4">
            <w:pPr>
              <w:jc w:val="left"/>
              <w:rPr>
                <w:rFonts w:ascii="Arial" w:hAnsi="Arial" w:cs="Arial"/>
                <w:iCs/>
                <w:sz w:val="20"/>
              </w:rPr>
            </w:pPr>
          </w:p>
          <w:p w:rsidR="00D444F4" w:rsidRDefault="00D444F4">
            <w:pPr>
              <w:jc w:val="left"/>
              <w:rPr>
                <w:rFonts w:ascii="Arial" w:hAnsi="Arial" w:cs="Arial"/>
                <w:iCs/>
                <w:sz w:val="20"/>
              </w:rPr>
            </w:pPr>
          </w:p>
          <w:p w:rsidR="00D444F4" w:rsidRDefault="00D444F4">
            <w:pPr>
              <w:jc w:val="left"/>
              <w:rPr>
                <w:rFonts w:ascii="Arial" w:hAnsi="Arial" w:cs="Arial"/>
                <w:iCs/>
                <w:sz w:val="20"/>
              </w:rPr>
            </w:pPr>
          </w:p>
          <w:p w:rsidR="005A396C" w:rsidRDefault="005A396C">
            <w:pPr>
              <w:jc w:val="left"/>
              <w:rPr>
                <w:rFonts w:ascii="Arial" w:hAnsi="Arial" w:cs="Arial"/>
                <w:iCs/>
                <w:sz w:val="20"/>
              </w:rPr>
            </w:pPr>
          </w:p>
          <w:p w:rsidR="005A396C" w:rsidRDefault="005A396C">
            <w:pPr>
              <w:jc w:val="left"/>
              <w:rPr>
                <w:rFonts w:ascii="Arial" w:hAnsi="Arial" w:cs="Arial"/>
                <w:iCs/>
                <w:sz w:val="20"/>
              </w:rPr>
            </w:pPr>
          </w:p>
          <w:p w:rsidR="005A396C" w:rsidRDefault="005A396C">
            <w:pPr>
              <w:jc w:val="left"/>
              <w:rPr>
                <w:rFonts w:ascii="Arial" w:hAnsi="Arial" w:cs="Arial"/>
                <w:iCs/>
                <w:sz w:val="20"/>
              </w:rPr>
            </w:pPr>
          </w:p>
          <w:p w:rsidR="005A396C" w:rsidRDefault="005A396C">
            <w:pPr>
              <w:jc w:val="left"/>
              <w:rPr>
                <w:rFonts w:ascii="Arial" w:hAnsi="Arial" w:cs="Arial"/>
                <w:iCs/>
                <w:sz w:val="20"/>
              </w:rPr>
            </w:pPr>
          </w:p>
          <w:p w:rsidR="005A396C" w:rsidRDefault="005A396C">
            <w:pPr>
              <w:jc w:val="left"/>
              <w:rPr>
                <w:rFonts w:ascii="Arial" w:hAnsi="Arial" w:cs="Arial"/>
                <w:iCs/>
                <w:sz w:val="20"/>
              </w:rPr>
            </w:pPr>
          </w:p>
          <w:p w:rsidR="005A396C" w:rsidRDefault="005A396C">
            <w:pPr>
              <w:jc w:val="left"/>
              <w:rPr>
                <w:rFonts w:ascii="Arial" w:hAnsi="Arial" w:cs="Arial"/>
                <w:iCs/>
                <w:sz w:val="20"/>
              </w:rPr>
            </w:pPr>
          </w:p>
          <w:p w:rsidR="005A396C" w:rsidRDefault="005A396C">
            <w:pPr>
              <w:jc w:val="left"/>
              <w:rPr>
                <w:rFonts w:ascii="Arial" w:hAnsi="Arial" w:cs="Arial"/>
                <w:iCs/>
                <w:sz w:val="20"/>
              </w:rPr>
            </w:pPr>
          </w:p>
          <w:p w:rsidR="00D444F4" w:rsidRDefault="00D444F4">
            <w:pPr>
              <w:jc w:val="left"/>
              <w:rPr>
                <w:rFonts w:ascii="Arial" w:hAnsi="Arial" w:cs="Arial"/>
                <w:iCs/>
                <w:sz w:val="20"/>
              </w:rPr>
            </w:pPr>
          </w:p>
          <w:p w:rsidR="00D444F4" w:rsidRDefault="00D444F4">
            <w:pPr>
              <w:jc w:val="left"/>
              <w:rPr>
                <w:rFonts w:ascii="Arial" w:hAnsi="Arial" w:cs="Arial"/>
                <w:iCs/>
                <w:sz w:val="20"/>
              </w:rPr>
            </w:pPr>
          </w:p>
        </w:tc>
      </w:tr>
      <w:tr w:rsidR="005A396C">
        <w:trPr>
          <w:trHeight w:val="4695"/>
        </w:trPr>
        <w:tc>
          <w:tcPr>
            <w:tcW w:w="1620" w:type="dxa"/>
            <w:tcBorders>
              <w:top w:val="nil"/>
              <w:left w:val="nil"/>
              <w:bottom w:val="nil"/>
              <w:right w:val="nil"/>
            </w:tcBorders>
          </w:tcPr>
          <w:p w:rsidR="005A396C" w:rsidRDefault="005A396C">
            <w:pPr>
              <w:rPr>
                <w:rFonts w:ascii="Arial" w:hAnsi="Arial" w:cs="Arial"/>
                <w:color w:val="3366FF"/>
                <w:sz w:val="20"/>
              </w:rPr>
            </w:pPr>
          </w:p>
        </w:tc>
        <w:tc>
          <w:tcPr>
            <w:tcW w:w="9360" w:type="dxa"/>
            <w:gridSpan w:val="6"/>
            <w:tcBorders>
              <w:top w:val="single" w:sz="12" w:space="0" w:color="C0C0C0"/>
              <w:left w:val="nil"/>
              <w:bottom w:val="single" w:sz="12" w:space="0" w:color="C0C0C0"/>
              <w:right w:val="nil"/>
            </w:tcBorders>
          </w:tcPr>
          <w:tbl>
            <w:tblPr>
              <w:tblStyle w:val="TableGrid"/>
              <w:tblW w:w="0" w:type="auto"/>
              <w:tblLayout w:type="fixed"/>
              <w:tblLook w:val="04A0"/>
            </w:tblPr>
            <w:tblGrid>
              <w:gridCol w:w="697"/>
              <w:gridCol w:w="8432"/>
            </w:tblGrid>
            <w:tr w:rsidR="005A396C" w:rsidTr="005A396C">
              <w:tc>
                <w:tcPr>
                  <w:tcW w:w="697" w:type="dxa"/>
                </w:tcPr>
                <w:p w:rsidR="005A396C" w:rsidRDefault="005A396C" w:rsidP="005A396C">
                  <w:pPr>
                    <w:jc w:val="center"/>
                    <w:rPr>
                      <w:rFonts w:ascii="Arial" w:hAnsi="Arial" w:cs="Arial"/>
                      <w:sz w:val="20"/>
                    </w:rPr>
                  </w:pPr>
                  <w:r>
                    <w:rPr>
                      <w:rFonts w:ascii="Arial" w:hAnsi="Arial" w:cs="Arial"/>
                      <w:sz w:val="20"/>
                    </w:rPr>
                    <w:t>5</w:t>
                  </w:r>
                </w:p>
              </w:tc>
              <w:tc>
                <w:tcPr>
                  <w:tcW w:w="8432" w:type="dxa"/>
                </w:tcPr>
                <w:p w:rsidR="005A396C" w:rsidRDefault="005A396C">
                  <w:pPr>
                    <w:jc w:val="left"/>
                    <w:rPr>
                      <w:rFonts w:ascii="Arial" w:hAnsi="Arial" w:cs="Arial"/>
                      <w:sz w:val="20"/>
                    </w:rPr>
                  </w:pPr>
                  <w:r>
                    <w:rPr>
                      <w:rFonts w:ascii="Arial" w:hAnsi="Arial" w:cs="Arial"/>
                      <w:sz w:val="20"/>
                    </w:rPr>
                    <w:t>Remove water filled bag from refrigerator.</w:t>
                  </w:r>
                </w:p>
              </w:tc>
            </w:tr>
            <w:tr w:rsidR="005A396C" w:rsidTr="005A396C">
              <w:tc>
                <w:tcPr>
                  <w:tcW w:w="697" w:type="dxa"/>
                </w:tcPr>
                <w:p w:rsidR="005A396C" w:rsidRDefault="005A396C" w:rsidP="005A396C">
                  <w:pPr>
                    <w:jc w:val="center"/>
                    <w:rPr>
                      <w:rFonts w:ascii="Arial" w:hAnsi="Arial" w:cs="Arial"/>
                      <w:sz w:val="20"/>
                    </w:rPr>
                  </w:pPr>
                  <w:r>
                    <w:rPr>
                      <w:rFonts w:ascii="Arial" w:hAnsi="Arial" w:cs="Arial"/>
                      <w:sz w:val="20"/>
                    </w:rPr>
                    <w:t>6</w:t>
                  </w:r>
                </w:p>
              </w:tc>
              <w:tc>
                <w:tcPr>
                  <w:tcW w:w="8432" w:type="dxa"/>
                </w:tcPr>
                <w:p w:rsidR="005A396C" w:rsidRDefault="005A396C" w:rsidP="005A396C">
                  <w:pPr>
                    <w:jc w:val="left"/>
                    <w:rPr>
                      <w:rFonts w:ascii="Arial" w:hAnsi="Arial" w:cs="Arial"/>
                      <w:sz w:val="20"/>
                    </w:rPr>
                  </w:pPr>
                  <w:r>
                    <w:rPr>
                      <w:rFonts w:ascii="Arial" w:hAnsi="Arial" w:cs="Arial"/>
                      <w:sz w:val="20"/>
                    </w:rPr>
                    <w:t>Insert the infrared probe into the center port and slide the probe into the bag so that the tip is in the center of the blood bag.  Make sure the probe is in the center of the bag measuring the liquid temperature and not touching either side of the bag.</w:t>
                  </w:r>
                </w:p>
                <w:p w:rsidR="005A396C" w:rsidRDefault="005A396C" w:rsidP="005A396C">
                  <w:pPr>
                    <w:jc w:val="left"/>
                    <w:rPr>
                      <w:rFonts w:ascii="Arial" w:hAnsi="Arial" w:cs="Arial"/>
                      <w:sz w:val="20"/>
                    </w:rPr>
                  </w:pPr>
                  <w:r>
                    <w:rPr>
                      <w:noProof/>
                    </w:rPr>
                    <w:drawing>
                      <wp:inline distT="0" distB="0" distL="0" distR="0">
                        <wp:extent cx="4981575" cy="3076575"/>
                        <wp:effectExtent l="19050" t="0" r="9525" b="0"/>
                        <wp:docPr id="7" name="Picture 7" descr="C:\Users\CE005489\AppData\Local\Microsoft\Windows\Temporary Internet Files\Content.Word\IMG_05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E005489\AppData\Local\Microsoft\Windows\Temporary Internet Files\Content.Word\IMG_0503_1.jpg"/>
                                <pic:cNvPicPr>
                                  <a:picLocks noChangeAspect="1" noChangeArrowheads="1"/>
                                </pic:cNvPicPr>
                              </pic:nvPicPr>
                              <pic:blipFill>
                                <a:blip r:embed="rId13" cstate="print"/>
                                <a:srcRect/>
                                <a:stretch>
                                  <a:fillRect/>
                                </a:stretch>
                              </pic:blipFill>
                              <pic:spPr bwMode="auto">
                                <a:xfrm>
                                  <a:off x="0" y="0"/>
                                  <a:ext cx="4981575" cy="3076575"/>
                                </a:xfrm>
                                <a:prstGeom prst="rect">
                                  <a:avLst/>
                                </a:prstGeom>
                                <a:noFill/>
                                <a:ln w="9525">
                                  <a:noFill/>
                                  <a:miter lim="800000"/>
                                  <a:headEnd/>
                                  <a:tailEnd/>
                                </a:ln>
                              </pic:spPr>
                            </pic:pic>
                          </a:graphicData>
                        </a:graphic>
                      </wp:inline>
                    </w:drawing>
                  </w:r>
                </w:p>
              </w:tc>
            </w:tr>
            <w:tr w:rsidR="005A396C" w:rsidTr="005A396C">
              <w:tc>
                <w:tcPr>
                  <w:tcW w:w="697" w:type="dxa"/>
                </w:tcPr>
                <w:p w:rsidR="005A396C" w:rsidRDefault="005A396C" w:rsidP="005A396C">
                  <w:pPr>
                    <w:jc w:val="center"/>
                    <w:rPr>
                      <w:rFonts w:ascii="Arial" w:hAnsi="Arial" w:cs="Arial"/>
                      <w:sz w:val="20"/>
                    </w:rPr>
                  </w:pPr>
                  <w:r>
                    <w:rPr>
                      <w:rFonts w:ascii="Arial" w:hAnsi="Arial" w:cs="Arial"/>
                      <w:sz w:val="20"/>
                    </w:rPr>
                    <w:t>7</w:t>
                  </w:r>
                </w:p>
              </w:tc>
              <w:tc>
                <w:tcPr>
                  <w:tcW w:w="8432" w:type="dxa"/>
                </w:tcPr>
                <w:p w:rsidR="005A396C" w:rsidRDefault="005A396C" w:rsidP="00904144">
                  <w:pPr>
                    <w:jc w:val="left"/>
                    <w:rPr>
                      <w:rFonts w:ascii="Arial" w:hAnsi="Arial" w:cs="Arial"/>
                      <w:sz w:val="20"/>
                    </w:rPr>
                  </w:pPr>
                  <w:r>
                    <w:rPr>
                      <w:rFonts w:ascii="Arial" w:hAnsi="Arial" w:cs="Arial"/>
                      <w:sz w:val="20"/>
                    </w:rPr>
                    <w:t xml:space="preserve">Remove a HemoTemp indictor and activate it. After heat activating the indicator, wait until you see the outline of the flower </w:t>
                  </w:r>
                  <w:r w:rsidR="00904144">
                    <w:rPr>
                      <w:rFonts w:ascii="Arial" w:hAnsi="Arial" w:cs="Arial"/>
                      <w:sz w:val="20"/>
                    </w:rPr>
                    <w:t>and then</w:t>
                  </w:r>
                  <w:r>
                    <w:rPr>
                      <w:rFonts w:ascii="Arial" w:hAnsi="Arial" w:cs="Arial"/>
                      <w:sz w:val="20"/>
                    </w:rPr>
                    <w:t xml:space="preserve"> place it on the center of the blood bag.</w:t>
                  </w:r>
                </w:p>
              </w:tc>
            </w:tr>
            <w:tr w:rsidR="005A396C" w:rsidTr="005A396C">
              <w:tc>
                <w:tcPr>
                  <w:tcW w:w="697" w:type="dxa"/>
                </w:tcPr>
                <w:p w:rsidR="005A396C" w:rsidRDefault="00904144" w:rsidP="005A396C">
                  <w:pPr>
                    <w:jc w:val="center"/>
                    <w:rPr>
                      <w:rFonts w:ascii="Arial" w:hAnsi="Arial" w:cs="Arial"/>
                      <w:sz w:val="20"/>
                    </w:rPr>
                  </w:pPr>
                  <w:r>
                    <w:rPr>
                      <w:rFonts w:ascii="Arial" w:hAnsi="Arial" w:cs="Arial"/>
                      <w:sz w:val="20"/>
                    </w:rPr>
                    <w:t>8</w:t>
                  </w:r>
                </w:p>
              </w:tc>
              <w:tc>
                <w:tcPr>
                  <w:tcW w:w="8432" w:type="dxa"/>
                </w:tcPr>
                <w:p w:rsidR="005A396C" w:rsidRDefault="00904144">
                  <w:pPr>
                    <w:jc w:val="left"/>
                    <w:rPr>
                      <w:rFonts w:ascii="Arial" w:hAnsi="Arial" w:cs="Arial"/>
                      <w:sz w:val="20"/>
                    </w:rPr>
                  </w:pPr>
                  <w:r>
                    <w:rPr>
                      <w:rFonts w:ascii="Arial" w:hAnsi="Arial" w:cs="Arial"/>
                      <w:sz w:val="20"/>
                    </w:rPr>
                    <w:t>Compare the temperature on the infrared to the temperature on the indicator.</w:t>
                  </w:r>
                </w:p>
              </w:tc>
            </w:tr>
            <w:tr w:rsidR="00904144" w:rsidTr="005A396C">
              <w:tc>
                <w:tcPr>
                  <w:tcW w:w="697" w:type="dxa"/>
                </w:tcPr>
                <w:p w:rsidR="00904144" w:rsidRDefault="00904144" w:rsidP="005A396C">
                  <w:pPr>
                    <w:jc w:val="center"/>
                    <w:rPr>
                      <w:rFonts w:ascii="Arial" w:hAnsi="Arial" w:cs="Arial"/>
                      <w:sz w:val="20"/>
                    </w:rPr>
                  </w:pPr>
                  <w:r>
                    <w:rPr>
                      <w:rFonts w:ascii="Arial" w:hAnsi="Arial" w:cs="Arial"/>
                      <w:sz w:val="20"/>
                    </w:rPr>
                    <w:t>9</w:t>
                  </w:r>
                </w:p>
              </w:tc>
              <w:tc>
                <w:tcPr>
                  <w:tcW w:w="8432" w:type="dxa"/>
                </w:tcPr>
                <w:p w:rsidR="00904144" w:rsidRDefault="00904144">
                  <w:pPr>
                    <w:jc w:val="left"/>
                    <w:rPr>
                      <w:rFonts w:ascii="Arial" w:hAnsi="Arial" w:cs="Arial"/>
                      <w:sz w:val="20"/>
                    </w:rPr>
                  </w:pPr>
                  <w:r>
                    <w:rPr>
                      <w:rFonts w:ascii="Arial" w:hAnsi="Arial" w:cs="Arial"/>
                      <w:sz w:val="20"/>
                    </w:rPr>
                    <w:t>Record temperatures on Hemotemp Calibration Logsheet</w:t>
                  </w:r>
                </w:p>
              </w:tc>
            </w:tr>
            <w:tr w:rsidR="00523D00" w:rsidTr="005A396C">
              <w:tc>
                <w:tcPr>
                  <w:tcW w:w="697" w:type="dxa"/>
                </w:tcPr>
                <w:p w:rsidR="00523D00" w:rsidRDefault="00523D00" w:rsidP="005A396C">
                  <w:pPr>
                    <w:jc w:val="center"/>
                    <w:rPr>
                      <w:rFonts w:ascii="Arial" w:hAnsi="Arial" w:cs="Arial"/>
                      <w:sz w:val="20"/>
                    </w:rPr>
                  </w:pPr>
                  <w:r>
                    <w:rPr>
                      <w:rFonts w:ascii="Arial" w:hAnsi="Arial" w:cs="Arial"/>
                      <w:sz w:val="20"/>
                    </w:rPr>
                    <w:t>10</w:t>
                  </w:r>
                </w:p>
              </w:tc>
              <w:tc>
                <w:tcPr>
                  <w:tcW w:w="8432" w:type="dxa"/>
                </w:tcPr>
                <w:p w:rsidR="00523D00" w:rsidRDefault="00523D00">
                  <w:pPr>
                    <w:jc w:val="left"/>
                    <w:rPr>
                      <w:rFonts w:ascii="Arial" w:hAnsi="Arial" w:cs="Arial"/>
                      <w:sz w:val="20"/>
                    </w:rPr>
                  </w:pPr>
                  <w:r>
                    <w:rPr>
                      <w:rFonts w:ascii="Arial" w:hAnsi="Arial" w:cs="Arial"/>
                      <w:sz w:val="20"/>
                    </w:rPr>
                    <w:t>Add a “This Lot is Ready for Use” sticker with date and your initials.</w:t>
                  </w:r>
                </w:p>
                <w:p w:rsidR="00523D00" w:rsidRDefault="00523D00">
                  <w:pPr>
                    <w:jc w:val="left"/>
                    <w:rPr>
                      <w:rFonts w:ascii="Arial" w:hAnsi="Arial" w:cs="Arial"/>
                      <w:sz w:val="20"/>
                    </w:rPr>
                  </w:pPr>
                  <w:r>
                    <w:rPr>
                      <w:rFonts w:ascii="Arial" w:hAnsi="Arial" w:cs="Arial"/>
                      <w:noProof/>
                      <w:sz w:val="20"/>
                    </w:rPr>
                    <w:drawing>
                      <wp:inline distT="0" distB="0" distL="0" distR="0">
                        <wp:extent cx="1581150" cy="1143000"/>
                        <wp:effectExtent l="19050" t="0" r="0" b="0"/>
                        <wp:docPr id="3" name="Picture 1" descr="F:\My Pictures\Pictur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Picture\untitled.png"/>
                                <pic:cNvPicPr>
                                  <a:picLocks noChangeAspect="1" noChangeArrowheads="1"/>
                                </pic:cNvPicPr>
                              </pic:nvPicPr>
                              <pic:blipFill>
                                <a:blip r:embed="rId14" cstate="print"/>
                                <a:srcRect/>
                                <a:stretch>
                                  <a:fillRect/>
                                </a:stretch>
                              </pic:blipFill>
                              <pic:spPr bwMode="auto">
                                <a:xfrm>
                                  <a:off x="0" y="0"/>
                                  <a:ext cx="1581150" cy="1143000"/>
                                </a:xfrm>
                                <a:prstGeom prst="rect">
                                  <a:avLst/>
                                </a:prstGeom>
                                <a:noFill/>
                                <a:ln w="9525">
                                  <a:noFill/>
                                  <a:miter lim="800000"/>
                                  <a:headEnd/>
                                  <a:tailEnd/>
                                </a:ln>
                              </pic:spPr>
                            </pic:pic>
                          </a:graphicData>
                        </a:graphic>
                      </wp:inline>
                    </w:drawing>
                  </w:r>
                </w:p>
              </w:tc>
            </w:tr>
          </w:tbl>
          <w:p w:rsidR="005A396C" w:rsidRDefault="005A396C">
            <w:pPr>
              <w:jc w:val="left"/>
              <w:rPr>
                <w:rFonts w:ascii="Arial" w:hAnsi="Arial" w:cs="Arial"/>
                <w:sz w:val="20"/>
              </w:rPr>
            </w:pPr>
          </w:p>
        </w:tc>
      </w:tr>
      <w:tr w:rsidR="00D444F4">
        <w:trPr>
          <w:trHeight w:val="4695"/>
        </w:trPr>
        <w:tc>
          <w:tcPr>
            <w:tcW w:w="1620" w:type="dxa"/>
            <w:tcBorders>
              <w:top w:val="nil"/>
              <w:left w:val="nil"/>
              <w:bottom w:val="nil"/>
              <w:right w:val="nil"/>
            </w:tcBorders>
          </w:tcPr>
          <w:p w:rsidR="00D444F4" w:rsidRDefault="00B5104A">
            <w:pPr>
              <w:rPr>
                <w:rFonts w:ascii="Arial" w:hAnsi="Arial" w:cs="Arial"/>
                <w:b/>
                <w:color w:val="3366FF"/>
                <w:sz w:val="20"/>
              </w:rPr>
            </w:pPr>
            <w:r>
              <w:rPr>
                <w:rFonts w:ascii="Arial" w:hAnsi="Arial" w:cs="Arial"/>
                <w:color w:val="3366FF"/>
                <w:sz w:val="20"/>
              </w:rPr>
              <w:lastRenderedPageBreak/>
              <w:br w:type="page"/>
            </w:r>
          </w:p>
          <w:p w:rsidR="00D444F4" w:rsidRDefault="00B5104A">
            <w:pPr>
              <w:jc w:val="left"/>
              <w:rPr>
                <w:rFonts w:ascii="Arial" w:hAnsi="Arial" w:cs="Arial"/>
                <w:b/>
                <w:color w:val="3366FF"/>
                <w:sz w:val="20"/>
              </w:rPr>
            </w:pPr>
            <w:r>
              <w:rPr>
                <w:rFonts w:ascii="Arial" w:hAnsi="Arial" w:cs="Arial"/>
                <w:b/>
                <w:color w:val="3366FF"/>
                <w:sz w:val="20"/>
              </w:rPr>
              <w:t>Interpretation</w:t>
            </w:r>
          </w:p>
          <w:p w:rsidR="00D444F4" w:rsidRDefault="00D444F4">
            <w:pPr>
              <w:jc w:val="left"/>
              <w:rPr>
                <w:rFonts w:ascii="Arial" w:hAnsi="Arial" w:cs="Arial"/>
                <w:b/>
                <w:color w:val="3366FF"/>
                <w:sz w:val="20"/>
              </w:rPr>
            </w:pPr>
          </w:p>
          <w:p w:rsidR="00D444F4" w:rsidRDefault="00D444F4">
            <w:pPr>
              <w:rPr>
                <w:rFonts w:ascii="Arial" w:hAnsi="Arial" w:cs="Arial"/>
                <w:b/>
                <w:color w:val="3366FF"/>
                <w:sz w:val="20"/>
              </w:rPr>
            </w:pPr>
          </w:p>
        </w:tc>
        <w:tc>
          <w:tcPr>
            <w:tcW w:w="9360" w:type="dxa"/>
            <w:gridSpan w:val="6"/>
            <w:tcBorders>
              <w:top w:val="single" w:sz="12" w:space="0" w:color="C0C0C0"/>
              <w:left w:val="nil"/>
              <w:bottom w:val="single" w:sz="12" w:space="0" w:color="C0C0C0"/>
              <w:right w:val="nil"/>
            </w:tcBorders>
          </w:tcPr>
          <w:p w:rsidR="00D444F4" w:rsidRDefault="00D444F4">
            <w:pPr>
              <w:jc w:val="left"/>
              <w:rPr>
                <w:rFonts w:ascii="Arial" w:hAnsi="Arial" w:cs="Arial"/>
                <w:sz w:val="20"/>
              </w:rPr>
            </w:pPr>
          </w:p>
          <w:p w:rsidR="00D444F4" w:rsidRDefault="00B5104A">
            <w:pPr>
              <w:jc w:val="left"/>
              <w:rPr>
                <w:rFonts w:ascii="Arial" w:hAnsi="Arial" w:cs="Arial"/>
                <w:sz w:val="20"/>
              </w:rPr>
            </w:pPr>
            <w:r>
              <w:rPr>
                <w:rFonts w:ascii="Arial" w:hAnsi="Arial"/>
                <w:sz w:val="20"/>
              </w:rPr>
              <w:t>Upon return of the red cell unit from issue the following table may be used a part of the unit’s acceptability to return to inventory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gridCol w:w="2697"/>
              <w:gridCol w:w="2282"/>
              <w:gridCol w:w="2283"/>
            </w:tblGrid>
            <w:tr w:rsidR="00D444F4">
              <w:tc>
                <w:tcPr>
                  <w:tcW w:w="1867" w:type="dxa"/>
                </w:tcPr>
                <w:p w:rsidR="00D444F4" w:rsidRDefault="00B5104A">
                  <w:pPr>
                    <w:jc w:val="left"/>
                    <w:rPr>
                      <w:rFonts w:ascii="Arial" w:hAnsi="Arial"/>
                      <w:b/>
                      <w:sz w:val="20"/>
                    </w:rPr>
                  </w:pPr>
                  <w:r>
                    <w:rPr>
                      <w:rFonts w:ascii="Arial" w:hAnsi="Arial"/>
                      <w:b/>
                      <w:sz w:val="20"/>
                    </w:rPr>
                    <w:t>Duration of indicator</w:t>
                  </w:r>
                </w:p>
              </w:tc>
              <w:tc>
                <w:tcPr>
                  <w:tcW w:w="2697" w:type="dxa"/>
                </w:tcPr>
                <w:p w:rsidR="00D444F4" w:rsidRDefault="00B5104A">
                  <w:pPr>
                    <w:jc w:val="left"/>
                    <w:rPr>
                      <w:rFonts w:ascii="Arial" w:hAnsi="Arial"/>
                      <w:b/>
                      <w:sz w:val="20"/>
                    </w:rPr>
                  </w:pPr>
                  <w:r>
                    <w:rPr>
                      <w:rFonts w:ascii="Arial" w:hAnsi="Arial"/>
                      <w:b/>
                      <w:sz w:val="20"/>
                    </w:rPr>
                    <w:t>Reversible numbers in any color</w:t>
                  </w:r>
                </w:p>
                <w:p w:rsidR="00D444F4" w:rsidRDefault="00B5104A" w:rsidP="00B5104A">
                  <w:pPr>
                    <w:numPr>
                      <w:ilvl w:val="0"/>
                      <w:numId w:val="6"/>
                    </w:numPr>
                    <w:jc w:val="left"/>
                    <w:rPr>
                      <w:rFonts w:ascii="Arial" w:hAnsi="Arial"/>
                      <w:bCs/>
                      <w:sz w:val="20"/>
                    </w:rPr>
                  </w:pPr>
                  <w:r>
                    <w:rPr>
                      <w:rFonts w:ascii="Arial" w:hAnsi="Arial"/>
                      <w:bCs/>
                      <w:sz w:val="20"/>
                    </w:rPr>
                    <w:t>Tan temp is in the lower range</w:t>
                  </w:r>
                </w:p>
                <w:p w:rsidR="00D444F4" w:rsidRDefault="00B5104A" w:rsidP="00B5104A">
                  <w:pPr>
                    <w:numPr>
                      <w:ilvl w:val="0"/>
                      <w:numId w:val="6"/>
                    </w:numPr>
                    <w:jc w:val="left"/>
                    <w:rPr>
                      <w:rFonts w:ascii="Arial" w:hAnsi="Arial"/>
                      <w:b/>
                      <w:sz w:val="20"/>
                    </w:rPr>
                  </w:pPr>
                  <w:r>
                    <w:rPr>
                      <w:rFonts w:ascii="Arial" w:hAnsi="Arial"/>
                      <w:bCs/>
                      <w:sz w:val="20"/>
                    </w:rPr>
                    <w:t>Green-temp in mid range</w:t>
                  </w:r>
                </w:p>
                <w:p w:rsidR="00D444F4" w:rsidRDefault="00B5104A" w:rsidP="00B5104A">
                  <w:pPr>
                    <w:numPr>
                      <w:ilvl w:val="0"/>
                      <w:numId w:val="6"/>
                    </w:numPr>
                    <w:jc w:val="left"/>
                    <w:rPr>
                      <w:rFonts w:ascii="Arial" w:hAnsi="Arial"/>
                      <w:b/>
                      <w:sz w:val="20"/>
                    </w:rPr>
                  </w:pPr>
                  <w:r>
                    <w:rPr>
                      <w:rFonts w:ascii="Arial" w:hAnsi="Arial"/>
                      <w:bCs/>
                      <w:sz w:val="20"/>
                    </w:rPr>
                    <w:t>Blue-temp in higher range</w:t>
                  </w:r>
                </w:p>
              </w:tc>
              <w:tc>
                <w:tcPr>
                  <w:tcW w:w="2282" w:type="dxa"/>
                </w:tcPr>
                <w:p w:rsidR="00D444F4" w:rsidRDefault="00B5104A">
                  <w:pPr>
                    <w:jc w:val="left"/>
                    <w:rPr>
                      <w:rFonts w:ascii="Arial" w:hAnsi="Arial"/>
                      <w:b/>
                      <w:sz w:val="20"/>
                    </w:rPr>
                  </w:pPr>
                  <w:r>
                    <w:rPr>
                      <w:rFonts w:ascii="Arial" w:hAnsi="Arial"/>
                      <w:b/>
                      <w:sz w:val="20"/>
                    </w:rPr>
                    <w:t>Irreversible flower</w:t>
                  </w:r>
                </w:p>
              </w:tc>
              <w:tc>
                <w:tcPr>
                  <w:tcW w:w="2283" w:type="dxa"/>
                </w:tcPr>
                <w:p w:rsidR="00D444F4" w:rsidRDefault="00B5104A">
                  <w:pPr>
                    <w:jc w:val="left"/>
                    <w:rPr>
                      <w:rFonts w:ascii="Arial" w:hAnsi="Arial"/>
                      <w:b/>
                      <w:sz w:val="20"/>
                    </w:rPr>
                  </w:pPr>
                  <w:r>
                    <w:rPr>
                      <w:rFonts w:ascii="Arial" w:hAnsi="Arial"/>
                      <w:b/>
                      <w:sz w:val="20"/>
                    </w:rPr>
                    <w:t>General Acceptability of blood</w:t>
                  </w:r>
                </w:p>
              </w:tc>
            </w:tr>
            <w:tr w:rsidR="00D444F4">
              <w:tc>
                <w:tcPr>
                  <w:tcW w:w="1867" w:type="dxa"/>
                </w:tcPr>
                <w:p w:rsidR="00D444F4" w:rsidRDefault="00B5104A">
                  <w:pPr>
                    <w:pStyle w:val="Header"/>
                    <w:jc w:val="left"/>
                    <w:rPr>
                      <w:rFonts w:ascii="Arial" w:hAnsi="Arial"/>
                      <w:sz w:val="20"/>
                    </w:rPr>
                  </w:pPr>
                  <w:r>
                    <w:rPr>
                      <w:rFonts w:ascii="Arial" w:hAnsi="Arial"/>
                      <w:sz w:val="20"/>
                    </w:rPr>
                    <w:t>0-72 hours</w:t>
                  </w:r>
                </w:p>
                <w:p w:rsidR="00D444F4" w:rsidRDefault="00D444F4">
                  <w:pPr>
                    <w:pStyle w:val="Header"/>
                    <w:jc w:val="left"/>
                    <w:rPr>
                      <w:rFonts w:ascii="Arial" w:hAnsi="Arial"/>
                      <w:sz w:val="20"/>
                    </w:rPr>
                  </w:pPr>
                </w:p>
              </w:tc>
              <w:tc>
                <w:tcPr>
                  <w:tcW w:w="2697" w:type="dxa"/>
                </w:tcPr>
                <w:p w:rsidR="00D444F4" w:rsidRDefault="00B5104A">
                  <w:pPr>
                    <w:pStyle w:val="Header"/>
                    <w:jc w:val="left"/>
                    <w:rPr>
                      <w:rFonts w:ascii="Arial" w:hAnsi="Arial"/>
                      <w:sz w:val="20"/>
                    </w:rPr>
                  </w:pPr>
                  <w:r>
                    <w:rPr>
                      <w:rFonts w:ascii="Arial" w:hAnsi="Arial"/>
                      <w:sz w:val="20"/>
                    </w:rPr>
                    <w:t>Visible</w:t>
                  </w:r>
                </w:p>
                <w:p w:rsidR="00D444F4" w:rsidRDefault="00B5104A">
                  <w:pPr>
                    <w:pStyle w:val="Header"/>
                    <w:jc w:val="left"/>
                    <w:rPr>
                      <w:rFonts w:ascii="Arial" w:hAnsi="Arial"/>
                      <w:sz w:val="20"/>
                    </w:rPr>
                  </w:pPr>
                  <w:r>
                    <w:rPr>
                      <w:rFonts w:ascii="Arial" w:hAnsi="Arial"/>
                      <w:sz w:val="20"/>
                    </w:rPr>
                    <w:t>Visible</w:t>
                  </w:r>
                </w:p>
                <w:p w:rsidR="00D444F4" w:rsidRDefault="00B5104A">
                  <w:pPr>
                    <w:pStyle w:val="Header"/>
                    <w:jc w:val="left"/>
                    <w:rPr>
                      <w:rFonts w:ascii="Arial" w:hAnsi="Arial"/>
                      <w:sz w:val="20"/>
                    </w:rPr>
                  </w:pPr>
                  <w:r>
                    <w:rPr>
                      <w:rFonts w:ascii="Arial" w:hAnsi="Arial"/>
                      <w:sz w:val="20"/>
                    </w:rPr>
                    <w:t>Invisible</w:t>
                  </w:r>
                </w:p>
                <w:p w:rsidR="00D444F4" w:rsidRDefault="00B5104A">
                  <w:pPr>
                    <w:pStyle w:val="Header"/>
                    <w:jc w:val="left"/>
                    <w:rPr>
                      <w:rFonts w:ascii="Arial" w:hAnsi="Arial"/>
                      <w:sz w:val="20"/>
                    </w:rPr>
                  </w:pPr>
                  <w:r>
                    <w:rPr>
                      <w:rFonts w:ascii="Arial" w:hAnsi="Arial"/>
                      <w:sz w:val="20"/>
                    </w:rPr>
                    <w:t>Invisible</w:t>
                  </w:r>
                </w:p>
              </w:tc>
              <w:tc>
                <w:tcPr>
                  <w:tcW w:w="2282" w:type="dxa"/>
                </w:tcPr>
                <w:p w:rsidR="00D444F4" w:rsidRDefault="00B5104A">
                  <w:pPr>
                    <w:pStyle w:val="Header"/>
                    <w:jc w:val="left"/>
                    <w:rPr>
                      <w:rFonts w:ascii="Arial" w:hAnsi="Arial"/>
                      <w:sz w:val="20"/>
                    </w:rPr>
                  </w:pPr>
                  <w:r>
                    <w:rPr>
                      <w:rFonts w:ascii="Arial" w:hAnsi="Arial"/>
                      <w:sz w:val="20"/>
                    </w:rPr>
                    <w:t>Blue</w:t>
                  </w:r>
                </w:p>
                <w:p w:rsidR="00D444F4" w:rsidRDefault="00B5104A">
                  <w:pPr>
                    <w:pStyle w:val="Header"/>
                    <w:jc w:val="left"/>
                    <w:rPr>
                      <w:rFonts w:ascii="Arial" w:hAnsi="Arial"/>
                      <w:sz w:val="20"/>
                    </w:rPr>
                  </w:pPr>
                  <w:r>
                    <w:rPr>
                      <w:rFonts w:ascii="Arial" w:hAnsi="Arial"/>
                      <w:sz w:val="20"/>
                    </w:rPr>
                    <w:t>Non-blue</w:t>
                  </w:r>
                </w:p>
                <w:p w:rsidR="00D444F4" w:rsidRDefault="00B5104A">
                  <w:pPr>
                    <w:pStyle w:val="Header"/>
                    <w:jc w:val="left"/>
                    <w:rPr>
                      <w:rFonts w:ascii="Arial" w:hAnsi="Arial"/>
                      <w:sz w:val="20"/>
                    </w:rPr>
                  </w:pPr>
                  <w:r>
                    <w:rPr>
                      <w:rFonts w:ascii="Arial" w:hAnsi="Arial"/>
                      <w:sz w:val="20"/>
                    </w:rPr>
                    <w:t>Non-blue</w:t>
                  </w:r>
                </w:p>
                <w:p w:rsidR="00D444F4" w:rsidRDefault="00B5104A">
                  <w:pPr>
                    <w:pStyle w:val="Header"/>
                    <w:jc w:val="left"/>
                    <w:rPr>
                      <w:rFonts w:ascii="Arial" w:hAnsi="Arial"/>
                      <w:sz w:val="20"/>
                    </w:rPr>
                  </w:pPr>
                  <w:r>
                    <w:rPr>
                      <w:rFonts w:ascii="Arial" w:hAnsi="Arial"/>
                      <w:sz w:val="20"/>
                    </w:rPr>
                    <w:t>Blue</w:t>
                  </w:r>
                </w:p>
              </w:tc>
              <w:tc>
                <w:tcPr>
                  <w:tcW w:w="2283" w:type="dxa"/>
                </w:tcPr>
                <w:p w:rsidR="00D444F4" w:rsidRDefault="00B5104A">
                  <w:pPr>
                    <w:pStyle w:val="Header"/>
                    <w:jc w:val="left"/>
                    <w:rPr>
                      <w:rFonts w:ascii="Arial" w:hAnsi="Arial"/>
                      <w:sz w:val="20"/>
                    </w:rPr>
                  </w:pPr>
                  <w:r>
                    <w:rPr>
                      <w:rFonts w:ascii="Arial" w:hAnsi="Arial"/>
                      <w:sz w:val="20"/>
                    </w:rPr>
                    <w:t>Yes</w:t>
                  </w:r>
                </w:p>
                <w:p w:rsidR="00D444F4" w:rsidRDefault="00B5104A">
                  <w:pPr>
                    <w:pStyle w:val="Header"/>
                    <w:jc w:val="left"/>
                    <w:rPr>
                      <w:rFonts w:ascii="Arial" w:hAnsi="Arial"/>
                      <w:sz w:val="20"/>
                    </w:rPr>
                  </w:pPr>
                  <w:r>
                    <w:rPr>
                      <w:rFonts w:ascii="Arial" w:hAnsi="Arial"/>
                      <w:sz w:val="20"/>
                    </w:rPr>
                    <w:t>No</w:t>
                  </w:r>
                </w:p>
                <w:p w:rsidR="00D444F4" w:rsidRDefault="00B5104A">
                  <w:pPr>
                    <w:pStyle w:val="Header"/>
                    <w:jc w:val="left"/>
                    <w:rPr>
                      <w:rFonts w:ascii="Arial" w:hAnsi="Arial"/>
                      <w:sz w:val="20"/>
                    </w:rPr>
                  </w:pPr>
                  <w:r>
                    <w:rPr>
                      <w:rFonts w:ascii="Arial" w:hAnsi="Arial"/>
                      <w:sz w:val="20"/>
                    </w:rPr>
                    <w:t>No</w:t>
                  </w:r>
                </w:p>
                <w:p w:rsidR="00D444F4" w:rsidRDefault="00B5104A">
                  <w:pPr>
                    <w:pStyle w:val="Header"/>
                    <w:jc w:val="left"/>
                    <w:rPr>
                      <w:rFonts w:ascii="Arial" w:hAnsi="Arial"/>
                      <w:sz w:val="20"/>
                    </w:rPr>
                  </w:pPr>
                  <w:r>
                    <w:rPr>
                      <w:rFonts w:ascii="Arial" w:hAnsi="Arial"/>
                      <w:sz w:val="20"/>
                    </w:rPr>
                    <w:t>No * stored below 1</w:t>
                  </w:r>
                  <w:r>
                    <w:rPr>
                      <w:rFonts w:ascii="Arial" w:hAnsi="Arial"/>
                      <w:sz w:val="20"/>
                    </w:rPr>
                    <w:sym w:font="Symbol" w:char="F0B0"/>
                  </w:r>
                  <w:r>
                    <w:rPr>
                      <w:rFonts w:ascii="Arial" w:hAnsi="Arial"/>
                      <w:sz w:val="20"/>
                    </w:rPr>
                    <w:t>C</w:t>
                  </w:r>
                </w:p>
              </w:tc>
            </w:tr>
            <w:tr w:rsidR="00D444F4">
              <w:tc>
                <w:tcPr>
                  <w:tcW w:w="1867" w:type="dxa"/>
                </w:tcPr>
                <w:p w:rsidR="00D444F4" w:rsidRDefault="00B5104A">
                  <w:pPr>
                    <w:pStyle w:val="Header"/>
                    <w:jc w:val="left"/>
                    <w:rPr>
                      <w:rFonts w:ascii="Arial" w:hAnsi="Arial"/>
                      <w:sz w:val="20"/>
                    </w:rPr>
                  </w:pPr>
                  <w:r>
                    <w:rPr>
                      <w:rFonts w:ascii="Arial" w:hAnsi="Arial"/>
                      <w:sz w:val="20"/>
                    </w:rPr>
                    <w:t>&gt;72 hours</w:t>
                  </w:r>
                </w:p>
                <w:p w:rsidR="00D444F4" w:rsidRDefault="00D444F4">
                  <w:pPr>
                    <w:pStyle w:val="Header"/>
                    <w:jc w:val="left"/>
                    <w:rPr>
                      <w:rFonts w:ascii="Arial" w:hAnsi="Arial"/>
                      <w:sz w:val="20"/>
                    </w:rPr>
                  </w:pPr>
                </w:p>
              </w:tc>
              <w:tc>
                <w:tcPr>
                  <w:tcW w:w="2697" w:type="dxa"/>
                </w:tcPr>
                <w:p w:rsidR="00D444F4" w:rsidRDefault="00B5104A">
                  <w:pPr>
                    <w:pStyle w:val="Header"/>
                    <w:jc w:val="left"/>
                    <w:rPr>
                      <w:rFonts w:ascii="Arial" w:hAnsi="Arial"/>
                      <w:sz w:val="20"/>
                    </w:rPr>
                  </w:pPr>
                  <w:r>
                    <w:rPr>
                      <w:rFonts w:ascii="Arial" w:hAnsi="Arial"/>
                      <w:sz w:val="20"/>
                    </w:rPr>
                    <w:t>Visible</w:t>
                  </w:r>
                </w:p>
                <w:p w:rsidR="00D444F4" w:rsidRDefault="00B5104A">
                  <w:pPr>
                    <w:pStyle w:val="Header"/>
                    <w:jc w:val="left"/>
                    <w:rPr>
                      <w:rFonts w:ascii="Arial" w:hAnsi="Arial"/>
                      <w:sz w:val="20"/>
                    </w:rPr>
                  </w:pPr>
                  <w:r>
                    <w:rPr>
                      <w:rFonts w:ascii="Arial" w:hAnsi="Arial"/>
                      <w:sz w:val="20"/>
                    </w:rPr>
                    <w:t>Visible</w:t>
                  </w:r>
                </w:p>
                <w:p w:rsidR="00D444F4" w:rsidRDefault="00B5104A">
                  <w:pPr>
                    <w:pStyle w:val="Header"/>
                    <w:jc w:val="left"/>
                    <w:rPr>
                      <w:rFonts w:ascii="Arial" w:hAnsi="Arial"/>
                      <w:sz w:val="20"/>
                    </w:rPr>
                  </w:pPr>
                  <w:r>
                    <w:rPr>
                      <w:rFonts w:ascii="Arial" w:hAnsi="Arial"/>
                      <w:sz w:val="20"/>
                    </w:rPr>
                    <w:t>Invisible</w:t>
                  </w:r>
                </w:p>
                <w:p w:rsidR="00D444F4" w:rsidRDefault="00B5104A">
                  <w:pPr>
                    <w:pStyle w:val="Header"/>
                    <w:jc w:val="left"/>
                    <w:rPr>
                      <w:rFonts w:ascii="Arial" w:hAnsi="Arial"/>
                      <w:sz w:val="20"/>
                    </w:rPr>
                  </w:pPr>
                  <w:r>
                    <w:rPr>
                      <w:rFonts w:ascii="Arial" w:hAnsi="Arial"/>
                      <w:sz w:val="20"/>
                    </w:rPr>
                    <w:t>Invisible</w:t>
                  </w:r>
                </w:p>
              </w:tc>
              <w:tc>
                <w:tcPr>
                  <w:tcW w:w="2282" w:type="dxa"/>
                </w:tcPr>
                <w:p w:rsidR="00D444F4" w:rsidRDefault="00B5104A">
                  <w:pPr>
                    <w:pStyle w:val="Header"/>
                    <w:jc w:val="left"/>
                    <w:rPr>
                      <w:rFonts w:ascii="Arial" w:hAnsi="Arial"/>
                      <w:sz w:val="20"/>
                    </w:rPr>
                  </w:pPr>
                  <w:r>
                    <w:rPr>
                      <w:rFonts w:ascii="Arial" w:hAnsi="Arial"/>
                      <w:sz w:val="20"/>
                    </w:rPr>
                    <w:t>Blue</w:t>
                  </w:r>
                </w:p>
                <w:p w:rsidR="00D444F4" w:rsidRDefault="00B5104A">
                  <w:pPr>
                    <w:pStyle w:val="Header"/>
                    <w:jc w:val="left"/>
                    <w:rPr>
                      <w:rFonts w:ascii="Arial" w:hAnsi="Arial"/>
                      <w:sz w:val="20"/>
                    </w:rPr>
                  </w:pPr>
                  <w:r>
                    <w:rPr>
                      <w:rFonts w:ascii="Arial" w:hAnsi="Arial"/>
                      <w:sz w:val="20"/>
                    </w:rPr>
                    <w:t>Non-blue</w:t>
                  </w:r>
                </w:p>
                <w:p w:rsidR="00D444F4" w:rsidRDefault="00B5104A">
                  <w:pPr>
                    <w:pStyle w:val="Header"/>
                    <w:jc w:val="left"/>
                    <w:rPr>
                      <w:rFonts w:ascii="Arial" w:hAnsi="Arial"/>
                      <w:sz w:val="20"/>
                    </w:rPr>
                  </w:pPr>
                  <w:r>
                    <w:rPr>
                      <w:rFonts w:ascii="Arial" w:hAnsi="Arial"/>
                      <w:sz w:val="20"/>
                    </w:rPr>
                    <w:t>Non-blue</w:t>
                  </w:r>
                </w:p>
                <w:p w:rsidR="00D444F4" w:rsidRDefault="00B5104A">
                  <w:pPr>
                    <w:pStyle w:val="Header"/>
                    <w:jc w:val="left"/>
                    <w:rPr>
                      <w:rFonts w:ascii="Arial" w:hAnsi="Arial"/>
                      <w:sz w:val="20"/>
                    </w:rPr>
                  </w:pPr>
                  <w:r>
                    <w:rPr>
                      <w:rFonts w:ascii="Arial" w:hAnsi="Arial"/>
                      <w:sz w:val="20"/>
                    </w:rPr>
                    <w:t>Blue</w:t>
                  </w:r>
                </w:p>
              </w:tc>
              <w:tc>
                <w:tcPr>
                  <w:tcW w:w="2283" w:type="dxa"/>
                </w:tcPr>
                <w:p w:rsidR="00D444F4" w:rsidRDefault="00B5104A">
                  <w:pPr>
                    <w:pStyle w:val="Header"/>
                    <w:jc w:val="left"/>
                    <w:rPr>
                      <w:rFonts w:ascii="Arial" w:hAnsi="Arial"/>
                      <w:sz w:val="20"/>
                    </w:rPr>
                  </w:pPr>
                  <w:r>
                    <w:rPr>
                      <w:rFonts w:ascii="Arial" w:hAnsi="Arial"/>
                      <w:sz w:val="20"/>
                    </w:rPr>
                    <w:t>Yes</w:t>
                  </w:r>
                </w:p>
                <w:p w:rsidR="00D444F4" w:rsidRDefault="00B5104A">
                  <w:pPr>
                    <w:pStyle w:val="Header"/>
                    <w:jc w:val="left"/>
                    <w:rPr>
                      <w:rFonts w:ascii="Arial" w:hAnsi="Arial"/>
                      <w:sz w:val="20"/>
                    </w:rPr>
                  </w:pPr>
                  <w:r>
                    <w:rPr>
                      <w:rFonts w:ascii="Arial" w:hAnsi="Arial"/>
                      <w:sz w:val="20"/>
                    </w:rPr>
                    <w:t>No</w:t>
                  </w:r>
                </w:p>
                <w:p w:rsidR="00D444F4" w:rsidRDefault="00B5104A">
                  <w:pPr>
                    <w:pStyle w:val="Header"/>
                    <w:jc w:val="left"/>
                    <w:rPr>
                      <w:rFonts w:ascii="Arial" w:hAnsi="Arial"/>
                      <w:sz w:val="20"/>
                    </w:rPr>
                  </w:pPr>
                  <w:r>
                    <w:rPr>
                      <w:rFonts w:ascii="Arial" w:hAnsi="Arial"/>
                      <w:sz w:val="20"/>
                    </w:rPr>
                    <w:t>No</w:t>
                  </w:r>
                </w:p>
                <w:p w:rsidR="00D444F4" w:rsidRDefault="00B5104A">
                  <w:pPr>
                    <w:pStyle w:val="Header"/>
                    <w:jc w:val="left"/>
                    <w:rPr>
                      <w:rFonts w:ascii="Arial" w:hAnsi="Arial"/>
                      <w:sz w:val="20"/>
                    </w:rPr>
                  </w:pPr>
                  <w:r>
                    <w:rPr>
                      <w:rFonts w:ascii="Arial" w:hAnsi="Arial"/>
                      <w:sz w:val="20"/>
                    </w:rPr>
                    <w:t>No* stored below 1</w:t>
                  </w:r>
                  <w:r>
                    <w:rPr>
                      <w:rFonts w:ascii="Arial" w:hAnsi="Arial"/>
                      <w:sz w:val="20"/>
                    </w:rPr>
                    <w:sym w:font="Symbol" w:char="F0B0"/>
                  </w:r>
                  <w:r>
                    <w:rPr>
                      <w:rFonts w:ascii="Arial" w:hAnsi="Arial"/>
                      <w:sz w:val="20"/>
                    </w:rPr>
                    <w:t>C</w:t>
                  </w:r>
                </w:p>
              </w:tc>
            </w:tr>
          </w:tbl>
          <w:p w:rsidR="00D444F4" w:rsidRDefault="00D444F4">
            <w:pPr>
              <w:jc w:val="left"/>
              <w:rPr>
                <w:rFonts w:ascii="Arial" w:hAnsi="Arial" w:cs="Arial"/>
                <w:sz w:val="20"/>
              </w:rPr>
            </w:pPr>
          </w:p>
        </w:tc>
      </w:tr>
      <w:tr w:rsidR="00D444F4">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D444F4" w:rsidRDefault="00D444F4">
            <w:pPr>
              <w:jc w:val="left"/>
              <w:rPr>
                <w:rFonts w:ascii="Arial" w:hAnsi="Arial" w:cs="Arial"/>
                <w:b/>
                <w:bCs/>
                <w:color w:val="3366FF"/>
                <w:sz w:val="20"/>
              </w:rPr>
            </w:pPr>
          </w:p>
          <w:p w:rsidR="00D444F4" w:rsidRDefault="00B5104A">
            <w:pPr>
              <w:jc w:val="left"/>
              <w:rPr>
                <w:rFonts w:ascii="Arial" w:hAnsi="Arial" w:cs="Arial"/>
                <w:b/>
                <w:bCs/>
                <w:color w:val="3366FF"/>
                <w:sz w:val="20"/>
              </w:rPr>
            </w:pPr>
            <w:r>
              <w:rPr>
                <w:rFonts w:ascii="Arial" w:hAnsi="Arial" w:cs="Arial"/>
                <w:b/>
                <w:bCs/>
                <w:color w:val="3366FF"/>
                <w:sz w:val="20"/>
              </w:rPr>
              <w:t>References</w:t>
            </w:r>
          </w:p>
        </w:tc>
        <w:tc>
          <w:tcPr>
            <w:tcW w:w="9360" w:type="dxa"/>
            <w:gridSpan w:val="6"/>
            <w:tcBorders>
              <w:top w:val="single" w:sz="12" w:space="0" w:color="C0C0C0"/>
              <w:bottom w:val="single" w:sz="12" w:space="0" w:color="C0C0C0"/>
              <w:right w:val="nil"/>
            </w:tcBorders>
          </w:tcPr>
          <w:p w:rsidR="00D444F4" w:rsidRDefault="00D444F4">
            <w:pPr>
              <w:jc w:val="left"/>
              <w:rPr>
                <w:rFonts w:ascii="Arial" w:hAnsi="Arial" w:cs="Arial"/>
                <w:iCs/>
                <w:sz w:val="20"/>
              </w:rPr>
            </w:pPr>
          </w:p>
          <w:p w:rsidR="00D444F4" w:rsidRDefault="00B5104A">
            <w:pPr>
              <w:jc w:val="left"/>
              <w:rPr>
                <w:rFonts w:ascii="Arial" w:hAnsi="Arial" w:cs="Arial"/>
                <w:iCs/>
                <w:sz w:val="20"/>
              </w:rPr>
            </w:pPr>
            <w:r>
              <w:rPr>
                <w:rFonts w:ascii="Arial" w:hAnsi="Arial"/>
                <w:sz w:val="20"/>
              </w:rPr>
              <w:t>Hemotemp II produ</w:t>
            </w:r>
            <w:r w:rsidR="00E74B4C">
              <w:rPr>
                <w:rFonts w:ascii="Arial" w:hAnsi="Arial"/>
                <w:sz w:val="20"/>
              </w:rPr>
              <w:t xml:space="preserve">ct insert. Biosynergy, Inc. </w:t>
            </w:r>
          </w:p>
          <w:p w:rsidR="00D444F4" w:rsidRDefault="00D444F4">
            <w:pPr>
              <w:jc w:val="left"/>
              <w:rPr>
                <w:rFonts w:ascii="Arial" w:hAnsi="Arial" w:cs="Arial"/>
                <w:iCs/>
                <w:sz w:val="20"/>
              </w:rPr>
            </w:pP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D444F4" w:rsidRDefault="00D444F4">
            <w:pPr>
              <w:rPr>
                <w:rFonts w:ascii="Arial" w:hAnsi="Arial" w:cs="Arial"/>
                <w:b/>
                <w:bCs/>
                <w:color w:val="3366FF"/>
                <w:sz w:val="20"/>
              </w:rPr>
            </w:pPr>
          </w:p>
          <w:p w:rsidR="00D444F4" w:rsidRDefault="00B5104A">
            <w:pPr>
              <w:rPr>
                <w:rFonts w:ascii="Arial" w:hAnsi="Arial" w:cs="Arial"/>
                <w:b/>
                <w:bCs/>
                <w:color w:val="3366FF"/>
                <w:sz w:val="20"/>
              </w:rPr>
            </w:pPr>
            <w:r>
              <w:rPr>
                <w:rFonts w:ascii="Arial" w:hAnsi="Arial" w:cs="Arial"/>
                <w:b/>
                <w:bCs/>
                <w:color w:val="3366FF"/>
                <w:sz w:val="20"/>
              </w:rPr>
              <w:t>Approval</w:t>
            </w:r>
          </w:p>
          <w:p w:rsidR="00D444F4" w:rsidRDefault="00B5104A">
            <w:pPr>
              <w:rPr>
                <w:rFonts w:ascii="Arial" w:hAnsi="Arial" w:cs="Arial"/>
                <w:b/>
                <w:bCs/>
                <w:color w:val="3366FF"/>
                <w:sz w:val="20"/>
              </w:rPr>
            </w:pPr>
            <w:r>
              <w:rPr>
                <w:rFonts w:ascii="Arial" w:hAnsi="Arial" w:cs="Arial"/>
                <w:b/>
                <w:bCs/>
                <w:color w:val="3366FF"/>
                <w:sz w:val="20"/>
              </w:rPr>
              <w:t>Workflow</w:t>
            </w:r>
          </w:p>
        </w:tc>
        <w:tc>
          <w:tcPr>
            <w:tcW w:w="9360" w:type="dxa"/>
            <w:gridSpan w:val="6"/>
            <w:tcBorders>
              <w:top w:val="single" w:sz="12" w:space="0" w:color="C0C0C0"/>
              <w:bottom w:val="single" w:sz="12" w:space="0" w:color="C0C0C0"/>
              <w:right w:val="nil"/>
            </w:tcBorders>
          </w:tcPr>
          <w:p w:rsidR="00D444F4" w:rsidRDefault="00D444F4">
            <w:pPr>
              <w:jc w:val="left"/>
              <w:rPr>
                <w:rFonts w:ascii="Arial" w:hAnsi="Arial" w:cs="Arial"/>
                <w:iCs/>
                <w:sz w:val="20"/>
              </w:rPr>
            </w:pPr>
          </w:p>
          <w:p w:rsidR="00D444F4" w:rsidRDefault="00B5104A">
            <w:pPr>
              <w:jc w:val="left"/>
              <w:rPr>
                <w:rFonts w:ascii="Arial" w:hAnsi="Arial" w:cs="Arial"/>
                <w:iCs/>
                <w:sz w:val="20"/>
              </w:rPr>
            </w:pPr>
            <w:r>
              <w:rPr>
                <w:rFonts w:ascii="Arial" w:hAnsi="Arial" w:cs="Arial"/>
                <w:iCs/>
                <w:sz w:val="20"/>
              </w:rPr>
              <w:t>Transfusion Service/Technical Specialist</w:t>
            </w:r>
          </w:p>
          <w:p w:rsidR="00D444F4" w:rsidRDefault="00D444F4">
            <w:pPr>
              <w:jc w:val="left"/>
              <w:rPr>
                <w:rFonts w:ascii="Arial" w:hAnsi="Arial" w:cs="Arial"/>
                <w:iCs/>
                <w:sz w:val="20"/>
              </w:rPr>
            </w:pP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D444F4" w:rsidRDefault="00D444F4">
            <w:pPr>
              <w:rPr>
                <w:rFonts w:ascii="Arial" w:hAnsi="Arial" w:cs="Arial"/>
                <w:color w:val="3366FF"/>
                <w:sz w:val="20"/>
              </w:rPr>
            </w:pPr>
          </w:p>
        </w:tc>
        <w:tc>
          <w:tcPr>
            <w:tcW w:w="9360" w:type="dxa"/>
            <w:gridSpan w:val="6"/>
            <w:tcBorders>
              <w:top w:val="single" w:sz="12" w:space="0" w:color="C0C0C0"/>
              <w:bottom w:val="single" w:sz="4" w:space="0" w:color="auto"/>
              <w:right w:val="nil"/>
            </w:tcBorders>
          </w:tcPr>
          <w:p w:rsidR="00D444F4" w:rsidRDefault="00D444F4">
            <w:pPr>
              <w:pStyle w:val="TableText"/>
              <w:autoSpaceDE/>
              <w:autoSpaceDN/>
              <w:rPr>
                <w:rFonts w:ascii="Arial" w:hAnsi="Arial" w:cs="Arial"/>
                <w:iCs/>
              </w:rPr>
            </w:pP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D444F4" w:rsidRDefault="00B5104A">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D444F4" w:rsidRDefault="00B5104A">
            <w:pPr>
              <w:jc w:val="left"/>
              <w:rPr>
                <w:rFonts w:ascii="Arial" w:hAnsi="Arial" w:cs="Arial"/>
                <w:b/>
                <w:bCs/>
                <w:sz w:val="20"/>
              </w:rPr>
            </w:pPr>
            <w:r>
              <w:rPr>
                <w:rFonts w:ascii="Arial" w:hAnsi="Arial" w:cs="Arial"/>
                <w:b/>
                <w:bCs/>
                <w:sz w:val="20"/>
              </w:rPr>
              <w:t>Version</w:t>
            </w:r>
          </w:p>
        </w:tc>
        <w:tc>
          <w:tcPr>
            <w:tcW w:w="2160" w:type="dxa"/>
            <w:gridSpan w:val="2"/>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b/>
                <w:bCs/>
                <w:iCs/>
                <w:sz w:val="20"/>
              </w:rPr>
            </w:pPr>
            <w:r>
              <w:rPr>
                <w:rFonts w:ascii="Arial" w:hAnsi="Arial" w:cs="Arial"/>
                <w:b/>
                <w:bCs/>
                <w:iCs/>
                <w:sz w:val="20"/>
              </w:rPr>
              <w:t>Effective Date:</w:t>
            </w:r>
          </w:p>
        </w:tc>
        <w:tc>
          <w:tcPr>
            <w:tcW w:w="4500" w:type="dxa"/>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b/>
                <w:bCs/>
                <w:iCs/>
                <w:sz w:val="20"/>
              </w:rPr>
            </w:pPr>
            <w:r>
              <w:rPr>
                <w:rFonts w:ascii="Arial" w:hAnsi="Arial" w:cs="Arial"/>
                <w:b/>
                <w:bCs/>
                <w:iCs/>
                <w:sz w:val="20"/>
              </w:rPr>
              <w:t>Summary of Revisions</w:t>
            </w: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rsidR="00D444F4" w:rsidRDefault="00D444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D444F4" w:rsidRDefault="00B5104A">
            <w:pPr>
              <w:jc w:val="center"/>
              <w:rPr>
                <w:rFonts w:ascii="Arial" w:hAnsi="Arial"/>
                <w:sz w:val="20"/>
              </w:rPr>
            </w:pPr>
            <w:r>
              <w:rPr>
                <w:rFonts w:ascii="Arial" w:hAnsi="Arial"/>
                <w:sz w:val="20"/>
              </w:rPr>
              <w:t>1</w:t>
            </w:r>
          </w:p>
        </w:tc>
        <w:tc>
          <w:tcPr>
            <w:tcW w:w="2160" w:type="dxa"/>
            <w:gridSpan w:val="2"/>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6/99</w:t>
            </w:r>
          </w:p>
        </w:tc>
        <w:tc>
          <w:tcPr>
            <w:tcW w:w="4500" w:type="dxa"/>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Initial Version</w:t>
            </w: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rsidR="00D444F4" w:rsidRDefault="00D444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D444F4" w:rsidRDefault="00B5104A">
            <w:pPr>
              <w:jc w:val="center"/>
              <w:rPr>
                <w:rFonts w:ascii="Arial" w:hAnsi="Arial"/>
                <w:sz w:val="20"/>
              </w:rPr>
            </w:pPr>
            <w:r>
              <w:rPr>
                <w:rFonts w:ascii="Arial" w:hAnsi="Arial"/>
                <w:sz w:val="20"/>
              </w:rPr>
              <w:t>2</w:t>
            </w:r>
          </w:p>
        </w:tc>
        <w:tc>
          <w:tcPr>
            <w:tcW w:w="2160" w:type="dxa"/>
            <w:gridSpan w:val="2"/>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8/31/2002</w:t>
            </w:r>
          </w:p>
        </w:tc>
        <w:tc>
          <w:tcPr>
            <w:tcW w:w="4500" w:type="dxa"/>
            <w:tcBorders>
              <w:top w:val="single" w:sz="4" w:space="0" w:color="auto"/>
              <w:left w:val="single" w:sz="4" w:space="0" w:color="auto"/>
              <w:bottom w:val="single" w:sz="4" w:space="0" w:color="auto"/>
              <w:right w:val="single" w:sz="4" w:space="0" w:color="auto"/>
            </w:tcBorders>
          </w:tcPr>
          <w:p w:rsidR="00D444F4" w:rsidRDefault="00D444F4">
            <w:pPr>
              <w:rPr>
                <w:rFonts w:ascii="Arial" w:hAnsi="Arial"/>
                <w:sz w:val="20"/>
              </w:rPr>
            </w:pP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rsidR="00D444F4" w:rsidRDefault="00D444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D444F4" w:rsidRDefault="00B5104A">
            <w:pPr>
              <w:jc w:val="center"/>
              <w:rPr>
                <w:rFonts w:ascii="Arial" w:hAnsi="Arial"/>
                <w:sz w:val="20"/>
              </w:rPr>
            </w:pPr>
            <w:r>
              <w:rPr>
                <w:rFonts w:ascii="Arial" w:hAnsi="Arial"/>
                <w:sz w:val="20"/>
              </w:rPr>
              <w:t>3</w:t>
            </w:r>
          </w:p>
        </w:tc>
        <w:tc>
          <w:tcPr>
            <w:tcW w:w="2160" w:type="dxa"/>
            <w:gridSpan w:val="2"/>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5/01/03</w:t>
            </w:r>
          </w:p>
        </w:tc>
        <w:tc>
          <w:tcPr>
            <w:tcW w:w="4500" w:type="dxa"/>
            <w:tcBorders>
              <w:top w:val="single" w:sz="4" w:space="0" w:color="auto"/>
              <w:left w:val="single" w:sz="4" w:space="0" w:color="auto"/>
              <w:bottom w:val="single" w:sz="4" w:space="0" w:color="auto"/>
              <w:right w:val="single" w:sz="4" w:space="0" w:color="auto"/>
            </w:tcBorders>
          </w:tcPr>
          <w:p w:rsidR="00D444F4" w:rsidRDefault="00D444F4">
            <w:pPr>
              <w:rPr>
                <w:rFonts w:ascii="Arial" w:hAnsi="Arial"/>
                <w:sz w:val="20"/>
              </w:rPr>
            </w:pP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rsidR="00D444F4" w:rsidRDefault="00D444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D444F4" w:rsidRDefault="00B5104A">
            <w:pPr>
              <w:jc w:val="center"/>
              <w:rPr>
                <w:rFonts w:ascii="Arial" w:hAnsi="Arial"/>
                <w:sz w:val="20"/>
              </w:rPr>
            </w:pPr>
            <w:r>
              <w:rPr>
                <w:rFonts w:ascii="Arial" w:hAnsi="Arial"/>
                <w:sz w:val="20"/>
              </w:rPr>
              <w:t>4</w:t>
            </w:r>
          </w:p>
        </w:tc>
        <w:tc>
          <w:tcPr>
            <w:tcW w:w="2160" w:type="dxa"/>
            <w:gridSpan w:val="2"/>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11/13/2009</w:t>
            </w:r>
          </w:p>
        </w:tc>
        <w:tc>
          <w:tcPr>
            <w:tcW w:w="4500" w:type="dxa"/>
            <w:tcBorders>
              <w:top w:val="single" w:sz="4" w:space="0" w:color="auto"/>
              <w:left w:val="single" w:sz="4" w:space="0" w:color="auto"/>
              <w:bottom w:val="single" w:sz="4" w:space="0" w:color="auto"/>
              <w:right w:val="single" w:sz="4" w:space="0" w:color="auto"/>
            </w:tcBorders>
          </w:tcPr>
          <w:p w:rsidR="00D444F4" w:rsidRDefault="00B5104A">
            <w:pPr>
              <w:rPr>
                <w:rFonts w:ascii="Arial" w:hAnsi="Arial"/>
                <w:bCs/>
                <w:sz w:val="20"/>
              </w:rPr>
            </w:pPr>
            <w:r>
              <w:rPr>
                <w:rFonts w:ascii="Arial" w:hAnsi="Arial"/>
                <w:bCs/>
                <w:sz w:val="20"/>
              </w:rPr>
              <w:t>Separate from cooler SOP</w:t>
            </w:r>
          </w:p>
          <w:p w:rsidR="00D444F4" w:rsidRDefault="00B5104A">
            <w:pPr>
              <w:rPr>
                <w:rFonts w:ascii="Arial" w:hAnsi="Arial"/>
                <w:bCs/>
                <w:sz w:val="20"/>
              </w:rPr>
            </w:pPr>
            <w:r>
              <w:rPr>
                <w:rFonts w:ascii="Arial" w:hAnsi="Arial"/>
                <w:bCs/>
                <w:sz w:val="20"/>
              </w:rPr>
              <w:t>Activation time from 30 to 60 seconds</w:t>
            </w: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rsidR="00D444F4" w:rsidRDefault="00D444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D444F4" w:rsidRDefault="00B5104A">
            <w:pPr>
              <w:jc w:val="center"/>
              <w:rPr>
                <w:rFonts w:ascii="Arial" w:hAnsi="Arial"/>
                <w:sz w:val="20"/>
              </w:rPr>
            </w:pPr>
            <w:r>
              <w:rPr>
                <w:rFonts w:ascii="Arial" w:hAnsi="Arial"/>
                <w:sz w:val="20"/>
              </w:rPr>
              <w:t>5</w:t>
            </w:r>
          </w:p>
        </w:tc>
        <w:tc>
          <w:tcPr>
            <w:tcW w:w="2160" w:type="dxa"/>
            <w:gridSpan w:val="2"/>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 xml:space="preserve">S. Cassidy </w:t>
            </w:r>
          </w:p>
        </w:tc>
        <w:tc>
          <w:tcPr>
            <w:tcW w:w="1620" w:type="dxa"/>
            <w:tcBorders>
              <w:top w:val="single" w:sz="4" w:space="0" w:color="auto"/>
              <w:left w:val="single" w:sz="4" w:space="0" w:color="auto"/>
              <w:bottom w:val="single" w:sz="4" w:space="0" w:color="auto"/>
              <w:right w:val="single" w:sz="4" w:space="0" w:color="auto"/>
            </w:tcBorders>
          </w:tcPr>
          <w:p w:rsidR="00D444F4" w:rsidRDefault="00B5104A">
            <w:pPr>
              <w:rPr>
                <w:rFonts w:ascii="Arial" w:hAnsi="Arial"/>
                <w:sz w:val="20"/>
              </w:rPr>
            </w:pPr>
            <w:r>
              <w:rPr>
                <w:rFonts w:ascii="Arial" w:hAnsi="Arial"/>
                <w:sz w:val="20"/>
              </w:rPr>
              <w:t>11/18/09</w:t>
            </w:r>
          </w:p>
        </w:tc>
        <w:tc>
          <w:tcPr>
            <w:tcW w:w="4500" w:type="dxa"/>
            <w:tcBorders>
              <w:top w:val="single" w:sz="4" w:space="0" w:color="auto"/>
              <w:left w:val="single" w:sz="4" w:space="0" w:color="auto"/>
              <w:bottom w:val="single" w:sz="4" w:space="0" w:color="auto"/>
              <w:right w:val="single" w:sz="4" w:space="0" w:color="auto"/>
            </w:tcBorders>
          </w:tcPr>
          <w:p w:rsidR="00D444F4" w:rsidRDefault="00B5104A">
            <w:pPr>
              <w:rPr>
                <w:rFonts w:ascii="Arial" w:hAnsi="Arial"/>
                <w:bCs/>
                <w:sz w:val="20"/>
              </w:rPr>
            </w:pPr>
            <w:r>
              <w:rPr>
                <w:rFonts w:ascii="Arial" w:hAnsi="Arial"/>
                <w:bCs/>
                <w:sz w:val="20"/>
              </w:rPr>
              <w:t>Added heat block instructions</w:t>
            </w:r>
          </w:p>
        </w:tc>
      </w:tr>
      <w:tr w:rsidR="00D444F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rsidR="00D444F4" w:rsidRDefault="00D444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D444F4" w:rsidRDefault="00B5104A">
            <w:pPr>
              <w:jc w:val="center"/>
              <w:rPr>
                <w:rFonts w:ascii="Arial" w:hAnsi="Arial" w:cs="Arial"/>
                <w:sz w:val="20"/>
              </w:rPr>
            </w:pPr>
            <w:r>
              <w:rPr>
                <w:rFonts w:ascii="Arial" w:hAnsi="Arial" w:cs="Arial"/>
                <w:sz w:val="20"/>
              </w:rPr>
              <w:t>6</w:t>
            </w:r>
          </w:p>
        </w:tc>
        <w:tc>
          <w:tcPr>
            <w:tcW w:w="2160" w:type="dxa"/>
            <w:gridSpan w:val="2"/>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iCs/>
                <w:sz w:val="20"/>
              </w:rPr>
            </w:pPr>
            <w:r>
              <w:rPr>
                <w:rFonts w:ascii="Arial" w:hAnsi="Arial" w:cs="Arial"/>
                <w:iCs/>
                <w:sz w:val="20"/>
              </w:rPr>
              <w:t>4/10/2012</w:t>
            </w:r>
          </w:p>
        </w:tc>
        <w:tc>
          <w:tcPr>
            <w:tcW w:w="4500" w:type="dxa"/>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sz w:val="20"/>
              </w:rPr>
            </w:pPr>
            <w:r>
              <w:rPr>
                <w:rFonts w:ascii="Arial" w:hAnsi="Arial" w:cs="Arial"/>
                <w:sz w:val="20"/>
              </w:rPr>
              <w:t>CMS format. Previous TS 12.15</w:t>
            </w:r>
          </w:p>
        </w:tc>
      </w:tr>
      <w:tr w:rsidR="00D444F4" w:rsidTr="0090414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rsidR="00D444F4" w:rsidRDefault="00D444F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D444F4" w:rsidRDefault="00B5104A">
            <w:pPr>
              <w:jc w:val="center"/>
              <w:rPr>
                <w:rFonts w:ascii="Arial" w:hAnsi="Arial" w:cs="Arial"/>
                <w:sz w:val="20"/>
              </w:rPr>
            </w:pPr>
            <w:r>
              <w:rPr>
                <w:rFonts w:ascii="Arial" w:hAnsi="Arial" w:cs="Arial"/>
                <w:sz w:val="20"/>
              </w:rPr>
              <w:t>7</w:t>
            </w:r>
          </w:p>
        </w:tc>
        <w:tc>
          <w:tcPr>
            <w:tcW w:w="2160" w:type="dxa"/>
            <w:gridSpan w:val="2"/>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iCs/>
                <w:sz w:val="20"/>
              </w:rPr>
            </w:pPr>
            <w:r>
              <w:rPr>
                <w:rFonts w:ascii="Arial" w:hAnsi="Arial" w:cs="Arial"/>
                <w:iCs/>
                <w:sz w:val="20"/>
              </w:rPr>
              <w:t>6/14/2012</w:t>
            </w:r>
          </w:p>
        </w:tc>
        <w:tc>
          <w:tcPr>
            <w:tcW w:w="4500" w:type="dxa"/>
            <w:tcBorders>
              <w:top w:val="single" w:sz="4" w:space="0" w:color="auto"/>
              <w:left w:val="single" w:sz="4" w:space="0" w:color="auto"/>
              <w:bottom w:val="single" w:sz="4" w:space="0" w:color="auto"/>
              <w:right w:val="single" w:sz="4" w:space="0" w:color="auto"/>
            </w:tcBorders>
          </w:tcPr>
          <w:p w:rsidR="00D444F4" w:rsidRDefault="00B5104A">
            <w:pPr>
              <w:jc w:val="left"/>
              <w:rPr>
                <w:rFonts w:ascii="Arial" w:hAnsi="Arial" w:cs="Arial"/>
                <w:sz w:val="20"/>
              </w:rPr>
            </w:pPr>
            <w:r>
              <w:rPr>
                <w:rFonts w:ascii="Arial" w:hAnsi="Arial" w:cs="Arial"/>
                <w:sz w:val="20"/>
              </w:rPr>
              <w:t>Temperature of blood bags change from 4</w:t>
            </w:r>
            <w:r>
              <w:rPr>
                <w:rFonts w:ascii="Arial" w:hAnsi="Arial"/>
                <w:sz w:val="20"/>
              </w:rPr>
              <w:sym w:font="Symbol" w:char="F0B0"/>
            </w:r>
            <w:r>
              <w:rPr>
                <w:rFonts w:ascii="Arial" w:hAnsi="Arial"/>
                <w:sz w:val="20"/>
              </w:rPr>
              <w:t>C to 3</w:t>
            </w:r>
            <w:r>
              <w:rPr>
                <w:rFonts w:ascii="Arial" w:hAnsi="Arial"/>
                <w:sz w:val="20"/>
              </w:rPr>
              <w:sym w:font="Symbol" w:char="F0B0"/>
            </w:r>
            <w:r>
              <w:rPr>
                <w:rFonts w:ascii="Arial" w:hAnsi="Arial"/>
                <w:sz w:val="20"/>
              </w:rPr>
              <w:t>C. added note regarding placement of Hematemp on refrigerated blood bag immediately after removing from the refrigerator.</w:t>
            </w:r>
          </w:p>
        </w:tc>
      </w:tr>
      <w:tr w:rsidR="0090414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rsidR="00904144" w:rsidRDefault="00904144">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04144" w:rsidRDefault="00904144">
            <w:pPr>
              <w:jc w:val="center"/>
              <w:rPr>
                <w:rFonts w:ascii="Arial" w:hAnsi="Arial" w:cs="Arial"/>
                <w:sz w:val="20"/>
              </w:rPr>
            </w:pPr>
            <w:r>
              <w:rPr>
                <w:rFonts w:ascii="Arial" w:hAnsi="Arial" w:cs="Arial"/>
                <w:sz w:val="20"/>
              </w:rPr>
              <w:t>8</w:t>
            </w:r>
          </w:p>
        </w:tc>
        <w:tc>
          <w:tcPr>
            <w:tcW w:w="2160" w:type="dxa"/>
            <w:gridSpan w:val="2"/>
            <w:tcBorders>
              <w:top w:val="single" w:sz="4" w:space="0" w:color="auto"/>
              <w:left w:val="single" w:sz="4" w:space="0" w:color="auto"/>
              <w:bottom w:val="single" w:sz="4" w:space="0" w:color="auto"/>
              <w:right w:val="single" w:sz="4" w:space="0" w:color="auto"/>
            </w:tcBorders>
          </w:tcPr>
          <w:p w:rsidR="00904144" w:rsidRDefault="00904144">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904144" w:rsidRDefault="00904144">
            <w:pPr>
              <w:jc w:val="left"/>
              <w:rPr>
                <w:rFonts w:ascii="Arial" w:hAnsi="Arial" w:cs="Arial"/>
                <w:iCs/>
                <w:sz w:val="20"/>
              </w:rPr>
            </w:pPr>
            <w:r>
              <w:rPr>
                <w:rFonts w:ascii="Arial" w:hAnsi="Arial" w:cs="Arial"/>
                <w:iCs/>
                <w:sz w:val="20"/>
              </w:rPr>
              <w:t>03/15/2019</w:t>
            </w:r>
          </w:p>
        </w:tc>
        <w:tc>
          <w:tcPr>
            <w:tcW w:w="4500" w:type="dxa"/>
            <w:tcBorders>
              <w:top w:val="single" w:sz="4" w:space="0" w:color="auto"/>
              <w:left w:val="single" w:sz="4" w:space="0" w:color="auto"/>
              <w:bottom w:val="single" w:sz="4" w:space="0" w:color="auto"/>
              <w:right w:val="single" w:sz="4" w:space="0" w:color="auto"/>
            </w:tcBorders>
          </w:tcPr>
          <w:p w:rsidR="00904144" w:rsidRDefault="00904144">
            <w:pPr>
              <w:jc w:val="left"/>
              <w:rPr>
                <w:rFonts w:ascii="Arial" w:hAnsi="Arial" w:cs="Arial"/>
                <w:sz w:val="20"/>
              </w:rPr>
            </w:pPr>
            <w:r>
              <w:rPr>
                <w:rFonts w:ascii="Arial" w:hAnsi="Arial" w:cs="Arial"/>
                <w:sz w:val="20"/>
              </w:rPr>
              <w:t>Added hemotemp calibration</w:t>
            </w:r>
          </w:p>
        </w:tc>
      </w:tr>
    </w:tbl>
    <w:p w:rsidR="00D444F4" w:rsidRDefault="00D444F4">
      <w:pPr>
        <w:pStyle w:val="Header"/>
        <w:tabs>
          <w:tab w:val="clear" w:pos="4320"/>
          <w:tab w:val="clear" w:pos="8640"/>
        </w:tabs>
        <w:rPr>
          <w:rFonts w:ascii="Arial" w:hAnsi="Arial" w:cs="Arial"/>
        </w:rPr>
      </w:pPr>
    </w:p>
    <w:sectPr w:rsidR="00D444F4" w:rsidSect="00271DFA">
      <w:headerReference w:type="even" r:id="rId15"/>
      <w:headerReference w:type="default" r:id="rId16"/>
      <w:footerReference w:type="default" r:id="rId17"/>
      <w:headerReference w:type="first" r:id="rId18"/>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96C" w:rsidRDefault="005A396C">
      <w:r>
        <w:separator/>
      </w:r>
    </w:p>
  </w:endnote>
  <w:endnote w:type="continuationSeparator" w:id="0">
    <w:p w:rsidR="005A396C" w:rsidRDefault="005A3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6C" w:rsidRDefault="005A396C">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EF37AA">
      <w:rPr>
        <w:rFonts w:ascii="Arial" w:hAnsi="Arial" w:cs="Arial"/>
        <w:sz w:val="16"/>
      </w:rPr>
      <w:fldChar w:fldCharType="begin"/>
    </w:r>
    <w:r>
      <w:rPr>
        <w:rFonts w:ascii="Arial" w:hAnsi="Arial" w:cs="Arial"/>
        <w:sz w:val="16"/>
      </w:rPr>
      <w:instrText xml:space="preserve"> PAGE </w:instrText>
    </w:r>
    <w:r w:rsidR="00EF37AA">
      <w:rPr>
        <w:rFonts w:ascii="Arial" w:hAnsi="Arial" w:cs="Arial"/>
        <w:sz w:val="16"/>
      </w:rPr>
      <w:fldChar w:fldCharType="separate"/>
    </w:r>
    <w:r w:rsidR="00602E85">
      <w:rPr>
        <w:rFonts w:ascii="Arial" w:hAnsi="Arial" w:cs="Arial"/>
        <w:noProof/>
        <w:sz w:val="16"/>
      </w:rPr>
      <w:t>4</w:t>
    </w:r>
    <w:r w:rsidR="00EF37AA">
      <w:rPr>
        <w:rFonts w:ascii="Arial" w:hAnsi="Arial" w:cs="Arial"/>
        <w:sz w:val="16"/>
      </w:rPr>
      <w:fldChar w:fldCharType="end"/>
    </w:r>
    <w:r>
      <w:rPr>
        <w:rFonts w:ascii="Arial" w:hAnsi="Arial" w:cs="Arial"/>
        <w:sz w:val="16"/>
      </w:rPr>
      <w:t xml:space="preserve"> of </w:t>
    </w:r>
    <w:r w:rsidR="00EF37AA">
      <w:rPr>
        <w:rFonts w:ascii="Arial" w:hAnsi="Arial" w:cs="Arial"/>
        <w:sz w:val="16"/>
      </w:rPr>
      <w:fldChar w:fldCharType="begin"/>
    </w:r>
    <w:r>
      <w:rPr>
        <w:rFonts w:ascii="Arial" w:hAnsi="Arial" w:cs="Arial"/>
        <w:sz w:val="16"/>
      </w:rPr>
      <w:instrText xml:space="preserve"> NUMPAGES </w:instrText>
    </w:r>
    <w:r w:rsidR="00EF37AA">
      <w:rPr>
        <w:rFonts w:ascii="Arial" w:hAnsi="Arial" w:cs="Arial"/>
        <w:sz w:val="16"/>
      </w:rPr>
      <w:fldChar w:fldCharType="separate"/>
    </w:r>
    <w:r w:rsidR="00602E85">
      <w:rPr>
        <w:rFonts w:ascii="Arial" w:hAnsi="Arial" w:cs="Arial"/>
        <w:noProof/>
        <w:sz w:val="16"/>
      </w:rPr>
      <w:t>4</w:t>
    </w:r>
    <w:r w:rsidR="00EF37AA">
      <w:rPr>
        <w:rFonts w:ascii="Arial" w:hAnsi="Arial" w:cs="Arial"/>
        <w:sz w:val="16"/>
      </w:rPr>
      <w:fldChar w:fldCharType="end"/>
    </w:r>
  </w:p>
  <w:p w:rsidR="005A396C" w:rsidRDefault="005A396C">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96C" w:rsidRDefault="005A396C">
      <w:r>
        <w:separator/>
      </w:r>
    </w:p>
  </w:footnote>
  <w:footnote w:type="continuationSeparator" w:id="0">
    <w:p w:rsidR="005A396C" w:rsidRDefault="005A3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6C" w:rsidRDefault="00EF37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1152" w:type="dxa"/>
      <w:tblLook w:val="0000"/>
    </w:tblPr>
    <w:tblGrid>
      <w:gridCol w:w="5760"/>
      <w:gridCol w:w="5580"/>
    </w:tblGrid>
    <w:tr w:rsidR="005A396C">
      <w:trPr>
        <w:cantSplit/>
        <w:trHeight w:val="245"/>
      </w:trPr>
      <w:tc>
        <w:tcPr>
          <w:tcW w:w="5760" w:type="dxa"/>
        </w:tcPr>
        <w:p w:rsidR="005A396C" w:rsidRDefault="005A396C">
          <w:pPr>
            <w:pStyle w:val="Header"/>
            <w:tabs>
              <w:tab w:val="clear" w:pos="8640"/>
            </w:tabs>
            <w:rPr>
              <w:rFonts w:ascii="Arial" w:hAnsi="Arial" w:cs="Arial"/>
              <w:sz w:val="18"/>
            </w:rPr>
          </w:pPr>
          <w:r>
            <w:rPr>
              <w:rFonts w:ascii="Arial" w:hAnsi="Arial" w:cs="Arial"/>
              <w:sz w:val="18"/>
            </w:rPr>
            <w:t>Procedure: Using Hemotemp Indicators</w:t>
          </w:r>
        </w:p>
      </w:tc>
      <w:tc>
        <w:tcPr>
          <w:tcW w:w="5580" w:type="dxa"/>
          <w:vMerge w:val="restart"/>
        </w:tcPr>
        <w:p w:rsidR="005A396C" w:rsidRDefault="005A396C">
          <w:pPr>
            <w:pStyle w:val="Header"/>
            <w:tabs>
              <w:tab w:val="clear" w:pos="8640"/>
            </w:tabs>
          </w:pPr>
          <w:r>
            <w:rPr>
              <w:noProof/>
              <w:sz w:val="20"/>
            </w:rPr>
            <w:t xml:space="preserve">                                                              </w:t>
          </w:r>
          <w:r>
            <w:rPr>
              <w:noProof/>
              <w:sz w:val="20"/>
            </w:rPr>
            <w:drawing>
              <wp:inline distT="0" distB="0" distL="0" distR="0">
                <wp:extent cx="120967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371475"/>
                        </a:xfrm>
                        <a:prstGeom prst="rect">
                          <a:avLst/>
                        </a:prstGeom>
                        <a:noFill/>
                        <a:ln w="9525">
                          <a:noFill/>
                          <a:miter lim="800000"/>
                          <a:headEnd/>
                          <a:tailEnd/>
                        </a:ln>
                      </pic:spPr>
                    </pic:pic>
                  </a:graphicData>
                </a:graphic>
              </wp:inline>
            </w:drawing>
          </w:r>
          <w:r>
            <w:t xml:space="preserve">                                                                    </w:t>
          </w:r>
        </w:p>
      </w:tc>
    </w:tr>
    <w:tr w:rsidR="005A396C">
      <w:trPr>
        <w:cantSplit/>
        <w:trHeight w:val="245"/>
      </w:trPr>
      <w:tc>
        <w:tcPr>
          <w:tcW w:w="5760" w:type="dxa"/>
        </w:tcPr>
        <w:p w:rsidR="005A396C" w:rsidRDefault="005A396C">
          <w:pPr>
            <w:pStyle w:val="Header"/>
            <w:tabs>
              <w:tab w:val="clear" w:pos="8640"/>
            </w:tabs>
            <w:rPr>
              <w:rFonts w:ascii="Arial" w:hAnsi="Arial" w:cs="Arial"/>
              <w:sz w:val="18"/>
            </w:rPr>
          </w:pPr>
          <w:r>
            <w:rPr>
              <w:rFonts w:ascii="Arial" w:hAnsi="Arial" w:cs="Arial"/>
              <w:sz w:val="18"/>
            </w:rPr>
            <w:t>Document: TS 12.13 Version 8</w:t>
          </w:r>
        </w:p>
      </w:tc>
      <w:tc>
        <w:tcPr>
          <w:tcW w:w="5580" w:type="dxa"/>
          <w:vMerge/>
        </w:tcPr>
        <w:p w:rsidR="005A396C" w:rsidRDefault="005A396C">
          <w:pPr>
            <w:pStyle w:val="Header"/>
            <w:tabs>
              <w:tab w:val="clear" w:pos="8640"/>
            </w:tabs>
          </w:pPr>
        </w:p>
      </w:tc>
    </w:tr>
    <w:tr w:rsidR="005A396C">
      <w:trPr>
        <w:cantSplit/>
        <w:trHeight w:val="245"/>
      </w:trPr>
      <w:tc>
        <w:tcPr>
          <w:tcW w:w="5760" w:type="dxa"/>
        </w:tcPr>
        <w:p w:rsidR="005A396C" w:rsidRDefault="005A396C" w:rsidP="00E74B4C">
          <w:pPr>
            <w:pStyle w:val="Header"/>
            <w:tabs>
              <w:tab w:val="clear" w:pos="8640"/>
            </w:tabs>
            <w:rPr>
              <w:rFonts w:ascii="Arial" w:hAnsi="Arial" w:cs="Arial"/>
              <w:sz w:val="18"/>
            </w:rPr>
          </w:pPr>
          <w:r>
            <w:rPr>
              <w:rFonts w:ascii="Arial" w:hAnsi="Arial" w:cs="Arial"/>
              <w:sz w:val="18"/>
            </w:rPr>
            <w:t>Effective Date: 03/15/2019</w:t>
          </w:r>
        </w:p>
      </w:tc>
      <w:tc>
        <w:tcPr>
          <w:tcW w:w="5580" w:type="dxa"/>
          <w:vMerge/>
        </w:tcPr>
        <w:p w:rsidR="005A396C" w:rsidRDefault="005A396C">
          <w:pPr>
            <w:pStyle w:val="Header"/>
            <w:tabs>
              <w:tab w:val="clear" w:pos="8640"/>
            </w:tabs>
          </w:pPr>
        </w:p>
      </w:tc>
    </w:tr>
  </w:tbl>
  <w:p w:rsidR="005A396C" w:rsidRDefault="005A396C">
    <w:pPr>
      <w:pStyle w:val="Header"/>
      <w:rPr>
        <w:rFonts w:ascii="Calibri" w:hAnsi="Calibri"/>
        <w:b/>
        <w:bCs/>
        <w:sz w:val="16"/>
      </w:rPr>
    </w:pPr>
  </w:p>
  <w:p w:rsidR="005A396C" w:rsidRDefault="005A396C">
    <w:pPr>
      <w:ind w:right="-1260"/>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6C" w:rsidRDefault="00EF37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EF91099"/>
    <w:multiLevelType w:val="hybridMultilevel"/>
    <w:tmpl w:val="BCB2A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682A68"/>
    <w:multiLevelType w:val="hybridMultilevel"/>
    <w:tmpl w:val="3F7C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AD1576"/>
    <w:multiLevelType w:val="hybridMultilevel"/>
    <w:tmpl w:val="1BACF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265BE9"/>
    <w:multiLevelType w:val="hybridMultilevel"/>
    <w:tmpl w:val="75EA1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F048BE"/>
    <w:multiLevelType w:val="hybridMultilevel"/>
    <w:tmpl w:val="C58C3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B5104A"/>
    <w:rsid w:val="000A0828"/>
    <w:rsid w:val="00257E2D"/>
    <w:rsid w:val="00271DFA"/>
    <w:rsid w:val="002733B3"/>
    <w:rsid w:val="00446677"/>
    <w:rsid w:val="00464DB5"/>
    <w:rsid w:val="00523D00"/>
    <w:rsid w:val="005A396C"/>
    <w:rsid w:val="00602E85"/>
    <w:rsid w:val="006E4B7F"/>
    <w:rsid w:val="0070395F"/>
    <w:rsid w:val="00904144"/>
    <w:rsid w:val="00916150"/>
    <w:rsid w:val="009C3DDB"/>
    <w:rsid w:val="00AE1E85"/>
    <w:rsid w:val="00B5104A"/>
    <w:rsid w:val="00D444F4"/>
    <w:rsid w:val="00E61220"/>
    <w:rsid w:val="00E74B4C"/>
    <w:rsid w:val="00EF3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A"/>
    <w:pPr>
      <w:jc w:val="both"/>
    </w:pPr>
    <w:rPr>
      <w:sz w:val="22"/>
      <w:szCs w:val="24"/>
    </w:rPr>
  </w:style>
  <w:style w:type="paragraph" w:styleId="Heading1">
    <w:name w:val="heading 1"/>
    <w:basedOn w:val="Normal"/>
    <w:next w:val="Normal"/>
    <w:qFormat/>
    <w:rsid w:val="00271DFA"/>
    <w:pPr>
      <w:keepNext/>
      <w:numPr>
        <w:numId w:val="1"/>
      </w:numPr>
      <w:outlineLvl w:val="0"/>
    </w:pPr>
    <w:rPr>
      <w:rFonts w:cs="Arial"/>
      <w:b/>
      <w:bCs/>
      <w:kern w:val="32"/>
      <w:sz w:val="26"/>
      <w:szCs w:val="32"/>
    </w:rPr>
  </w:style>
  <w:style w:type="paragraph" w:styleId="Heading2">
    <w:name w:val="heading 2"/>
    <w:basedOn w:val="Normal"/>
    <w:next w:val="Normal"/>
    <w:qFormat/>
    <w:rsid w:val="00271DFA"/>
    <w:pPr>
      <w:keepNext/>
      <w:numPr>
        <w:ilvl w:val="1"/>
        <w:numId w:val="1"/>
      </w:numPr>
      <w:outlineLvl w:val="1"/>
    </w:pPr>
    <w:rPr>
      <w:rFonts w:cs="Arial"/>
      <w:b/>
      <w:bCs/>
      <w:iCs/>
      <w:sz w:val="24"/>
      <w:szCs w:val="28"/>
    </w:rPr>
  </w:style>
  <w:style w:type="paragraph" w:styleId="Heading3">
    <w:name w:val="heading 3"/>
    <w:basedOn w:val="Normal"/>
    <w:next w:val="Normal"/>
    <w:qFormat/>
    <w:rsid w:val="00271DFA"/>
    <w:pPr>
      <w:keepNext/>
      <w:numPr>
        <w:ilvl w:val="2"/>
        <w:numId w:val="1"/>
      </w:numPr>
      <w:outlineLvl w:val="2"/>
    </w:pPr>
    <w:rPr>
      <w:rFonts w:cs="Arial"/>
      <w:b/>
      <w:bCs/>
      <w:szCs w:val="26"/>
    </w:rPr>
  </w:style>
  <w:style w:type="paragraph" w:styleId="Heading4">
    <w:name w:val="heading 4"/>
    <w:aliases w:val="Map Title"/>
    <w:basedOn w:val="Normal"/>
    <w:next w:val="Normal"/>
    <w:qFormat/>
    <w:rsid w:val="00271DFA"/>
    <w:pPr>
      <w:keepNext/>
      <w:numPr>
        <w:ilvl w:val="3"/>
        <w:numId w:val="1"/>
      </w:numPr>
      <w:outlineLvl w:val="3"/>
    </w:pPr>
    <w:rPr>
      <w:bCs/>
      <w:szCs w:val="28"/>
    </w:rPr>
  </w:style>
  <w:style w:type="paragraph" w:styleId="Heading5">
    <w:name w:val="heading 5"/>
    <w:aliases w:val="Block Label"/>
    <w:basedOn w:val="Normal"/>
    <w:next w:val="Normal"/>
    <w:qFormat/>
    <w:rsid w:val="00271DFA"/>
    <w:pPr>
      <w:keepNext/>
      <w:numPr>
        <w:ilvl w:val="4"/>
        <w:numId w:val="1"/>
      </w:numPr>
      <w:spacing w:before="20"/>
      <w:outlineLvl w:val="4"/>
    </w:pPr>
  </w:style>
  <w:style w:type="paragraph" w:styleId="Heading6">
    <w:name w:val="heading 6"/>
    <w:basedOn w:val="Normal"/>
    <w:next w:val="Normal"/>
    <w:qFormat/>
    <w:rsid w:val="00271DFA"/>
    <w:pPr>
      <w:keepNext/>
      <w:numPr>
        <w:ilvl w:val="5"/>
        <w:numId w:val="1"/>
      </w:numPr>
      <w:outlineLvl w:val="5"/>
    </w:pPr>
    <w:rPr>
      <w:b/>
      <w:bCs/>
      <w:sz w:val="18"/>
    </w:rPr>
  </w:style>
  <w:style w:type="paragraph" w:styleId="Heading7">
    <w:name w:val="heading 7"/>
    <w:basedOn w:val="Normal"/>
    <w:next w:val="Normal"/>
    <w:qFormat/>
    <w:rsid w:val="00271DFA"/>
    <w:pPr>
      <w:keepNext/>
      <w:numPr>
        <w:ilvl w:val="6"/>
        <w:numId w:val="1"/>
      </w:numPr>
      <w:outlineLvl w:val="6"/>
    </w:pPr>
    <w:rPr>
      <w:sz w:val="28"/>
    </w:rPr>
  </w:style>
  <w:style w:type="paragraph" w:styleId="Heading8">
    <w:name w:val="heading 8"/>
    <w:basedOn w:val="Normal"/>
    <w:next w:val="Normal"/>
    <w:qFormat/>
    <w:rsid w:val="00271DFA"/>
    <w:pPr>
      <w:keepNext/>
      <w:numPr>
        <w:ilvl w:val="7"/>
        <w:numId w:val="1"/>
      </w:numPr>
      <w:jc w:val="center"/>
      <w:outlineLvl w:val="7"/>
    </w:pPr>
    <w:rPr>
      <w:b/>
      <w:bCs/>
    </w:rPr>
  </w:style>
  <w:style w:type="paragraph" w:styleId="Heading9">
    <w:name w:val="heading 9"/>
    <w:basedOn w:val="Normal"/>
    <w:next w:val="Normal"/>
    <w:qFormat/>
    <w:rsid w:val="00271DFA"/>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71DFA"/>
    <w:rPr>
      <w:bCs/>
      <w:iCs/>
      <w:color w:val="000000"/>
    </w:rPr>
  </w:style>
  <w:style w:type="paragraph" w:styleId="Header">
    <w:name w:val="header"/>
    <w:basedOn w:val="Normal"/>
    <w:semiHidden/>
    <w:rsid w:val="00271DFA"/>
    <w:pPr>
      <w:tabs>
        <w:tab w:val="center" w:pos="4320"/>
        <w:tab w:val="right" w:pos="8640"/>
      </w:tabs>
    </w:pPr>
  </w:style>
  <w:style w:type="paragraph" w:styleId="List">
    <w:name w:val="List"/>
    <w:basedOn w:val="Normal"/>
    <w:semiHidden/>
    <w:rsid w:val="00271DFA"/>
    <w:pPr>
      <w:ind w:left="360" w:hanging="360"/>
    </w:pPr>
  </w:style>
  <w:style w:type="paragraph" w:styleId="Title">
    <w:name w:val="Title"/>
    <w:basedOn w:val="Normal"/>
    <w:qFormat/>
    <w:rsid w:val="00271DFA"/>
    <w:pPr>
      <w:spacing w:before="240" w:after="60"/>
      <w:jc w:val="center"/>
    </w:pPr>
    <w:rPr>
      <w:rFonts w:cs="Arial"/>
      <w:b/>
      <w:bCs/>
      <w:kern w:val="28"/>
      <w:sz w:val="28"/>
      <w:szCs w:val="32"/>
    </w:rPr>
  </w:style>
  <w:style w:type="paragraph" w:styleId="BodyText2">
    <w:name w:val="Body Text 2"/>
    <w:basedOn w:val="Normal"/>
    <w:semiHidden/>
    <w:rsid w:val="00271DFA"/>
    <w:pPr>
      <w:jc w:val="left"/>
    </w:pPr>
    <w:rPr>
      <w:b/>
      <w:bCs/>
      <w:color w:val="0000FF"/>
    </w:rPr>
  </w:style>
  <w:style w:type="paragraph" w:styleId="Footer">
    <w:name w:val="footer"/>
    <w:basedOn w:val="Normal"/>
    <w:semiHidden/>
    <w:rsid w:val="00271DFA"/>
    <w:pPr>
      <w:tabs>
        <w:tab w:val="center" w:pos="4320"/>
        <w:tab w:val="right" w:pos="8640"/>
      </w:tabs>
    </w:pPr>
  </w:style>
  <w:style w:type="character" w:styleId="FootnoteReference">
    <w:name w:val="footnote reference"/>
    <w:basedOn w:val="DefaultParagraphFont"/>
    <w:semiHidden/>
    <w:rsid w:val="00271DFA"/>
    <w:rPr>
      <w:rFonts w:ascii="Times New Roman" w:hAnsi="Times New Roman"/>
      <w:sz w:val="18"/>
      <w:vertAlign w:val="superscript"/>
    </w:rPr>
  </w:style>
  <w:style w:type="paragraph" w:customStyle="1" w:styleId="Heading">
    <w:name w:val="Heading"/>
    <w:basedOn w:val="Heading1"/>
    <w:next w:val="Normal"/>
    <w:rsid w:val="00271DFA"/>
    <w:pPr>
      <w:numPr>
        <w:numId w:val="0"/>
      </w:numPr>
    </w:pPr>
  </w:style>
  <w:style w:type="paragraph" w:customStyle="1" w:styleId="TableText">
    <w:name w:val="Table Text"/>
    <w:basedOn w:val="Normal"/>
    <w:rsid w:val="00271DFA"/>
    <w:pPr>
      <w:autoSpaceDE w:val="0"/>
      <w:autoSpaceDN w:val="0"/>
      <w:jc w:val="left"/>
    </w:pPr>
    <w:rPr>
      <w:sz w:val="20"/>
    </w:rPr>
  </w:style>
  <w:style w:type="paragraph" w:customStyle="1" w:styleId="TableHeaderText">
    <w:name w:val="Table Header Text"/>
    <w:basedOn w:val="TableText"/>
    <w:rsid w:val="00271DFA"/>
    <w:pPr>
      <w:jc w:val="center"/>
    </w:pPr>
    <w:rPr>
      <w:b/>
      <w:bCs/>
    </w:rPr>
  </w:style>
  <w:style w:type="paragraph" w:styleId="BodyText3">
    <w:name w:val="Body Text 3"/>
    <w:basedOn w:val="Normal"/>
    <w:semiHidden/>
    <w:rsid w:val="00271DFA"/>
    <w:rPr>
      <w:b/>
      <w:color w:val="0000FF"/>
    </w:rPr>
  </w:style>
  <w:style w:type="paragraph" w:styleId="BodyTextIndent">
    <w:name w:val="Body Text Indent"/>
    <w:basedOn w:val="Normal"/>
    <w:semiHidden/>
    <w:rsid w:val="00271DFA"/>
    <w:pPr>
      <w:spacing w:after="120"/>
      <w:ind w:left="360"/>
    </w:pPr>
  </w:style>
  <w:style w:type="paragraph" w:styleId="BalloonText">
    <w:name w:val="Balloon Text"/>
    <w:basedOn w:val="Normal"/>
    <w:link w:val="BalloonTextChar"/>
    <w:uiPriority w:val="99"/>
    <w:semiHidden/>
    <w:unhideWhenUsed/>
    <w:rsid w:val="00257E2D"/>
    <w:rPr>
      <w:rFonts w:ascii="Tahoma" w:hAnsi="Tahoma" w:cs="Tahoma"/>
      <w:sz w:val="16"/>
      <w:szCs w:val="16"/>
    </w:rPr>
  </w:style>
  <w:style w:type="character" w:customStyle="1" w:styleId="BalloonTextChar">
    <w:name w:val="Balloon Text Char"/>
    <w:basedOn w:val="DefaultParagraphFont"/>
    <w:link w:val="BalloonText"/>
    <w:uiPriority w:val="99"/>
    <w:semiHidden/>
    <w:rsid w:val="00257E2D"/>
    <w:rPr>
      <w:rFonts w:ascii="Tahoma" w:hAnsi="Tahoma" w:cs="Tahoma"/>
      <w:sz w:val="16"/>
      <w:szCs w:val="16"/>
    </w:rPr>
  </w:style>
  <w:style w:type="table" w:styleId="TableGrid">
    <w:name w:val="Table Grid"/>
    <w:basedOn w:val="TableNormal"/>
    <w:uiPriority w:val="39"/>
    <w:rsid w:val="00E7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2020-08-01T05:00:00+00:00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2</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202444</Legacy_x0020_Document_x0020_ID>
    <CHC_x0020_Approval_x0020_Workflow_x0020_2 xmlns="c1848e11-9cf6-4ce4-877e-6837d2c2fa23">
      <Url xsi:nil="true"/>
      <Description xsi:nil="true"/>
    </CHC_x0020_Approval_x0020_Workflow_x0020_2>
    <Document_x0020_Title xmlns="199f0838-75a6-4f0c-9be1-f2c07140bccc">TS 12.13  Using Hemotemp Indicators</Document_x0020_Title>
    <Content_x0020_Release_x0020_Date xmlns="199f0838-75a6-4f0c-9be1-f2c07140bccc">2019-03-15T05:00:00+00:00</Content_x0020_Release_x0020_Date>
    <Legacy_x0020_Name xmlns="199f0838-75a6-4f0c-9be1-f2c07140bccc">TS 12.13 Using Hemotemp Indicators.doc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2012-06-08T15:11:00+00:00</_DCDateCreated>
    <WFStatus xmlns="199f0838-75a6-4f0c-9be1-f2c07140bccc">In Process</WFStatus>
    <_dlc_DocId xmlns="199f0838-75a6-4f0c-9be1-f2c07140bccc">F6TN54CWY5RS-50183619-31359</_dlc_DocId>
    <_dlc_DocIdUrl xmlns="199f0838-75a6-4f0c-9be1-f2c07140bccc">
      <Url>http://vcpsharepoint2/references/_layouts/15/DocIdRedir.aspx?ID=F6TN54CWY5RS-50183619-31359</Url>
      <Description>F6TN54CWY5RS-50183619-31359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5A3B9-0715-484E-8AC7-66ACA7D5610F}">
  <ds:schemaRefs>
    <ds:schemaRef ds:uri="http://schemas.microsoft.com/sharepoint/events"/>
  </ds:schemaRefs>
</ds:datastoreItem>
</file>

<file path=customXml/itemProps2.xml><?xml version="1.0" encoding="utf-8"?>
<ds:datastoreItem xmlns:ds="http://schemas.openxmlformats.org/officeDocument/2006/customXml" ds:itemID="{EB7EB0E9-0A87-4D30-BE07-AF3BCB07041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6BF5CB6-627B-48A3-AC16-6B2BB4808ABD}">
  <ds:schemaRefs>
    <ds:schemaRef ds:uri="http://schemas.microsoft.com/sharepoint/v3/contenttype/forms"/>
  </ds:schemaRefs>
</ds:datastoreItem>
</file>

<file path=customXml/itemProps4.xml><?xml version="1.0" encoding="utf-8"?>
<ds:datastoreItem xmlns:ds="http://schemas.openxmlformats.org/officeDocument/2006/customXml" ds:itemID="{8FC08268-29D6-4E58-8F96-7606676F3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TS 12.13  Using Hemotemp Indicators</vt:lpstr>
    </vt:vector>
  </TitlesOfParts>
  <Company>***</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12.13  Using Hemotemp Indicators</dc:title>
  <dc:creator>CE005489</dc:creator>
  <dc:description>added calibration steps for hemotemp indicators.</dc:description>
  <cp:lastModifiedBy>CE005489</cp:lastModifiedBy>
  <cp:revision>2</cp:revision>
  <cp:lastPrinted>2019-02-26T17:39:00Z</cp:lastPrinted>
  <dcterms:created xsi:type="dcterms:W3CDTF">2019-02-26T18:13:00Z</dcterms:created>
  <dcterms:modified xsi:type="dcterms:W3CDTF">2019-02-26T18:13:00Z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7c087fd8-8dbe-4d82-8dcc-9f956dbda5e8</vt:lpwstr>
  </property>
</Properties>
</file>