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900"/>
        <w:gridCol w:w="5760"/>
        <w:gridCol w:w="2520"/>
      </w:tblGrid>
      <w:tr w:rsidR="00751D6A">
        <w:trPr>
          <w:cantSplit/>
        </w:trPr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1D6A" w:rsidRDefault="00751D6A">
            <w:pPr>
              <w:pStyle w:val="BodyText"/>
              <w:rPr>
                <w:rFonts w:ascii="Arial" w:hAnsi="Arial" w:cs="Arial"/>
                <w:b/>
                <w:bCs w:val="0"/>
                <w:color w:val="0000FF"/>
                <w:sz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 w:val="0"/>
                <w:color w:val="0000FF"/>
                <w:sz w:val="32"/>
              </w:rPr>
              <w:t xml:space="preserve">Competency Assessment </w:t>
            </w:r>
          </w:p>
          <w:p w:rsidR="00751D6A" w:rsidRDefault="00751D6A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751D6A" w:rsidTr="00C61EAE">
        <w:trPr>
          <w:cantSplit/>
          <w:trHeight w:val="120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D6A" w:rsidRDefault="00751D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751D6A" w:rsidRDefault="00751D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D6A" w:rsidRPr="00C61EAE" w:rsidRDefault="00751D6A" w:rsidP="00C61EA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process describes how to </w:t>
            </w:r>
            <w:r>
              <w:rPr>
                <w:rFonts w:ascii="Arial" w:hAnsi="Arial"/>
                <w:sz w:val="20"/>
              </w:rPr>
              <w:t>assess the competency of all Children's Hospitals and Clinics of Minnesota Laboratory employees, provide performance feedback, identify areas for workplace improvement, and identify deficiencies in existing policies and procedures.</w:t>
            </w:r>
          </w:p>
        </w:tc>
      </w:tr>
      <w:tr w:rsidR="00751D6A" w:rsidTr="00EF7558">
        <w:trPr>
          <w:cantSplit/>
          <w:trHeight w:val="359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D6A" w:rsidRDefault="00751D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751D6A" w:rsidRDefault="00751D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D6A" w:rsidRDefault="00627C3B" w:rsidP="003E6B37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Laboratory Leadership </w:t>
            </w:r>
            <w:r w:rsidR="00751D6A">
              <w:rPr>
                <w:rFonts w:ascii="Arial" w:hAnsi="Arial"/>
                <w:sz w:val="20"/>
              </w:rPr>
              <w:t>create</w:t>
            </w:r>
            <w:r>
              <w:rPr>
                <w:rFonts w:ascii="Arial" w:hAnsi="Arial"/>
                <w:sz w:val="20"/>
              </w:rPr>
              <w:t>s</w:t>
            </w:r>
            <w:r w:rsidR="00751D6A">
              <w:rPr>
                <w:rFonts w:ascii="Arial" w:hAnsi="Arial"/>
                <w:sz w:val="20"/>
              </w:rPr>
              <w:t xml:space="preserve"> and main</w:t>
            </w:r>
            <w:r w:rsidR="00200E2A">
              <w:rPr>
                <w:rFonts w:ascii="Arial" w:hAnsi="Arial"/>
                <w:sz w:val="20"/>
              </w:rPr>
              <w:t>tain</w:t>
            </w:r>
            <w:r>
              <w:rPr>
                <w:rFonts w:ascii="Arial" w:hAnsi="Arial"/>
                <w:sz w:val="20"/>
              </w:rPr>
              <w:t>s</w:t>
            </w:r>
            <w:r w:rsidR="00200E2A">
              <w:rPr>
                <w:rFonts w:ascii="Arial" w:hAnsi="Arial"/>
                <w:sz w:val="20"/>
              </w:rPr>
              <w:t xml:space="preserve"> competency documentation for</w:t>
            </w:r>
            <w:r w:rsidR="00751D6A">
              <w:rPr>
                <w:rFonts w:ascii="Arial" w:hAnsi="Arial"/>
                <w:sz w:val="20"/>
              </w:rPr>
              <w:t xml:space="preserve"> new or modified policies, procedures and equipment.</w:t>
            </w:r>
          </w:p>
          <w:p w:rsidR="00751D6A" w:rsidRDefault="00751D6A" w:rsidP="003E6B37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All laboratory staff will be routinely assessed by review of daily work, review of occurrence reports, scheduled competency assessments, and proficiency testing. </w:t>
            </w:r>
          </w:p>
          <w:p w:rsidR="00EA77ED" w:rsidRDefault="00EA77ED" w:rsidP="003E6B37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Corrective action is taken when an employee fails to meet the expected criteria. Additional training will occur one time per test system or skill, prior to further e</w:t>
            </w:r>
            <w:r w:rsidR="003C7558">
              <w:rPr>
                <w:rFonts w:ascii="Arial" w:hAnsi="Arial"/>
                <w:sz w:val="20"/>
              </w:rPr>
              <w:t xml:space="preserve">valuation by the </w:t>
            </w:r>
            <w:r w:rsidR="00627C3B">
              <w:rPr>
                <w:rFonts w:ascii="Arial" w:hAnsi="Arial"/>
                <w:sz w:val="20"/>
              </w:rPr>
              <w:t xml:space="preserve">System </w:t>
            </w:r>
            <w:r>
              <w:rPr>
                <w:rFonts w:ascii="Arial" w:hAnsi="Arial"/>
                <w:sz w:val="20"/>
              </w:rPr>
              <w:t xml:space="preserve">Laboratory </w:t>
            </w:r>
            <w:r w:rsidR="003C7558">
              <w:rPr>
                <w:rFonts w:ascii="Arial" w:hAnsi="Arial"/>
                <w:sz w:val="20"/>
              </w:rPr>
              <w:t xml:space="preserve">Director or </w:t>
            </w:r>
            <w:r>
              <w:rPr>
                <w:rFonts w:ascii="Arial" w:hAnsi="Arial"/>
                <w:sz w:val="20"/>
              </w:rPr>
              <w:t xml:space="preserve">Laboratory </w:t>
            </w:r>
            <w:r w:rsidR="003C7558">
              <w:rPr>
                <w:rFonts w:ascii="Arial" w:hAnsi="Arial"/>
                <w:sz w:val="20"/>
              </w:rPr>
              <w:t xml:space="preserve">Medical </w:t>
            </w:r>
            <w:r>
              <w:rPr>
                <w:rFonts w:ascii="Arial" w:hAnsi="Arial"/>
                <w:sz w:val="20"/>
              </w:rPr>
              <w:t>Director.</w:t>
            </w:r>
            <w:r w:rsidR="00FD5566">
              <w:rPr>
                <w:rFonts w:ascii="Arial" w:hAnsi="Arial"/>
                <w:sz w:val="20"/>
              </w:rPr>
              <w:t xml:space="preserve"> </w:t>
            </w:r>
            <w:r w:rsidR="00FD5566" w:rsidRPr="00B846D4">
              <w:rPr>
                <w:rFonts w:ascii="Arial" w:hAnsi="Arial"/>
                <w:sz w:val="20"/>
                <w:highlight w:val="cyan"/>
              </w:rPr>
              <w:t>Staff who do not complete assigned competency, by the deadline provided, will</w:t>
            </w:r>
            <w:r w:rsidR="006C6403" w:rsidRPr="00B846D4">
              <w:rPr>
                <w:rFonts w:ascii="Arial" w:hAnsi="Arial"/>
                <w:sz w:val="20"/>
                <w:highlight w:val="cyan"/>
              </w:rPr>
              <w:t xml:space="preserve"> be removed from the department/</w:t>
            </w:r>
            <w:r w:rsidR="00FD5566" w:rsidRPr="00B846D4">
              <w:rPr>
                <w:rFonts w:ascii="Arial" w:hAnsi="Arial"/>
                <w:sz w:val="20"/>
                <w:highlight w:val="cyan"/>
              </w:rPr>
              <w:t>schedule and</w:t>
            </w:r>
            <w:r w:rsidR="00301402" w:rsidRPr="00B846D4">
              <w:rPr>
                <w:rFonts w:ascii="Arial" w:hAnsi="Arial"/>
                <w:sz w:val="20"/>
                <w:highlight w:val="cyan"/>
              </w:rPr>
              <w:t xml:space="preserve"> cannot work </w:t>
            </w:r>
            <w:r w:rsidR="006C6403" w:rsidRPr="00B846D4">
              <w:rPr>
                <w:rFonts w:ascii="Arial" w:hAnsi="Arial"/>
                <w:sz w:val="20"/>
                <w:highlight w:val="cyan"/>
              </w:rPr>
              <w:t xml:space="preserve">in the department </w:t>
            </w:r>
            <w:r w:rsidR="00301402" w:rsidRPr="00B846D4">
              <w:rPr>
                <w:rFonts w:ascii="Arial" w:hAnsi="Arial"/>
                <w:sz w:val="20"/>
                <w:highlight w:val="cyan"/>
              </w:rPr>
              <w:t>until</w:t>
            </w:r>
            <w:r w:rsidR="00FD5566" w:rsidRPr="00B846D4">
              <w:rPr>
                <w:rFonts w:ascii="Arial" w:hAnsi="Arial"/>
                <w:sz w:val="20"/>
                <w:highlight w:val="cyan"/>
              </w:rPr>
              <w:t xml:space="preserve"> the assigned competency assessment</w:t>
            </w:r>
            <w:r w:rsidR="00301402" w:rsidRPr="00B846D4">
              <w:rPr>
                <w:rFonts w:ascii="Arial" w:hAnsi="Arial"/>
                <w:sz w:val="20"/>
                <w:highlight w:val="cyan"/>
              </w:rPr>
              <w:t xml:space="preserve"> is completed</w:t>
            </w:r>
            <w:r w:rsidR="00FD5566" w:rsidRPr="00B846D4">
              <w:rPr>
                <w:rFonts w:ascii="Arial" w:hAnsi="Arial"/>
                <w:sz w:val="20"/>
                <w:highlight w:val="cyan"/>
              </w:rPr>
              <w:t>.</w:t>
            </w:r>
          </w:p>
          <w:p w:rsidR="00200E2A" w:rsidRDefault="00200E2A" w:rsidP="003E6B37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During the first year of an individual’s duties, competency must be assessed at least semiannually</w:t>
            </w:r>
            <w:r w:rsidR="00EA77ED">
              <w:rPr>
                <w:rFonts w:ascii="Arial" w:hAnsi="Arial"/>
                <w:sz w:val="20"/>
              </w:rPr>
              <w:t>.</w:t>
            </w:r>
          </w:p>
          <w:p w:rsidR="00200E2A" w:rsidRDefault="00200E2A" w:rsidP="003E6B37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After an individual has performed his/her duties for one year, competency must be assessed at least annually.</w:t>
            </w:r>
          </w:p>
          <w:p w:rsidR="00751D6A" w:rsidRPr="00EE0E07" w:rsidRDefault="00EA77ED" w:rsidP="003E6B37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Graded assessments are considered passing with a score of 80% or greater</w:t>
            </w:r>
          </w:p>
        </w:tc>
      </w:tr>
      <w:tr w:rsidR="00751D6A">
        <w:trPr>
          <w:trHeight w:val="5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D6A" w:rsidRDefault="00751D6A">
            <w:pPr>
              <w:rPr>
                <w:rFonts w:ascii="Arial" w:hAnsi="Arial" w:cs="Arial"/>
                <w:b/>
                <w:sz w:val="20"/>
              </w:rPr>
            </w:pPr>
          </w:p>
          <w:p w:rsidR="00751D6A" w:rsidRDefault="00751D6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Process</w:t>
            </w:r>
          </w:p>
        </w:tc>
        <w:tc>
          <w:tcPr>
            <w:tcW w:w="9180" w:type="dxa"/>
            <w:gridSpan w:val="3"/>
            <w:tcBorders>
              <w:left w:val="nil"/>
              <w:bottom w:val="nil"/>
              <w:right w:val="nil"/>
            </w:tcBorders>
          </w:tcPr>
          <w:p w:rsidR="00751D6A" w:rsidRDefault="00751D6A">
            <w:pPr>
              <w:rPr>
                <w:rFonts w:ascii="Arial" w:hAnsi="Arial" w:cs="Arial"/>
                <w:sz w:val="20"/>
              </w:rPr>
            </w:pPr>
          </w:p>
        </w:tc>
      </w:tr>
      <w:tr w:rsidR="00751D6A" w:rsidTr="003E6B3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D6A" w:rsidRDefault="00751D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1D6A" w:rsidRDefault="00751D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Activity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751D6A" w:rsidTr="000D6974">
        <w:trPr>
          <w:trHeight w:val="106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D6A" w:rsidRDefault="00751D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51D6A" w:rsidRDefault="00751D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751D6A" w:rsidRPr="00EE0E07" w:rsidRDefault="00751D6A" w:rsidP="003E6B37">
            <w:pPr>
              <w:jc w:val="left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Technical Specialists, </w:t>
            </w:r>
            <w:r w:rsidR="00627C3B">
              <w:rPr>
                <w:rFonts w:ascii="Arial" w:hAnsi="Arial" w:cs="Arial"/>
                <w:b/>
                <w:bCs/>
                <w:sz w:val="20"/>
              </w:rPr>
              <w:t>Supervisors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 w:rsidR="000F3DD2">
              <w:rPr>
                <w:rFonts w:ascii="Arial" w:hAnsi="Arial" w:cs="Arial"/>
                <w:b/>
                <w:bCs/>
                <w:sz w:val="20"/>
              </w:rPr>
              <w:t xml:space="preserve">Lab </w:t>
            </w:r>
            <w:r>
              <w:rPr>
                <w:rFonts w:ascii="Arial" w:hAnsi="Arial" w:cs="Arial"/>
                <w:b/>
                <w:bCs/>
                <w:sz w:val="20"/>
              </w:rPr>
              <w:t>Education</w:t>
            </w:r>
            <w:r w:rsidR="000F3DD2">
              <w:rPr>
                <w:rFonts w:ascii="Arial" w:hAnsi="Arial" w:cs="Arial"/>
                <w:b/>
                <w:bCs/>
                <w:sz w:val="20"/>
              </w:rPr>
              <w:t xml:space="preserve"> and Safety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Coordinator:</w:t>
            </w:r>
          </w:p>
          <w:p w:rsidR="00751D6A" w:rsidRDefault="00751D6A" w:rsidP="003E6B37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Establish acceptable performance standards before assessment exercises are performed.</w:t>
            </w:r>
          </w:p>
          <w:p w:rsidR="00751D6A" w:rsidRDefault="00751D6A" w:rsidP="003E6B37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Develop competency assessment tools</w:t>
            </w:r>
            <w:r w:rsidR="0061097E">
              <w:rPr>
                <w:rFonts w:ascii="Arial" w:hAnsi="Arial" w:cs="Arial"/>
                <w:sz w:val="20"/>
              </w:rPr>
              <w:t>.</w:t>
            </w:r>
          </w:p>
          <w:p w:rsidR="00751D6A" w:rsidRDefault="00751D6A" w:rsidP="003E6B37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Consistently apply such performance standards to staff who perform similar tasks.</w:t>
            </w:r>
          </w:p>
          <w:p w:rsidR="00751D6A" w:rsidRDefault="00751D6A" w:rsidP="003E6B37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Assess competence and ensure completion of documentation:</w:t>
            </w:r>
          </w:p>
          <w:p w:rsidR="00751D6A" w:rsidRDefault="00751D6A" w:rsidP="003E6B37">
            <w:pPr>
              <w:numPr>
                <w:ilvl w:val="0"/>
                <w:numId w:val="43"/>
              </w:numPr>
              <w:tabs>
                <w:tab w:val="num" w:pos="108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After training</w:t>
            </w:r>
          </w:p>
          <w:p w:rsidR="00751D6A" w:rsidRDefault="00EB26C2" w:rsidP="003E6B37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Semi-annually</w:t>
            </w:r>
            <w:r w:rsidR="00751D6A">
              <w:rPr>
                <w:rFonts w:ascii="Arial" w:hAnsi="Arial" w:cs="Arial"/>
                <w:sz w:val="20"/>
              </w:rPr>
              <w:t xml:space="preserve"> from hire for new employees</w:t>
            </w:r>
          </w:p>
          <w:p w:rsidR="00751D6A" w:rsidRDefault="00751D6A" w:rsidP="003E6B37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 least annually thereafter</w:t>
            </w:r>
          </w:p>
          <w:p w:rsidR="00751D6A" w:rsidRDefault="00751D6A" w:rsidP="003E6B37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major changes have been made to a process or procedure</w:t>
            </w:r>
          </w:p>
          <w:p w:rsidR="00751D6A" w:rsidRDefault="00EB26C2" w:rsidP="003E6B37">
            <w:pPr>
              <w:pStyle w:val="BodyTextIndent2"/>
              <w:numPr>
                <w:ilvl w:val="0"/>
                <w:numId w:val="34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Elements of competency assessment include but are not limited to</w:t>
            </w:r>
            <w:r w:rsidR="00751D6A">
              <w:rPr>
                <w:rFonts w:cs="Arial"/>
              </w:rPr>
              <w:t>:</w:t>
            </w:r>
          </w:p>
          <w:p w:rsidR="00C61EAE" w:rsidRDefault="000F3DD2" w:rsidP="003E6B37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C61EAE">
              <w:rPr>
                <w:rFonts w:ascii="Arial" w:hAnsi="Arial" w:cs="Arial"/>
                <w:iCs/>
                <w:sz w:val="20"/>
                <w:szCs w:val="20"/>
              </w:rPr>
              <w:t>Direct observations of routine patient test performance, including, as applicable,</w:t>
            </w:r>
            <w:r w:rsidR="00C61EAE" w:rsidRPr="00C61EA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61EAE">
              <w:rPr>
                <w:rFonts w:ascii="Arial" w:hAnsi="Arial" w:cs="Arial"/>
                <w:iCs/>
                <w:sz w:val="20"/>
                <w:szCs w:val="20"/>
              </w:rPr>
              <w:t>patient identification and preparation; and specimen collection, handling, processing</w:t>
            </w:r>
            <w:r w:rsidR="00C61EA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61EAE">
              <w:rPr>
                <w:rFonts w:ascii="Arial" w:hAnsi="Arial" w:cs="Arial"/>
                <w:iCs/>
                <w:sz w:val="20"/>
                <w:szCs w:val="20"/>
              </w:rPr>
              <w:t>and testin</w:t>
            </w:r>
            <w:r w:rsidR="00C61EAE">
              <w:rPr>
                <w:rFonts w:ascii="Arial" w:hAnsi="Arial" w:cs="Arial"/>
                <w:iCs/>
                <w:sz w:val="20"/>
                <w:szCs w:val="20"/>
              </w:rPr>
              <w:t>g</w:t>
            </w:r>
          </w:p>
          <w:p w:rsidR="00C61EAE" w:rsidRDefault="000F3DD2" w:rsidP="003E6B37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C61EAE">
              <w:rPr>
                <w:rFonts w:ascii="Arial" w:hAnsi="Arial" w:cs="Arial"/>
                <w:iCs/>
                <w:sz w:val="20"/>
                <w:szCs w:val="20"/>
              </w:rPr>
              <w:t>Monitoring the recording and reporting of test results, including, as applicable,</w:t>
            </w:r>
            <w:r w:rsidR="00C61EAE" w:rsidRPr="00C61EA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61EAE">
              <w:rPr>
                <w:rFonts w:ascii="Arial" w:hAnsi="Arial" w:cs="Arial"/>
                <w:iCs/>
                <w:sz w:val="20"/>
                <w:szCs w:val="20"/>
              </w:rPr>
              <w:t>reporting critical results</w:t>
            </w:r>
          </w:p>
          <w:p w:rsidR="00C61EAE" w:rsidRDefault="000F3DD2" w:rsidP="003E6B37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C61EAE">
              <w:rPr>
                <w:rFonts w:ascii="Arial" w:hAnsi="Arial" w:cs="Arial"/>
                <w:iCs/>
                <w:sz w:val="20"/>
                <w:szCs w:val="20"/>
              </w:rPr>
              <w:t>Review of intermediate test results or worksheets, quality control records, proficiency</w:t>
            </w:r>
            <w:r w:rsidR="00C61EAE" w:rsidRPr="00C61EA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61EAE">
              <w:rPr>
                <w:rFonts w:ascii="Arial" w:hAnsi="Arial" w:cs="Arial"/>
                <w:iCs/>
                <w:sz w:val="20"/>
                <w:szCs w:val="20"/>
              </w:rPr>
              <w:t>testing results, and preventive maintenance records</w:t>
            </w:r>
          </w:p>
          <w:p w:rsidR="00C61EAE" w:rsidRDefault="000F3DD2" w:rsidP="003E6B37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C61EAE">
              <w:rPr>
                <w:rFonts w:ascii="Arial" w:hAnsi="Arial" w:cs="Arial"/>
                <w:iCs/>
                <w:sz w:val="20"/>
                <w:szCs w:val="20"/>
              </w:rPr>
              <w:t>Direct observation of performance of instrument maintenance and function checks</w:t>
            </w:r>
          </w:p>
          <w:p w:rsidR="00C61EAE" w:rsidRPr="00C61EAE" w:rsidRDefault="000F3DD2" w:rsidP="003E6B37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C61EAE">
              <w:rPr>
                <w:rFonts w:ascii="Arial" w:hAnsi="Arial" w:cs="Arial"/>
                <w:iCs/>
                <w:sz w:val="20"/>
                <w:szCs w:val="20"/>
              </w:rPr>
              <w:t xml:space="preserve">Assessment of test performance through testing </w:t>
            </w:r>
            <w:r w:rsidRPr="00C61EAE">
              <w:rPr>
                <w:rFonts w:ascii="Arial" w:hAnsi="Arial" w:cs="Arial"/>
                <w:iCs/>
                <w:sz w:val="20"/>
                <w:szCs w:val="20"/>
              </w:rPr>
              <w:lastRenderedPageBreak/>
              <w:t>previously analyzed specimens,</w:t>
            </w:r>
            <w:r w:rsidR="00C61EAE" w:rsidRPr="00C61EA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61EAE">
              <w:rPr>
                <w:rFonts w:ascii="Arial" w:hAnsi="Arial" w:cs="Arial"/>
                <w:iCs/>
                <w:sz w:val="20"/>
                <w:szCs w:val="20"/>
              </w:rPr>
              <w:t>internal blind testing samples or external proficiency testing samples; and</w:t>
            </w:r>
          </w:p>
          <w:p w:rsidR="00751D6A" w:rsidRPr="00C61EAE" w:rsidRDefault="000F3DD2" w:rsidP="003E6B37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C61EAE">
              <w:rPr>
                <w:rFonts w:ascii="Arial" w:hAnsi="Arial" w:cs="Arial"/>
                <w:iCs/>
                <w:sz w:val="20"/>
                <w:szCs w:val="20"/>
              </w:rPr>
              <w:t>Evaluation of problem-solving skills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51D6A" w:rsidRDefault="00751D6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Competence assessment tools:</w:t>
            </w:r>
          </w:p>
          <w:p w:rsidR="00751D6A" w:rsidRDefault="00751D6A">
            <w:pPr>
              <w:jc w:val="left"/>
              <w:rPr>
                <w:rFonts w:ascii="Arial" w:hAnsi="Arial" w:cs="Arial"/>
                <w:sz w:val="20"/>
              </w:rPr>
            </w:pPr>
          </w:p>
          <w:p w:rsidR="00751D6A" w:rsidRDefault="00751D6A">
            <w:pPr>
              <w:numPr>
                <w:ilvl w:val="0"/>
                <w:numId w:val="7"/>
              </w:numPr>
              <w:tabs>
                <w:tab w:val="clear" w:pos="720"/>
              </w:tabs>
              <w:ind w:left="43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Worksheets, patient reports, etc.</w:t>
            </w:r>
          </w:p>
          <w:p w:rsidR="00751D6A" w:rsidRDefault="00751D6A">
            <w:pPr>
              <w:numPr>
                <w:ilvl w:val="0"/>
                <w:numId w:val="7"/>
              </w:numPr>
              <w:tabs>
                <w:tab w:val="clear" w:pos="720"/>
              </w:tabs>
              <w:ind w:left="43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 records</w:t>
            </w:r>
          </w:p>
          <w:p w:rsidR="00751D6A" w:rsidRDefault="00751D6A">
            <w:pPr>
              <w:numPr>
                <w:ilvl w:val="0"/>
                <w:numId w:val="7"/>
              </w:numPr>
              <w:tabs>
                <w:tab w:val="clear" w:pos="720"/>
              </w:tabs>
              <w:ind w:left="43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 results</w:t>
            </w:r>
          </w:p>
          <w:p w:rsidR="00751D6A" w:rsidRDefault="00751D6A">
            <w:pPr>
              <w:pStyle w:val="TableText"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 results</w:t>
            </w:r>
          </w:p>
          <w:p w:rsidR="00751D6A" w:rsidRDefault="00751D6A">
            <w:pPr>
              <w:numPr>
                <w:ilvl w:val="0"/>
                <w:numId w:val="7"/>
              </w:numPr>
              <w:tabs>
                <w:tab w:val="clear" w:pos="720"/>
              </w:tabs>
              <w:ind w:left="43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 observation checklists</w:t>
            </w:r>
          </w:p>
          <w:p w:rsidR="00751D6A" w:rsidRDefault="00751D6A">
            <w:pPr>
              <w:numPr>
                <w:ilvl w:val="0"/>
                <w:numId w:val="7"/>
              </w:numPr>
              <w:tabs>
                <w:tab w:val="clear" w:pos="720"/>
              </w:tabs>
              <w:ind w:left="43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Compliments or complaints</w:t>
            </w:r>
          </w:p>
          <w:p w:rsidR="00751D6A" w:rsidRDefault="00751D6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51D6A" w:rsidTr="00A85B79">
        <w:trPr>
          <w:trHeight w:val="341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D6A" w:rsidRDefault="00751D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6A" w:rsidRDefault="00751D6A" w:rsidP="003E6B3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Laboratory Staff:</w:t>
            </w:r>
          </w:p>
          <w:p w:rsidR="00751D6A" w:rsidRDefault="00751D6A" w:rsidP="003E6B37">
            <w:pPr>
              <w:numPr>
                <w:ilvl w:val="0"/>
                <w:numId w:val="4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Successfully complete assessments at conclusion of training (tests require score of 80% or higher).</w:t>
            </w:r>
          </w:p>
          <w:p w:rsidR="00751D6A" w:rsidRPr="00B846D4" w:rsidRDefault="000D6974" w:rsidP="003E6B37">
            <w:pPr>
              <w:numPr>
                <w:ilvl w:val="0"/>
                <w:numId w:val="45"/>
              </w:numPr>
              <w:jc w:val="left"/>
              <w:rPr>
                <w:rFonts w:ascii="Arial" w:hAnsi="Arial" w:cs="Arial"/>
                <w:sz w:val="20"/>
                <w:highlight w:val="cyan"/>
              </w:rPr>
            </w:pPr>
            <w:r w:rsidRPr="00B846D4">
              <w:rPr>
                <w:rFonts w:ascii="Arial" w:hAnsi="Arial" w:cs="Arial"/>
                <w:sz w:val="20"/>
                <w:highlight w:val="cyan"/>
              </w:rPr>
              <w:t>P</w:t>
            </w:r>
            <w:r w:rsidR="00AE5BDD" w:rsidRPr="00B846D4">
              <w:rPr>
                <w:rFonts w:ascii="Arial" w:hAnsi="Arial" w:cs="Arial"/>
                <w:sz w:val="20"/>
                <w:highlight w:val="cyan"/>
              </w:rPr>
              <w:t xml:space="preserve">erform and complete </w:t>
            </w:r>
            <w:r w:rsidR="00A85B79" w:rsidRPr="00B846D4">
              <w:rPr>
                <w:rFonts w:ascii="Arial" w:hAnsi="Arial" w:cs="Arial"/>
                <w:sz w:val="20"/>
                <w:highlight w:val="cyan"/>
              </w:rPr>
              <w:t>semiannual</w:t>
            </w:r>
            <w:r w:rsidR="00AE5BDD" w:rsidRPr="00B846D4">
              <w:rPr>
                <w:rFonts w:ascii="Arial" w:hAnsi="Arial" w:cs="Arial"/>
                <w:sz w:val="20"/>
                <w:highlight w:val="cyan"/>
              </w:rPr>
              <w:t xml:space="preserve"> (if applicable) and annual competency observations by assigned due dates.</w:t>
            </w:r>
          </w:p>
          <w:p w:rsidR="00AE5BDD" w:rsidRPr="00B846D4" w:rsidRDefault="000D6974" w:rsidP="003E6B37">
            <w:pPr>
              <w:numPr>
                <w:ilvl w:val="0"/>
                <w:numId w:val="45"/>
              </w:numPr>
              <w:jc w:val="left"/>
              <w:rPr>
                <w:rFonts w:ascii="Arial" w:hAnsi="Arial" w:cs="Arial"/>
                <w:sz w:val="20"/>
                <w:highlight w:val="cyan"/>
              </w:rPr>
            </w:pPr>
            <w:r w:rsidRPr="00B846D4">
              <w:rPr>
                <w:rFonts w:ascii="Arial" w:hAnsi="Arial" w:cs="Arial"/>
                <w:sz w:val="20"/>
                <w:highlight w:val="cyan"/>
              </w:rPr>
              <w:t>P</w:t>
            </w:r>
            <w:r w:rsidR="00AE5BDD" w:rsidRPr="00B846D4">
              <w:rPr>
                <w:rFonts w:ascii="Arial" w:hAnsi="Arial" w:cs="Arial"/>
                <w:sz w:val="20"/>
                <w:highlight w:val="cyan"/>
              </w:rPr>
              <w:t xml:space="preserve">erform and complete </w:t>
            </w:r>
            <w:r w:rsidR="00A85B79" w:rsidRPr="00B846D4">
              <w:rPr>
                <w:rFonts w:ascii="Arial" w:hAnsi="Arial" w:cs="Arial"/>
                <w:sz w:val="20"/>
                <w:highlight w:val="cyan"/>
              </w:rPr>
              <w:t>semiannual</w:t>
            </w:r>
            <w:r w:rsidR="00AE5BDD" w:rsidRPr="00B846D4">
              <w:rPr>
                <w:rFonts w:ascii="Arial" w:hAnsi="Arial" w:cs="Arial"/>
                <w:sz w:val="20"/>
                <w:highlight w:val="cyan"/>
              </w:rPr>
              <w:t xml:space="preserve"> (if applicable) and annual competency problem solving quizzes by assigned due dates.</w:t>
            </w:r>
          </w:p>
          <w:p w:rsidR="00AE5BDD" w:rsidRPr="00B846D4" w:rsidRDefault="000D6974" w:rsidP="003E6B37">
            <w:pPr>
              <w:numPr>
                <w:ilvl w:val="0"/>
                <w:numId w:val="45"/>
              </w:numPr>
              <w:jc w:val="left"/>
              <w:rPr>
                <w:rFonts w:ascii="Arial" w:hAnsi="Arial" w:cs="Arial"/>
                <w:sz w:val="20"/>
                <w:highlight w:val="cyan"/>
              </w:rPr>
            </w:pPr>
            <w:r w:rsidRPr="00B846D4">
              <w:rPr>
                <w:rFonts w:ascii="Arial" w:hAnsi="Arial" w:cs="Arial"/>
                <w:sz w:val="20"/>
                <w:highlight w:val="cyan"/>
              </w:rPr>
              <w:t>P</w:t>
            </w:r>
            <w:r w:rsidR="00AE5BDD" w:rsidRPr="00B846D4">
              <w:rPr>
                <w:rFonts w:ascii="Arial" w:hAnsi="Arial" w:cs="Arial"/>
                <w:sz w:val="20"/>
                <w:highlight w:val="cyan"/>
              </w:rPr>
              <w:t xml:space="preserve">erform and complete </w:t>
            </w:r>
            <w:r w:rsidR="00A85B79" w:rsidRPr="00B846D4">
              <w:rPr>
                <w:rFonts w:ascii="Arial" w:hAnsi="Arial" w:cs="Arial"/>
                <w:sz w:val="20"/>
                <w:highlight w:val="cyan"/>
              </w:rPr>
              <w:t>semiannual</w:t>
            </w:r>
            <w:r w:rsidR="00AE5BDD" w:rsidRPr="00B846D4">
              <w:rPr>
                <w:rFonts w:ascii="Arial" w:hAnsi="Arial" w:cs="Arial"/>
                <w:sz w:val="20"/>
                <w:highlight w:val="cyan"/>
              </w:rPr>
              <w:t xml:space="preserve"> (if applicable) and annual competency of previously analyzed specimens, internal blind testing samples or external proficiency testing samples by assigned due dates. </w:t>
            </w:r>
          </w:p>
          <w:p w:rsidR="00751D6A" w:rsidRPr="00C61EAE" w:rsidRDefault="00751D6A" w:rsidP="003E6B37">
            <w:pPr>
              <w:numPr>
                <w:ilvl w:val="0"/>
                <w:numId w:val="4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 all results and sign/date assessments.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>
            <w:pPr>
              <w:ind w:left="360" w:hanging="3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51D6A" w:rsidTr="003E6B37">
        <w:trPr>
          <w:trHeight w:val="1871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51D6A" w:rsidRDefault="00751D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D6A" w:rsidRDefault="00751D6A" w:rsidP="003E6B3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Technical Specialists, </w:t>
            </w:r>
            <w:r w:rsidR="00627C3B">
              <w:rPr>
                <w:rFonts w:ascii="Arial" w:hAnsi="Arial" w:cs="Arial"/>
                <w:b/>
                <w:bCs/>
                <w:sz w:val="20"/>
              </w:rPr>
              <w:t>Supervisors</w:t>
            </w:r>
            <w:r w:rsidR="000F3DD2">
              <w:rPr>
                <w:rFonts w:ascii="Arial" w:hAnsi="Arial" w:cs="Arial"/>
                <w:b/>
                <w:bCs/>
                <w:sz w:val="20"/>
              </w:rPr>
              <w:t>, Lab Education and Safety Coordinator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:rsidR="00751D6A" w:rsidRDefault="00751D6A" w:rsidP="003E6B37">
            <w:pPr>
              <w:numPr>
                <w:ilvl w:val="0"/>
                <w:numId w:val="4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interpretations of assessments.</w:t>
            </w:r>
          </w:p>
          <w:p w:rsidR="00751D6A" w:rsidRDefault="00751D6A" w:rsidP="003E6B37">
            <w:pPr>
              <w:numPr>
                <w:ilvl w:val="0"/>
                <w:numId w:val="4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Initiate remedial measures when training needs are identified.</w:t>
            </w:r>
          </w:p>
          <w:p w:rsidR="00751D6A" w:rsidRDefault="00751D6A" w:rsidP="003E6B37">
            <w:pPr>
              <w:numPr>
                <w:ilvl w:val="0"/>
                <w:numId w:val="4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outcomes.</w:t>
            </w:r>
          </w:p>
          <w:p w:rsidR="00751D6A" w:rsidRPr="00C61EAE" w:rsidRDefault="00751D6A" w:rsidP="003E6B37">
            <w:pPr>
              <w:numPr>
                <w:ilvl w:val="0"/>
                <w:numId w:val="4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Discuss assessment evaluation with employee</w:t>
            </w:r>
            <w:r w:rsidR="0061097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D6A" w:rsidRDefault="00751D6A">
            <w:pPr>
              <w:jc w:val="left"/>
              <w:rPr>
                <w:rFonts w:ascii="Arial" w:hAnsi="Arial" w:cs="Arial"/>
                <w:sz w:val="20"/>
              </w:rPr>
            </w:pPr>
          </w:p>
          <w:p w:rsidR="00751D6A" w:rsidRDefault="00751D6A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751D6A" w:rsidTr="003E6B37">
        <w:trPr>
          <w:trHeight w:val="62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51D6A" w:rsidRDefault="00751D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  <w:p w:rsidR="00751D6A" w:rsidRDefault="00751D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D6A" w:rsidRDefault="00751D6A" w:rsidP="003E6B3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Laboratory Staff</w:t>
            </w:r>
            <w:r>
              <w:rPr>
                <w:rFonts w:ascii="Arial" w:hAnsi="Arial" w:cs="Arial"/>
                <w:sz w:val="20"/>
              </w:rPr>
              <w:t xml:space="preserve"> performs additional assignments if training needs are identified.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751D6A" w:rsidRDefault="00751D6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51D6A" w:rsidTr="00EF7558">
        <w:trPr>
          <w:trHeight w:val="1808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51D6A" w:rsidRDefault="00751D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D6A" w:rsidRDefault="00751D6A" w:rsidP="003E6B3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Manager</w:t>
            </w:r>
            <w:r w:rsidR="003F4483">
              <w:rPr>
                <w:rFonts w:ascii="Arial" w:hAnsi="Arial" w:cs="Arial"/>
                <w:b/>
                <w:bCs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Technical Specialists, </w:t>
            </w:r>
            <w:r w:rsidR="00244C38">
              <w:rPr>
                <w:rFonts w:ascii="Arial" w:hAnsi="Arial" w:cs="Arial"/>
                <w:b/>
                <w:bCs/>
                <w:sz w:val="20"/>
              </w:rPr>
              <w:t>Supervisors</w:t>
            </w:r>
            <w:r w:rsidR="00EF7558">
              <w:rPr>
                <w:rFonts w:ascii="Arial" w:hAnsi="Arial" w:cs="Arial"/>
                <w:b/>
                <w:bCs/>
                <w:sz w:val="20"/>
              </w:rPr>
              <w:t>, Lab Education and Safety Coordinator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:rsidR="00751D6A" w:rsidRDefault="003F4483" w:rsidP="003E6B37">
            <w:pPr>
              <w:numPr>
                <w:ilvl w:val="0"/>
                <w:numId w:val="4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Identify areas for</w:t>
            </w:r>
            <w:r w:rsidR="00751D6A">
              <w:rPr>
                <w:rFonts w:ascii="Arial" w:hAnsi="Arial" w:cs="Arial"/>
                <w:sz w:val="20"/>
              </w:rPr>
              <w:t xml:space="preserve"> workplace improvements</w:t>
            </w:r>
            <w:r w:rsidR="0061097E">
              <w:rPr>
                <w:rFonts w:ascii="Arial" w:hAnsi="Arial" w:cs="Arial"/>
                <w:sz w:val="20"/>
              </w:rPr>
              <w:t>.</w:t>
            </w:r>
          </w:p>
          <w:p w:rsidR="00751D6A" w:rsidRDefault="00751D6A" w:rsidP="003E6B37">
            <w:pPr>
              <w:numPr>
                <w:ilvl w:val="0"/>
                <w:numId w:val="4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Develop performance improvement plan </w:t>
            </w:r>
            <w:r w:rsidR="0061097E">
              <w:rPr>
                <w:rFonts w:ascii="Arial" w:hAnsi="Arial" w:cs="Arial"/>
                <w:sz w:val="20"/>
              </w:rPr>
              <w:t xml:space="preserve">and/or corrective action </w:t>
            </w:r>
            <w:r>
              <w:rPr>
                <w:rFonts w:ascii="Arial" w:hAnsi="Arial" w:cs="Arial"/>
                <w:sz w:val="20"/>
              </w:rPr>
              <w:t>when competency goals are not attained</w:t>
            </w:r>
            <w:r w:rsidR="0061097E">
              <w:rPr>
                <w:rFonts w:ascii="Arial" w:hAnsi="Arial" w:cs="Arial"/>
                <w:sz w:val="20"/>
              </w:rPr>
              <w:t>.</w:t>
            </w:r>
          </w:p>
          <w:p w:rsidR="00751D6A" w:rsidRDefault="00751D6A" w:rsidP="003E6B37">
            <w:pPr>
              <w:numPr>
                <w:ilvl w:val="0"/>
                <w:numId w:val="4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Communicate improvement plan to employee</w:t>
            </w:r>
            <w:r w:rsidR="0061097E">
              <w:rPr>
                <w:rFonts w:ascii="Arial" w:hAnsi="Arial" w:cs="Arial"/>
                <w:sz w:val="20"/>
              </w:rPr>
              <w:t>.</w:t>
            </w:r>
          </w:p>
          <w:p w:rsidR="00751D6A" w:rsidRDefault="00751D6A" w:rsidP="003E6B37">
            <w:pPr>
              <w:numPr>
                <w:ilvl w:val="0"/>
                <w:numId w:val="47"/>
              </w:numPr>
              <w:jc w:val="left"/>
            </w:pPr>
            <w:r>
              <w:rPr>
                <w:rFonts w:ascii="Arial" w:hAnsi="Arial" w:cs="Arial"/>
                <w:sz w:val="20"/>
              </w:rPr>
              <w:t>Maintain records of employee section assessments</w:t>
            </w:r>
            <w:r w:rsidR="0061097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751D6A" w:rsidRDefault="00751D6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51D6A" w:rsidTr="00A85B79">
        <w:trPr>
          <w:trHeight w:val="926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51D6A" w:rsidRDefault="00751D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D6A" w:rsidRDefault="00751D6A" w:rsidP="003E6B3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Manager</w:t>
            </w:r>
            <w:r w:rsidR="003F4483">
              <w:rPr>
                <w:rFonts w:ascii="Arial" w:hAnsi="Arial" w:cs="Arial"/>
                <w:b/>
                <w:bCs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Technical Specialists, </w:t>
            </w:r>
            <w:r w:rsidR="00627C3B">
              <w:rPr>
                <w:rFonts w:ascii="Arial" w:hAnsi="Arial" w:cs="Arial"/>
                <w:b/>
                <w:bCs/>
                <w:sz w:val="20"/>
              </w:rPr>
              <w:t>Supervisors</w:t>
            </w:r>
            <w:r w:rsidR="000F3DD2">
              <w:rPr>
                <w:rFonts w:ascii="Arial" w:hAnsi="Arial" w:cs="Arial"/>
                <w:b/>
                <w:bCs/>
                <w:sz w:val="20"/>
              </w:rPr>
              <w:t>, Lab Education and Safety Coordinator</w:t>
            </w:r>
            <w:r w:rsidR="00627C3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review competency records for annual performance appraisal</w:t>
            </w:r>
            <w:r w:rsidR="0061097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751D6A" w:rsidRDefault="00751D6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51D6A" w:rsidTr="00EF75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751D6A" w:rsidRDefault="00751D6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751D6A" w:rsidRDefault="00751D6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  <w:p w:rsidR="00751D6A" w:rsidRDefault="00751D6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751D6A" w:rsidRDefault="00751D6A">
            <w:pPr>
              <w:rPr>
                <w:rFonts w:ascii="Arial" w:hAnsi="Arial" w:cs="Arial"/>
                <w:sz w:val="20"/>
              </w:rPr>
            </w:pPr>
          </w:p>
          <w:p w:rsidR="00FB2045" w:rsidRDefault="00FB2045" w:rsidP="00FB204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CLSI.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Key to Quality</w:t>
            </w:r>
            <w:r w:rsidRPr="006E73DC">
              <w:rPr>
                <w:rFonts w:ascii="Arial" w:hAnsi="Arial" w:cs="Arial"/>
                <w:i/>
                <w:iCs/>
                <w:sz w:val="13"/>
                <w:szCs w:val="13"/>
                <w:vertAlign w:val="superscript"/>
              </w:rPr>
              <w:t>TM</w:t>
            </w:r>
            <w:r>
              <w:rPr>
                <w:rFonts w:ascii="Arial" w:hAnsi="Arial" w:cs="Arial"/>
                <w:sz w:val="20"/>
                <w:szCs w:val="20"/>
              </w:rPr>
              <w:t>. CLSI product K</w:t>
            </w:r>
            <w:r>
              <w:rPr>
                <w:rFonts w:ascii="Arial" w:hAnsi="Arial" w:cs="Arial"/>
                <w:sz w:val="13"/>
                <w:szCs w:val="13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Q. Wayne, PA: Clinical and Laboratory Standards</w:t>
            </w:r>
          </w:p>
          <w:p w:rsidR="00751D6A" w:rsidRDefault="00FB2045" w:rsidP="00FB2045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Institute; 2013.</w:t>
            </w:r>
          </w:p>
          <w:p w:rsidR="00FB2045" w:rsidRDefault="00FB2045" w:rsidP="00FB2045">
            <w:pPr>
              <w:pStyle w:val="BodyText"/>
              <w:rPr>
                <w:rFonts w:ascii="Arial" w:hAnsi="Arial" w:cs="Arial"/>
                <w:color w:val="auto"/>
                <w:sz w:val="20"/>
              </w:rPr>
            </w:pPr>
          </w:p>
          <w:p w:rsidR="00751D6A" w:rsidRDefault="00751D6A">
            <w:pPr>
              <w:pStyle w:val="BodyTex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Berte L., et al, </w:t>
            </w:r>
            <w:r>
              <w:rPr>
                <w:rFonts w:ascii="Arial" w:hAnsi="Arial" w:cs="Arial"/>
                <w:color w:val="auto"/>
                <w:sz w:val="20"/>
                <w:u w:val="single"/>
              </w:rPr>
              <w:t>A Model Quality System for the Transfusion Service</w:t>
            </w:r>
            <w:r>
              <w:rPr>
                <w:rFonts w:ascii="Arial" w:hAnsi="Arial" w:cs="Arial"/>
                <w:color w:val="auto"/>
                <w:sz w:val="20"/>
              </w:rPr>
              <w:t>. Bethesda, MD: American Association of Blood Banks, 1997</w:t>
            </w:r>
          </w:p>
          <w:p w:rsidR="00751D6A" w:rsidRDefault="00751D6A">
            <w:pPr>
              <w:ind w:left="1440" w:hanging="1440"/>
              <w:rPr>
                <w:rFonts w:ascii="Arial" w:hAnsi="Arial" w:cs="Arial"/>
                <w:sz w:val="20"/>
              </w:rPr>
            </w:pPr>
          </w:p>
          <w:p w:rsidR="00751D6A" w:rsidRDefault="00751D6A">
            <w:pPr>
              <w:pStyle w:val="BodyTex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Nevalainen D, Berte L., </w:t>
            </w:r>
            <w:r>
              <w:rPr>
                <w:rFonts w:ascii="Arial" w:hAnsi="Arial" w:cs="Arial"/>
                <w:color w:val="auto"/>
                <w:sz w:val="20"/>
                <w:u w:val="single"/>
              </w:rPr>
              <w:t>Quality Systems for the Laboratory.</w:t>
            </w:r>
            <w:r>
              <w:rPr>
                <w:rFonts w:ascii="Arial" w:hAnsi="Arial" w:cs="Arial"/>
                <w:color w:val="auto"/>
                <w:sz w:val="20"/>
              </w:rPr>
              <w:t xml:space="preserve"> Chicago, IL.: American Society of Clinical Pathologists, 2000</w:t>
            </w:r>
          </w:p>
          <w:p w:rsidR="00751D6A" w:rsidRDefault="00751D6A">
            <w:pPr>
              <w:pStyle w:val="BodyText"/>
              <w:rPr>
                <w:rFonts w:ascii="Arial" w:hAnsi="Arial" w:cs="Arial"/>
                <w:color w:val="auto"/>
                <w:sz w:val="20"/>
              </w:rPr>
            </w:pPr>
          </w:p>
          <w:p w:rsidR="00A20322" w:rsidRPr="00236917" w:rsidRDefault="00751D6A" w:rsidP="00236917">
            <w:pPr>
              <w:pStyle w:val="BodyTex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Sarewitz S.. Et al, </w:t>
            </w:r>
            <w:r>
              <w:rPr>
                <w:rFonts w:ascii="Arial" w:hAnsi="Arial" w:cs="Arial"/>
                <w:color w:val="auto"/>
                <w:sz w:val="20"/>
                <w:u w:val="single"/>
              </w:rPr>
              <w:t>Application of Quality System Model for Laboratory; Approved Guideline-2</w:t>
            </w:r>
            <w:r>
              <w:rPr>
                <w:rFonts w:ascii="Arial" w:hAnsi="Arial" w:cs="Arial"/>
                <w:color w:val="auto"/>
                <w:sz w:val="20"/>
                <w:u w:val="single"/>
                <w:vertAlign w:val="superscript"/>
              </w:rPr>
              <w:t>nd</w:t>
            </w:r>
            <w:r>
              <w:rPr>
                <w:rFonts w:ascii="Arial" w:hAnsi="Arial" w:cs="Arial"/>
                <w:color w:val="auto"/>
                <w:sz w:val="20"/>
                <w:u w:val="single"/>
              </w:rPr>
              <w:t xml:space="preserve"> Edition</w:t>
            </w:r>
            <w:r>
              <w:rPr>
                <w:rFonts w:ascii="Arial" w:hAnsi="Arial" w:cs="Arial"/>
                <w:color w:val="auto"/>
                <w:sz w:val="20"/>
              </w:rPr>
              <w:t>, NCC</w:t>
            </w:r>
            <w:r w:rsidR="00C438F0">
              <w:rPr>
                <w:rFonts w:ascii="Arial" w:hAnsi="Arial" w:cs="Arial"/>
                <w:color w:val="auto"/>
                <w:sz w:val="20"/>
              </w:rPr>
              <w:t>LS document GP26-A4</w:t>
            </w:r>
            <w:r>
              <w:rPr>
                <w:rFonts w:ascii="Arial" w:hAnsi="Arial" w:cs="Arial"/>
                <w:color w:val="auto"/>
                <w:sz w:val="20"/>
              </w:rPr>
              <w:t>, Wayne, PA.: National Committee for Cli</w:t>
            </w:r>
            <w:r w:rsidR="00C438F0">
              <w:rPr>
                <w:rFonts w:ascii="Arial" w:hAnsi="Arial" w:cs="Arial"/>
                <w:color w:val="auto"/>
                <w:sz w:val="20"/>
              </w:rPr>
              <w:t>nical Laboratory Standards, 2011</w:t>
            </w:r>
          </w:p>
        </w:tc>
      </w:tr>
    </w:tbl>
    <w:p w:rsidR="00236917" w:rsidRDefault="00236917"/>
    <w:tbl>
      <w:tblPr>
        <w:tblW w:w="11160" w:type="dxa"/>
        <w:tblInd w:w="-1152" w:type="dxa"/>
        <w:tblBorders>
          <w:bottom w:val="single" w:sz="4" w:space="0" w:color="auto"/>
        </w:tblBorders>
        <w:tblLayout w:type="fixed"/>
        <w:tblLook w:val="0000"/>
      </w:tblPr>
      <w:tblGrid>
        <w:gridCol w:w="1980"/>
        <w:gridCol w:w="990"/>
        <w:gridCol w:w="2070"/>
        <w:gridCol w:w="900"/>
        <w:gridCol w:w="1620"/>
        <w:gridCol w:w="1815"/>
        <w:gridCol w:w="1785"/>
      </w:tblGrid>
      <w:tr w:rsidR="00751D6A" w:rsidTr="00EF7558">
        <w:trPr>
          <w:cantSplit/>
          <w:trHeight w:val="2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D6A" w:rsidRDefault="00751D6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D6A" w:rsidRDefault="00751D6A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D6A" w:rsidRDefault="00751D6A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D6A" w:rsidRDefault="00751D6A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751D6A" w:rsidTr="00236917">
        <w:trPr>
          <w:cantSplit/>
          <w:trHeight w:val="225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 w:rsidP="00236917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751D6A" w:rsidTr="00236917">
        <w:trPr>
          <w:cantSplit/>
          <w:trHeight w:val="135"/>
        </w:trPr>
        <w:tc>
          <w:tcPr>
            <w:tcW w:w="19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 w:rsidP="002369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07/30/03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Replaces elements previously addressed in Laboratory Quality Systems Manual and section-specific quality documents</w:t>
            </w:r>
          </w:p>
        </w:tc>
      </w:tr>
      <w:tr w:rsidR="00751D6A" w:rsidTr="00236917">
        <w:trPr>
          <w:cantSplit/>
          <w:trHeight w:val="143"/>
        </w:trPr>
        <w:tc>
          <w:tcPr>
            <w:tcW w:w="19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B. Kochevar, J. Heimkes, </w:t>
            </w:r>
          </w:p>
          <w:p w:rsidR="00751D6A" w:rsidRDefault="00751D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Lichty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 w:rsidP="002369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06/29/09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and reformatted</w:t>
            </w:r>
          </w:p>
        </w:tc>
      </w:tr>
      <w:tr w:rsidR="00751D6A" w:rsidTr="00236917">
        <w:trPr>
          <w:cantSplit/>
          <w:trHeight w:val="165"/>
        </w:trPr>
        <w:tc>
          <w:tcPr>
            <w:tcW w:w="19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 Kochevar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 w:rsidP="002369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09/29/09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and clarified</w:t>
            </w:r>
          </w:p>
        </w:tc>
      </w:tr>
      <w:tr w:rsidR="00751D6A" w:rsidTr="00236917">
        <w:trPr>
          <w:cantSplit/>
          <w:trHeight w:val="165"/>
        </w:trPr>
        <w:tc>
          <w:tcPr>
            <w:tcW w:w="19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 w:rsidP="00751D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J.Heimkes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 w:rsidP="002369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04/06/2010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 w:rsidP="00751D6A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– added in Education Coordinator role</w:t>
            </w:r>
          </w:p>
        </w:tc>
      </w:tr>
      <w:tr w:rsidR="00751D6A" w:rsidTr="00236917">
        <w:trPr>
          <w:cantSplit/>
          <w:trHeight w:val="165"/>
        </w:trPr>
        <w:tc>
          <w:tcPr>
            <w:tcW w:w="19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 w:rsidP="00751D6A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PMRC/Jennifer Heimkes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 w:rsidP="00236917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7/22/2011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51D6A" w:rsidP="00751D6A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Added Policy Statement Section for information previously as noted in QP 2.30</w:t>
            </w:r>
          </w:p>
          <w:p w:rsidR="00751D6A" w:rsidRDefault="00751D6A" w:rsidP="00751D6A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CMS format</w:t>
            </w:r>
          </w:p>
        </w:tc>
      </w:tr>
      <w:tr w:rsidR="00751D6A" w:rsidTr="0023691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19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51D6A" w:rsidRDefault="00751D6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E771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E771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PMRC/Jennifer Heimkes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E771E5" w:rsidP="002369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2/25/2015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A" w:rsidRDefault="007A0FCC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policy statements and activities in step 1</w:t>
            </w:r>
            <w:r w:rsidR="007B6742">
              <w:rPr>
                <w:rFonts w:ascii="Arial" w:hAnsi="Arial" w:cs="Arial"/>
              </w:rPr>
              <w:t>.  Updated titles and references.</w:t>
            </w:r>
          </w:p>
        </w:tc>
      </w:tr>
      <w:tr w:rsidR="00627C3B" w:rsidTr="00AE14B8">
        <w:trPr>
          <w:cantSplit/>
          <w:trHeight w:val="255"/>
        </w:trPr>
        <w:tc>
          <w:tcPr>
            <w:tcW w:w="1980" w:type="dxa"/>
            <w:tcBorders>
              <w:left w:val="nil"/>
              <w:right w:val="single" w:sz="4" w:space="0" w:color="auto"/>
            </w:tcBorders>
          </w:tcPr>
          <w:p w:rsidR="00627C3B" w:rsidRDefault="00627C3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3B" w:rsidRDefault="00627C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3B" w:rsidRDefault="000F3DD2" w:rsidP="000F3DD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Laboratory Quality and Patient Safety Council/</w:t>
            </w:r>
            <w:r w:rsidR="00627C3B">
              <w:rPr>
                <w:rFonts w:ascii="Arial" w:hAnsi="Arial" w:cs="Arial"/>
                <w:sz w:val="20"/>
              </w:rPr>
              <w:t>L. Kappenman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3B" w:rsidRDefault="000F3DD2" w:rsidP="002369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7/7</w:t>
            </w:r>
            <w:r w:rsidR="00627C3B">
              <w:rPr>
                <w:rFonts w:ascii="Arial" w:hAnsi="Arial" w:cs="Arial"/>
                <w:sz w:val="20"/>
              </w:rPr>
              <w:t>/2017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3B" w:rsidRDefault="00627C3B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titles and responsibilities</w:t>
            </w:r>
            <w:r w:rsidR="00EF7558">
              <w:rPr>
                <w:rFonts w:ascii="Arial" w:hAnsi="Arial" w:cs="Arial"/>
              </w:rPr>
              <w:t>. Added 6 elements of competency assessment.</w:t>
            </w:r>
          </w:p>
        </w:tc>
      </w:tr>
      <w:tr w:rsidR="00AE14B8" w:rsidTr="00236917">
        <w:trPr>
          <w:cantSplit/>
          <w:trHeight w:val="255"/>
        </w:trPr>
        <w:tc>
          <w:tcPr>
            <w:tcW w:w="1980" w:type="dxa"/>
            <w:tcBorders>
              <w:left w:val="nil"/>
              <w:bottom w:val="nil"/>
              <w:right w:val="single" w:sz="4" w:space="0" w:color="auto"/>
            </w:tcBorders>
          </w:tcPr>
          <w:p w:rsidR="00AE14B8" w:rsidRDefault="00AE14B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B8" w:rsidRDefault="00AE14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B8" w:rsidRDefault="00A85B79" w:rsidP="000F3DD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Jennifer Heimkes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B8" w:rsidRDefault="00A85B79" w:rsidP="002369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03/01/2019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B8" w:rsidRDefault="00A85B7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Updated policy statement regarding not completing competency by assigned date. Clarified staff responsibility in </w:t>
            </w:r>
            <w:r w:rsidR="009673A1">
              <w:rPr>
                <w:rFonts w:ascii="Arial" w:hAnsi="Arial" w:cs="Arial"/>
              </w:rPr>
              <w:t>section two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751D6A" w:rsidRDefault="00751D6A"/>
    <w:sectPr w:rsidR="00751D6A" w:rsidSect="00CC03C9">
      <w:headerReference w:type="default" r:id="rId11"/>
      <w:footerReference w:type="default" r:id="rId12"/>
      <w:pgSz w:w="12240" w:h="15840" w:code="1"/>
      <w:pgMar w:top="900" w:right="54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8D" w:rsidRDefault="00794C8D">
      <w:r>
        <w:separator/>
      </w:r>
    </w:p>
  </w:endnote>
  <w:endnote w:type="continuationSeparator" w:id="0">
    <w:p w:rsidR="00794C8D" w:rsidRDefault="00794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37" w:rsidRDefault="003E6B37">
    <w:pPr>
      <w:jc w:val="left"/>
      <w:rPr>
        <w:rFonts w:ascii="Arial" w:hAnsi="Arial" w:cs="Arial"/>
      </w:rPr>
    </w:pPr>
  </w:p>
  <w:p w:rsidR="003E6B37" w:rsidRDefault="003E6B37">
    <w:pPr>
      <w:pStyle w:val="Footer"/>
      <w:tabs>
        <w:tab w:val="clear" w:pos="8640"/>
        <w:tab w:val="right" w:pos="9900"/>
      </w:tabs>
      <w:ind w:lef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 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 w:rsidR="00E751B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E751B4">
      <w:rPr>
        <w:rFonts w:ascii="Arial" w:hAnsi="Arial" w:cs="Arial"/>
        <w:sz w:val="16"/>
      </w:rPr>
      <w:fldChar w:fldCharType="separate"/>
    </w:r>
    <w:r w:rsidR="00E35AF5">
      <w:rPr>
        <w:rFonts w:ascii="Arial" w:hAnsi="Arial" w:cs="Arial"/>
        <w:noProof/>
        <w:sz w:val="16"/>
      </w:rPr>
      <w:t>1</w:t>
    </w:r>
    <w:r w:rsidR="00E751B4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E751B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E751B4">
      <w:rPr>
        <w:rFonts w:ascii="Arial" w:hAnsi="Arial" w:cs="Arial"/>
        <w:sz w:val="16"/>
      </w:rPr>
      <w:fldChar w:fldCharType="separate"/>
    </w:r>
    <w:r w:rsidR="00E35AF5">
      <w:rPr>
        <w:rFonts w:ascii="Arial" w:hAnsi="Arial" w:cs="Arial"/>
        <w:noProof/>
        <w:sz w:val="16"/>
      </w:rPr>
      <w:t>3</w:t>
    </w:r>
    <w:r w:rsidR="00E751B4">
      <w:rPr>
        <w:rFonts w:ascii="Arial" w:hAnsi="Arial" w:cs="Arial"/>
        <w:sz w:val="16"/>
      </w:rPr>
      <w:fldChar w:fldCharType="end"/>
    </w:r>
  </w:p>
  <w:p w:rsidR="003E6B37" w:rsidRDefault="003E6B37">
    <w:pPr>
      <w:pStyle w:val="Footer"/>
      <w:tabs>
        <w:tab w:val="clear" w:pos="8640"/>
        <w:tab w:val="right" w:pos="9900"/>
      </w:tabs>
      <w:ind w:left="-1260"/>
      <w:rPr>
        <w:rFonts w:ascii="Arial" w:hAnsi="Arial" w:cs="Arial"/>
        <w:sz w:val="16"/>
      </w:rPr>
    </w:pPr>
  </w:p>
  <w:p w:rsidR="003E6B37" w:rsidRDefault="003E6B37">
    <w:pPr>
      <w:pStyle w:val="Footer"/>
      <w:tabs>
        <w:tab w:val="clear" w:pos="8640"/>
        <w:tab w:val="right" w:pos="9900"/>
      </w:tabs>
      <w:ind w:left="-1260"/>
      <w:rPr>
        <w:rFonts w:ascii="Arial" w:hAnsi="Arial" w:cs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8D" w:rsidRDefault="00794C8D">
      <w:r>
        <w:separator/>
      </w:r>
    </w:p>
  </w:footnote>
  <w:footnote w:type="continuationSeparator" w:id="0">
    <w:p w:rsidR="00794C8D" w:rsidRDefault="00794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37" w:rsidRDefault="00FD3114">
    <w:pPr>
      <w:ind w:left="-900"/>
      <w:rPr>
        <w:rFonts w:ascii="Arial" w:hAnsi="Arial" w:cs="Arial"/>
        <w:bCs/>
        <w:sz w:val="18"/>
      </w:rPr>
    </w:pPr>
    <w:r>
      <w:rPr>
        <w:rFonts w:ascii="Arial" w:hAnsi="Arial" w:cs="Arial"/>
        <w:bCs/>
        <w:iCs/>
        <w:noProof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5030360</wp:posOffset>
          </wp:positionH>
          <wp:positionV relativeFrom="margin">
            <wp:posOffset>-593366</wp:posOffset>
          </wp:positionV>
          <wp:extent cx="1197499" cy="389614"/>
          <wp:effectExtent l="19050" t="0" r="2651" b="0"/>
          <wp:wrapNone/>
          <wp:docPr id="2" name="Picture 0" descr="Childrens_MN_2015_logo_RGB_of_PMS280-PMS2925_800x25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ldrens_MN_2015_logo_RGB_of_PMS280-PMS2925_800x25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7499" cy="389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6B37">
      <w:rPr>
        <w:rFonts w:ascii="Arial" w:hAnsi="Arial" w:cs="Arial"/>
        <w:bCs/>
        <w:iCs/>
        <w:noProof/>
        <w:sz w:val="18"/>
      </w:rPr>
      <w:t>QP 2.40 Competency Assessment</w:t>
    </w:r>
    <w:r w:rsidR="003E6B37">
      <w:rPr>
        <w:rFonts w:ascii="Arial" w:hAnsi="Arial" w:cs="Arial"/>
        <w:bCs/>
        <w:sz w:val="18"/>
      </w:rPr>
      <w:t xml:space="preserve"> </w:t>
    </w:r>
  </w:p>
  <w:p w:rsidR="00FD3114" w:rsidRDefault="003E6B37" w:rsidP="00FD3114">
    <w:pPr>
      <w:pStyle w:val="Header"/>
      <w:ind w:left="-90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 xml:space="preserve">Version </w:t>
    </w:r>
    <w:r w:rsidR="00AE14B8">
      <w:rPr>
        <w:rFonts w:ascii="Arial" w:hAnsi="Arial" w:cs="Arial"/>
        <w:bCs/>
        <w:sz w:val="18"/>
      </w:rPr>
      <w:t>8</w:t>
    </w:r>
  </w:p>
  <w:p w:rsidR="00FD3114" w:rsidRDefault="003E6B37" w:rsidP="00FD3114">
    <w:pPr>
      <w:pStyle w:val="Header"/>
      <w:ind w:left="-90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 xml:space="preserve">Effective Date: </w:t>
    </w:r>
    <w:r w:rsidR="00A85B79">
      <w:rPr>
        <w:rFonts w:ascii="Arial" w:hAnsi="Arial" w:cs="Arial"/>
        <w:bCs/>
        <w:sz w:val="18"/>
      </w:rPr>
      <w:t>03</w:t>
    </w:r>
    <w:r>
      <w:rPr>
        <w:rFonts w:ascii="Arial" w:hAnsi="Arial" w:cs="Arial"/>
        <w:bCs/>
        <w:sz w:val="18"/>
      </w:rPr>
      <w:t>/</w:t>
    </w:r>
    <w:r w:rsidR="00A85B79">
      <w:rPr>
        <w:rFonts w:ascii="Arial" w:hAnsi="Arial" w:cs="Arial"/>
        <w:bCs/>
        <w:sz w:val="18"/>
      </w:rPr>
      <w:t>01</w:t>
    </w:r>
    <w:r>
      <w:rPr>
        <w:rFonts w:ascii="Arial" w:hAnsi="Arial" w:cs="Arial"/>
        <w:bCs/>
        <w:sz w:val="18"/>
      </w:rPr>
      <w:t>/201</w:t>
    </w:r>
    <w:r w:rsidR="00A85B79">
      <w:rPr>
        <w:rFonts w:ascii="Arial" w:hAnsi="Arial" w:cs="Arial"/>
        <w:bCs/>
        <w:sz w:val="18"/>
      </w:rPr>
      <w:t>9</w:t>
    </w:r>
  </w:p>
  <w:p w:rsidR="003E6B37" w:rsidRPr="00FD3114" w:rsidRDefault="00FD3114" w:rsidP="00FD3114">
    <w:pPr>
      <w:pStyle w:val="Header"/>
      <w:ind w:left="-90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9924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23D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141C20B8"/>
    <w:multiLevelType w:val="hybridMultilevel"/>
    <w:tmpl w:val="C78A8086"/>
    <w:lvl w:ilvl="0" w:tplc="CDDC055C">
      <w:start w:val="1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74450D"/>
    <w:multiLevelType w:val="hybridMultilevel"/>
    <w:tmpl w:val="9F8687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57445C"/>
    <w:multiLevelType w:val="hybridMultilevel"/>
    <w:tmpl w:val="6C267E5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7311F5"/>
    <w:multiLevelType w:val="singleLevel"/>
    <w:tmpl w:val="F10626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1CB340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FE7696"/>
    <w:multiLevelType w:val="hybridMultilevel"/>
    <w:tmpl w:val="75A84E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152877"/>
    <w:multiLevelType w:val="hybridMultilevel"/>
    <w:tmpl w:val="1AF6B26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FAB1F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4F221D0"/>
    <w:multiLevelType w:val="hybridMultilevel"/>
    <w:tmpl w:val="E60609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92C3B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96C4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A0B1D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D2A68B5"/>
    <w:multiLevelType w:val="hybridMultilevel"/>
    <w:tmpl w:val="585C4662"/>
    <w:lvl w:ilvl="0" w:tplc="CDDC055C">
      <w:start w:val="1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DCA6599"/>
    <w:multiLevelType w:val="hybridMultilevel"/>
    <w:tmpl w:val="DE9484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0E876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2412233"/>
    <w:multiLevelType w:val="hybridMultilevel"/>
    <w:tmpl w:val="4C548C02"/>
    <w:lvl w:ilvl="0" w:tplc="CDDC055C">
      <w:start w:val="1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66C193E"/>
    <w:multiLevelType w:val="hybridMultilevel"/>
    <w:tmpl w:val="0C1CD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A877FF"/>
    <w:multiLevelType w:val="hybridMultilevel"/>
    <w:tmpl w:val="A16C19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9C45CD5"/>
    <w:multiLevelType w:val="hybridMultilevel"/>
    <w:tmpl w:val="1EECBE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DB34242"/>
    <w:multiLevelType w:val="singleLevel"/>
    <w:tmpl w:val="64464B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6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FC52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186020C"/>
    <w:multiLevelType w:val="hybridMultilevel"/>
    <w:tmpl w:val="50C040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1A64B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1B633E2"/>
    <w:multiLevelType w:val="hybridMultilevel"/>
    <w:tmpl w:val="F85EE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5F920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6C23D2A"/>
    <w:multiLevelType w:val="hybridMultilevel"/>
    <w:tmpl w:val="508EDF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7EE3B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9EC37FF"/>
    <w:multiLevelType w:val="hybridMultilevel"/>
    <w:tmpl w:val="CF16318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D6D06B7"/>
    <w:multiLevelType w:val="hybridMultilevel"/>
    <w:tmpl w:val="854E965A"/>
    <w:lvl w:ilvl="0" w:tplc="95D82158">
      <w:start w:val="1"/>
      <w:numFmt w:val="decimal"/>
      <w:lvlText w:val="%1."/>
      <w:lvlJc w:val="left"/>
      <w:pPr>
        <w:tabs>
          <w:tab w:val="num" w:pos="1575"/>
        </w:tabs>
        <w:ind w:left="1575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BE6471A"/>
    <w:multiLevelType w:val="hybridMultilevel"/>
    <w:tmpl w:val="0D38A018"/>
    <w:lvl w:ilvl="0" w:tplc="CDDC055C">
      <w:start w:val="1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C327E6"/>
    <w:multiLevelType w:val="hybridMultilevel"/>
    <w:tmpl w:val="DE5630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4E572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03A36C0"/>
    <w:multiLevelType w:val="hybridMultilevel"/>
    <w:tmpl w:val="4D96FDF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4A04C6"/>
    <w:multiLevelType w:val="hybridMultilevel"/>
    <w:tmpl w:val="F85EE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64E6CE7"/>
    <w:multiLevelType w:val="singleLevel"/>
    <w:tmpl w:val="F10626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>
    <w:nsid w:val="7B9971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8"/>
  </w:num>
  <w:num w:numId="2">
    <w:abstractNumId w:val="26"/>
  </w:num>
  <w:num w:numId="3">
    <w:abstractNumId w:val="42"/>
  </w:num>
  <w:num w:numId="4">
    <w:abstractNumId w:val="3"/>
  </w:num>
  <w:num w:numId="5">
    <w:abstractNumId w:val="2"/>
  </w:num>
  <w:num w:numId="6">
    <w:abstractNumId w:val="36"/>
  </w:num>
  <w:num w:numId="7">
    <w:abstractNumId w:val="7"/>
  </w:num>
  <w:num w:numId="8">
    <w:abstractNumId w:val="4"/>
    <w:lvlOverride w:ilvl="0">
      <w:startOverride w:val="1"/>
    </w:lvlOverride>
  </w:num>
  <w:num w:numId="9">
    <w:abstractNumId w:val="44"/>
  </w:num>
  <w:num w:numId="10">
    <w:abstractNumId w:val="4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8"/>
  </w:num>
  <w:num w:numId="12">
    <w:abstractNumId w:val="9"/>
  </w:num>
  <w:num w:numId="13">
    <w:abstractNumId w:val="12"/>
  </w:num>
  <w:num w:numId="14">
    <w:abstractNumId w:val="39"/>
  </w:num>
  <w:num w:numId="15">
    <w:abstractNumId w:val="14"/>
  </w:num>
  <w:num w:numId="16">
    <w:abstractNumId w:val="20"/>
  </w:num>
  <w:num w:numId="17">
    <w:abstractNumId w:val="16"/>
  </w:num>
  <w:num w:numId="18">
    <w:abstractNumId w:val="31"/>
  </w:num>
  <w:num w:numId="19">
    <w:abstractNumId w:val="32"/>
  </w:num>
  <w:num w:numId="20">
    <w:abstractNumId w:val="23"/>
  </w:num>
  <w:num w:numId="21">
    <w:abstractNumId w:val="41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3">
    <w:abstractNumId w:val="40"/>
  </w:num>
  <w:num w:numId="24">
    <w:abstractNumId w:val="10"/>
  </w:num>
  <w:num w:numId="25">
    <w:abstractNumId w:val="45"/>
  </w:num>
  <w:num w:numId="26">
    <w:abstractNumId w:val="17"/>
  </w:num>
  <w:num w:numId="27">
    <w:abstractNumId w:val="1"/>
  </w:num>
  <w:num w:numId="28">
    <w:abstractNumId w:val="13"/>
  </w:num>
  <w:num w:numId="29">
    <w:abstractNumId w:val="15"/>
  </w:num>
  <w:num w:numId="30">
    <w:abstractNumId w:val="29"/>
  </w:num>
  <w:num w:numId="31">
    <w:abstractNumId w:val="33"/>
  </w:num>
  <w:num w:numId="32">
    <w:abstractNumId w:val="27"/>
  </w:num>
  <w:num w:numId="33">
    <w:abstractNumId w:val="25"/>
  </w:num>
  <w:num w:numId="34">
    <w:abstractNumId w:val="5"/>
  </w:num>
  <w:num w:numId="35">
    <w:abstractNumId w:val="35"/>
  </w:num>
  <w:num w:numId="36">
    <w:abstractNumId w:val="34"/>
  </w:num>
  <w:num w:numId="37">
    <w:abstractNumId w:val="19"/>
  </w:num>
  <w:num w:numId="38">
    <w:abstractNumId w:val="6"/>
  </w:num>
  <w:num w:numId="39">
    <w:abstractNumId w:val="11"/>
  </w:num>
  <w:num w:numId="40">
    <w:abstractNumId w:val="24"/>
  </w:num>
  <w:num w:numId="41">
    <w:abstractNumId w:val="28"/>
  </w:num>
  <w:num w:numId="42">
    <w:abstractNumId w:val="22"/>
  </w:num>
  <w:num w:numId="43">
    <w:abstractNumId w:val="43"/>
  </w:num>
  <w:num w:numId="44">
    <w:abstractNumId w:val="30"/>
  </w:num>
  <w:num w:numId="45">
    <w:abstractNumId w:val="21"/>
  </w:num>
  <w:num w:numId="46">
    <w:abstractNumId w:val="37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proofState w:spelling="clean" w:grammar="clean"/>
  <w:trackRevision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200E2A"/>
    <w:rsid w:val="000D6974"/>
    <w:rsid w:val="000F0D8C"/>
    <w:rsid w:val="000F23B7"/>
    <w:rsid w:val="000F3DD2"/>
    <w:rsid w:val="00101553"/>
    <w:rsid w:val="00157606"/>
    <w:rsid w:val="00200E2A"/>
    <w:rsid w:val="002073EE"/>
    <w:rsid w:val="00236917"/>
    <w:rsid w:val="00244C38"/>
    <w:rsid w:val="0028424A"/>
    <w:rsid w:val="00301402"/>
    <w:rsid w:val="003A76E3"/>
    <w:rsid w:val="003C7558"/>
    <w:rsid w:val="003E6B37"/>
    <w:rsid w:val="003F0B7E"/>
    <w:rsid w:val="003F4483"/>
    <w:rsid w:val="004127FD"/>
    <w:rsid w:val="004239E3"/>
    <w:rsid w:val="00591B79"/>
    <w:rsid w:val="005D5B58"/>
    <w:rsid w:val="0061097E"/>
    <w:rsid w:val="00627C3B"/>
    <w:rsid w:val="006317F0"/>
    <w:rsid w:val="006C6403"/>
    <w:rsid w:val="006D52BC"/>
    <w:rsid w:val="006E73DC"/>
    <w:rsid w:val="00713782"/>
    <w:rsid w:val="0072270F"/>
    <w:rsid w:val="00751D6A"/>
    <w:rsid w:val="00794C8D"/>
    <w:rsid w:val="007A0FCC"/>
    <w:rsid w:val="007B6742"/>
    <w:rsid w:val="00805F73"/>
    <w:rsid w:val="00816E24"/>
    <w:rsid w:val="008F5904"/>
    <w:rsid w:val="009673A1"/>
    <w:rsid w:val="00994B81"/>
    <w:rsid w:val="00A006C0"/>
    <w:rsid w:val="00A20322"/>
    <w:rsid w:val="00A85B79"/>
    <w:rsid w:val="00A91F0A"/>
    <w:rsid w:val="00AA0449"/>
    <w:rsid w:val="00AC0F12"/>
    <w:rsid w:val="00AE14B8"/>
    <w:rsid w:val="00AE5BDD"/>
    <w:rsid w:val="00AF7BE5"/>
    <w:rsid w:val="00B0046E"/>
    <w:rsid w:val="00B846D4"/>
    <w:rsid w:val="00B96784"/>
    <w:rsid w:val="00C07CDE"/>
    <w:rsid w:val="00C438F0"/>
    <w:rsid w:val="00C61EAE"/>
    <w:rsid w:val="00CC03C9"/>
    <w:rsid w:val="00CD0026"/>
    <w:rsid w:val="00DD1BFE"/>
    <w:rsid w:val="00E35AF5"/>
    <w:rsid w:val="00E65BF4"/>
    <w:rsid w:val="00E751B4"/>
    <w:rsid w:val="00E771E5"/>
    <w:rsid w:val="00E8797D"/>
    <w:rsid w:val="00EA77ED"/>
    <w:rsid w:val="00EB26C2"/>
    <w:rsid w:val="00EC0ADB"/>
    <w:rsid w:val="00EE0E07"/>
    <w:rsid w:val="00EE255B"/>
    <w:rsid w:val="00EF7558"/>
    <w:rsid w:val="00FB2045"/>
    <w:rsid w:val="00FD3114"/>
    <w:rsid w:val="00FD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C9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CC03C9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CC03C9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CC03C9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CC03C9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CC03C9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CC03C9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CC03C9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CC03C9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CC03C9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C03C9"/>
    <w:rPr>
      <w:bCs/>
      <w:iCs/>
      <w:color w:val="000000"/>
    </w:rPr>
  </w:style>
  <w:style w:type="paragraph" w:styleId="Header">
    <w:name w:val="header"/>
    <w:basedOn w:val="Normal"/>
    <w:semiHidden/>
    <w:rsid w:val="00CC03C9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CC03C9"/>
    <w:pPr>
      <w:ind w:left="360" w:hanging="360"/>
    </w:pPr>
  </w:style>
  <w:style w:type="paragraph" w:styleId="Title">
    <w:name w:val="Title"/>
    <w:basedOn w:val="Normal"/>
    <w:qFormat/>
    <w:rsid w:val="00CC03C9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CC03C9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CC03C9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CC03C9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CC03C9"/>
    <w:pPr>
      <w:numPr>
        <w:numId w:val="0"/>
      </w:numPr>
    </w:pPr>
  </w:style>
  <w:style w:type="paragraph" w:customStyle="1" w:styleId="TableText">
    <w:name w:val="Table Text"/>
    <w:basedOn w:val="Normal"/>
    <w:rsid w:val="00CC03C9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CC03C9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CC03C9"/>
    <w:rPr>
      <w:b/>
      <w:color w:val="0000FF"/>
    </w:rPr>
  </w:style>
  <w:style w:type="paragraph" w:styleId="BodyTextIndent">
    <w:name w:val="Body Text Indent"/>
    <w:basedOn w:val="Normal"/>
    <w:semiHidden/>
    <w:rsid w:val="00CC03C9"/>
    <w:pPr>
      <w:tabs>
        <w:tab w:val="left" w:pos="-1440"/>
      </w:tabs>
      <w:ind w:left="720"/>
    </w:pPr>
    <w:rPr>
      <w:rFonts w:ascii="Arial" w:hAnsi="Arial"/>
      <w:i/>
      <w:iCs/>
      <w:color w:val="FF0000"/>
      <w:sz w:val="24"/>
      <w:szCs w:val="20"/>
    </w:rPr>
  </w:style>
  <w:style w:type="paragraph" w:styleId="BodyTextIndent2">
    <w:name w:val="Body Text Indent 2"/>
    <w:basedOn w:val="Normal"/>
    <w:semiHidden/>
    <w:rsid w:val="00CC03C9"/>
    <w:pPr>
      <w:ind w:left="360" w:hanging="360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A203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2019-06-30T05:00:00+00:00</Renewal_x0020_Date>
    <Related_x0020_Documents xmlns="199f0838-75a6-4f0c-9be1-f2c07140bccc" xsi:nil="true"/>
    <Legacy_x0020_Name xmlns="199f0838-75a6-4f0c-9be1-f2c07140bccc">QP_2.40_Competency_Assessment.doc</Legacy_x0020_Name>
    <Legacy_x0020_Document_x0020_ID xmlns="199f0838-75a6-4f0c-9be1-f2c07140bccc">199325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F6TN54CWY5RS-50183619-29772</_dlc_DocId>
    <_Version xmlns="http://schemas.microsoft.com/sharepoint/v3/fields">4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http://vcpsharepoint2/references/_layouts/15/DocIdRedir.aspx?ID=F6TN54CWY5RS-50183619-29772</Url>
      <Description>F6TN54CWY5RS-50183619-29772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QP 2.40 Competency Assessment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2015-06-30T16:20:00+00:00</_DCDateCreated>
    <Owner xmlns="http://schemas.microsoft.com/sharepoint/v3">GEN</Owner>
    <Summary xmlns="199f0838-75a6-4f0c-9be1-f2c07140bccc">Version 6</Summary>
    <SubTitle xmlns="199f0838-75a6-4f0c-9be1-f2c07140bccc" xsi:nil="true"/>
    <Content_x0020_Release_x0020_Date xmlns="199f0838-75a6-4f0c-9be1-f2c07140bccc">2015-06-30T05:00:00+00:00</Content_x0020_Release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A45C1-D00F-4F42-B9E6-A0A59D9A1B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FF8A15-5A67-4F9A-975E-F25BD2EBC2BC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3345125-92EF-444E-8CA2-A9AA27A96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8BC5E-F51B-4CA0-9327-D7DC9367D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4956</Characters>
  <Application>Microsoft Office Word</Application>
  <DocSecurity>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 2.40 Competency Assessment</vt:lpstr>
    </vt:vector>
  </TitlesOfParts>
  <Company>***</Company>
  <LinksUpToDate>false</LinksUpToDate>
  <CharactersWithSpaces>5735</CharactersWithSpaces>
  <SharedDoc>false</SharedDoc>
  <HLinks>
    <vt:vector size="6" baseType="variant">
      <vt:variant>
        <vt:i4>6225986</vt:i4>
      </vt:variant>
      <vt:variant>
        <vt:i4>0</vt:i4>
      </vt:variant>
      <vt:variant>
        <vt:i4>0</vt:i4>
      </vt:variant>
      <vt:variant>
        <vt:i4>5</vt:i4>
      </vt:variant>
      <vt:variant>
        <vt:lpwstr>http://www.cap.org/web/home?_afrLoop=11510576117348</vt:lpwstr>
      </vt:variant>
      <vt:variant>
        <vt:lpwstr>%40%3F_afrLoop%3D11510576117348%26_adf.ctrl-state%3Dlq7x2ocde_60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 2.40 Competency Assessment</dc:title>
  <dc:creator>CE132454</dc:creator>
  <dc:description>Annual review completed with minor correction of typos for v4. 8/1/12 jh.\nReviewed 7/2013\n\nReviewed and updated 6/30/2015_x000d_
7/7/2017-Updated titles and responsibilities. L. Kappenman</dc:description>
  <cp:lastModifiedBy>CE132454</cp:lastModifiedBy>
  <cp:revision>10</cp:revision>
  <cp:lastPrinted>2019-03-01T18:51:00Z</cp:lastPrinted>
  <dcterms:created xsi:type="dcterms:W3CDTF">2019-02-12T16:17:00Z</dcterms:created>
  <dcterms:modified xsi:type="dcterms:W3CDTF">2019-03-01T20:53:00Z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36f66873-40ae-4345-8d3b-688b59fe5009</vt:lpwstr>
  </property>
</Properties>
</file>