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1440"/>
        <w:gridCol w:w="2699"/>
        <w:gridCol w:w="1793"/>
        <w:gridCol w:w="1402"/>
        <w:gridCol w:w="1935"/>
      </w:tblGrid>
      <w:tr w:rsidR="00504E42" w:rsidTr="00300D03">
        <w:trPr>
          <w:cantSplit/>
        </w:trPr>
        <w:tc>
          <w:tcPr>
            <w:tcW w:w="111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4E42" w:rsidRPr="00D54ACA" w:rsidRDefault="00504E42" w:rsidP="00BE59A1">
            <w:pPr>
              <w:pStyle w:val="Custom"/>
            </w:pPr>
            <w:r>
              <w:rPr>
                <w:b/>
                <w:bCs/>
                <w:color w:val="0000FF"/>
                <w:kern w:val="28"/>
                <w:sz w:val="28"/>
                <w:szCs w:val="32"/>
              </w:rPr>
              <w:t>T</w:t>
            </w:r>
            <w:r w:rsidR="00BE59A1">
              <w:rPr>
                <w:b/>
                <w:bCs/>
                <w:color w:val="0000FF"/>
                <w:kern w:val="28"/>
                <w:sz w:val="28"/>
                <w:szCs w:val="32"/>
              </w:rPr>
              <w:t>axonomic</w:t>
            </w:r>
            <w:r>
              <w:rPr>
                <w:b/>
                <w:bCs/>
                <w:color w:val="0000FF"/>
                <w:kern w:val="28"/>
                <w:sz w:val="28"/>
                <w:szCs w:val="32"/>
              </w:rPr>
              <w:t xml:space="preserve"> Changes</w:t>
            </w:r>
          </w:p>
        </w:tc>
      </w:tr>
      <w:tr w:rsidR="000D21BD" w:rsidTr="00300D03">
        <w:trPr>
          <w:cantSplit/>
        </w:trPr>
        <w:tc>
          <w:tcPr>
            <w:tcW w:w="111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1BD" w:rsidRDefault="000D21BD" w:rsidP="00BE59A1">
            <w:pPr>
              <w:pStyle w:val="Custom"/>
              <w:rPr>
                <w:b/>
                <w:bCs/>
                <w:color w:val="0000FF"/>
                <w:kern w:val="28"/>
                <w:sz w:val="28"/>
                <w:szCs w:val="32"/>
              </w:rPr>
            </w:pPr>
          </w:p>
        </w:tc>
      </w:tr>
      <w:tr w:rsidR="00504E42" w:rsidTr="009C3763">
        <w:trPr>
          <w:cantSplit/>
          <w:trHeight w:val="1025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C35260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policy provides instruction for incorporating taxonomic changes for infectious disease testing and reporting.  </w:t>
            </w:r>
            <w:r w:rsidR="00C35260">
              <w:rPr>
                <w:rFonts w:ascii="Arial" w:hAnsi="Arial"/>
              </w:rPr>
              <w:t>This function of the laboratory is essential as taxonomic changes may potentially affect the choice of appropriate antimicrobials to report and/or the interpretative breakpoints to use.  This policy ensures compliance with the CAP regulation COM.11375.</w:t>
            </w:r>
            <w:r w:rsidR="00EB4F0D">
              <w:rPr>
                <w:rFonts w:ascii="Arial" w:hAnsi="Arial"/>
              </w:rPr>
              <w:fldChar w:fldCharType="begin"/>
            </w:r>
            <w:r w:rsidR="00C35260">
              <w:rPr>
                <w:rFonts w:ascii="Arial" w:hAnsi="Arial"/>
              </w:rPr>
              <w:instrText xml:space="preserve"> ADDIN EN.CITE &lt;EndNote&gt;&lt;Cite&gt;&lt;Author&gt;CAP&lt;/Author&gt;&lt;Year&gt;2017&lt;/Year&gt;&lt;RecNum&gt;1&lt;/RecNum&gt;&lt;DisplayText&gt;&lt;style face="superscript"&gt;[1]&lt;/style&gt;&lt;/DisplayText&gt;&lt;record&gt;&lt;rec-number&gt;1&lt;/rec-number&gt;&lt;foreign-keys&gt;&lt;key app="EN" db-id="xttzwww0fvxwvyepwdxvtzpka0t5rvxzr00v" timestamp="1535546906"&gt;1&lt;/key&gt;&lt;/foreign-keys&gt;&lt;ref-type name="Pamphlet"&gt;24&lt;/ref-type&gt;&lt;contributors&gt;&lt;authors&gt;&lt;author&gt;CAP&lt;/author&gt;&lt;/authors&gt;&lt;/contributors&gt;&lt;titles&gt;&lt;title&gt;Microbiology Checklist&lt;/title&gt;&lt;/titles&gt;&lt;dates&gt;&lt;year&gt;2017&lt;/year&gt;&lt;pub-dates&gt;&lt;date&gt;08/21/2017&lt;/date&gt;&lt;/pub-dates&gt;&lt;/dates&gt;&lt;pub-location&gt;Northfield, IL&lt;/pub-location&gt;&lt;publisher&gt;College of American Pathologists&lt;/publisher&gt;&lt;urls&gt;&lt;/urls&gt;&lt;/record&gt;&lt;/Cite&gt;&lt;/EndNote&gt;</w:instrText>
            </w:r>
            <w:r w:rsidR="00EB4F0D">
              <w:rPr>
                <w:rFonts w:ascii="Arial" w:hAnsi="Arial"/>
              </w:rPr>
              <w:fldChar w:fldCharType="separate"/>
            </w:r>
            <w:r w:rsidR="00C35260" w:rsidRPr="00C35260">
              <w:rPr>
                <w:rFonts w:ascii="Arial" w:hAnsi="Arial"/>
                <w:noProof/>
                <w:vertAlign w:val="superscript"/>
              </w:rPr>
              <w:t>[1]</w:t>
            </w:r>
            <w:r w:rsidR="00EB4F0D">
              <w:rPr>
                <w:rFonts w:ascii="Arial" w:hAnsi="Arial"/>
              </w:rPr>
              <w:fldChar w:fldCharType="end"/>
            </w:r>
            <w:r w:rsidR="00C3526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504E42" w:rsidTr="009C3763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BE59A1">
            <w:pPr>
              <w:rPr>
                <w:rFonts w:ascii="Arial" w:hAnsi="Arial"/>
                <w:sz w:val="20"/>
              </w:rPr>
            </w:pP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E42" w:rsidRDefault="002D7381" w:rsidP="00BE59A1">
            <w:r>
              <w:rPr>
                <w:rFonts w:ascii="Arial" w:hAnsi="Arial"/>
                <w:b/>
                <w:color w:val="0000FF"/>
                <w:sz w:val="20"/>
              </w:rPr>
              <w:t>Frequency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42" w:rsidRDefault="00BE59A1" w:rsidP="002D7381">
            <w:pPr>
              <w:pStyle w:val="ListParagraph"/>
              <w:widowControl w:val="0"/>
              <w:numPr>
                <w:ilvl w:val="0"/>
                <w:numId w:val="17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Changes</w:t>
            </w:r>
            <w:r w:rsidR="002D7381" w:rsidRPr="002D7381">
              <w:rPr>
                <w:rFonts w:ascii="Arial" w:hAnsi="Arial"/>
                <w:sz w:val="20"/>
              </w:rPr>
              <w:t xml:space="preserve"> are to be performed </w:t>
            </w:r>
            <w:r w:rsidR="002D7381">
              <w:rPr>
                <w:rFonts w:ascii="Arial" w:hAnsi="Arial"/>
                <w:sz w:val="20"/>
              </w:rPr>
              <w:t>in real-time</w:t>
            </w:r>
            <w:r w:rsidR="00DC03F7">
              <w:rPr>
                <w:rFonts w:ascii="Arial" w:hAnsi="Arial"/>
                <w:sz w:val="20"/>
              </w:rPr>
              <w:t xml:space="preserve"> as appropriate</w:t>
            </w:r>
            <w:r w:rsidR="000D21BD">
              <w:rPr>
                <w:rFonts w:ascii="Arial" w:hAnsi="Arial"/>
                <w:sz w:val="20"/>
              </w:rPr>
              <w:t>:</w:t>
            </w:r>
            <w:r w:rsidR="00DC03F7">
              <w:rPr>
                <w:rFonts w:ascii="Arial" w:hAnsi="Arial"/>
                <w:sz w:val="20"/>
              </w:rPr>
              <w:t xml:space="preserve">  </w:t>
            </w:r>
          </w:p>
          <w:p w:rsidR="00DC03F7" w:rsidRDefault="00A7660B" w:rsidP="00DC03F7">
            <w:pPr>
              <w:pStyle w:val="ListParagraph"/>
              <w:widowControl w:val="0"/>
              <w:numPr>
                <w:ilvl w:val="1"/>
                <w:numId w:val="17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</w:t>
            </w:r>
            <w:r w:rsidR="00BE59A1">
              <w:rPr>
                <w:rFonts w:ascii="Arial" w:hAnsi="Arial"/>
                <w:sz w:val="20"/>
              </w:rPr>
              <w:t>ice of changes</w:t>
            </w:r>
            <w:r>
              <w:rPr>
                <w:rFonts w:ascii="Arial" w:hAnsi="Arial"/>
                <w:sz w:val="20"/>
              </w:rPr>
              <w:t xml:space="preserve"> upon i</w:t>
            </w:r>
            <w:r w:rsidR="00DC03F7">
              <w:rPr>
                <w:rFonts w:ascii="Arial" w:hAnsi="Arial"/>
                <w:sz w:val="20"/>
              </w:rPr>
              <w:t>nstrument software updates</w:t>
            </w:r>
          </w:p>
          <w:p w:rsidR="00DC03F7" w:rsidRDefault="00A7660B" w:rsidP="00DC03F7">
            <w:pPr>
              <w:pStyle w:val="ListParagraph"/>
              <w:widowControl w:val="0"/>
              <w:numPr>
                <w:ilvl w:val="1"/>
                <w:numId w:val="17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Notice of changes deemed</w:t>
            </w:r>
            <w:r w:rsidR="00BE59A1">
              <w:rPr>
                <w:rFonts w:ascii="Arial" w:hAnsi="Arial"/>
                <w:sz w:val="20"/>
              </w:rPr>
              <w:t xml:space="preserve"> immediately</w:t>
            </w:r>
            <w:r>
              <w:rPr>
                <w:rFonts w:ascii="Arial" w:hAnsi="Arial"/>
                <w:sz w:val="20"/>
              </w:rPr>
              <w:t xml:space="preserve"> necessary</w:t>
            </w:r>
            <w:r w:rsidR="00BE59A1">
              <w:rPr>
                <w:rFonts w:ascii="Arial" w:hAnsi="Arial"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59A1">
              <w:rPr>
                <w:rFonts w:ascii="Arial" w:hAnsi="Arial"/>
                <w:sz w:val="20"/>
              </w:rPr>
              <w:t>Technical D</w:t>
            </w:r>
            <w:r>
              <w:rPr>
                <w:rFonts w:ascii="Arial" w:hAnsi="Arial"/>
                <w:sz w:val="20"/>
              </w:rPr>
              <w:t xml:space="preserve">irector </w:t>
            </w:r>
          </w:p>
          <w:p w:rsidR="00A7660B" w:rsidRPr="002D7381" w:rsidRDefault="00A7660B" w:rsidP="00A7660B">
            <w:pPr>
              <w:pStyle w:val="ListParagraph"/>
              <w:widowControl w:val="0"/>
              <w:numPr>
                <w:ilvl w:val="0"/>
                <w:numId w:val="17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annual review of all reportable organisms is to be performed by departmental staff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pStyle w:val="TableHeaderText"/>
              <w:autoSpaceDE/>
              <w:autoSpaceDN/>
              <w:jc w:val="left"/>
              <w:rPr>
                <w:rFonts w:ascii="Arial" w:hAnsi="Arial"/>
              </w:rPr>
            </w:pPr>
          </w:p>
        </w:tc>
      </w:tr>
      <w:tr w:rsidR="00300D03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D03" w:rsidRDefault="00300D03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03" w:rsidRDefault="00300D03" w:rsidP="00BE59A1">
            <w:pPr>
              <w:widowControl w:val="0"/>
              <w:ind w:left="346" w:right="-144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D03" w:rsidRDefault="00300D03" w:rsidP="00BE59A1">
            <w:pPr>
              <w:pStyle w:val="TableHeaderText"/>
              <w:autoSpaceDE/>
              <w:autoSpaceDN/>
              <w:jc w:val="left"/>
              <w:rPr>
                <w:rFonts w:ascii="Arial" w:hAnsi="Arial"/>
              </w:rPr>
            </w:pP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285" w:rsidRDefault="00661285" w:rsidP="0066128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 A:</w:t>
            </w:r>
          </w:p>
          <w:p w:rsidR="00504E42" w:rsidRDefault="00661285" w:rsidP="00661285">
            <w:r>
              <w:rPr>
                <w:rFonts w:ascii="Arial" w:hAnsi="Arial"/>
                <w:b/>
                <w:color w:val="0000FF"/>
                <w:sz w:val="20"/>
              </w:rPr>
              <w:t>Real-time Changes</w:t>
            </w: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42" w:rsidRDefault="005E2EE2" w:rsidP="00661285">
            <w:pPr>
              <w:pStyle w:val="ListParagraph"/>
              <w:widowControl w:val="0"/>
              <w:numPr>
                <w:ilvl w:val="0"/>
                <w:numId w:val="18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 to MCVI 1.7</w:t>
            </w:r>
            <w:r w:rsidR="00661285">
              <w:rPr>
                <w:rFonts w:ascii="Arial" w:hAnsi="Arial"/>
                <w:sz w:val="20"/>
              </w:rPr>
              <w:t>f1 Taxonomic Change Form for guidance:</w:t>
            </w:r>
          </w:p>
          <w:p w:rsidR="00661285" w:rsidRDefault="000D21BD" w:rsidP="00661285">
            <w:pPr>
              <w:pStyle w:val="ListParagraph"/>
              <w:widowControl w:val="0"/>
              <w:numPr>
                <w:ilvl w:val="1"/>
                <w:numId w:val="18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Fill form out</w:t>
            </w:r>
            <w:r w:rsidR="00661285">
              <w:rPr>
                <w:rFonts w:ascii="Arial" w:hAnsi="Arial"/>
                <w:sz w:val="20"/>
              </w:rPr>
              <w:t xml:space="preserve"> and submit form to the Technical Director</w:t>
            </w:r>
          </w:p>
          <w:p w:rsidR="00661285" w:rsidRPr="00661285" w:rsidRDefault="00661285" w:rsidP="00661285">
            <w:pPr>
              <w:pStyle w:val="ListParagraph"/>
              <w:widowControl w:val="0"/>
              <w:numPr>
                <w:ilvl w:val="1"/>
                <w:numId w:val="18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Technical director is to review, notify Medica</w:t>
            </w:r>
            <w:r w:rsidR="000D21BD">
              <w:rPr>
                <w:rFonts w:ascii="Arial" w:hAnsi="Arial"/>
                <w:sz w:val="20"/>
              </w:rPr>
              <w:t>l Staff and pass form to LI</w:t>
            </w:r>
            <w:r>
              <w:rPr>
                <w:rFonts w:ascii="Arial" w:hAnsi="Arial"/>
                <w:sz w:val="20"/>
              </w:rPr>
              <w:t xml:space="preserve">S department for the completion of updates 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1285" w:rsidRDefault="000D21BD" w:rsidP="00661285">
            <w:pPr>
              <w:pStyle w:val="ListParagraph"/>
              <w:widowControl w:val="0"/>
              <w:numPr>
                <w:ilvl w:val="0"/>
                <w:numId w:val="18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Upon completion of updates</w:t>
            </w:r>
            <w:r w:rsidR="00661285" w:rsidRPr="00661285">
              <w:rPr>
                <w:rFonts w:ascii="Arial" w:hAnsi="Arial"/>
                <w:sz w:val="20"/>
                <w:szCs w:val="20"/>
              </w:rPr>
              <w:t xml:space="preserve"> file</w:t>
            </w:r>
            <w:r>
              <w:rPr>
                <w:rFonts w:ascii="Arial" w:hAnsi="Arial"/>
                <w:sz w:val="20"/>
                <w:szCs w:val="20"/>
              </w:rPr>
              <w:t xml:space="preserve"> documents in the Taxonomy Binder</w:t>
            </w:r>
            <w:r w:rsidR="00661285">
              <w:rPr>
                <w:rFonts w:ascii="Arial" w:hAnsi="Arial"/>
                <w:sz w:val="20"/>
                <w:szCs w:val="20"/>
              </w:rPr>
              <w:t>:</w:t>
            </w:r>
          </w:p>
          <w:p w:rsidR="00661285" w:rsidRDefault="00661285" w:rsidP="00661285">
            <w:pPr>
              <w:pStyle w:val="ListParagraph"/>
              <w:widowControl w:val="0"/>
              <w:numPr>
                <w:ilvl w:val="1"/>
                <w:numId w:val="18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Taxonomic Change Form </w:t>
            </w:r>
          </w:p>
          <w:p w:rsidR="00504E42" w:rsidRPr="00661285" w:rsidRDefault="00661285" w:rsidP="000D21BD">
            <w:pPr>
              <w:pStyle w:val="ListParagraph"/>
              <w:widowControl w:val="0"/>
              <w:numPr>
                <w:ilvl w:val="1"/>
                <w:numId w:val="18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661285">
              <w:rPr>
                <w:rFonts w:ascii="Arial" w:hAnsi="Arial"/>
                <w:sz w:val="20"/>
                <w:szCs w:val="20"/>
              </w:rPr>
              <w:t xml:space="preserve">opy of the Medical Staff notification 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4E42" w:rsidRPr="00661285" w:rsidRDefault="00796B72" w:rsidP="0066128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num" w:pos="1800"/>
              </w:tabs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completion of</w:t>
            </w:r>
            <w:r w:rsidR="005E2EE2">
              <w:rPr>
                <w:rFonts w:ascii="Arial" w:hAnsi="Arial"/>
                <w:sz w:val="20"/>
              </w:rPr>
              <w:t xml:space="preserve"> MCVI 1.7</w:t>
            </w:r>
            <w:r w:rsidR="00661285">
              <w:rPr>
                <w:rFonts w:ascii="Arial" w:hAnsi="Arial"/>
                <w:sz w:val="20"/>
              </w:rPr>
              <w:t xml:space="preserve">.f2 Taxonomic Changes and Annual Review Log 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4E42" w:rsidRPr="00D54ACA" w:rsidRDefault="00504E42" w:rsidP="00661285">
            <w:pPr>
              <w:pStyle w:val="BodyText"/>
              <w:widowControl w:val="0"/>
              <w:ind w:left="346" w:right="-14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E42" w:rsidTr="00EC6E32">
        <w:trPr>
          <w:cantSplit/>
          <w:trHeight w:val="593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C6E32" w:rsidRPr="00796B72" w:rsidRDefault="00EC6E32" w:rsidP="00EC6E32">
            <w:pPr>
              <w:pStyle w:val="NoSpacing"/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 w:rsidRPr="00796B72">
              <w:rPr>
                <w:rFonts w:ascii="Arial" w:hAnsi="Arial" w:cs="Arial"/>
                <w:b/>
                <w:color w:val="0000FF"/>
                <w:sz w:val="20"/>
              </w:rPr>
              <w:t>Procedure B:</w:t>
            </w:r>
          </w:p>
          <w:p w:rsidR="00504E42" w:rsidRDefault="00EC6E32" w:rsidP="00EC6E32">
            <w:r w:rsidRPr="00796B72">
              <w:rPr>
                <w:rFonts w:ascii="Arial" w:hAnsi="Arial" w:cs="Arial"/>
                <w:b/>
                <w:color w:val="0000FF"/>
                <w:sz w:val="20"/>
              </w:rPr>
              <w:t>Annual Review of Reportable Organisms</w:t>
            </w:r>
          </w:p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504E42" w:rsidRDefault="00EC6E32" w:rsidP="00796B7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Search for updates on</w:t>
            </w:r>
            <w:r w:rsidR="00796B72">
              <w:rPr>
                <w:rFonts w:ascii="Arial" w:hAnsi="Arial"/>
                <w:sz w:val="20"/>
              </w:rPr>
              <w:t xml:space="preserve"> reportable</w:t>
            </w:r>
            <w:r w:rsidR="00335B87">
              <w:rPr>
                <w:rFonts w:ascii="Arial" w:hAnsi="Arial"/>
                <w:sz w:val="20"/>
              </w:rPr>
              <w:t xml:space="preserve"> bacteria</w:t>
            </w:r>
            <w:r w:rsidR="009C3763">
              <w:rPr>
                <w:rFonts w:ascii="Arial" w:hAnsi="Arial"/>
                <w:sz w:val="20"/>
              </w:rPr>
              <w:t xml:space="preserve"> and </w:t>
            </w:r>
            <w:proofErr w:type="spellStart"/>
            <w:r w:rsidR="009C3763">
              <w:rPr>
                <w:rFonts w:ascii="Arial" w:hAnsi="Arial"/>
                <w:sz w:val="20"/>
              </w:rPr>
              <w:t>mycobacteria</w:t>
            </w:r>
            <w:proofErr w:type="spellEnd"/>
            <w:r w:rsidR="00796B72">
              <w:rPr>
                <w:rFonts w:ascii="Arial" w:hAnsi="Arial"/>
                <w:sz w:val="20"/>
              </w:rPr>
              <w:t>:</w:t>
            </w:r>
            <w:r w:rsidR="00EB4F0D">
              <w:rPr>
                <w:rFonts w:ascii="Arial" w:hAnsi="Arial"/>
                <w:sz w:val="20"/>
              </w:rPr>
              <w:fldChar w:fldCharType="begin"/>
            </w:r>
            <w:r w:rsidR="00335B87">
              <w:rPr>
                <w:rFonts w:ascii="Arial" w:hAnsi="Arial"/>
                <w:sz w:val="20"/>
              </w:rPr>
              <w:instrText xml:space="preserve"> ADDIN EN.CITE &lt;EndNote&gt;&lt;Cite&gt;&lt;RecNum&gt;2&lt;/RecNum&gt;&lt;DisplayText&gt;&lt;style face="superscript"&gt;[2]&lt;/style&gt;&lt;/DisplayText&gt;&lt;record&gt;&lt;rec-number&gt;2&lt;/rec-number&gt;&lt;foreign-keys&gt;&lt;key app="EN" db-id="xttzwww0fvxwvyepwdxvtzpka0t5rvxzr00v" timestamp="1535553860"&gt;2&lt;/key&gt;&lt;/foreign-keys&gt;&lt;ref-type name="Web Page"&gt;12&lt;/ref-type&gt;&lt;contributors&gt;&lt;/contributors&gt;&lt;titles&gt;&lt;title&gt;Prokaryotic Nomenclature Up-to-date&lt;/title&gt;&lt;/titles&gt;&lt;volume&gt;2018&lt;/volume&gt;&lt;dates&gt;&lt;/dates&gt;&lt;publisher&gt;Leibniz Institute DSMZ-German Collection of Microorganisms and Cell Cultures, Germany, Prokaryotic Nomenclature Up-to-date&lt;/publisher&gt;&lt;urls&gt;&lt;related-urls&gt;&lt;url&gt;&lt;style face="underline" font="default" size="100%"&gt;https://www.dsmz.de/bacterial-diversity/prokaryotic-nomenclature-up-to-date.html&lt;/style&gt;&lt;/url&gt;&lt;/related-urls&gt;&lt;/urls&gt;&lt;/record&gt;&lt;/Cite&gt;&lt;/EndNote&gt;</w:instrText>
            </w:r>
            <w:r w:rsidR="00EB4F0D">
              <w:rPr>
                <w:rFonts w:ascii="Arial" w:hAnsi="Arial"/>
                <w:sz w:val="20"/>
              </w:rPr>
              <w:fldChar w:fldCharType="separate"/>
            </w:r>
            <w:r w:rsidR="00335B87" w:rsidRPr="00335B87">
              <w:rPr>
                <w:rFonts w:ascii="Arial" w:hAnsi="Arial"/>
                <w:noProof/>
                <w:sz w:val="20"/>
                <w:vertAlign w:val="superscript"/>
              </w:rPr>
              <w:t>[2]</w:t>
            </w:r>
            <w:r w:rsidR="00EB4F0D">
              <w:rPr>
                <w:rFonts w:ascii="Arial" w:hAnsi="Arial"/>
                <w:sz w:val="20"/>
              </w:rPr>
              <w:fldChar w:fldCharType="end"/>
            </w:r>
          </w:p>
          <w:p w:rsidR="00796B72" w:rsidRPr="00335B87" w:rsidRDefault="00796B72" w:rsidP="00335B8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796B72">
              <w:rPr>
                <w:rFonts w:ascii="Arial" w:hAnsi="Arial"/>
                <w:sz w:val="20"/>
              </w:rPr>
              <w:t>https://www.dsmz.de/bacterial-diversity/prokaryotic-nomenclature-up-to-date.html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504E42" w:rsidRDefault="00EC6E32" w:rsidP="00335B8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Search for updates on reportable parasites</w:t>
            </w:r>
            <w:r w:rsidR="00335B87">
              <w:rPr>
                <w:rFonts w:ascii="Arial" w:hAnsi="Arial"/>
                <w:sz w:val="20"/>
              </w:rPr>
              <w:t>:</w:t>
            </w:r>
            <w:r w:rsidR="00EB4F0D">
              <w:rPr>
                <w:rFonts w:ascii="Arial" w:hAnsi="Arial"/>
                <w:sz w:val="20"/>
              </w:rPr>
              <w:fldChar w:fldCharType="begin"/>
            </w:r>
            <w:r w:rsidR="00335B87">
              <w:rPr>
                <w:rFonts w:ascii="Arial" w:hAnsi="Arial"/>
                <w:sz w:val="20"/>
              </w:rPr>
              <w:instrText xml:space="preserve"> ADDIN EN.CITE &lt;EndNote&gt;&lt;Cite&gt;&lt;RecNum&gt;3&lt;/RecNum&gt;&lt;DisplayText&gt;&lt;style face="superscript"&gt;[3]&lt;/style&gt;&lt;/DisplayText&gt;&lt;record&gt;&lt;rec-number&gt;3&lt;/rec-number&gt;&lt;foreign-keys&gt;&lt;key app="EN" db-id="xttzwww0fvxwvyepwdxvtzpka0t5rvxzr00v" timestamp="1535554133"&gt;3&lt;/key&gt;&lt;/foreign-keys&gt;&lt;ref-type name="Web Page"&gt;12&lt;/ref-type&gt;&lt;contributors&gt;&lt;/contributors&gt;&lt;titles&gt;&lt;title&gt;DPDx - Laboratory Identification of Parasites of Public Health Concern&lt;/title&gt;&lt;/titles&gt;&lt;volume&gt;2018&lt;/volume&gt;&lt;dates&gt;&lt;/dates&gt;&lt;publisher&gt;Centers for Disease Control and Prevention&lt;/publisher&gt;&lt;urls&gt;&lt;related-urls&gt;&lt;url&gt;&lt;style face="underline" font="default" size="100%"&gt;https://www.cdc.gov/dpdx/az.html&lt;/style&gt;&lt;/url&gt;&lt;/related-urls&gt;&lt;/urls&gt;&lt;/record&gt;&lt;/Cite&gt;&lt;/EndNote&gt;</w:instrText>
            </w:r>
            <w:r w:rsidR="00EB4F0D">
              <w:rPr>
                <w:rFonts w:ascii="Arial" w:hAnsi="Arial"/>
                <w:sz w:val="20"/>
              </w:rPr>
              <w:fldChar w:fldCharType="separate"/>
            </w:r>
            <w:r w:rsidR="00335B87" w:rsidRPr="00335B87">
              <w:rPr>
                <w:rFonts w:ascii="Arial" w:hAnsi="Arial"/>
                <w:noProof/>
                <w:sz w:val="20"/>
                <w:vertAlign w:val="superscript"/>
              </w:rPr>
              <w:t>[3]</w:t>
            </w:r>
            <w:r w:rsidR="00EB4F0D">
              <w:rPr>
                <w:rFonts w:ascii="Arial" w:hAnsi="Arial"/>
                <w:sz w:val="20"/>
              </w:rPr>
              <w:fldChar w:fldCharType="end"/>
            </w:r>
          </w:p>
          <w:p w:rsidR="00335B87" w:rsidRPr="00335B87" w:rsidRDefault="00335B87" w:rsidP="00335B87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335B87">
              <w:rPr>
                <w:rFonts w:ascii="Arial" w:hAnsi="Arial"/>
                <w:sz w:val="20"/>
              </w:rPr>
              <w:t>https://www.cdc.gov/dpdx/az.html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335B87" w:rsidRDefault="00EC6E32" w:rsidP="00335B87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Search for updates on reportable viruses</w:t>
            </w:r>
            <w:r w:rsidR="00335B87">
              <w:rPr>
                <w:rFonts w:ascii="Arial" w:hAnsi="Arial"/>
                <w:sz w:val="20"/>
              </w:rPr>
              <w:t>:</w:t>
            </w:r>
            <w:r w:rsidR="00EB4F0D">
              <w:rPr>
                <w:rFonts w:ascii="Arial" w:hAnsi="Arial"/>
                <w:sz w:val="20"/>
              </w:rPr>
              <w:fldChar w:fldCharType="begin"/>
            </w:r>
            <w:r w:rsidR="006773D2">
              <w:rPr>
                <w:rFonts w:ascii="Arial" w:hAnsi="Arial"/>
                <w:sz w:val="20"/>
              </w:rPr>
              <w:instrText xml:space="preserve"> ADDIN EN.CITE &lt;EndNote&gt;&lt;Cite&gt;&lt;RecNum&gt;4&lt;/RecNum&gt;&lt;DisplayText&gt;&lt;style face="superscript"&gt;[4]&lt;/style&gt;&lt;/DisplayText&gt;&lt;record&gt;&lt;rec-number&gt;4&lt;/rec-number&gt;&lt;foreign-keys&gt;&lt;key app="EN" db-id="xttzwww0fvxwvyepwdxvtzpka0t5rvxzr00v" timestamp="1535554661"&gt;4&lt;/key&gt;&lt;/foreign-keys&gt;&lt;ref-type name="Web Page"&gt;12&lt;/ref-type&gt;&lt;contributors&gt;&lt;/contributors&gt;&lt;titles&gt;&lt;title&gt;Taxonomy&lt;/title&gt;&lt;/titles&gt;&lt;volume&gt;2018&lt;/volume&gt;&lt;dates&gt;&lt;/dates&gt;&lt;publisher&gt;International Committee on Taxonomy of Viruses (ICTV)&lt;/publisher&gt;&lt;urls&gt;&lt;related-urls&gt;&lt;url&gt;&lt;style face="underline" font="default" size="100%"&gt;https://talk.ictvonline.org/taxonomy/&lt;/style&gt;&lt;/url&gt;&lt;/related-urls&gt;&lt;/urls&gt;&lt;/record&gt;&lt;/Cite&gt;&lt;/EndNote&gt;</w:instrText>
            </w:r>
            <w:r w:rsidR="00EB4F0D">
              <w:rPr>
                <w:rFonts w:ascii="Arial" w:hAnsi="Arial"/>
                <w:sz w:val="20"/>
              </w:rPr>
              <w:fldChar w:fldCharType="separate"/>
            </w:r>
            <w:r w:rsidR="006773D2" w:rsidRPr="006773D2">
              <w:rPr>
                <w:rFonts w:ascii="Arial" w:hAnsi="Arial"/>
                <w:noProof/>
                <w:sz w:val="20"/>
                <w:vertAlign w:val="superscript"/>
              </w:rPr>
              <w:t>[4]</w:t>
            </w:r>
            <w:r w:rsidR="00EB4F0D">
              <w:rPr>
                <w:rFonts w:ascii="Arial" w:hAnsi="Arial"/>
                <w:sz w:val="20"/>
              </w:rPr>
              <w:fldChar w:fldCharType="end"/>
            </w:r>
          </w:p>
          <w:p w:rsidR="00504E42" w:rsidRPr="00335B87" w:rsidRDefault="006773D2" w:rsidP="006773D2">
            <w:pPr>
              <w:pStyle w:val="ListParagraph"/>
              <w:numPr>
                <w:ilvl w:val="1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6773D2">
              <w:rPr>
                <w:rFonts w:ascii="Arial" w:hAnsi="Arial"/>
                <w:sz w:val="20"/>
              </w:rPr>
              <w:t>https://talk.ictvonline.org/taxonomy/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504E42" w:rsidRDefault="00EC6E32" w:rsidP="006773D2">
            <w:pPr>
              <w:pStyle w:val="ListParagraph"/>
              <w:widowControl w:val="0"/>
              <w:numPr>
                <w:ilvl w:val="0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Search for updates on reportable yeast and fungi</w:t>
            </w:r>
            <w:r w:rsidR="006773D2">
              <w:rPr>
                <w:rFonts w:ascii="Arial" w:hAnsi="Arial"/>
                <w:sz w:val="20"/>
              </w:rPr>
              <w:t>:</w:t>
            </w:r>
          </w:p>
          <w:p w:rsidR="00EC6E32" w:rsidRPr="00EC6E32" w:rsidRDefault="00EB4F0D" w:rsidP="00EC6E32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C6E32" w:rsidRPr="00EC6E32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https://mycology.adelaide.edu.au/</w:t>
              </w:r>
            </w:hyperlink>
          </w:p>
          <w:p w:rsidR="006773D2" w:rsidRPr="00EC6E32" w:rsidRDefault="00EB4F0D" w:rsidP="00EC6E32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C6E32" w:rsidRPr="00EC6E32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https://drfungus.org/</w:t>
              </w:r>
            </w:hyperlink>
          </w:p>
        </w:tc>
      </w:tr>
      <w:tr w:rsidR="002A6061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2A6061" w:rsidRDefault="002A6061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2A6061" w:rsidRDefault="002A6061" w:rsidP="006773D2">
            <w:pPr>
              <w:pStyle w:val="ListParagraph"/>
              <w:widowControl w:val="0"/>
              <w:numPr>
                <w:ilvl w:val="0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previous name changes:</w:t>
            </w:r>
          </w:p>
          <w:p w:rsidR="002A6061" w:rsidRDefault="002A6061" w:rsidP="002A6061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 parentheses with old name after 1 year   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9C3763" w:rsidRDefault="005E2EE2" w:rsidP="009C3763">
            <w:pPr>
              <w:pStyle w:val="ListParagraph"/>
              <w:widowControl w:val="0"/>
              <w:numPr>
                <w:ilvl w:val="0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 to MCVI 1.7</w:t>
            </w:r>
            <w:r w:rsidR="009C3763">
              <w:rPr>
                <w:rFonts w:ascii="Arial" w:hAnsi="Arial"/>
                <w:sz w:val="20"/>
              </w:rPr>
              <w:t>f1 Taxonomic Change Form for guidance:</w:t>
            </w:r>
          </w:p>
          <w:p w:rsidR="009C3763" w:rsidRDefault="009C3763" w:rsidP="009C3763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Fill form out appropriately and submit form to the Technical Director</w:t>
            </w:r>
          </w:p>
          <w:p w:rsidR="00504E42" w:rsidRPr="009C3763" w:rsidRDefault="009C3763" w:rsidP="009C3763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 w:rsidRPr="009C3763">
              <w:rPr>
                <w:rFonts w:ascii="Arial" w:hAnsi="Arial"/>
                <w:sz w:val="20"/>
              </w:rPr>
              <w:t>Technical director is to review, notify Medica</w:t>
            </w:r>
            <w:r w:rsidR="00F87148">
              <w:rPr>
                <w:rFonts w:ascii="Arial" w:hAnsi="Arial"/>
                <w:sz w:val="20"/>
              </w:rPr>
              <w:t>l Staff and pass form to the LI</w:t>
            </w:r>
            <w:r w:rsidRPr="009C3763">
              <w:rPr>
                <w:rFonts w:ascii="Arial" w:hAnsi="Arial"/>
                <w:sz w:val="20"/>
              </w:rPr>
              <w:t>S department for the completion of updates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9C3763" w:rsidRDefault="009C3763" w:rsidP="009C3763">
            <w:pPr>
              <w:pStyle w:val="ListParagraph"/>
              <w:widowControl w:val="0"/>
              <w:numPr>
                <w:ilvl w:val="0"/>
                <w:numId w:val="20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 w:rsidRPr="00661285">
              <w:rPr>
                <w:rFonts w:ascii="Arial" w:hAnsi="Arial"/>
                <w:sz w:val="20"/>
                <w:szCs w:val="20"/>
              </w:rPr>
              <w:t>Upon completion of changes file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9F593A" w:rsidRDefault="009C3763" w:rsidP="009F593A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Taxonomic Change Form </w:t>
            </w:r>
          </w:p>
          <w:p w:rsidR="00504E42" w:rsidRPr="009F593A" w:rsidRDefault="009F593A" w:rsidP="009F593A">
            <w:pPr>
              <w:pStyle w:val="ListParagraph"/>
              <w:widowControl w:val="0"/>
              <w:numPr>
                <w:ilvl w:val="1"/>
                <w:numId w:val="20"/>
              </w:numPr>
              <w:ind w:right="-14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c</w:t>
            </w:r>
            <w:r w:rsidR="009C3763" w:rsidRPr="009F593A">
              <w:rPr>
                <w:rFonts w:ascii="Arial" w:hAnsi="Arial"/>
                <w:sz w:val="20"/>
                <w:szCs w:val="20"/>
              </w:rPr>
              <w:t>opy of the Medical Staff notification in the Taxonomic Change Binder</w:t>
            </w:r>
          </w:p>
        </w:tc>
      </w:tr>
      <w:tr w:rsidR="00504E42" w:rsidTr="009C3763">
        <w:trPr>
          <w:cantSplit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504E42" w:rsidP="00BE59A1"/>
        </w:tc>
        <w:tc>
          <w:tcPr>
            <w:tcW w:w="9269" w:type="dxa"/>
            <w:gridSpan w:val="5"/>
            <w:tcBorders>
              <w:left w:val="single" w:sz="4" w:space="0" w:color="auto"/>
            </w:tcBorders>
          </w:tcPr>
          <w:p w:rsidR="00504E42" w:rsidRPr="009F593A" w:rsidRDefault="009F593A" w:rsidP="009F593A">
            <w:pPr>
              <w:pStyle w:val="ListParagraph"/>
              <w:widowControl w:val="0"/>
              <w:numPr>
                <w:ilvl w:val="0"/>
                <w:numId w:val="20"/>
              </w:numPr>
              <w:ind w:right="-144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Mark completion of the task on the Taxonomic Changes Annual Review Log</w:t>
            </w:r>
          </w:p>
        </w:tc>
      </w:tr>
      <w:tr w:rsidR="00504E42" w:rsidTr="009C3763">
        <w:trPr>
          <w:cantSplit/>
          <w:trHeight w:val="541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504E42" w:rsidRDefault="009C3763" w:rsidP="00BE59A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Procedural Limitations/Notes</w:t>
            </w:r>
          </w:p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763" w:rsidRDefault="00504E42" w:rsidP="00BE59A1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9C3763">
              <w:rPr>
                <w:rFonts w:ascii="Arial" w:hAnsi="Arial"/>
                <w:sz w:val="20"/>
              </w:rPr>
              <w:t xml:space="preserve">Taxonomic nomenclature is not valid until published in the International Journal of Systematic &amp; Evolutionary Microbiology (IJSEM).  </w:t>
            </w:r>
          </w:p>
          <w:p w:rsidR="009C3763" w:rsidRDefault="00504E42" w:rsidP="009C3763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0"/>
              </w:rPr>
            </w:pPr>
            <w:r w:rsidRPr="009C3763">
              <w:rPr>
                <w:rFonts w:ascii="Arial" w:hAnsi="Arial"/>
                <w:sz w:val="20"/>
              </w:rPr>
              <w:t xml:space="preserve">For laboratories participating in the CAP’s proficiency programs for microbiology, the “Participant Summary Report Final Critique” is a good source of information as the Microbiology Resource Committee provides periodic updates in taxonomy through educational challenges. </w:t>
            </w:r>
          </w:p>
          <w:p w:rsidR="009C3763" w:rsidRPr="009C3763" w:rsidRDefault="009C3763" w:rsidP="009C376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C3763">
              <w:rPr>
                <w:rFonts w:ascii="Arial" w:hAnsi="Arial" w:cs="Arial"/>
                <w:sz w:val="20"/>
                <w:szCs w:val="20"/>
              </w:rPr>
              <w:t>Additional information for specific specialties may be found on-line using web sites, such as the following:</w:t>
            </w:r>
          </w:p>
          <w:p w:rsidR="009C3763" w:rsidRDefault="009C3763" w:rsidP="009C3763">
            <w:pPr>
              <w:pStyle w:val="Note"/>
            </w:pPr>
            <w:r>
              <w:t>For bacteriology</w:t>
            </w:r>
          </w:p>
          <w:p w:rsidR="009C3763" w:rsidRDefault="00EB4F0D" w:rsidP="009C3763">
            <w:pPr>
              <w:pStyle w:val="BulletedlistSubBulletedlistbodySubBulletedlistitem"/>
            </w:pPr>
            <w:hyperlink r:id="rId9" w:history="1">
              <w:r w:rsidR="009C3763">
                <w:rPr>
                  <w:rStyle w:val="Hyperlink"/>
                </w:rPr>
                <w:t>http://www.bacterio.net/-classification.html</w:t>
              </w:r>
            </w:hyperlink>
          </w:p>
          <w:p w:rsidR="009C3763" w:rsidRDefault="00EB4F0D" w:rsidP="009C3763">
            <w:pPr>
              <w:pStyle w:val="BulletedlistSubBulletedlistbodySubBulletedlistitem"/>
            </w:pPr>
            <w:hyperlink r:id="rId10" w:history="1">
              <w:r w:rsidR="009C3763">
                <w:rPr>
                  <w:rStyle w:val="Hyperlink"/>
                </w:rPr>
                <w:t>http://www.zipcodezoo.com</w:t>
              </w:r>
            </w:hyperlink>
          </w:p>
          <w:p w:rsidR="009C3763" w:rsidRDefault="00EB4F0D" w:rsidP="009C3763">
            <w:pPr>
              <w:pStyle w:val="BulletedlistSubBulletedlistbodySubBulletedlistitem"/>
            </w:pPr>
            <w:hyperlink r:id="rId11" w:history="1">
              <w:r w:rsidR="009C3763">
                <w:rPr>
                  <w:rStyle w:val="Hyperlink"/>
                </w:rPr>
                <w:t>http://enews.patricbrc.org/</w:t>
              </w:r>
            </w:hyperlink>
          </w:p>
          <w:p w:rsidR="009C3763" w:rsidRDefault="009C3763" w:rsidP="009C3763">
            <w:pPr>
              <w:pStyle w:val="Note"/>
            </w:pPr>
            <w:r>
              <w:t>For mycology:</w:t>
            </w:r>
          </w:p>
          <w:p w:rsidR="009C3763" w:rsidRDefault="00EB4F0D" w:rsidP="009C3763">
            <w:pPr>
              <w:pStyle w:val="BulletedlistSubBulletedlistbodySubBulletedlistitem"/>
            </w:pPr>
            <w:hyperlink r:id="rId12" w:history="1">
              <w:r w:rsidR="009C3763">
                <w:rPr>
                  <w:rStyle w:val="Hyperlink"/>
                </w:rPr>
                <w:t>http://mycobank.org</w:t>
              </w:r>
            </w:hyperlink>
          </w:p>
          <w:p w:rsidR="009C3763" w:rsidRDefault="00EB4F0D" w:rsidP="009C3763">
            <w:pPr>
              <w:pStyle w:val="BulletedlistSubBulletedlistbodySubBulletedlistitem"/>
            </w:pPr>
            <w:hyperlink r:id="rId13" w:history="1">
              <w:r w:rsidR="009C3763">
                <w:rPr>
                  <w:rStyle w:val="Hyperlink"/>
                </w:rPr>
                <w:t>http://www.fungaltaxonomy.org</w:t>
              </w:r>
            </w:hyperlink>
          </w:p>
          <w:p w:rsidR="009C3763" w:rsidRPr="009C3763" w:rsidRDefault="009C3763" w:rsidP="009C3763">
            <w:pPr>
              <w:pStyle w:val="ListParagraph"/>
              <w:rPr>
                <w:rFonts w:ascii="Arial" w:hAnsi="Arial"/>
                <w:sz w:val="20"/>
              </w:rPr>
            </w:pPr>
          </w:p>
        </w:tc>
      </w:tr>
      <w:tr w:rsidR="009C3763" w:rsidTr="009C3763">
        <w:trPr>
          <w:cantSplit/>
          <w:trHeight w:val="242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9C3763" w:rsidRDefault="009C3763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763" w:rsidRPr="009C3763" w:rsidRDefault="009C3763" w:rsidP="009C3763">
            <w:pPr>
              <w:rPr>
                <w:rFonts w:ascii="Arial" w:hAnsi="Arial"/>
                <w:sz w:val="20"/>
              </w:rPr>
            </w:pPr>
          </w:p>
        </w:tc>
      </w:tr>
      <w:tr w:rsidR="002D7381" w:rsidTr="009C3763">
        <w:trPr>
          <w:cantSplit/>
          <w:trHeight w:val="383"/>
        </w:trPr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381" w:rsidRDefault="002D7381" w:rsidP="002D738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Record retention</w:t>
            </w:r>
          </w:p>
          <w:p w:rsidR="002D7381" w:rsidRDefault="002D7381" w:rsidP="00BE59A1"/>
        </w:tc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346" w:type="dxa"/>
              <w:tblLook w:val="04A0"/>
            </w:tblPr>
            <w:tblGrid>
              <w:gridCol w:w="3941"/>
              <w:gridCol w:w="1461"/>
            </w:tblGrid>
            <w:tr w:rsidR="00661285" w:rsidTr="00661285">
              <w:tc>
                <w:tcPr>
                  <w:tcW w:w="0" w:type="auto"/>
                </w:tcPr>
                <w:p w:rsidR="00661285" w:rsidRPr="00300D03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 w:rsidRPr="00300D03">
                    <w:rPr>
                      <w:rFonts w:ascii="Arial" w:hAnsi="Arial"/>
                      <w:b/>
                      <w:sz w:val="20"/>
                    </w:rPr>
                    <w:t>Document</w:t>
                  </w:r>
                </w:p>
              </w:tc>
              <w:tc>
                <w:tcPr>
                  <w:tcW w:w="0" w:type="auto"/>
                </w:tcPr>
                <w:p w:rsidR="00661285" w:rsidRPr="00300D03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 w:rsidRPr="00300D03">
                    <w:rPr>
                      <w:rFonts w:ascii="Arial" w:hAnsi="Arial"/>
                      <w:b/>
                      <w:sz w:val="20"/>
                    </w:rPr>
                    <w:t>Retention time</w:t>
                  </w:r>
                </w:p>
              </w:tc>
            </w:tr>
            <w:tr w:rsidR="00661285" w:rsidTr="00661285">
              <w:tc>
                <w:tcPr>
                  <w:tcW w:w="0" w:type="auto"/>
                </w:tcPr>
                <w:p w:rsidR="00661285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Taxonomic Change Form</w:t>
                  </w:r>
                </w:p>
              </w:tc>
              <w:tc>
                <w:tcPr>
                  <w:tcW w:w="0" w:type="auto"/>
                </w:tcPr>
                <w:p w:rsidR="00661285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 years</w:t>
                  </w:r>
                </w:p>
              </w:tc>
            </w:tr>
            <w:tr w:rsidR="00661285" w:rsidTr="00661285">
              <w:tc>
                <w:tcPr>
                  <w:tcW w:w="0" w:type="auto"/>
                </w:tcPr>
                <w:p w:rsidR="00661285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Technical Director Medical Staff Notification</w:t>
                  </w:r>
                </w:p>
              </w:tc>
              <w:tc>
                <w:tcPr>
                  <w:tcW w:w="0" w:type="auto"/>
                </w:tcPr>
                <w:p w:rsidR="00661285" w:rsidRDefault="00661285" w:rsidP="00661285">
                  <w:pPr>
                    <w:widowControl w:val="0"/>
                    <w:ind w:right="-144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 years</w:t>
                  </w:r>
                </w:p>
              </w:tc>
            </w:tr>
          </w:tbl>
          <w:p w:rsidR="002D7381" w:rsidRDefault="002D7381" w:rsidP="00BE59A1">
            <w:pPr>
              <w:ind w:right="-144"/>
              <w:rPr>
                <w:rFonts w:ascii="Arial" w:hAnsi="Arial" w:cs="Arial"/>
                <w:sz w:val="20"/>
              </w:rPr>
            </w:pPr>
          </w:p>
        </w:tc>
      </w:tr>
      <w:tr w:rsidR="009C3763" w:rsidTr="009C37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5" w:type="dxa"/>
            <w:tcBorders>
              <w:left w:val="nil"/>
            </w:tcBorders>
          </w:tcPr>
          <w:p w:rsidR="009C3763" w:rsidRDefault="009C3763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3763" w:rsidRDefault="009C3763" w:rsidP="00BE59A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04E42" w:rsidTr="009C37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5" w:type="dxa"/>
            <w:tcBorders>
              <w:left w:val="nil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2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D6C" w:rsidRPr="00C94D6C" w:rsidRDefault="00C94D6C" w:rsidP="00C94D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94D6C" w:rsidRPr="00C94D6C" w:rsidRDefault="00EB4F0D" w:rsidP="00C94D6C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C94D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94D6C" w:rsidRPr="00C94D6C">
              <w:rPr>
                <w:rFonts w:ascii="Arial" w:hAnsi="Arial" w:cs="Arial"/>
                <w:sz w:val="20"/>
                <w:szCs w:val="20"/>
              </w:rPr>
              <w:instrText xml:space="preserve"> ADDIN EN.REFLIST </w:instrText>
            </w:r>
            <w:r w:rsidRPr="00C94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4D6C" w:rsidRPr="00C94D6C">
              <w:rPr>
                <w:rFonts w:ascii="Arial" w:hAnsi="Arial" w:cs="Arial"/>
                <w:sz w:val="20"/>
                <w:szCs w:val="20"/>
              </w:rPr>
              <w:t xml:space="preserve">1. CAP. </w:t>
            </w:r>
            <w:r w:rsidR="00C94D6C" w:rsidRPr="00C94D6C">
              <w:rPr>
                <w:rFonts w:ascii="Arial" w:hAnsi="Arial" w:cs="Arial"/>
                <w:b/>
                <w:sz w:val="20"/>
                <w:szCs w:val="20"/>
              </w:rPr>
              <w:t>Microbiology Checklist</w:t>
            </w:r>
            <w:r w:rsidR="00C94D6C" w:rsidRPr="00C94D6C">
              <w:rPr>
                <w:rFonts w:ascii="Arial" w:hAnsi="Arial" w:cs="Arial"/>
                <w:sz w:val="20"/>
                <w:szCs w:val="20"/>
              </w:rPr>
              <w:t>. In. Northfield, IL: College of American Pathologists; 2017.</w:t>
            </w:r>
          </w:p>
          <w:p w:rsidR="00C94D6C" w:rsidRPr="00C94D6C" w:rsidRDefault="00C94D6C" w:rsidP="00C94D6C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C94D6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94D6C">
              <w:rPr>
                <w:rFonts w:ascii="Arial" w:hAnsi="Arial" w:cs="Arial"/>
                <w:b/>
                <w:sz w:val="20"/>
                <w:szCs w:val="20"/>
              </w:rPr>
              <w:t>Prokaryotic Nomenclature Up-to-date</w:t>
            </w:r>
            <w:r w:rsidRPr="00C94D6C">
              <w:rPr>
                <w:rFonts w:ascii="Arial" w:hAnsi="Arial" w:cs="Arial"/>
                <w:sz w:val="20"/>
                <w:szCs w:val="20"/>
              </w:rPr>
              <w:t>. In: Leibniz Institute DSMZ-German Collection of Microorganisms and Cell Cultures, Germany, Prokaryotic Nomenclature Up-to-date.</w:t>
            </w:r>
          </w:p>
          <w:p w:rsidR="00C94D6C" w:rsidRPr="00C94D6C" w:rsidRDefault="00C94D6C" w:rsidP="00C94D6C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C94D6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94D6C">
              <w:rPr>
                <w:rFonts w:ascii="Arial" w:hAnsi="Arial" w:cs="Arial"/>
                <w:b/>
                <w:sz w:val="20"/>
                <w:szCs w:val="20"/>
              </w:rPr>
              <w:t>DPDx - Laboratory Identification of Parasites of Public Health Concern</w:t>
            </w:r>
            <w:r w:rsidRPr="00C94D6C">
              <w:rPr>
                <w:rFonts w:ascii="Arial" w:hAnsi="Arial" w:cs="Arial"/>
                <w:sz w:val="20"/>
                <w:szCs w:val="20"/>
              </w:rPr>
              <w:t>. In: Centers for Disease Control and Prevention.</w:t>
            </w:r>
          </w:p>
          <w:p w:rsidR="00C94D6C" w:rsidRPr="00C94D6C" w:rsidRDefault="00C94D6C" w:rsidP="00C94D6C">
            <w:pPr>
              <w:pStyle w:val="EndNoteBibliography"/>
              <w:rPr>
                <w:rFonts w:ascii="Arial" w:hAnsi="Arial" w:cs="Arial"/>
                <w:sz w:val="20"/>
                <w:szCs w:val="20"/>
              </w:rPr>
            </w:pPr>
            <w:r w:rsidRPr="00C94D6C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94D6C">
              <w:rPr>
                <w:rFonts w:ascii="Arial" w:hAnsi="Arial" w:cs="Arial"/>
                <w:b/>
                <w:sz w:val="20"/>
                <w:szCs w:val="20"/>
              </w:rPr>
              <w:t>Taxonomy</w:t>
            </w:r>
            <w:r w:rsidRPr="00C94D6C">
              <w:rPr>
                <w:rFonts w:ascii="Arial" w:hAnsi="Arial" w:cs="Arial"/>
                <w:sz w:val="20"/>
                <w:szCs w:val="20"/>
              </w:rPr>
              <w:t>. In: International Committee on Taxonomy of Viruses (ICTV).</w:t>
            </w:r>
          </w:p>
          <w:p w:rsidR="00504E42" w:rsidRDefault="00EB4F0D" w:rsidP="00C94D6C">
            <w:pPr>
              <w:ind w:left="360"/>
              <w:jc w:val="left"/>
              <w:rPr>
                <w:rFonts w:ascii="Arial" w:hAnsi="Arial"/>
                <w:sz w:val="20"/>
              </w:rPr>
            </w:pPr>
            <w:r w:rsidRPr="00C94D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4E42" w:rsidTr="009C37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95" w:type="dxa"/>
            <w:tcBorders>
              <w:left w:val="nil"/>
              <w:right w:val="nil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BE59A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BE59A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BE59A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E42" w:rsidRDefault="00504E42" w:rsidP="00BE59A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04E42" w:rsidTr="009C37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95" w:type="dxa"/>
            <w:vMerge w:val="restart"/>
            <w:tcBorders>
              <w:left w:val="nil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504E42" w:rsidTr="009C376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95" w:type="dxa"/>
            <w:vMerge/>
            <w:tcBorders>
              <w:left w:val="nil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J. Laramie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sz w:val="20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42" w:rsidRDefault="00504E42" w:rsidP="00BE59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</w:tbl>
    <w:p w:rsidR="00504E42" w:rsidRDefault="00504E42" w:rsidP="00504E4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p w:rsidR="00504E42" w:rsidRDefault="00504E42" w:rsidP="0087480A">
      <w:pPr>
        <w:pStyle w:val="NoSpacing"/>
      </w:pPr>
    </w:p>
    <w:p w:rsidR="00504E42" w:rsidRDefault="00504E42" w:rsidP="0087480A">
      <w:pPr>
        <w:pStyle w:val="NoSpacing"/>
      </w:pPr>
    </w:p>
    <w:p w:rsidR="002D7381" w:rsidRDefault="002D7381" w:rsidP="0087480A">
      <w:pPr>
        <w:pStyle w:val="NoSpacing"/>
      </w:pPr>
    </w:p>
    <w:p w:rsidR="00504E42" w:rsidRDefault="00504E42" w:rsidP="0087480A">
      <w:pPr>
        <w:pStyle w:val="NoSpacing"/>
      </w:pPr>
    </w:p>
    <w:sectPr w:rsidR="00504E42" w:rsidSect="00BE59A1">
      <w:head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63" w:rsidRDefault="009C3763" w:rsidP="00504E42">
      <w:r>
        <w:separator/>
      </w:r>
    </w:p>
  </w:endnote>
  <w:endnote w:type="continuationSeparator" w:id="0">
    <w:p w:rsidR="009C3763" w:rsidRDefault="009C3763" w:rsidP="0050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63" w:rsidRDefault="009C3763" w:rsidP="00504E42">
      <w:r>
        <w:separator/>
      </w:r>
    </w:p>
  </w:footnote>
  <w:footnote w:type="continuationSeparator" w:id="0">
    <w:p w:rsidR="009C3763" w:rsidRDefault="009C3763" w:rsidP="0050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63" w:rsidRDefault="005E2EE2" w:rsidP="00BE59A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MCVI 1.7</w:t>
    </w:r>
    <w:r w:rsidR="009C3763">
      <w:rPr>
        <w:rFonts w:ascii="Arial" w:hAnsi="Arial"/>
        <w:sz w:val="18"/>
      </w:rPr>
      <w:t xml:space="preserve"> Taxonomic Changes </w:t>
    </w:r>
  </w:p>
  <w:p w:rsidR="009C3763" w:rsidRPr="00D54ACA" w:rsidRDefault="009C3763" w:rsidP="00BE59A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Version </w:t>
    </w:r>
    <w:r w:rsidR="00EB4F0D"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Childrens_MN_2015_logo_RGB_of_PMS280-PMS2925_800x257" style="position:absolute;left:0;text-align:left;margin-left:390.75pt;margin-top:17.25pt;width:126pt;height:40.5pt;z-index:251660288;visibility:visible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9C3763" w:rsidRDefault="009C376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</w:p>
  <w:p w:rsidR="009C3763" w:rsidRDefault="009C3763" w:rsidP="00BE59A1">
    <w:pPr>
      <w:pStyle w:val="Header"/>
      <w:tabs>
        <w:tab w:val="clear" w:pos="8640"/>
        <w:tab w:val="right" w:pos="9900"/>
      </w:tabs>
      <w:ind w:left="-1260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684"/>
    <w:multiLevelType w:val="hybridMultilevel"/>
    <w:tmpl w:val="A26CB962"/>
    <w:lvl w:ilvl="0" w:tplc="CCA673B2">
      <w:start w:val="1"/>
      <w:numFmt w:val="lowerLetter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6460532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CA673B2">
      <w:start w:val="1"/>
      <w:numFmt w:val="lowerLetter"/>
      <w:lvlText w:val="%3."/>
      <w:lvlJc w:val="left"/>
      <w:pPr>
        <w:tabs>
          <w:tab w:val="num" w:pos="3105"/>
        </w:tabs>
        <w:ind w:left="310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472925"/>
    <w:multiLevelType w:val="hybridMultilevel"/>
    <w:tmpl w:val="20A8578C"/>
    <w:lvl w:ilvl="0" w:tplc="CA48B3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AAB5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2C5735"/>
    <w:multiLevelType w:val="singleLevel"/>
    <w:tmpl w:val="CD8C2CD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D8E0CED"/>
    <w:multiLevelType w:val="hybridMultilevel"/>
    <w:tmpl w:val="4C98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C7EDF"/>
    <w:multiLevelType w:val="singleLevel"/>
    <w:tmpl w:val="2D86D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810B6"/>
    <w:multiLevelType w:val="hybridMultilevel"/>
    <w:tmpl w:val="722697EE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2B8833E7"/>
    <w:multiLevelType w:val="hybridMultilevel"/>
    <w:tmpl w:val="3C0E6F3A"/>
    <w:lvl w:ilvl="0" w:tplc="158C0A3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31332045"/>
    <w:multiLevelType w:val="hybridMultilevel"/>
    <w:tmpl w:val="B8900352"/>
    <w:lvl w:ilvl="0" w:tplc="CD50335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26227F4"/>
    <w:multiLevelType w:val="hybridMultilevel"/>
    <w:tmpl w:val="D39A3FF8"/>
    <w:lvl w:ilvl="0" w:tplc="4596FE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98009A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AA8798A"/>
    <w:multiLevelType w:val="hybridMultilevel"/>
    <w:tmpl w:val="007ABDC2"/>
    <w:lvl w:ilvl="0" w:tplc="59B861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991AFC46">
      <w:numFmt w:val="decimal"/>
      <w:lvlText w:val=""/>
      <w:lvlJc w:val="left"/>
    </w:lvl>
    <w:lvl w:ilvl="2" w:tplc="CA12A4AE">
      <w:numFmt w:val="decimal"/>
      <w:lvlText w:val=""/>
      <w:lvlJc w:val="left"/>
    </w:lvl>
    <w:lvl w:ilvl="3" w:tplc="216454AA">
      <w:numFmt w:val="decimal"/>
      <w:lvlText w:val=""/>
      <w:lvlJc w:val="left"/>
    </w:lvl>
    <w:lvl w:ilvl="4" w:tplc="60201D0E">
      <w:numFmt w:val="decimal"/>
      <w:lvlText w:val=""/>
      <w:lvlJc w:val="left"/>
    </w:lvl>
    <w:lvl w:ilvl="5" w:tplc="0B1C7B22">
      <w:numFmt w:val="decimal"/>
      <w:lvlText w:val=""/>
      <w:lvlJc w:val="left"/>
    </w:lvl>
    <w:lvl w:ilvl="6" w:tplc="37448E78">
      <w:numFmt w:val="decimal"/>
      <w:lvlText w:val=""/>
      <w:lvlJc w:val="left"/>
    </w:lvl>
    <w:lvl w:ilvl="7" w:tplc="F71465DE">
      <w:numFmt w:val="decimal"/>
      <w:lvlText w:val=""/>
      <w:lvlJc w:val="left"/>
    </w:lvl>
    <w:lvl w:ilvl="8" w:tplc="7352A95A">
      <w:numFmt w:val="decimal"/>
      <w:lvlText w:val=""/>
      <w:lvlJc w:val="left"/>
    </w:lvl>
  </w:abstractNum>
  <w:abstractNum w:abstractNumId="10">
    <w:nsid w:val="3B380AF6"/>
    <w:multiLevelType w:val="hybridMultilevel"/>
    <w:tmpl w:val="33B6188A"/>
    <w:lvl w:ilvl="0" w:tplc="9D3C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C3EA6"/>
    <w:multiLevelType w:val="singleLevel"/>
    <w:tmpl w:val="2EC0F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F22EFB"/>
    <w:multiLevelType w:val="hybridMultilevel"/>
    <w:tmpl w:val="21EE2538"/>
    <w:lvl w:ilvl="0" w:tplc="2C2AC42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46408B44">
      <w:numFmt w:val="decimal"/>
      <w:lvlText w:val=""/>
      <w:lvlJc w:val="left"/>
    </w:lvl>
    <w:lvl w:ilvl="2" w:tplc="193EC58A">
      <w:numFmt w:val="decimal"/>
      <w:lvlText w:val=""/>
      <w:lvlJc w:val="left"/>
    </w:lvl>
    <w:lvl w:ilvl="3" w:tplc="C838A960">
      <w:numFmt w:val="decimal"/>
      <w:lvlText w:val=""/>
      <w:lvlJc w:val="left"/>
    </w:lvl>
    <w:lvl w:ilvl="4" w:tplc="4C9EB788">
      <w:numFmt w:val="decimal"/>
      <w:lvlText w:val=""/>
      <w:lvlJc w:val="left"/>
    </w:lvl>
    <w:lvl w:ilvl="5" w:tplc="8450678C">
      <w:numFmt w:val="decimal"/>
      <w:lvlText w:val=""/>
      <w:lvlJc w:val="left"/>
    </w:lvl>
    <w:lvl w:ilvl="6" w:tplc="02D054F2">
      <w:numFmt w:val="decimal"/>
      <w:lvlText w:val=""/>
      <w:lvlJc w:val="left"/>
    </w:lvl>
    <w:lvl w:ilvl="7" w:tplc="52168D38">
      <w:numFmt w:val="decimal"/>
      <w:lvlText w:val=""/>
      <w:lvlJc w:val="left"/>
    </w:lvl>
    <w:lvl w:ilvl="8" w:tplc="20B628E6">
      <w:numFmt w:val="decimal"/>
      <w:lvlText w:val=""/>
      <w:lvlJc w:val="left"/>
    </w:lvl>
  </w:abstractNum>
  <w:abstractNum w:abstractNumId="13">
    <w:nsid w:val="517005B7"/>
    <w:multiLevelType w:val="hybridMultilevel"/>
    <w:tmpl w:val="DB22314C"/>
    <w:lvl w:ilvl="0" w:tplc="9FA045C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i w:val="0"/>
        <w:sz w:val="16"/>
      </w:rPr>
    </w:lvl>
    <w:lvl w:ilvl="1" w:tplc="1CAEA922">
      <w:numFmt w:val="decimal"/>
      <w:lvlText w:val=""/>
      <w:lvlJc w:val="left"/>
    </w:lvl>
    <w:lvl w:ilvl="2" w:tplc="26A4DA64">
      <w:numFmt w:val="decimal"/>
      <w:lvlText w:val=""/>
      <w:lvlJc w:val="left"/>
    </w:lvl>
    <w:lvl w:ilvl="3" w:tplc="DA582306">
      <w:numFmt w:val="decimal"/>
      <w:lvlText w:val=""/>
      <w:lvlJc w:val="left"/>
    </w:lvl>
    <w:lvl w:ilvl="4" w:tplc="E9865448">
      <w:numFmt w:val="decimal"/>
      <w:lvlText w:val=""/>
      <w:lvlJc w:val="left"/>
    </w:lvl>
    <w:lvl w:ilvl="5" w:tplc="B972D3F2">
      <w:numFmt w:val="decimal"/>
      <w:lvlText w:val=""/>
      <w:lvlJc w:val="left"/>
    </w:lvl>
    <w:lvl w:ilvl="6" w:tplc="79FEA194">
      <w:numFmt w:val="decimal"/>
      <w:lvlText w:val=""/>
      <w:lvlJc w:val="left"/>
    </w:lvl>
    <w:lvl w:ilvl="7" w:tplc="16CE2A3E">
      <w:numFmt w:val="decimal"/>
      <w:lvlText w:val=""/>
      <w:lvlJc w:val="left"/>
    </w:lvl>
    <w:lvl w:ilvl="8" w:tplc="DAEE893E">
      <w:numFmt w:val="decimal"/>
      <w:lvlText w:val=""/>
      <w:lvlJc w:val="left"/>
    </w:lvl>
  </w:abstractNum>
  <w:abstractNum w:abstractNumId="14">
    <w:nsid w:val="565014D1"/>
    <w:multiLevelType w:val="hybridMultilevel"/>
    <w:tmpl w:val="8EFE232C"/>
    <w:lvl w:ilvl="0" w:tplc="2D86DB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67F17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A95B0A"/>
    <w:multiLevelType w:val="singleLevel"/>
    <w:tmpl w:val="2D86D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94C6916"/>
    <w:multiLevelType w:val="hybridMultilevel"/>
    <w:tmpl w:val="348C4714"/>
    <w:lvl w:ilvl="0" w:tplc="B37078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C027F4"/>
    <w:multiLevelType w:val="hybridMultilevel"/>
    <w:tmpl w:val="532ACA6E"/>
    <w:lvl w:ilvl="0" w:tplc="C2804BB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6A5C245F"/>
    <w:multiLevelType w:val="hybridMultilevel"/>
    <w:tmpl w:val="637636A0"/>
    <w:lvl w:ilvl="0" w:tplc="1D604C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B671D2E"/>
    <w:multiLevelType w:val="hybridMultilevel"/>
    <w:tmpl w:val="49C8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19"/>
  </w:num>
  <w:num w:numId="11">
    <w:abstractNumId w:val="17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tzwww0fvxwvyepwdxvtzpka0t5rvxzr00v&quot;&gt;taxonomy procedure libaray&lt;record-ids&gt;&lt;item&gt;1&lt;/item&gt;&lt;item&gt;2&lt;/item&gt;&lt;item&gt;3&lt;/item&gt;&lt;item&gt;4&lt;/item&gt;&lt;/record-ids&gt;&lt;/item&gt;&lt;/Libraries&gt;"/>
  </w:docVars>
  <w:rsids>
    <w:rsidRoot w:val="00504E42"/>
    <w:rsid w:val="00037AE8"/>
    <w:rsid w:val="000A083E"/>
    <w:rsid w:val="000D21BD"/>
    <w:rsid w:val="001952B1"/>
    <w:rsid w:val="002A6061"/>
    <w:rsid w:val="002D7381"/>
    <w:rsid w:val="00300D03"/>
    <w:rsid w:val="00335B87"/>
    <w:rsid w:val="00357F8D"/>
    <w:rsid w:val="003C4822"/>
    <w:rsid w:val="004B4856"/>
    <w:rsid w:val="00504E42"/>
    <w:rsid w:val="0055127F"/>
    <w:rsid w:val="00583ACA"/>
    <w:rsid w:val="005E2EE2"/>
    <w:rsid w:val="006276E6"/>
    <w:rsid w:val="00661285"/>
    <w:rsid w:val="006773D2"/>
    <w:rsid w:val="00796B72"/>
    <w:rsid w:val="007B0D03"/>
    <w:rsid w:val="007E094D"/>
    <w:rsid w:val="0087480A"/>
    <w:rsid w:val="008E6952"/>
    <w:rsid w:val="009C3763"/>
    <w:rsid w:val="009F593A"/>
    <w:rsid w:val="00A7660B"/>
    <w:rsid w:val="00A95C33"/>
    <w:rsid w:val="00BE59A1"/>
    <w:rsid w:val="00C11789"/>
    <w:rsid w:val="00C35260"/>
    <w:rsid w:val="00C76C05"/>
    <w:rsid w:val="00C94D6C"/>
    <w:rsid w:val="00D50C90"/>
    <w:rsid w:val="00DA2A54"/>
    <w:rsid w:val="00DC03F7"/>
    <w:rsid w:val="00EB4F0D"/>
    <w:rsid w:val="00EC6E32"/>
    <w:rsid w:val="00F14271"/>
    <w:rsid w:val="00F87148"/>
    <w:rsid w:val="00FA1D64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42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odyText">
    <w:name w:val="Body Text"/>
    <w:basedOn w:val="Normal"/>
    <w:link w:val="BodyTextChar"/>
    <w:semiHidden/>
    <w:rsid w:val="00504E42"/>
    <w:rPr>
      <w:bCs/>
      <w:iCs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504E42"/>
    <w:rPr>
      <w:rFonts w:ascii="Times New Roman" w:eastAsia="Times New Roman" w:hAnsi="Times New Roman"/>
      <w:bCs/>
      <w:iCs/>
      <w:color w:val="000000"/>
      <w:szCs w:val="24"/>
      <w:lang w:bidi="ar-SA"/>
    </w:rPr>
  </w:style>
  <w:style w:type="paragraph" w:styleId="Header">
    <w:name w:val="header"/>
    <w:basedOn w:val="Normal"/>
    <w:link w:val="HeaderChar"/>
    <w:semiHidden/>
    <w:rsid w:val="00504E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04E42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504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E42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link w:val="TableTextChar"/>
    <w:rsid w:val="00504E4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04E42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504E42"/>
    <w:rPr>
      <w:color w:val="0000FF"/>
      <w:u w:val="single"/>
    </w:rPr>
  </w:style>
  <w:style w:type="paragraph" w:customStyle="1" w:styleId="Custom">
    <w:name w:val="Custom"/>
    <w:basedOn w:val="Normal"/>
    <w:rsid w:val="00504E42"/>
    <w:rPr>
      <w:rFonts w:ascii="Arial" w:hAnsi="Arial" w:cs="Arial"/>
      <w:sz w:val="24"/>
    </w:rPr>
  </w:style>
  <w:style w:type="paragraph" w:styleId="BlockText">
    <w:name w:val="Block Text"/>
    <w:basedOn w:val="Normal"/>
    <w:semiHidden/>
    <w:rsid w:val="00504E42"/>
    <w:pPr>
      <w:widowControl w:val="0"/>
      <w:ind w:left="990" w:right="-144" w:hanging="270"/>
      <w:jc w:val="left"/>
    </w:pPr>
    <w:rPr>
      <w:rFonts w:ascii="Arial" w:hAnsi="Arial"/>
      <w:snapToGrid w:val="0"/>
      <w:sz w:val="20"/>
      <w:szCs w:val="20"/>
    </w:rPr>
  </w:style>
  <w:style w:type="paragraph" w:customStyle="1" w:styleId="Note">
    <w:name w:val="Note"/>
    <w:rsid w:val="00504E42"/>
    <w:pPr>
      <w:spacing w:before="120" w:after="0" w:line="240" w:lineRule="auto"/>
    </w:pPr>
    <w:rPr>
      <w:rFonts w:ascii="Arial" w:eastAsia="Arial" w:hAnsi="Arial" w:cs="Arial"/>
      <w:i/>
      <w:sz w:val="20"/>
      <w:szCs w:val="20"/>
      <w:lang w:bidi="ar-SA"/>
    </w:rPr>
  </w:style>
  <w:style w:type="paragraph" w:customStyle="1" w:styleId="BulletedlistSubBulletedlistbodySubBulletedlistitem">
    <w:name w:val="Bulleted_listSubBulleted_list_bodySubBulleted_list_item"/>
    <w:basedOn w:val="Normal"/>
    <w:rsid w:val="00504E42"/>
    <w:pPr>
      <w:ind w:left="360"/>
      <w:jc w:val="left"/>
    </w:pPr>
    <w:rPr>
      <w:rFonts w:ascii="Arial" w:eastAsia="Arial" w:hAnsi="Arial" w:cs="Arial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35260"/>
    <w:pPr>
      <w:jc w:val="center"/>
    </w:pPr>
    <w:rPr>
      <w:noProof/>
    </w:rPr>
  </w:style>
  <w:style w:type="character" w:customStyle="1" w:styleId="TableTextChar">
    <w:name w:val="Table Text Char"/>
    <w:basedOn w:val="DefaultParagraphFont"/>
    <w:link w:val="TableText"/>
    <w:rsid w:val="00C35260"/>
    <w:rPr>
      <w:rFonts w:ascii="Times New Roman" w:eastAsia="Times New Roman" w:hAnsi="Times New Roman"/>
      <w:sz w:val="20"/>
      <w:szCs w:val="24"/>
      <w:lang w:bidi="ar-SA"/>
    </w:rPr>
  </w:style>
  <w:style w:type="character" w:customStyle="1" w:styleId="EndNoteBibliographyTitleChar">
    <w:name w:val="EndNote Bibliography Title Char"/>
    <w:basedOn w:val="TableTextChar"/>
    <w:link w:val="EndNoteBibliographyTitle"/>
    <w:rsid w:val="00C35260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C35260"/>
    <w:rPr>
      <w:noProof/>
    </w:rPr>
  </w:style>
  <w:style w:type="character" w:customStyle="1" w:styleId="EndNoteBibliographyChar">
    <w:name w:val="EndNote Bibliography Char"/>
    <w:basedOn w:val="TableTextChar"/>
    <w:link w:val="EndNoteBibliography"/>
    <w:rsid w:val="00C35260"/>
    <w:rPr>
      <w:noProof/>
    </w:rPr>
  </w:style>
  <w:style w:type="table" w:styleId="TableGrid">
    <w:name w:val="Table Grid"/>
    <w:basedOn w:val="TableNormal"/>
    <w:uiPriority w:val="59"/>
    <w:rsid w:val="00300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35B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fungus.org/" TargetMode="External"/><Relationship Id="rId13" Type="http://schemas.openxmlformats.org/officeDocument/2006/relationships/hyperlink" Target="http://www.fungaltaxono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cology.adelaide.edu.au/" TargetMode="External"/><Relationship Id="rId12" Type="http://schemas.openxmlformats.org/officeDocument/2006/relationships/hyperlink" Target="http://mycobank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ews.patricbrc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ipcodez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cterio.net/-classification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10</cp:revision>
  <dcterms:created xsi:type="dcterms:W3CDTF">2018-08-29T12:28:00Z</dcterms:created>
  <dcterms:modified xsi:type="dcterms:W3CDTF">2019-02-19T16:05:00Z</dcterms:modified>
</cp:coreProperties>
</file>