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080"/>
        <w:gridCol w:w="2880"/>
        <w:gridCol w:w="1440"/>
        <w:gridCol w:w="3600"/>
      </w:tblGrid>
      <w:tr w:rsidR="006638DB" w:rsidTr="00D33820">
        <w:trPr>
          <w:cantSplit/>
        </w:trPr>
        <w:tc>
          <w:tcPr>
            <w:tcW w:w="10800" w:type="dxa"/>
            <w:gridSpan w:val="5"/>
            <w:tcBorders>
              <w:top w:val="nil"/>
              <w:left w:val="nil"/>
              <w:bottom w:val="nil"/>
              <w:right w:val="nil"/>
            </w:tcBorders>
          </w:tcPr>
          <w:p w:rsidR="006638DB" w:rsidRDefault="006638DB">
            <w:pPr>
              <w:pStyle w:val="BodyText"/>
              <w:rPr>
                <w:rFonts w:ascii="Arial" w:hAnsi="Arial" w:cs="Arial"/>
                <w:sz w:val="24"/>
              </w:rPr>
            </w:pPr>
            <w:bookmarkStart w:id="0" w:name="_GoBack"/>
            <w:bookmarkEnd w:id="0"/>
          </w:p>
          <w:p w:rsidR="006638DB" w:rsidRDefault="002B5F5B">
            <w:pPr>
              <w:pStyle w:val="BodyText"/>
              <w:rPr>
                <w:rFonts w:ascii="Arial" w:hAnsi="Arial" w:cs="Arial"/>
                <w:b/>
                <w:bCs w:val="0"/>
                <w:color w:val="008000"/>
                <w:sz w:val="24"/>
              </w:rPr>
            </w:pPr>
            <w:r>
              <w:rPr>
                <w:rFonts w:ascii="Arial" w:hAnsi="Arial" w:cs="Arial"/>
                <w:b/>
                <w:bCs w:val="0"/>
                <w:color w:val="0000FF"/>
                <w:sz w:val="32"/>
                <w:szCs w:val="32"/>
              </w:rPr>
              <w:t>Casual Laboratory Staff</w:t>
            </w:r>
          </w:p>
          <w:p w:rsidR="006638DB" w:rsidRDefault="006638DB">
            <w:pPr>
              <w:pStyle w:val="BodyText"/>
              <w:rPr>
                <w:rFonts w:ascii="Arial" w:hAnsi="Arial" w:cs="Arial"/>
              </w:rPr>
            </w:pPr>
          </w:p>
        </w:tc>
      </w:tr>
      <w:tr w:rsidR="006638DB" w:rsidTr="00D33820">
        <w:trPr>
          <w:cantSplit/>
          <w:trHeight w:val="1025"/>
        </w:trPr>
        <w:tc>
          <w:tcPr>
            <w:tcW w:w="1800" w:type="dxa"/>
            <w:tcBorders>
              <w:top w:val="nil"/>
              <w:left w:val="nil"/>
              <w:bottom w:val="nil"/>
              <w:right w:val="nil"/>
            </w:tcBorders>
          </w:tcPr>
          <w:p w:rsidR="006638DB" w:rsidRDefault="006638DB">
            <w:pPr>
              <w:pStyle w:val="Header"/>
              <w:tabs>
                <w:tab w:val="clear" w:pos="4320"/>
                <w:tab w:val="clear" w:pos="8640"/>
              </w:tabs>
              <w:jc w:val="left"/>
              <w:rPr>
                <w:rFonts w:ascii="Arial" w:hAnsi="Arial" w:cs="Arial"/>
                <w:b/>
                <w:color w:val="0000FF"/>
              </w:rPr>
            </w:pPr>
          </w:p>
          <w:p w:rsidR="006638DB" w:rsidRDefault="006638DB">
            <w:pPr>
              <w:pStyle w:val="Header"/>
              <w:tabs>
                <w:tab w:val="clear" w:pos="4320"/>
                <w:tab w:val="clear" w:pos="8640"/>
              </w:tabs>
              <w:jc w:val="left"/>
              <w:rPr>
                <w:rFonts w:ascii="Arial" w:hAnsi="Arial" w:cs="Arial"/>
                <w:b/>
                <w:color w:val="0000FF"/>
              </w:rPr>
            </w:pPr>
            <w:r>
              <w:rPr>
                <w:rFonts w:ascii="Arial" w:hAnsi="Arial" w:cs="Arial"/>
                <w:b/>
                <w:color w:val="0000FF"/>
              </w:rPr>
              <w:t>Policy</w:t>
            </w:r>
          </w:p>
        </w:tc>
        <w:tc>
          <w:tcPr>
            <w:tcW w:w="9000" w:type="dxa"/>
            <w:gridSpan w:val="4"/>
            <w:tcBorders>
              <w:top w:val="single" w:sz="4" w:space="0" w:color="auto"/>
              <w:left w:val="nil"/>
              <w:bottom w:val="single" w:sz="4" w:space="0" w:color="auto"/>
              <w:right w:val="nil"/>
            </w:tcBorders>
          </w:tcPr>
          <w:p w:rsidR="002B5F5B" w:rsidRDefault="002B5F5B" w:rsidP="002B5F5B">
            <w:pPr>
              <w:pStyle w:val="Default"/>
            </w:pPr>
          </w:p>
          <w:tbl>
            <w:tblPr>
              <w:tblW w:w="0" w:type="auto"/>
              <w:tblBorders>
                <w:top w:val="nil"/>
                <w:left w:val="nil"/>
                <w:bottom w:val="nil"/>
                <w:right w:val="nil"/>
              </w:tblBorders>
              <w:tblLayout w:type="fixed"/>
              <w:tblLook w:val="0000"/>
            </w:tblPr>
            <w:tblGrid>
              <w:gridCol w:w="8783"/>
            </w:tblGrid>
            <w:tr w:rsidR="002B5F5B" w:rsidTr="00D33820">
              <w:trPr>
                <w:trHeight w:val="553"/>
              </w:trPr>
              <w:tc>
                <w:tcPr>
                  <w:tcW w:w="8783" w:type="dxa"/>
                </w:tcPr>
                <w:p w:rsidR="002B5F5B" w:rsidRDefault="002B5F5B" w:rsidP="002B5F5B">
                  <w:pPr>
                    <w:pStyle w:val="Default"/>
                    <w:rPr>
                      <w:sz w:val="20"/>
                      <w:szCs w:val="20"/>
                    </w:rPr>
                  </w:pPr>
                  <w:r>
                    <w:rPr>
                      <w:sz w:val="20"/>
                      <w:szCs w:val="20"/>
                    </w:rPr>
                    <w:t>The following defines the requirements of a casual laboratory staff member. Casual laboratory staff may be asked to cover for unexpected call-</w:t>
                  </w:r>
                  <w:proofErr w:type="spellStart"/>
                  <w:r>
                    <w:rPr>
                      <w:sz w:val="20"/>
                      <w:szCs w:val="20"/>
                    </w:rPr>
                    <w:t>ins</w:t>
                  </w:r>
                  <w:proofErr w:type="gramStart"/>
                  <w:r w:rsidR="00D82E5C">
                    <w:rPr>
                      <w:sz w:val="20"/>
                      <w:szCs w:val="20"/>
                    </w:rPr>
                    <w:t>,</w:t>
                  </w:r>
                  <w:r>
                    <w:rPr>
                      <w:sz w:val="20"/>
                      <w:szCs w:val="20"/>
                    </w:rPr>
                    <w:t>schedule</w:t>
                  </w:r>
                  <w:proofErr w:type="spellEnd"/>
                  <w:proofErr w:type="gramEnd"/>
                  <w:r>
                    <w:rPr>
                      <w:sz w:val="20"/>
                      <w:szCs w:val="20"/>
                    </w:rPr>
                    <w:t xml:space="preserve"> changes, vacations, coverage for extra projects/events, and/or extended leaves of absence such as FMLA. Casual laboratory staff work days</w:t>
                  </w:r>
                  <w:r w:rsidR="00D82E5C">
                    <w:rPr>
                      <w:sz w:val="20"/>
                      <w:szCs w:val="20"/>
                    </w:rPr>
                    <w:t xml:space="preserve">, </w:t>
                  </w:r>
                  <w:r>
                    <w:rPr>
                      <w:sz w:val="20"/>
                      <w:szCs w:val="20"/>
                    </w:rPr>
                    <w:t>evenings</w:t>
                  </w:r>
                  <w:r w:rsidR="00D82E5C">
                    <w:rPr>
                      <w:sz w:val="20"/>
                      <w:szCs w:val="20"/>
                    </w:rPr>
                    <w:t xml:space="preserve">, </w:t>
                  </w:r>
                  <w:r>
                    <w:rPr>
                      <w:sz w:val="20"/>
                      <w:szCs w:val="20"/>
                    </w:rPr>
                    <w:t>nights, holidays and</w:t>
                  </w:r>
                  <w:r w:rsidR="00D82E5C">
                    <w:rPr>
                      <w:sz w:val="20"/>
                      <w:szCs w:val="20"/>
                    </w:rPr>
                    <w:t>/or</w:t>
                  </w:r>
                  <w:r>
                    <w:rPr>
                      <w:sz w:val="20"/>
                      <w:szCs w:val="20"/>
                    </w:rPr>
                    <w:t xml:space="preserve"> weekends to support the 24/7 laboratory services. Casual laboratory </w:t>
                  </w:r>
                  <w:proofErr w:type="gramStart"/>
                  <w:r>
                    <w:rPr>
                      <w:sz w:val="20"/>
                      <w:szCs w:val="20"/>
                    </w:rPr>
                    <w:t>staff do</w:t>
                  </w:r>
                  <w:proofErr w:type="gramEnd"/>
                  <w:r>
                    <w:rPr>
                      <w:sz w:val="20"/>
                      <w:szCs w:val="20"/>
                    </w:rPr>
                    <w:t xml:space="preserve"> not have scheduled set hours.</w:t>
                  </w:r>
                </w:p>
                <w:p w:rsidR="002B5F5B" w:rsidRDefault="002B5F5B">
                  <w:pPr>
                    <w:pStyle w:val="Default"/>
                    <w:rPr>
                      <w:sz w:val="20"/>
                      <w:szCs w:val="20"/>
                    </w:rPr>
                  </w:pPr>
                </w:p>
              </w:tc>
            </w:tr>
          </w:tbl>
          <w:p w:rsidR="006638DB" w:rsidRDefault="006638DB">
            <w:pPr>
              <w:jc w:val="left"/>
              <w:rPr>
                <w:rFonts w:ascii="Arial" w:hAnsi="Arial" w:cs="Arial"/>
                <w:iCs/>
                <w:color w:val="0000FF"/>
                <w:sz w:val="20"/>
              </w:rPr>
            </w:pPr>
          </w:p>
        </w:tc>
      </w:tr>
      <w:tr w:rsidR="006638DB" w:rsidTr="00D33820">
        <w:trPr>
          <w:cantSplit/>
          <w:trHeight w:val="233"/>
        </w:trPr>
        <w:tc>
          <w:tcPr>
            <w:tcW w:w="1800" w:type="dxa"/>
            <w:tcBorders>
              <w:top w:val="nil"/>
              <w:left w:val="nil"/>
              <w:bottom w:val="nil"/>
              <w:right w:val="nil"/>
            </w:tcBorders>
          </w:tcPr>
          <w:p w:rsidR="006638DB" w:rsidRDefault="006638DB">
            <w:pPr>
              <w:pStyle w:val="Header"/>
              <w:jc w:val="left"/>
              <w:rPr>
                <w:rFonts w:ascii="Arial" w:hAnsi="Arial" w:cs="Arial"/>
                <w:b/>
                <w:color w:val="0000FF"/>
              </w:rPr>
            </w:pPr>
          </w:p>
          <w:p w:rsidR="006638DB" w:rsidRDefault="006638DB">
            <w:pPr>
              <w:pStyle w:val="Header"/>
              <w:jc w:val="left"/>
              <w:rPr>
                <w:rFonts w:ascii="Arial" w:hAnsi="Arial" w:cs="Arial"/>
                <w:b/>
                <w:color w:val="0000FF"/>
              </w:rPr>
            </w:pPr>
            <w:r>
              <w:rPr>
                <w:rFonts w:ascii="Arial" w:hAnsi="Arial" w:cs="Arial"/>
                <w:b/>
                <w:color w:val="0000FF"/>
              </w:rPr>
              <w:t>Purpose</w:t>
            </w:r>
          </w:p>
          <w:p w:rsidR="006638DB" w:rsidRDefault="006638DB">
            <w:pPr>
              <w:pStyle w:val="Header"/>
              <w:jc w:val="left"/>
              <w:rPr>
                <w:rFonts w:ascii="Arial" w:hAnsi="Arial" w:cs="Arial"/>
                <w:b/>
                <w:color w:val="0000FF"/>
              </w:rPr>
            </w:pPr>
          </w:p>
        </w:tc>
        <w:tc>
          <w:tcPr>
            <w:tcW w:w="9000" w:type="dxa"/>
            <w:gridSpan w:val="4"/>
            <w:tcBorders>
              <w:top w:val="single" w:sz="4" w:space="0" w:color="auto"/>
              <w:left w:val="nil"/>
              <w:bottom w:val="single" w:sz="4" w:space="0" w:color="auto"/>
              <w:right w:val="nil"/>
            </w:tcBorders>
          </w:tcPr>
          <w:p w:rsidR="002B5F5B" w:rsidRDefault="002B5F5B" w:rsidP="002B5F5B">
            <w:pPr>
              <w:pStyle w:val="Default"/>
            </w:pPr>
          </w:p>
          <w:tbl>
            <w:tblPr>
              <w:tblW w:w="5000" w:type="pct"/>
              <w:tblBorders>
                <w:top w:val="nil"/>
                <w:left w:val="nil"/>
                <w:bottom w:val="nil"/>
                <w:right w:val="nil"/>
              </w:tblBorders>
              <w:tblLayout w:type="fixed"/>
              <w:tblCellMar>
                <w:left w:w="115" w:type="dxa"/>
                <w:right w:w="115" w:type="dxa"/>
              </w:tblCellMar>
              <w:tblLook w:val="0000"/>
            </w:tblPr>
            <w:tblGrid>
              <w:gridCol w:w="8784"/>
            </w:tblGrid>
            <w:tr w:rsidR="002B5F5B" w:rsidTr="00D33820">
              <w:trPr>
                <w:cantSplit/>
                <w:trHeight w:val="2792"/>
              </w:trPr>
              <w:tc>
                <w:tcPr>
                  <w:tcW w:w="5000" w:type="pct"/>
                </w:tcPr>
                <w:p w:rsidR="00A36A9F" w:rsidRDefault="002B5F5B">
                  <w:pPr>
                    <w:pStyle w:val="Default"/>
                    <w:ind w:right="144"/>
                    <w:rPr>
                      <w:sz w:val="20"/>
                      <w:szCs w:val="20"/>
                    </w:rPr>
                  </w:pPr>
                  <w:r>
                    <w:rPr>
                      <w:sz w:val="20"/>
                      <w:szCs w:val="20"/>
                    </w:rPr>
                    <w:t xml:space="preserve">To define the requirements of casual laboratory staff and to ensure competency is maintained, management will periodically review staff schedules to ensure all expectations are being met. Failure to meet any of the expectations at any time may result in progressive discipline up to and including termination. </w:t>
                  </w:r>
                </w:p>
                <w:p w:rsidR="002B5F5B" w:rsidRDefault="002B5F5B" w:rsidP="00D33820">
                  <w:pPr>
                    <w:pStyle w:val="Default"/>
                    <w:rPr>
                      <w:sz w:val="20"/>
                      <w:szCs w:val="20"/>
                    </w:rPr>
                  </w:pPr>
                  <w:r>
                    <w:rPr>
                      <w:sz w:val="20"/>
                      <w:szCs w:val="20"/>
                    </w:rPr>
                    <w:t xml:space="preserve">Each casual laboratory staff member: </w:t>
                  </w:r>
                </w:p>
                <w:p w:rsidR="002B5F5B" w:rsidRDefault="002B5F5B" w:rsidP="00D33820">
                  <w:pPr>
                    <w:pStyle w:val="Default"/>
                    <w:numPr>
                      <w:ilvl w:val="0"/>
                      <w:numId w:val="16"/>
                    </w:numPr>
                    <w:rPr>
                      <w:sz w:val="20"/>
                      <w:szCs w:val="20"/>
                    </w:rPr>
                  </w:pPr>
                  <w:r>
                    <w:rPr>
                      <w:sz w:val="20"/>
                      <w:szCs w:val="20"/>
                    </w:rPr>
                    <w:t xml:space="preserve">Must work a minimum of </w:t>
                  </w:r>
                  <w:r w:rsidR="0052558A">
                    <w:rPr>
                      <w:sz w:val="20"/>
                      <w:szCs w:val="20"/>
                    </w:rPr>
                    <w:t>4</w:t>
                  </w:r>
                  <w:r>
                    <w:rPr>
                      <w:sz w:val="20"/>
                      <w:szCs w:val="20"/>
                    </w:rPr>
                    <w:t xml:space="preserve"> shifts per month</w:t>
                  </w:r>
                  <w:r w:rsidR="00D33820">
                    <w:rPr>
                      <w:sz w:val="20"/>
                      <w:szCs w:val="20"/>
                    </w:rPr>
                    <w:t>,</w:t>
                  </w:r>
                  <w:r>
                    <w:rPr>
                      <w:sz w:val="20"/>
                      <w:szCs w:val="20"/>
                    </w:rPr>
                    <w:t xml:space="preserve"> equal to at least 32 hours</w:t>
                  </w:r>
                  <w:r w:rsidR="00D33820">
                    <w:rPr>
                      <w:sz w:val="20"/>
                      <w:szCs w:val="20"/>
                    </w:rPr>
                    <w:t>,</w:t>
                  </w:r>
                  <w:r>
                    <w:rPr>
                      <w:sz w:val="20"/>
                      <w:szCs w:val="20"/>
                    </w:rPr>
                    <w:t xml:space="preserve"> if shifts are available.</w:t>
                  </w:r>
                  <w:r w:rsidR="0052558A">
                    <w:rPr>
                      <w:sz w:val="20"/>
                      <w:szCs w:val="20"/>
                    </w:rPr>
                    <w:t xml:space="preserve"> </w:t>
                  </w:r>
                  <w:r w:rsidR="0052558A" w:rsidRPr="00D26D1D">
                    <w:rPr>
                      <w:sz w:val="20"/>
                      <w:szCs w:val="20"/>
                      <w:highlight w:val="cyan"/>
                    </w:rPr>
                    <w:t>Managers may approve less than 4 shifts or 32 hours per month based on the casual employee’s scope of practice and competency.</w:t>
                  </w:r>
                </w:p>
                <w:p w:rsidR="002B5F5B" w:rsidRDefault="002B5F5B" w:rsidP="00D33820">
                  <w:pPr>
                    <w:pStyle w:val="Default"/>
                    <w:numPr>
                      <w:ilvl w:val="0"/>
                      <w:numId w:val="16"/>
                    </w:numPr>
                    <w:rPr>
                      <w:sz w:val="20"/>
                      <w:szCs w:val="20"/>
                    </w:rPr>
                  </w:pPr>
                  <w:r>
                    <w:rPr>
                      <w:sz w:val="20"/>
                      <w:szCs w:val="20"/>
                    </w:rPr>
                    <w:t xml:space="preserve">Must read hospital email at least once a week to be aware of happenings at the facility and anything assigned to them. </w:t>
                  </w:r>
                </w:p>
                <w:p w:rsidR="00A36A9F" w:rsidRDefault="002B5F5B">
                  <w:pPr>
                    <w:pStyle w:val="Default"/>
                    <w:numPr>
                      <w:ilvl w:val="0"/>
                      <w:numId w:val="16"/>
                    </w:numPr>
                    <w:rPr>
                      <w:sz w:val="20"/>
                      <w:szCs w:val="20"/>
                    </w:rPr>
                  </w:pPr>
                  <w:r>
                    <w:rPr>
                      <w:sz w:val="20"/>
                      <w:szCs w:val="20"/>
                    </w:rPr>
                    <w:t xml:space="preserve">Must read Laboratory Information System email completely each time they are scheduled to work. </w:t>
                  </w:r>
                </w:p>
                <w:p w:rsidR="00A36A9F" w:rsidRDefault="002B5F5B">
                  <w:pPr>
                    <w:pStyle w:val="Default"/>
                    <w:numPr>
                      <w:ilvl w:val="0"/>
                      <w:numId w:val="16"/>
                    </w:numPr>
                    <w:ind w:right="144"/>
                    <w:rPr>
                      <w:sz w:val="20"/>
                      <w:szCs w:val="20"/>
                    </w:rPr>
                  </w:pPr>
                  <w:r>
                    <w:rPr>
                      <w:sz w:val="20"/>
                      <w:szCs w:val="20"/>
                    </w:rPr>
                    <w:t xml:space="preserve">Is responsible for maintaining any competencies, surveys, policy/procedure readings, mandatory training and/or education, etc., assigned to them and </w:t>
                  </w:r>
                  <w:r w:rsidR="00D33820">
                    <w:rPr>
                      <w:sz w:val="20"/>
                      <w:szCs w:val="20"/>
                    </w:rPr>
                    <w:t xml:space="preserve">must be </w:t>
                  </w:r>
                  <w:r>
                    <w:rPr>
                      <w:sz w:val="20"/>
                      <w:szCs w:val="20"/>
                    </w:rPr>
                    <w:t>complete</w:t>
                  </w:r>
                  <w:r w:rsidR="00D33820">
                    <w:rPr>
                      <w:sz w:val="20"/>
                      <w:szCs w:val="20"/>
                    </w:rPr>
                    <w:t>d</w:t>
                  </w:r>
                  <w:r>
                    <w:rPr>
                      <w:sz w:val="20"/>
                      <w:szCs w:val="20"/>
                    </w:rPr>
                    <w:t xml:space="preserve"> by the due dates given. </w:t>
                  </w:r>
                </w:p>
                <w:p w:rsidR="002B5F5B" w:rsidRDefault="002B5F5B" w:rsidP="00D33820">
                  <w:pPr>
                    <w:pStyle w:val="Default"/>
                    <w:numPr>
                      <w:ilvl w:val="0"/>
                      <w:numId w:val="16"/>
                    </w:numPr>
                    <w:rPr>
                      <w:sz w:val="20"/>
                      <w:szCs w:val="20"/>
                    </w:rPr>
                  </w:pPr>
                  <w:r>
                    <w:rPr>
                      <w:sz w:val="20"/>
                      <w:szCs w:val="20"/>
                    </w:rPr>
                    <w:t xml:space="preserve">Will be scheduled to work one holiday per year, if holiday shifts are </w:t>
                  </w:r>
                  <w:proofErr w:type="gramStart"/>
                  <w:r>
                    <w:rPr>
                      <w:sz w:val="20"/>
                      <w:szCs w:val="20"/>
                    </w:rPr>
                    <w:t>available/open</w:t>
                  </w:r>
                  <w:proofErr w:type="gramEnd"/>
                  <w:r>
                    <w:rPr>
                      <w:sz w:val="20"/>
                      <w:szCs w:val="20"/>
                    </w:rPr>
                    <w:t xml:space="preserve">. </w:t>
                  </w:r>
                </w:p>
                <w:p w:rsidR="002B5F5B" w:rsidRDefault="002B5F5B" w:rsidP="00D33820">
                  <w:pPr>
                    <w:pStyle w:val="Default"/>
                    <w:numPr>
                      <w:ilvl w:val="0"/>
                      <w:numId w:val="16"/>
                    </w:numPr>
                    <w:rPr>
                      <w:sz w:val="20"/>
                      <w:szCs w:val="20"/>
                    </w:rPr>
                  </w:pPr>
                  <w:r>
                    <w:rPr>
                      <w:sz w:val="20"/>
                      <w:szCs w:val="20"/>
                    </w:rPr>
                    <w:t xml:space="preserve">Will be scheduled to work one full weekend every three months (Saturday &amp; Sunday or Friday &amp; Saturday), if weekend shifts are </w:t>
                  </w:r>
                  <w:proofErr w:type="gramStart"/>
                  <w:r>
                    <w:rPr>
                      <w:sz w:val="20"/>
                      <w:szCs w:val="20"/>
                    </w:rPr>
                    <w:t>available/open</w:t>
                  </w:r>
                  <w:proofErr w:type="gramEnd"/>
                  <w:r>
                    <w:rPr>
                      <w:sz w:val="20"/>
                      <w:szCs w:val="20"/>
                    </w:rPr>
                    <w:t xml:space="preserve">. </w:t>
                  </w:r>
                </w:p>
                <w:p w:rsidR="002B5F5B" w:rsidRDefault="002B5F5B" w:rsidP="00D33820">
                  <w:pPr>
                    <w:pStyle w:val="Default"/>
                    <w:numPr>
                      <w:ilvl w:val="0"/>
                      <w:numId w:val="16"/>
                    </w:numPr>
                    <w:rPr>
                      <w:sz w:val="20"/>
                      <w:szCs w:val="20"/>
                    </w:rPr>
                  </w:pPr>
                  <w:r>
                    <w:rPr>
                      <w:sz w:val="20"/>
                      <w:szCs w:val="20"/>
                    </w:rPr>
                    <w:t xml:space="preserve">Must be flexible with availability in order to cover short notice needs such as sick calls, vacations, etc. If employee declines multiple shift requests (not including short notice requests) in a row, management will review employment status. </w:t>
                  </w:r>
                </w:p>
                <w:p w:rsidR="002B5F5B" w:rsidRDefault="002B5F5B" w:rsidP="00D33820">
                  <w:pPr>
                    <w:pStyle w:val="Default"/>
                    <w:numPr>
                      <w:ilvl w:val="0"/>
                      <w:numId w:val="16"/>
                    </w:numPr>
                    <w:rPr>
                      <w:sz w:val="20"/>
                      <w:szCs w:val="20"/>
                    </w:rPr>
                  </w:pPr>
                  <w:r>
                    <w:rPr>
                      <w:sz w:val="20"/>
                      <w:szCs w:val="20"/>
                    </w:rPr>
                    <w:t xml:space="preserve">Will return management’s telephone calls within 24 hours. If confirmed for a shift, the employee is responsible to cover the shift. If an employee needs to be absent, departmental guidelines for shift coverage will be followed. </w:t>
                  </w:r>
                </w:p>
                <w:p w:rsidR="002B5F5B" w:rsidRDefault="002B5F5B" w:rsidP="00D33820">
                  <w:pPr>
                    <w:pStyle w:val="Default"/>
                    <w:rPr>
                      <w:sz w:val="20"/>
                      <w:szCs w:val="20"/>
                    </w:rPr>
                  </w:pPr>
                </w:p>
              </w:tc>
            </w:tr>
          </w:tbl>
          <w:p w:rsidR="006638DB" w:rsidRDefault="006638DB">
            <w:pPr>
              <w:jc w:val="left"/>
              <w:rPr>
                <w:rFonts w:ascii="Arial" w:hAnsi="Arial" w:cs="Arial"/>
                <w:iCs/>
                <w:color w:val="0000FF"/>
                <w:sz w:val="20"/>
              </w:rPr>
            </w:pPr>
          </w:p>
        </w:tc>
      </w:tr>
      <w:tr w:rsidR="006638DB" w:rsidTr="00D33820">
        <w:trPr>
          <w:cantSplit/>
        </w:trPr>
        <w:tc>
          <w:tcPr>
            <w:tcW w:w="1800" w:type="dxa"/>
            <w:tcBorders>
              <w:top w:val="nil"/>
              <w:left w:val="nil"/>
              <w:bottom w:val="nil"/>
              <w:right w:val="nil"/>
            </w:tcBorders>
          </w:tcPr>
          <w:p w:rsidR="006638DB" w:rsidRDefault="006638DB">
            <w:pPr>
              <w:jc w:val="left"/>
              <w:rPr>
                <w:rFonts w:ascii="Arial" w:hAnsi="Arial" w:cs="Arial"/>
                <w:b/>
                <w:color w:val="0000FF"/>
              </w:rPr>
            </w:pPr>
          </w:p>
          <w:p w:rsidR="006638DB" w:rsidRDefault="006638DB">
            <w:pPr>
              <w:jc w:val="left"/>
              <w:rPr>
                <w:rFonts w:ascii="Arial" w:hAnsi="Arial" w:cs="Arial"/>
                <w:b/>
                <w:color w:val="0000FF"/>
              </w:rPr>
            </w:pPr>
            <w:r>
              <w:rPr>
                <w:rFonts w:ascii="Arial" w:hAnsi="Arial" w:cs="Arial"/>
                <w:b/>
                <w:color w:val="0000FF"/>
              </w:rPr>
              <w:t>Responsibility</w:t>
            </w:r>
          </w:p>
          <w:p w:rsidR="006638DB" w:rsidRDefault="006638DB">
            <w:pPr>
              <w:jc w:val="left"/>
              <w:rPr>
                <w:rFonts w:ascii="Arial" w:hAnsi="Arial" w:cs="Arial"/>
                <w:b/>
                <w:color w:val="0000FF"/>
              </w:rPr>
            </w:pPr>
          </w:p>
        </w:tc>
        <w:tc>
          <w:tcPr>
            <w:tcW w:w="9000" w:type="dxa"/>
            <w:gridSpan w:val="4"/>
            <w:tcBorders>
              <w:top w:val="single" w:sz="4" w:space="0" w:color="auto"/>
              <w:left w:val="nil"/>
              <w:bottom w:val="single" w:sz="4" w:space="0" w:color="auto"/>
              <w:right w:val="nil"/>
            </w:tcBorders>
          </w:tcPr>
          <w:p w:rsidR="006638DB" w:rsidRDefault="006638DB">
            <w:pPr>
              <w:jc w:val="left"/>
              <w:rPr>
                <w:rFonts w:ascii="Arial" w:hAnsi="Arial" w:cs="Arial"/>
                <w:sz w:val="20"/>
              </w:rPr>
            </w:pPr>
          </w:p>
          <w:p w:rsidR="006638DB" w:rsidRDefault="002B5F5B">
            <w:pPr>
              <w:jc w:val="left"/>
              <w:rPr>
                <w:rFonts w:ascii="Arial" w:hAnsi="Arial" w:cs="Arial"/>
                <w:sz w:val="20"/>
              </w:rPr>
            </w:pPr>
            <w:r>
              <w:rPr>
                <w:rFonts w:ascii="Arial" w:hAnsi="Arial" w:cs="Arial"/>
                <w:sz w:val="20"/>
              </w:rPr>
              <w:t>Casual Laboratory Staff</w:t>
            </w:r>
          </w:p>
          <w:p w:rsidR="006638DB" w:rsidRDefault="006638DB">
            <w:pPr>
              <w:jc w:val="left"/>
              <w:rPr>
                <w:rFonts w:ascii="Arial" w:hAnsi="Arial" w:cs="Arial"/>
                <w:sz w:val="20"/>
              </w:rPr>
            </w:pPr>
          </w:p>
        </w:tc>
      </w:tr>
      <w:tr w:rsidR="006638DB" w:rsidTr="00D33820">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0800" w:type="dxa"/>
            <w:gridSpan w:val="5"/>
            <w:tcBorders>
              <w:top w:val="nil"/>
              <w:left w:val="nil"/>
              <w:bottom w:val="nil"/>
              <w:right w:val="nil"/>
            </w:tcBorders>
          </w:tcPr>
          <w:p w:rsidR="006638DB" w:rsidRDefault="006638DB">
            <w:pPr>
              <w:rPr>
                <w:rFonts w:ascii="Arial" w:hAnsi="Arial" w:cs="Arial"/>
                <w:iCs/>
                <w:sz w:val="20"/>
              </w:rPr>
            </w:pPr>
          </w:p>
        </w:tc>
      </w:tr>
      <w:tr w:rsidR="006638DB" w:rsidTr="00D33820">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top w:val="nil"/>
              <w:left w:val="nil"/>
              <w:bottom w:val="nil"/>
              <w:right w:val="single" w:sz="4" w:space="0" w:color="auto"/>
            </w:tcBorders>
          </w:tcPr>
          <w:p w:rsidR="006638DB" w:rsidRDefault="006638DB">
            <w:pPr>
              <w:rPr>
                <w:rFonts w:ascii="Arial" w:hAnsi="Arial" w:cs="Arial"/>
                <w:b/>
                <w:bCs/>
                <w:color w:val="0000FF"/>
              </w:rPr>
            </w:pPr>
            <w:r>
              <w:rPr>
                <w:rFonts w:ascii="Arial" w:hAnsi="Arial" w:cs="Arial"/>
                <w:b/>
                <w:bCs/>
                <w:color w:val="0000FF"/>
              </w:rPr>
              <w:t>Historical Record</w:t>
            </w:r>
          </w:p>
        </w:tc>
        <w:tc>
          <w:tcPr>
            <w:tcW w:w="1080" w:type="dxa"/>
            <w:tcBorders>
              <w:top w:val="single" w:sz="4" w:space="0" w:color="auto"/>
              <w:left w:val="single" w:sz="4" w:space="0" w:color="auto"/>
              <w:bottom w:val="single" w:sz="4" w:space="0" w:color="auto"/>
              <w:right w:val="single" w:sz="4" w:space="0" w:color="auto"/>
            </w:tcBorders>
          </w:tcPr>
          <w:p w:rsidR="006638DB" w:rsidRDefault="006638DB">
            <w:pPr>
              <w:pStyle w:val="Header"/>
              <w:tabs>
                <w:tab w:val="clear" w:pos="4320"/>
                <w:tab w:val="clear" w:pos="8640"/>
              </w:tabs>
              <w:rPr>
                <w:rFonts w:ascii="Arial" w:hAnsi="Arial" w:cs="Arial"/>
                <w:b/>
                <w:bCs/>
                <w:iCs/>
                <w:sz w:val="20"/>
              </w:rPr>
            </w:pPr>
            <w:r>
              <w:rPr>
                <w:rFonts w:ascii="Arial" w:hAnsi="Arial" w:cs="Arial"/>
                <w:b/>
                <w:bCs/>
                <w:iCs/>
                <w:sz w:val="20"/>
              </w:rPr>
              <w:t>Version</w:t>
            </w:r>
          </w:p>
        </w:tc>
        <w:tc>
          <w:tcPr>
            <w:tcW w:w="2880" w:type="dxa"/>
            <w:tcBorders>
              <w:top w:val="single" w:sz="4" w:space="0" w:color="auto"/>
              <w:left w:val="single" w:sz="4" w:space="0" w:color="auto"/>
              <w:bottom w:val="single" w:sz="4" w:space="0" w:color="auto"/>
              <w:right w:val="single" w:sz="4" w:space="0" w:color="auto"/>
            </w:tcBorders>
          </w:tcPr>
          <w:p w:rsidR="006638DB" w:rsidRDefault="006638DB">
            <w:pPr>
              <w:rPr>
                <w:rFonts w:ascii="Arial" w:hAnsi="Arial" w:cs="Arial"/>
                <w:b/>
                <w:bCs/>
                <w:iCs/>
                <w:sz w:val="20"/>
              </w:rPr>
            </w:pPr>
            <w:r>
              <w:rPr>
                <w:rFonts w:ascii="Arial" w:hAnsi="Arial" w:cs="Arial"/>
                <w:b/>
                <w:bCs/>
                <w:iCs/>
                <w:sz w:val="20"/>
              </w:rPr>
              <w:t>Written/Revised by:</w:t>
            </w:r>
          </w:p>
        </w:tc>
        <w:tc>
          <w:tcPr>
            <w:tcW w:w="1440" w:type="dxa"/>
            <w:tcBorders>
              <w:top w:val="single" w:sz="4" w:space="0" w:color="auto"/>
              <w:left w:val="single" w:sz="4" w:space="0" w:color="auto"/>
              <w:bottom w:val="single" w:sz="4" w:space="0" w:color="auto"/>
              <w:right w:val="single" w:sz="4" w:space="0" w:color="auto"/>
            </w:tcBorders>
          </w:tcPr>
          <w:p w:rsidR="006638DB" w:rsidRDefault="006638DB">
            <w:pPr>
              <w:rPr>
                <w:rFonts w:ascii="Arial" w:hAnsi="Arial" w:cs="Arial"/>
                <w:b/>
                <w:bCs/>
                <w:iCs/>
                <w:sz w:val="20"/>
              </w:rPr>
            </w:pPr>
            <w:r>
              <w:rPr>
                <w:rFonts w:ascii="Arial" w:hAnsi="Arial" w:cs="Arial"/>
                <w:b/>
                <w:bCs/>
                <w:iCs/>
                <w:sz w:val="20"/>
              </w:rPr>
              <w:t>Effective Date:</w:t>
            </w:r>
          </w:p>
        </w:tc>
        <w:tc>
          <w:tcPr>
            <w:tcW w:w="3600" w:type="dxa"/>
            <w:tcBorders>
              <w:top w:val="single" w:sz="4" w:space="0" w:color="auto"/>
              <w:left w:val="single" w:sz="4" w:space="0" w:color="auto"/>
              <w:bottom w:val="single" w:sz="4" w:space="0" w:color="auto"/>
              <w:right w:val="single" w:sz="4" w:space="0" w:color="auto"/>
            </w:tcBorders>
          </w:tcPr>
          <w:p w:rsidR="006638DB" w:rsidRDefault="006638DB">
            <w:pPr>
              <w:rPr>
                <w:rFonts w:ascii="Arial" w:hAnsi="Arial" w:cs="Arial"/>
                <w:b/>
                <w:bCs/>
                <w:iCs/>
                <w:sz w:val="20"/>
              </w:rPr>
            </w:pPr>
            <w:r>
              <w:rPr>
                <w:rFonts w:ascii="Arial" w:hAnsi="Arial" w:cs="Arial"/>
                <w:b/>
                <w:bCs/>
                <w:iCs/>
                <w:sz w:val="20"/>
              </w:rPr>
              <w:t>Summary of Revisions</w:t>
            </w:r>
          </w:p>
        </w:tc>
      </w:tr>
      <w:tr w:rsidR="006638DB" w:rsidTr="0052558A">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6638DB" w:rsidRDefault="006638DB">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6638DB" w:rsidRDefault="006638DB">
            <w:pPr>
              <w:pStyle w:val="Header"/>
              <w:tabs>
                <w:tab w:val="clear" w:pos="4320"/>
                <w:tab w:val="clear" w:pos="8640"/>
              </w:tabs>
              <w:rPr>
                <w:rFonts w:ascii="Arial" w:hAnsi="Arial" w:cs="Arial"/>
                <w:iCs/>
                <w:sz w:val="20"/>
              </w:rPr>
            </w:pPr>
            <w:r>
              <w:rPr>
                <w:rFonts w:ascii="Arial" w:hAnsi="Arial" w:cs="Arial"/>
                <w:iCs/>
                <w:sz w:val="20"/>
              </w:rPr>
              <w:t>1</w:t>
            </w:r>
          </w:p>
        </w:tc>
        <w:tc>
          <w:tcPr>
            <w:tcW w:w="2880" w:type="dxa"/>
            <w:tcBorders>
              <w:top w:val="single" w:sz="4" w:space="0" w:color="auto"/>
              <w:left w:val="single" w:sz="4" w:space="0" w:color="auto"/>
              <w:bottom w:val="single" w:sz="4" w:space="0" w:color="auto"/>
              <w:right w:val="single" w:sz="4" w:space="0" w:color="auto"/>
            </w:tcBorders>
          </w:tcPr>
          <w:p w:rsidR="006638DB" w:rsidRDefault="002B5F5B">
            <w:pPr>
              <w:rPr>
                <w:rFonts w:ascii="Arial" w:hAnsi="Arial" w:cs="Arial"/>
                <w:sz w:val="20"/>
              </w:rPr>
            </w:pPr>
            <w:r>
              <w:rPr>
                <w:rFonts w:ascii="Arial" w:hAnsi="Arial" w:cs="Arial"/>
                <w:sz w:val="20"/>
              </w:rPr>
              <w:t xml:space="preserve">J. </w:t>
            </w:r>
            <w:proofErr w:type="spellStart"/>
            <w:r>
              <w:rPr>
                <w:rFonts w:ascii="Arial" w:hAnsi="Arial" w:cs="Arial"/>
                <w:sz w:val="20"/>
              </w:rPr>
              <w:t>Heimkes</w:t>
            </w:r>
            <w:proofErr w:type="spellEnd"/>
            <w:r>
              <w:rPr>
                <w:rFonts w:ascii="Arial" w:hAnsi="Arial" w:cs="Arial"/>
                <w:sz w:val="20"/>
              </w:rPr>
              <w:t xml:space="preserve"> &amp; L. </w:t>
            </w:r>
            <w:proofErr w:type="spellStart"/>
            <w:r>
              <w:rPr>
                <w:rFonts w:ascii="Arial" w:hAnsi="Arial" w:cs="Arial"/>
                <w:sz w:val="20"/>
              </w:rPr>
              <w:t>Kappenman</w:t>
            </w:r>
            <w:proofErr w:type="spellEnd"/>
          </w:p>
        </w:tc>
        <w:tc>
          <w:tcPr>
            <w:tcW w:w="1440" w:type="dxa"/>
            <w:tcBorders>
              <w:top w:val="single" w:sz="4" w:space="0" w:color="auto"/>
              <w:left w:val="single" w:sz="4" w:space="0" w:color="auto"/>
              <w:bottom w:val="single" w:sz="4" w:space="0" w:color="auto"/>
              <w:right w:val="single" w:sz="4" w:space="0" w:color="auto"/>
            </w:tcBorders>
          </w:tcPr>
          <w:p w:rsidR="006638DB" w:rsidRDefault="002B5F5B">
            <w:pPr>
              <w:rPr>
                <w:rFonts w:ascii="Arial" w:hAnsi="Arial" w:cs="Arial"/>
                <w:sz w:val="20"/>
              </w:rPr>
            </w:pPr>
            <w:r>
              <w:rPr>
                <w:rFonts w:ascii="Arial" w:hAnsi="Arial" w:cs="Arial"/>
                <w:sz w:val="20"/>
              </w:rPr>
              <w:t>11/09/2015</w:t>
            </w:r>
          </w:p>
        </w:tc>
        <w:tc>
          <w:tcPr>
            <w:tcW w:w="3600" w:type="dxa"/>
            <w:tcBorders>
              <w:top w:val="single" w:sz="4" w:space="0" w:color="auto"/>
              <w:left w:val="single" w:sz="4" w:space="0" w:color="auto"/>
              <w:bottom w:val="single" w:sz="4" w:space="0" w:color="auto"/>
              <w:right w:val="single" w:sz="4" w:space="0" w:color="auto"/>
            </w:tcBorders>
          </w:tcPr>
          <w:p w:rsidR="006638DB" w:rsidRDefault="006638DB">
            <w:pPr>
              <w:pStyle w:val="Header"/>
              <w:tabs>
                <w:tab w:val="clear" w:pos="4320"/>
                <w:tab w:val="clear" w:pos="8640"/>
              </w:tabs>
              <w:jc w:val="left"/>
              <w:rPr>
                <w:rFonts w:ascii="Arial" w:hAnsi="Arial" w:cs="Arial"/>
                <w:iCs/>
                <w:sz w:val="20"/>
              </w:rPr>
            </w:pPr>
            <w:r>
              <w:rPr>
                <w:rFonts w:ascii="Arial" w:hAnsi="Arial" w:cs="Arial"/>
                <w:iCs/>
                <w:sz w:val="20"/>
              </w:rPr>
              <w:t xml:space="preserve">Initial </w:t>
            </w:r>
          </w:p>
        </w:tc>
      </w:tr>
      <w:tr w:rsidR="0052558A" w:rsidTr="00D33820">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bottom w:val="nil"/>
              <w:right w:val="single" w:sz="4" w:space="0" w:color="auto"/>
            </w:tcBorders>
          </w:tcPr>
          <w:p w:rsidR="0052558A" w:rsidRDefault="0052558A">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52558A" w:rsidRDefault="0052558A">
            <w:pPr>
              <w:pStyle w:val="Header"/>
              <w:tabs>
                <w:tab w:val="clear" w:pos="4320"/>
                <w:tab w:val="clear" w:pos="8640"/>
              </w:tabs>
              <w:rPr>
                <w:rFonts w:ascii="Arial" w:hAnsi="Arial" w:cs="Arial"/>
                <w:iCs/>
                <w:sz w:val="20"/>
              </w:rPr>
            </w:pPr>
            <w:r>
              <w:rPr>
                <w:rFonts w:ascii="Arial" w:hAnsi="Arial" w:cs="Arial"/>
                <w:iCs/>
                <w:sz w:val="20"/>
              </w:rPr>
              <w:t>2</w:t>
            </w:r>
          </w:p>
        </w:tc>
        <w:tc>
          <w:tcPr>
            <w:tcW w:w="2880" w:type="dxa"/>
            <w:tcBorders>
              <w:top w:val="single" w:sz="4" w:space="0" w:color="auto"/>
              <w:left w:val="single" w:sz="4" w:space="0" w:color="auto"/>
              <w:bottom w:val="single" w:sz="4" w:space="0" w:color="auto"/>
              <w:right w:val="single" w:sz="4" w:space="0" w:color="auto"/>
            </w:tcBorders>
          </w:tcPr>
          <w:p w:rsidR="0052558A" w:rsidRDefault="0052558A">
            <w:pPr>
              <w:rPr>
                <w:rFonts w:ascii="Arial" w:hAnsi="Arial" w:cs="Arial"/>
                <w:sz w:val="20"/>
              </w:rPr>
            </w:pPr>
            <w:r>
              <w:rPr>
                <w:rFonts w:ascii="Arial" w:hAnsi="Arial" w:cs="Arial"/>
                <w:sz w:val="20"/>
              </w:rPr>
              <w:t xml:space="preserve">J. </w:t>
            </w:r>
            <w:proofErr w:type="spellStart"/>
            <w:r>
              <w:rPr>
                <w:rFonts w:ascii="Arial" w:hAnsi="Arial" w:cs="Arial"/>
                <w:sz w:val="20"/>
              </w:rPr>
              <w:t>Heimkes</w:t>
            </w:r>
            <w:proofErr w:type="spellEnd"/>
            <w:r>
              <w:rPr>
                <w:rFonts w:ascii="Arial" w:hAnsi="Arial" w:cs="Arial"/>
                <w:sz w:val="20"/>
              </w:rPr>
              <w:t xml:space="preserve"> &amp; L. </w:t>
            </w:r>
            <w:proofErr w:type="spellStart"/>
            <w:r>
              <w:rPr>
                <w:rFonts w:ascii="Arial" w:hAnsi="Arial" w:cs="Arial"/>
                <w:sz w:val="20"/>
              </w:rPr>
              <w:t>Kappenman</w:t>
            </w:r>
            <w:proofErr w:type="spellEnd"/>
          </w:p>
        </w:tc>
        <w:tc>
          <w:tcPr>
            <w:tcW w:w="1440" w:type="dxa"/>
            <w:tcBorders>
              <w:top w:val="single" w:sz="4" w:space="0" w:color="auto"/>
              <w:left w:val="single" w:sz="4" w:space="0" w:color="auto"/>
              <w:bottom w:val="single" w:sz="4" w:space="0" w:color="auto"/>
              <w:right w:val="single" w:sz="4" w:space="0" w:color="auto"/>
            </w:tcBorders>
          </w:tcPr>
          <w:p w:rsidR="0052558A" w:rsidRDefault="0052558A">
            <w:pPr>
              <w:rPr>
                <w:rFonts w:ascii="Arial" w:hAnsi="Arial" w:cs="Arial"/>
                <w:sz w:val="20"/>
              </w:rPr>
            </w:pPr>
            <w:r>
              <w:rPr>
                <w:rFonts w:ascii="Arial" w:hAnsi="Arial" w:cs="Arial"/>
                <w:sz w:val="20"/>
              </w:rPr>
              <w:t>4/16/2019</w:t>
            </w:r>
          </w:p>
        </w:tc>
        <w:tc>
          <w:tcPr>
            <w:tcW w:w="3600" w:type="dxa"/>
            <w:tcBorders>
              <w:top w:val="single" w:sz="4" w:space="0" w:color="auto"/>
              <w:left w:val="single" w:sz="4" w:space="0" w:color="auto"/>
              <w:bottom w:val="single" w:sz="4" w:space="0" w:color="auto"/>
              <w:right w:val="single" w:sz="4" w:space="0" w:color="auto"/>
            </w:tcBorders>
          </w:tcPr>
          <w:p w:rsidR="0052558A" w:rsidRDefault="007C4A1F">
            <w:pPr>
              <w:pStyle w:val="Header"/>
              <w:tabs>
                <w:tab w:val="clear" w:pos="4320"/>
                <w:tab w:val="clear" w:pos="8640"/>
              </w:tabs>
              <w:jc w:val="left"/>
              <w:rPr>
                <w:rFonts w:ascii="Arial" w:hAnsi="Arial" w:cs="Arial"/>
                <w:iCs/>
                <w:sz w:val="20"/>
              </w:rPr>
            </w:pPr>
            <w:r>
              <w:rPr>
                <w:rFonts w:ascii="Arial" w:hAnsi="Arial" w:cs="Arial"/>
                <w:iCs/>
                <w:sz w:val="20"/>
              </w:rPr>
              <w:t>Updated less than 4 shifts approval.</w:t>
            </w:r>
          </w:p>
        </w:tc>
      </w:tr>
    </w:tbl>
    <w:p w:rsidR="00FE76C2" w:rsidRDefault="00FE76C2">
      <w:pPr>
        <w:rPr>
          <w:rFonts w:ascii="Arial" w:hAnsi="Arial" w:cs="Arial"/>
        </w:rPr>
      </w:pPr>
    </w:p>
    <w:sectPr w:rsidR="00FE76C2" w:rsidSect="00B02593">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820" w:rsidRDefault="00D33820">
      <w:r>
        <w:separator/>
      </w:r>
    </w:p>
  </w:endnote>
  <w:endnote w:type="continuationSeparator" w:id="0">
    <w:p w:rsidR="00D33820" w:rsidRDefault="00D338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820" w:rsidRDefault="00A36A9F">
    <w:pPr>
      <w:pStyle w:val="Footer"/>
      <w:framePr w:wrap="around" w:vAnchor="text" w:hAnchor="margin" w:xAlign="right" w:y="1"/>
      <w:rPr>
        <w:rStyle w:val="PageNumber"/>
      </w:rPr>
    </w:pPr>
    <w:r>
      <w:rPr>
        <w:rStyle w:val="PageNumber"/>
      </w:rPr>
      <w:fldChar w:fldCharType="begin"/>
    </w:r>
    <w:r w:rsidR="00D33820">
      <w:rPr>
        <w:rStyle w:val="PageNumber"/>
      </w:rPr>
      <w:instrText xml:space="preserve">PAGE  </w:instrText>
    </w:r>
    <w:r>
      <w:rPr>
        <w:rStyle w:val="PageNumber"/>
      </w:rPr>
      <w:fldChar w:fldCharType="end"/>
    </w:r>
  </w:p>
  <w:p w:rsidR="00D33820" w:rsidRDefault="00D3382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820" w:rsidRDefault="00D33820">
    <w:pPr>
      <w:ind w:left="-720" w:right="360"/>
      <w:rPr>
        <w:rFonts w:ascii="Arial" w:hAnsi="Arial" w:cs="Arial"/>
        <w:sz w:val="16"/>
      </w:rPr>
    </w:pPr>
    <w:r>
      <w:rPr>
        <w:rFonts w:ascii="Arial" w:hAnsi="Arial" w:cs="Arial"/>
        <w:sz w:val="16"/>
      </w:rPr>
      <w:t>Children’s Hospitals and Clinics of Minnesota Laboratory, Minneapolis/St. Paul, MN</w:t>
    </w:r>
  </w:p>
  <w:p w:rsidR="00D33820" w:rsidRDefault="00D33820">
    <w:pPr>
      <w:ind w:left="-720" w:right="360"/>
      <w:rPr>
        <w:rFonts w:ascii="Arial" w:hAnsi="Arial" w:cs="Arial"/>
        <w:sz w:val="16"/>
      </w:rPr>
    </w:pPr>
    <w:r>
      <w:rPr>
        <w:rFonts w:ascii="Arial" w:hAnsi="Arial" w:cs="Arial"/>
        <w:sz w:val="16"/>
      </w:rPr>
      <w:t xml:space="preserve">Page </w:t>
    </w:r>
    <w:r w:rsidR="00A36A9F">
      <w:rPr>
        <w:rFonts w:ascii="Arial" w:hAnsi="Arial" w:cs="Arial"/>
        <w:sz w:val="16"/>
      </w:rPr>
      <w:fldChar w:fldCharType="begin"/>
    </w:r>
    <w:r>
      <w:rPr>
        <w:rFonts w:ascii="Arial" w:hAnsi="Arial" w:cs="Arial"/>
        <w:sz w:val="16"/>
      </w:rPr>
      <w:instrText xml:space="preserve"> PAGE </w:instrText>
    </w:r>
    <w:r w:rsidR="00A36A9F">
      <w:rPr>
        <w:rFonts w:ascii="Arial" w:hAnsi="Arial" w:cs="Arial"/>
        <w:sz w:val="16"/>
      </w:rPr>
      <w:fldChar w:fldCharType="separate"/>
    </w:r>
    <w:r w:rsidR="00B732A8">
      <w:rPr>
        <w:rFonts w:ascii="Arial" w:hAnsi="Arial" w:cs="Arial"/>
        <w:noProof/>
        <w:sz w:val="16"/>
      </w:rPr>
      <w:t>1</w:t>
    </w:r>
    <w:r w:rsidR="00A36A9F">
      <w:rPr>
        <w:rFonts w:ascii="Arial" w:hAnsi="Arial" w:cs="Arial"/>
        <w:sz w:val="16"/>
      </w:rPr>
      <w:fldChar w:fldCharType="end"/>
    </w:r>
    <w:r>
      <w:rPr>
        <w:rFonts w:ascii="Arial" w:hAnsi="Arial" w:cs="Arial"/>
        <w:sz w:val="16"/>
      </w:rPr>
      <w:t xml:space="preserve"> of </w:t>
    </w:r>
    <w:r w:rsidR="00A36A9F">
      <w:rPr>
        <w:rFonts w:ascii="Arial" w:hAnsi="Arial" w:cs="Arial"/>
        <w:sz w:val="16"/>
      </w:rPr>
      <w:fldChar w:fldCharType="begin"/>
    </w:r>
    <w:r>
      <w:rPr>
        <w:rFonts w:ascii="Arial" w:hAnsi="Arial" w:cs="Arial"/>
        <w:sz w:val="16"/>
      </w:rPr>
      <w:instrText xml:space="preserve"> NUMPAGES </w:instrText>
    </w:r>
    <w:r w:rsidR="00A36A9F">
      <w:rPr>
        <w:rFonts w:ascii="Arial" w:hAnsi="Arial" w:cs="Arial"/>
        <w:sz w:val="16"/>
      </w:rPr>
      <w:fldChar w:fldCharType="separate"/>
    </w:r>
    <w:r w:rsidR="00B732A8">
      <w:rPr>
        <w:rFonts w:ascii="Arial" w:hAnsi="Arial" w:cs="Arial"/>
        <w:noProof/>
        <w:sz w:val="16"/>
      </w:rPr>
      <w:t>1</w:t>
    </w:r>
    <w:r w:rsidR="00A36A9F">
      <w:rPr>
        <w:rFonts w:ascii="Arial" w:hAnsi="Arial" w:cs="Arial"/>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DD1" w:rsidRDefault="00A37D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820" w:rsidRDefault="00D33820">
      <w:r>
        <w:separator/>
      </w:r>
    </w:p>
  </w:footnote>
  <w:footnote w:type="continuationSeparator" w:id="0">
    <w:p w:rsidR="00D33820" w:rsidRDefault="00D338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DD1" w:rsidRDefault="00A37D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820" w:rsidRDefault="00D33820">
    <w:pPr>
      <w:ind w:left="-720"/>
      <w:rPr>
        <w:rFonts w:ascii="Arial" w:hAnsi="Arial" w:cs="Arial"/>
        <w:bCs/>
        <w:sz w:val="18"/>
      </w:rPr>
    </w:pPr>
    <w:r>
      <w:rPr>
        <w:noProof/>
      </w:rPr>
      <w:drawing>
        <wp:anchor distT="0" distB="0" distL="114300" distR="114300" simplePos="0" relativeHeight="251658240" behindDoc="0" locked="0" layoutInCell="1" allowOverlap="1">
          <wp:simplePos x="0" y="0"/>
          <wp:positionH relativeFrom="column">
            <wp:posOffset>4611370</wp:posOffset>
          </wp:positionH>
          <wp:positionV relativeFrom="paragraph">
            <wp:posOffset>24130</wp:posOffset>
          </wp:positionV>
          <wp:extent cx="1192530" cy="384175"/>
          <wp:effectExtent l="0" t="0" r="0" b="0"/>
          <wp:wrapNone/>
          <wp:docPr id="8" name="Picture 8" descr="SM-Childrens-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M-Childrens-logo_201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2530" cy="384175"/>
                  </a:xfrm>
                  <a:prstGeom prst="rect">
                    <a:avLst/>
                  </a:prstGeom>
                  <a:noFill/>
                  <a:ln>
                    <a:noFill/>
                  </a:ln>
                </pic:spPr>
              </pic:pic>
            </a:graphicData>
          </a:graphic>
        </wp:anchor>
      </w:drawing>
    </w:r>
    <w:r>
      <w:rPr>
        <w:rFonts w:ascii="Arial" w:hAnsi="Arial" w:cs="Arial"/>
        <w:bCs/>
        <w:iCs/>
        <w:noProof/>
        <w:sz w:val="18"/>
      </w:rPr>
      <w:t>GL 2.7 Casual Laboratory Staff</w:t>
    </w:r>
  </w:p>
  <w:p w:rsidR="00D33820" w:rsidRDefault="00D33820">
    <w:pPr>
      <w:pStyle w:val="Header"/>
      <w:ind w:left="-720"/>
      <w:rPr>
        <w:rFonts w:ascii="Arial" w:hAnsi="Arial" w:cs="Arial"/>
        <w:bCs/>
        <w:sz w:val="18"/>
      </w:rPr>
    </w:pPr>
    <w:r>
      <w:rPr>
        <w:rFonts w:ascii="Arial" w:hAnsi="Arial" w:cs="Arial"/>
        <w:bCs/>
        <w:sz w:val="18"/>
      </w:rPr>
      <w:t>Version #</w:t>
    </w:r>
    <w:r w:rsidR="00A37DD1">
      <w:rPr>
        <w:rFonts w:ascii="Arial" w:hAnsi="Arial" w:cs="Arial"/>
        <w:bCs/>
        <w:sz w:val="18"/>
      </w:rPr>
      <w:t>2</w:t>
    </w:r>
  </w:p>
  <w:p w:rsidR="00D33820" w:rsidRDefault="00D33820">
    <w:pPr>
      <w:pStyle w:val="Header"/>
      <w:ind w:left="-720"/>
      <w:rPr>
        <w:b/>
        <w:sz w:val="18"/>
        <w:szCs w:val="26"/>
      </w:rPr>
    </w:pPr>
    <w:r>
      <w:rPr>
        <w:rFonts w:ascii="Arial" w:hAnsi="Arial" w:cs="Arial"/>
        <w:bCs/>
        <w:sz w:val="18"/>
      </w:rPr>
      <w:t xml:space="preserve">Effective Date: </w:t>
    </w:r>
    <w:r w:rsidR="00A37DD1">
      <w:rPr>
        <w:rFonts w:ascii="Arial" w:hAnsi="Arial" w:cs="Arial"/>
        <w:bCs/>
        <w:sz w:val="18"/>
      </w:rPr>
      <w:t>04</w:t>
    </w:r>
    <w:r>
      <w:rPr>
        <w:rFonts w:ascii="Arial" w:hAnsi="Arial" w:cs="Arial"/>
        <w:bCs/>
        <w:sz w:val="18"/>
      </w:rPr>
      <w:t>/</w:t>
    </w:r>
    <w:r w:rsidR="00A37DD1">
      <w:rPr>
        <w:rFonts w:ascii="Arial" w:hAnsi="Arial" w:cs="Arial"/>
        <w:bCs/>
        <w:sz w:val="18"/>
      </w:rPr>
      <w:t>16</w:t>
    </w:r>
    <w:r>
      <w:rPr>
        <w:rFonts w:ascii="Arial" w:hAnsi="Arial" w:cs="Arial"/>
        <w:bCs/>
        <w:sz w:val="18"/>
      </w:rPr>
      <w:t>/201</w:t>
    </w:r>
    <w:r w:rsidR="00A37DD1">
      <w:rPr>
        <w:rFonts w:ascii="Arial" w:hAnsi="Arial" w:cs="Arial"/>
        <w:bCs/>
        <w:sz w:val="18"/>
      </w:rPr>
      <w:t>9</w:t>
    </w:r>
  </w:p>
  <w:p w:rsidR="00D33820" w:rsidRDefault="00A36A9F">
    <w:pPr>
      <w:pStyle w:val="Header"/>
      <w:jc w:val="center"/>
      <w:rPr>
        <w:b/>
        <w:sz w:val="26"/>
        <w:szCs w:val="26"/>
      </w:rPr>
    </w:pPr>
    <w:r w:rsidRPr="00A36A9F">
      <w:rPr>
        <w:noProof/>
      </w:rPr>
      <w:pict>
        <v:shapetype id="_x0000_t202" coordsize="21600,21600" o:spt="202" path="m,l,21600r21600,l21600,xe">
          <v:stroke joinstyle="miter"/>
          <v:path gradientshapeok="t" o:connecttype="rect"/>
        </v:shapetype>
        <v:shape id="WordArt 3" o:spid="_x0000_s5121" type="#_x0000_t202" style="position:absolute;left:0;text-align:left;margin-left:88.25pt;margin-top:122.5pt;width:269.15pt;height:180.7pt;rotation:-1927729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" filled="f" stroked="f">
          <o:lock v:ext="edit" text="t" shapetype="t"/>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DD1" w:rsidRDefault="00A37D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F162E4"/>
    <w:multiLevelType w:val="hybridMultilevel"/>
    <w:tmpl w:val="33C0DE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3C91F50"/>
    <w:multiLevelType w:val="hybridMultilevel"/>
    <w:tmpl w:val="CD68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CA3745"/>
    <w:multiLevelType w:val="hybridMultilevel"/>
    <w:tmpl w:val="17DEE78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C042E6"/>
    <w:multiLevelType w:val="hybridMultilevel"/>
    <w:tmpl w:val="41FCD6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D924522"/>
    <w:multiLevelType w:val="hybridMultilevel"/>
    <w:tmpl w:val="C3D670F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55C3D4F"/>
    <w:multiLevelType w:val="hybridMultilevel"/>
    <w:tmpl w:val="97CACF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707453C8"/>
    <w:multiLevelType w:val="hybridMultilevel"/>
    <w:tmpl w:val="C3761B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7580777C"/>
    <w:multiLevelType w:val="hybridMultilevel"/>
    <w:tmpl w:val="2EF6EF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9"/>
  </w:num>
  <w:num w:numId="3">
    <w:abstractNumId w:val="14"/>
  </w:num>
  <w:num w:numId="4">
    <w:abstractNumId w:val="2"/>
  </w:num>
  <w:num w:numId="5">
    <w:abstractNumId w:val="1"/>
  </w:num>
  <w:num w:numId="6">
    <w:abstractNumId w:val="10"/>
  </w:num>
  <w:num w:numId="7">
    <w:abstractNumId w:val="3"/>
  </w:num>
  <w:num w:numId="8">
    <w:abstractNumId w:val="12"/>
  </w:num>
  <w:num w:numId="9">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10">
    <w:abstractNumId w:val="8"/>
  </w:num>
  <w:num w:numId="11">
    <w:abstractNumId w:val="4"/>
  </w:num>
  <w:num w:numId="12">
    <w:abstractNumId w:val="7"/>
  </w:num>
  <w:num w:numId="13">
    <w:abstractNumId w:val="15"/>
  </w:num>
  <w:num w:numId="14">
    <w:abstractNumId w:val="13"/>
  </w:num>
  <w:num w:numId="15">
    <w:abstractNumId w:val="6"/>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5122">
      <o:colormenu v:ext="edit" strokecolor="gray"/>
    </o:shapedefaults>
    <o:shapelayout v:ext="edit">
      <o:idmap v:ext="edit" data="5"/>
    </o:shapelayout>
  </w:hdrShapeDefaults>
  <w:footnotePr>
    <w:footnote w:id="-1"/>
    <w:footnote w:id="0"/>
  </w:footnotePr>
  <w:endnotePr>
    <w:endnote w:id="-1"/>
    <w:endnote w:id="0"/>
  </w:endnotePr>
  <w:compat/>
  <w:rsids>
    <w:rsidRoot w:val="00FE76C2"/>
    <w:rsid w:val="002B5F5B"/>
    <w:rsid w:val="0052558A"/>
    <w:rsid w:val="005D26C1"/>
    <w:rsid w:val="006638DB"/>
    <w:rsid w:val="007C4A1F"/>
    <w:rsid w:val="00812CE8"/>
    <w:rsid w:val="00997C8B"/>
    <w:rsid w:val="00A36A9F"/>
    <w:rsid w:val="00A37DD1"/>
    <w:rsid w:val="00AE5115"/>
    <w:rsid w:val="00B02593"/>
    <w:rsid w:val="00B64BC2"/>
    <w:rsid w:val="00B732A8"/>
    <w:rsid w:val="00CE2DDB"/>
    <w:rsid w:val="00D26D1D"/>
    <w:rsid w:val="00D33820"/>
    <w:rsid w:val="00D82E5C"/>
    <w:rsid w:val="00F56211"/>
    <w:rsid w:val="00F9114A"/>
    <w:rsid w:val="00FE76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enu v:ext="edit" strokecolor="gray"/>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593"/>
    <w:pPr>
      <w:jc w:val="both"/>
    </w:pPr>
    <w:rPr>
      <w:sz w:val="22"/>
      <w:szCs w:val="24"/>
    </w:rPr>
  </w:style>
  <w:style w:type="paragraph" w:styleId="Heading1">
    <w:name w:val="heading 1"/>
    <w:basedOn w:val="Normal"/>
    <w:next w:val="Normal"/>
    <w:qFormat/>
    <w:rsid w:val="00B02593"/>
    <w:pPr>
      <w:keepNext/>
      <w:numPr>
        <w:numId w:val="5"/>
      </w:numPr>
      <w:outlineLvl w:val="0"/>
    </w:pPr>
    <w:rPr>
      <w:rFonts w:cs="Arial"/>
      <w:b/>
      <w:bCs/>
      <w:kern w:val="32"/>
      <w:sz w:val="26"/>
      <w:szCs w:val="32"/>
    </w:rPr>
  </w:style>
  <w:style w:type="paragraph" w:styleId="Heading2">
    <w:name w:val="heading 2"/>
    <w:basedOn w:val="Normal"/>
    <w:next w:val="Normal"/>
    <w:qFormat/>
    <w:rsid w:val="00B02593"/>
    <w:pPr>
      <w:keepNext/>
      <w:numPr>
        <w:ilvl w:val="1"/>
        <w:numId w:val="5"/>
      </w:numPr>
      <w:outlineLvl w:val="1"/>
    </w:pPr>
    <w:rPr>
      <w:rFonts w:cs="Arial"/>
      <w:b/>
      <w:bCs/>
      <w:iCs/>
      <w:sz w:val="24"/>
      <w:szCs w:val="28"/>
    </w:rPr>
  </w:style>
  <w:style w:type="paragraph" w:styleId="Heading3">
    <w:name w:val="heading 3"/>
    <w:basedOn w:val="Normal"/>
    <w:next w:val="Normal"/>
    <w:qFormat/>
    <w:rsid w:val="00B02593"/>
    <w:pPr>
      <w:keepNext/>
      <w:numPr>
        <w:ilvl w:val="2"/>
        <w:numId w:val="5"/>
      </w:numPr>
      <w:outlineLvl w:val="2"/>
    </w:pPr>
    <w:rPr>
      <w:rFonts w:cs="Arial"/>
      <w:b/>
      <w:bCs/>
      <w:szCs w:val="26"/>
    </w:rPr>
  </w:style>
  <w:style w:type="paragraph" w:styleId="Heading4">
    <w:name w:val="heading 4"/>
    <w:aliases w:val="Map Title"/>
    <w:basedOn w:val="Normal"/>
    <w:next w:val="Normal"/>
    <w:qFormat/>
    <w:rsid w:val="00B02593"/>
    <w:pPr>
      <w:keepNext/>
      <w:numPr>
        <w:ilvl w:val="3"/>
        <w:numId w:val="5"/>
      </w:numPr>
      <w:outlineLvl w:val="3"/>
    </w:pPr>
    <w:rPr>
      <w:bCs/>
      <w:szCs w:val="28"/>
    </w:rPr>
  </w:style>
  <w:style w:type="paragraph" w:styleId="Heading5">
    <w:name w:val="heading 5"/>
    <w:aliases w:val="Block Label"/>
    <w:basedOn w:val="Normal"/>
    <w:next w:val="Normal"/>
    <w:qFormat/>
    <w:rsid w:val="00B02593"/>
    <w:pPr>
      <w:keepNext/>
      <w:numPr>
        <w:ilvl w:val="4"/>
        <w:numId w:val="5"/>
      </w:numPr>
      <w:spacing w:before="20"/>
      <w:outlineLvl w:val="4"/>
    </w:pPr>
  </w:style>
  <w:style w:type="paragraph" w:styleId="Heading6">
    <w:name w:val="heading 6"/>
    <w:basedOn w:val="Normal"/>
    <w:next w:val="Normal"/>
    <w:qFormat/>
    <w:rsid w:val="00B02593"/>
    <w:pPr>
      <w:keepNext/>
      <w:numPr>
        <w:ilvl w:val="5"/>
        <w:numId w:val="5"/>
      </w:numPr>
      <w:outlineLvl w:val="5"/>
    </w:pPr>
    <w:rPr>
      <w:b/>
      <w:bCs/>
      <w:sz w:val="18"/>
    </w:rPr>
  </w:style>
  <w:style w:type="paragraph" w:styleId="Heading7">
    <w:name w:val="heading 7"/>
    <w:basedOn w:val="Normal"/>
    <w:next w:val="Normal"/>
    <w:qFormat/>
    <w:rsid w:val="00B02593"/>
    <w:pPr>
      <w:keepNext/>
      <w:numPr>
        <w:ilvl w:val="6"/>
        <w:numId w:val="5"/>
      </w:numPr>
      <w:outlineLvl w:val="6"/>
    </w:pPr>
    <w:rPr>
      <w:sz w:val="28"/>
    </w:rPr>
  </w:style>
  <w:style w:type="paragraph" w:styleId="Heading8">
    <w:name w:val="heading 8"/>
    <w:basedOn w:val="Normal"/>
    <w:next w:val="Normal"/>
    <w:qFormat/>
    <w:rsid w:val="00B02593"/>
    <w:pPr>
      <w:keepNext/>
      <w:numPr>
        <w:ilvl w:val="7"/>
        <w:numId w:val="5"/>
      </w:numPr>
      <w:jc w:val="center"/>
      <w:outlineLvl w:val="7"/>
    </w:pPr>
    <w:rPr>
      <w:b/>
      <w:bCs/>
    </w:rPr>
  </w:style>
  <w:style w:type="paragraph" w:styleId="Heading9">
    <w:name w:val="heading 9"/>
    <w:basedOn w:val="Normal"/>
    <w:next w:val="Normal"/>
    <w:qFormat/>
    <w:rsid w:val="00B02593"/>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02593"/>
    <w:rPr>
      <w:bCs/>
      <w:iCs/>
      <w:color w:val="000000"/>
    </w:rPr>
  </w:style>
  <w:style w:type="paragraph" w:styleId="Header">
    <w:name w:val="header"/>
    <w:basedOn w:val="Normal"/>
    <w:semiHidden/>
    <w:rsid w:val="00B02593"/>
    <w:pPr>
      <w:tabs>
        <w:tab w:val="center" w:pos="4320"/>
        <w:tab w:val="right" w:pos="8640"/>
      </w:tabs>
    </w:pPr>
  </w:style>
  <w:style w:type="paragraph" w:styleId="List">
    <w:name w:val="List"/>
    <w:basedOn w:val="Normal"/>
    <w:semiHidden/>
    <w:rsid w:val="00B02593"/>
    <w:pPr>
      <w:ind w:left="360" w:hanging="360"/>
    </w:pPr>
  </w:style>
  <w:style w:type="paragraph" w:styleId="Title">
    <w:name w:val="Title"/>
    <w:basedOn w:val="Normal"/>
    <w:qFormat/>
    <w:rsid w:val="00B02593"/>
    <w:pPr>
      <w:spacing w:before="240" w:after="60"/>
      <w:jc w:val="center"/>
    </w:pPr>
    <w:rPr>
      <w:rFonts w:cs="Arial"/>
      <w:b/>
      <w:bCs/>
      <w:kern w:val="28"/>
      <w:sz w:val="28"/>
      <w:szCs w:val="32"/>
    </w:rPr>
  </w:style>
  <w:style w:type="paragraph" w:styleId="BodyText2">
    <w:name w:val="Body Text 2"/>
    <w:basedOn w:val="Normal"/>
    <w:semiHidden/>
    <w:rsid w:val="00B02593"/>
    <w:pPr>
      <w:jc w:val="left"/>
    </w:pPr>
    <w:rPr>
      <w:b/>
      <w:bCs/>
      <w:color w:val="0000FF"/>
    </w:rPr>
  </w:style>
  <w:style w:type="paragraph" w:styleId="Footer">
    <w:name w:val="footer"/>
    <w:basedOn w:val="Normal"/>
    <w:semiHidden/>
    <w:rsid w:val="00B02593"/>
    <w:pPr>
      <w:tabs>
        <w:tab w:val="center" w:pos="4320"/>
        <w:tab w:val="right" w:pos="8640"/>
      </w:tabs>
    </w:pPr>
  </w:style>
  <w:style w:type="character" w:styleId="FootnoteReference">
    <w:name w:val="footnote reference"/>
    <w:basedOn w:val="DefaultParagraphFont"/>
    <w:semiHidden/>
    <w:rsid w:val="00B02593"/>
    <w:rPr>
      <w:rFonts w:ascii="Times New Roman" w:hAnsi="Times New Roman"/>
      <w:sz w:val="18"/>
      <w:vertAlign w:val="superscript"/>
    </w:rPr>
  </w:style>
  <w:style w:type="paragraph" w:customStyle="1" w:styleId="Heading">
    <w:name w:val="Heading"/>
    <w:basedOn w:val="Heading1"/>
    <w:next w:val="Normal"/>
    <w:rsid w:val="00B02593"/>
    <w:pPr>
      <w:numPr>
        <w:numId w:val="0"/>
      </w:numPr>
    </w:pPr>
  </w:style>
  <w:style w:type="paragraph" w:customStyle="1" w:styleId="TableText">
    <w:name w:val="Table Text"/>
    <w:basedOn w:val="Normal"/>
    <w:rsid w:val="00B02593"/>
    <w:pPr>
      <w:autoSpaceDE w:val="0"/>
      <w:autoSpaceDN w:val="0"/>
      <w:jc w:val="left"/>
    </w:pPr>
    <w:rPr>
      <w:sz w:val="20"/>
    </w:rPr>
  </w:style>
  <w:style w:type="paragraph" w:customStyle="1" w:styleId="TableHeaderText">
    <w:name w:val="Table Header Text"/>
    <w:basedOn w:val="TableText"/>
    <w:rsid w:val="00B02593"/>
    <w:pPr>
      <w:jc w:val="center"/>
    </w:pPr>
    <w:rPr>
      <w:b/>
      <w:bCs/>
    </w:rPr>
  </w:style>
  <w:style w:type="paragraph" w:styleId="BodyText3">
    <w:name w:val="Body Text 3"/>
    <w:basedOn w:val="Normal"/>
    <w:semiHidden/>
    <w:rsid w:val="00B02593"/>
    <w:rPr>
      <w:b/>
      <w:color w:val="0000FF"/>
    </w:rPr>
  </w:style>
  <w:style w:type="paragraph" w:customStyle="1" w:styleId="Sec2Hdr1">
    <w:name w:val="Sec2 Hdr1"/>
    <w:rsid w:val="00B02593"/>
    <w:pPr>
      <w:widowControl w:val="0"/>
      <w:pBdr>
        <w:bottom w:val="single" w:sz="2"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768" w:lineRule="atLeast"/>
    </w:pPr>
    <w:rPr>
      <w:rFonts w:ascii="Helvetica-Narrow" w:hAnsi="Helvetica-Narrow"/>
      <w:b/>
      <w:bCs/>
      <w:sz w:val="48"/>
      <w:szCs w:val="48"/>
    </w:rPr>
  </w:style>
  <w:style w:type="character" w:styleId="Hyperlink">
    <w:name w:val="Hyperlink"/>
    <w:basedOn w:val="DefaultParagraphFont"/>
    <w:semiHidden/>
    <w:rsid w:val="00B02593"/>
    <w:rPr>
      <w:color w:val="0000FF"/>
      <w:u w:val="single"/>
    </w:rPr>
  </w:style>
  <w:style w:type="character" w:styleId="FollowedHyperlink">
    <w:name w:val="FollowedHyperlink"/>
    <w:basedOn w:val="DefaultParagraphFont"/>
    <w:semiHidden/>
    <w:rsid w:val="00B02593"/>
    <w:rPr>
      <w:color w:val="800080"/>
      <w:u w:val="single"/>
    </w:rPr>
  </w:style>
  <w:style w:type="character" w:styleId="PageNumber">
    <w:name w:val="page number"/>
    <w:basedOn w:val="DefaultParagraphFont"/>
    <w:semiHidden/>
    <w:rsid w:val="00B02593"/>
  </w:style>
  <w:style w:type="paragraph" w:customStyle="1" w:styleId="Default">
    <w:name w:val="Default"/>
    <w:rsid w:val="002B5F5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D82E5C"/>
    <w:rPr>
      <w:rFonts w:ascii="Tahoma" w:hAnsi="Tahoma" w:cs="Tahoma"/>
      <w:sz w:val="16"/>
      <w:szCs w:val="16"/>
    </w:rPr>
  </w:style>
  <w:style w:type="character" w:customStyle="1" w:styleId="BalloonTextChar">
    <w:name w:val="Balloon Text Char"/>
    <w:basedOn w:val="DefaultParagraphFont"/>
    <w:link w:val="BalloonText"/>
    <w:uiPriority w:val="99"/>
    <w:semiHidden/>
    <w:rsid w:val="00D82E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Related_x0020_Documents xmlns="199f0838-75a6-4f0c-9be1-f2c07140bccc" xsi:nil="true"/>
    <WFStatus xmlns="199f0838-75a6-4f0c-9be1-f2c07140bccc">Approved</WFStatus>
    <Renewal_x0020_Date xmlns="199f0838-75a6-4f0c-9be1-f2c07140bccc">2017-07-09T05:00:00+00:00</Renewal_x0020_Date>
    <Legacy_x0020_Name xmlns="199f0838-75a6-4f0c-9be1-f2c07140bccc">QP_6.10.f2_Policy_Template.dot</Legacy_x0020_Name>
    <Publish_x0020_As xmlns="199f0838-75a6-4f0c-9be1-f2c07140bccc">Form</Publish_x0020_As>
    <Legacy_x0020_Document_x0020_ID xmlns="199f0838-75a6-4f0c-9be1-f2c07140bccc">199362</Legacy_x0020_Document_x0020_ID>
    <CHC_x0020_Approval_x0020_Workflow_x0028_1_x0029_0 xmlns="c1848e11-9cf6-4ce4-877e-6837d2c2fa23">
      <Url xsi:nil="true"/>
      <Description xsi:nil="true"/>
    </CHC_x0020_Approval_x0020_Workflow_x0028_1_x0029_0>
    <CategoryDescription xmlns="http://schemas.microsoft.com/sharepoint.v3" xsi:nil="true"/>
    <_dlc_DocId xmlns="199f0838-75a6-4f0c-9be1-f2c07140bccc">F6TN54CWY5RS-50183619-29806</_dlc_DocId>
    <_Version xmlns="http://schemas.microsoft.com/sharepoint/v3/fields">5</_Version>
    <Meta_x0020_Tag_x0020_Keywords xmlns="199f0838-75a6-4f0c-9be1-f2c07140bccc" xsi:nil="true"/>
    <Study_x0020_Status xmlns="c1848e11-9cf6-4ce4-877e-6837d2c2fa23" xsi:nil="true"/>
    <_dlc_DocIdUrl xmlns="199f0838-75a6-4f0c-9be1-f2c07140bccc">
      <Url>http://vcpsharepoint2/references/_layouts/15/DocIdRedir.aspx?ID=F6TN54CWY5RS-50183619-29806</Url>
      <Description>F6TN54CWY5RS-50183619-29806</Description>
    </_dlc_DocIdUrl>
    <Meta_x0020_Page_x0020_Description xmlns="199f0838-75a6-4f0c-9be1-f2c07140bccc" xsi:nil="true"/>
    <CHC_x0020_Approval_x0020_Workflow xmlns="c1848e11-9cf6-4ce4-877e-6837d2c2fa23">
      <Url xsi:nil="true"/>
      <Description xsi:nil="true"/>
    </CHC_x0020_Approval_x0020_Workflow>
    <dCategory xmlns="http://schemas.microsoft.com/sharepoint/v3" xsi:nil="true"/>
    <Publishing_x0020_Destination xmlns="199f0838-75a6-4f0c-9be1-f2c07140bccc">Default</Publishing_x0020_Destination>
    <CHC_x0020_Approval_x0020_Workflow_x0020_2 xmlns="c1848e11-9cf6-4ce4-877e-6837d2c2fa23">
      <Url xsi:nil="true"/>
      <Description xsi:nil="true"/>
    </CHC_x0020_Approval_x0020_Workflow_x0020_2>
    <Document_x0020_Title xmlns="199f0838-75a6-4f0c-9be1-f2c07140bccc">QP 6.10.f2 Policy Template</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Owner xmlns="http://schemas.microsoft.com/sharepoint/v3">all</Owner>
    <_DCDateCreated xmlns="http://schemas.microsoft.com/sharepoint/v3/fields">2016-07-09T07:32:00+00:00</_DCDateCreated>
    <Summary xmlns="199f0838-75a6-4f0c-9be1-f2c07140bccc" xsi:nil="true"/>
    <SubTitle xmlns="199f0838-75a6-4f0c-9be1-f2c07140bccc" xsi:nil="true"/>
    <Content_x0020_Release_x0020_Date xmlns="199f0838-75a6-4f0c-9be1-f2c07140bccc">2016-07-09T05:00:00+00:00</Content_x0020_Release_x0020_Date>
  </documentManagement>
</p:properties>
</file>

<file path=customXml/item2.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8E37EC-ED68-4CC6-88A8-A47F3C4C5E97}">
  <ds:schemaRefs>
    <ds:schemaRef ds:uri="http://schemas.microsoft.com/office/2006/metadata/properties"/>
    <ds:schemaRef ds:uri="http://schemas.microsoft.com/office/infopath/2007/PartnerControls"/>
    <ds:schemaRef ds:uri="c1848e11-9cf6-4ce4-877e-6837d2c2fa23"/>
    <ds:schemaRef ds:uri="199f0838-75a6-4f0c-9be1-f2c07140bccc"/>
    <ds:schemaRef ds:uri="http://schemas.microsoft.com/sharepoint.v3"/>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D2B8032F-4419-436D-9D75-4EE11281D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C0B4F2-4817-49E8-B382-C52C533145C8}">
  <ds:schemaRefs>
    <ds:schemaRef ds:uri="http://schemas.microsoft.com/sharepoint/events"/>
  </ds:schemaRefs>
</ds:datastoreItem>
</file>

<file path=customXml/itemProps4.xml><?xml version="1.0" encoding="utf-8"?>
<ds:datastoreItem xmlns:ds="http://schemas.openxmlformats.org/officeDocument/2006/customXml" ds:itemID="{91A3DB52-B4D3-4FE6-AA23-9B42390BFC08}">
  <ds:schemaRefs>
    <ds:schemaRef ds:uri="http://schemas.microsoft.com/sharepoint/v3/contenttype/forms"/>
  </ds:schemaRefs>
</ds:datastoreItem>
</file>

<file path=customXml/itemProps5.xml><?xml version="1.0" encoding="utf-8"?>
<ds:datastoreItem xmlns:ds="http://schemas.openxmlformats.org/officeDocument/2006/customXml" ds:itemID="{808B45FE-33C3-400B-A97F-76BAF96F8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CE001314</dc:creator>
  <dc:description>Reviewed by PMRC on 11/27/12\nReview and approve 10/23/2013 rmg\nreview and approve 4/9/2015\nnew logo 7/7/16_x000d_
Reviewed by Laboratory Quality and Patient Safety Council 06/23/2017</dc:description>
  <cp:lastModifiedBy>CE132454</cp:lastModifiedBy>
  <cp:revision>3</cp:revision>
  <cp:lastPrinted>2019-04-10T16:22:00Z</cp:lastPrinted>
  <dcterms:created xsi:type="dcterms:W3CDTF">2019-04-16T21:22:00Z</dcterms:created>
  <dcterms:modified xsi:type="dcterms:W3CDTF">2019-04-16T21:23:00Z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91213f34-71ba-4a37-9edf-71747120094c</vt:lpwstr>
  </property>
</Properties>
</file>