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772"/>
        <w:gridCol w:w="308"/>
        <w:gridCol w:w="2700"/>
        <w:gridCol w:w="1620"/>
        <w:gridCol w:w="3960"/>
      </w:tblGrid>
      <w:tr w:rsidR="00BA6893"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6893" w:rsidRDefault="00E84BB9">
            <w:pPr>
              <w:tabs>
                <w:tab w:val="left" w:pos="1620"/>
              </w:tabs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Entering Results for Repeat Antibody Screen</w:t>
            </w:r>
          </w:p>
          <w:p w:rsidR="00BA6893" w:rsidRDefault="00BA6893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BA6893">
        <w:trPr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A6893" w:rsidRDefault="00BA689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BA6893" w:rsidRDefault="00E84BB9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BA6893" w:rsidRDefault="00BA6893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BA6893" w:rsidRDefault="00E84BB9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procedure provides instruction for entering a second/repeat antibody screening results performed on one specimen collection into Sunquest grids. </w:t>
            </w:r>
          </w:p>
          <w:p w:rsidR="00BA6893" w:rsidRDefault="00BA6893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BA6893">
        <w:trPr>
          <w:trHeight w:val="79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A6893" w:rsidRDefault="00BA6893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BA6893" w:rsidRDefault="00E84BB9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Test Codes</w:t>
            </w:r>
          </w:p>
          <w:p w:rsidR="00BA6893" w:rsidRDefault="00BA6893">
            <w:pPr>
              <w:ind w:right="308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BA6893" w:rsidRDefault="00BA689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BA6893" w:rsidRDefault="00E84BB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RPAS-Repeat Antibody screen</w:t>
            </w:r>
          </w:p>
        </w:tc>
      </w:tr>
      <w:tr w:rsidR="00BA6893">
        <w:trPr>
          <w:trHeight w:val="15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A6893" w:rsidRDefault="00BA6893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BA6893" w:rsidRDefault="00E84BB9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Related</w:t>
            </w:r>
          </w:p>
          <w:p w:rsidR="00BA6893" w:rsidRDefault="00E84BB9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Documents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6" w:space="0" w:color="auto"/>
              <w:right w:val="nil"/>
            </w:tcBorders>
          </w:tcPr>
          <w:p w:rsidR="00BA6893" w:rsidRDefault="00BA689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BA6893" w:rsidRDefault="001F092A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11" w:history="1">
              <w:r w:rsidR="00E84BB9">
                <w:rPr>
                  <w:rStyle w:val="Hyperlink"/>
                  <w:rFonts w:ascii="Arial" w:hAnsi="Arial" w:cs="Arial"/>
                  <w:sz w:val="20"/>
                </w:rPr>
                <w:t>TS 5.2 Blood Order Processing</w:t>
              </w:r>
            </w:hyperlink>
          </w:p>
          <w:p w:rsidR="00BA6893" w:rsidRDefault="001F092A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12" w:history="1">
              <w:r w:rsidR="00E84BB9">
                <w:rPr>
                  <w:rStyle w:val="Hyperlink"/>
                  <w:rFonts w:ascii="Arial" w:hAnsi="Arial" w:cs="Arial"/>
                  <w:sz w:val="20"/>
                </w:rPr>
                <w:t>TS 4.8 Grading and Interpretation of Tube Reactions</w:t>
              </w:r>
            </w:hyperlink>
          </w:p>
          <w:p w:rsidR="00BA6893" w:rsidRDefault="001F092A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13" w:history="1">
              <w:r w:rsidR="00E84BB9">
                <w:rPr>
                  <w:rStyle w:val="Hyperlink"/>
                  <w:rFonts w:ascii="Arial" w:hAnsi="Arial" w:cs="Arial"/>
                  <w:iCs/>
                  <w:sz w:val="20"/>
                </w:rPr>
                <w:t>TS 4.9 Grading and Interpretation of Gel Card Reactions</w:t>
              </w:r>
            </w:hyperlink>
          </w:p>
          <w:p w:rsidR="00BA6893" w:rsidRDefault="001F092A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14" w:history="1">
              <w:r w:rsidR="00E84BB9">
                <w:rPr>
                  <w:rStyle w:val="Hyperlink"/>
                  <w:rFonts w:ascii="Arial" w:hAnsi="Arial" w:cs="Arial"/>
                  <w:iCs/>
                  <w:sz w:val="20"/>
                </w:rPr>
                <w:t>TS 5.3 Making Changes to a Blood Administration Record</w:t>
              </w:r>
            </w:hyperlink>
          </w:p>
          <w:p w:rsidR="00BA6893" w:rsidRDefault="00BA689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BA6893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A6893" w:rsidRDefault="00BA6893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BA6893" w:rsidRDefault="00E84BB9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nil"/>
              <w:right w:val="nil"/>
            </w:tcBorders>
          </w:tcPr>
          <w:p w:rsidR="00BA6893" w:rsidRDefault="00BA6893">
            <w:pPr>
              <w:jc w:val="left"/>
              <w:rPr>
                <w:rFonts w:ascii="Arial" w:hAnsi="Arial" w:cs="Arial"/>
                <w:sz w:val="20"/>
              </w:rPr>
            </w:pPr>
          </w:p>
          <w:p w:rsidR="00BA6893" w:rsidRDefault="00BA689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A6893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A6893" w:rsidRDefault="00BA689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BA6893" w:rsidRDefault="00E84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3F3F3"/>
          </w:tcPr>
          <w:p w:rsidR="00BA6893" w:rsidRDefault="00E84BB9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BA6893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A6893" w:rsidRDefault="00BA6893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93" w:rsidRDefault="00E84B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:rsidR="00BA6893" w:rsidRDefault="00E84BB9">
            <w:pPr>
              <w:tabs>
                <w:tab w:val="left" w:pos="238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Enter Blood Order Processing by the patient sample accession number.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BA6893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A6893" w:rsidRDefault="00BA6893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93" w:rsidRDefault="00E84B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nil"/>
            </w:tcBorders>
          </w:tcPr>
          <w:p w:rsidR="00BA6893" w:rsidRDefault="00E84BB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on the Patient Specimen tab.</w:t>
            </w:r>
          </w:p>
        </w:tc>
      </w:tr>
      <w:tr w:rsidR="00BA6893">
        <w:trPr>
          <w:trHeight w:val="183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A6893" w:rsidRDefault="00BA6893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93" w:rsidRDefault="00E84B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6893" w:rsidRDefault="00E84BB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Enter test PREWA in</w:t>
            </w:r>
            <w:r>
              <w:rPr>
                <w:rFonts w:ascii="Arial" w:hAnsi="Arial" w:cs="Arial"/>
                <w:sz w:val="20"/>
                <w:szCs w:val="22"/>
              </w:rPr>
              <w:t xml:space="preserve"> the </w:t>
            </w:r>
            <w:r w:rsidRPr="004768CC">
              <w:rPr>
                <w:rFonts w:ascii="Arial" w:hAnsi="Arial" w:cs="Arial"/>
                <w:sz w:val="20"/>
                <w:szCs w:val="22"/>
                <w:highlight w:val="lightGray"/>
              </w:rPr>
              <w:t>Add Spec. Test</w:t>
            </w:r>
            <w:r>
              <w:rPr>
                <w:rFonts w:ascii="Arial" w:hAnsi="Arial" w:cs="Arial"/>
                <w:sz w:val="20"/>
                <w:szCs w:val="22"/>
              </w:rPr>
              <w:t xml:space="preserve"> box as 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;RPAS</w:t>
            </w:r>
            <w:r>
              <w:rPr>
                <w:rFonts w:ascii="Arial" w:hAnsi="Arial" w:cs="Arial"/>
                <w:sz w:val="20"/>
                <w:szCs w:val="22"/>
              </w:rPr>
              <w:t xml:space="preserve"> or press key 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r.</w:t>
            </w:r>
          </w:p>
          <w:p w:rsidR="00BA6893" w:rsidRDefault="00E84BB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4086225" cy="24479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893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A6893" w:rsidRDefault="00BA6893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93" w:rsidRDefault="00E84B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93" w:rsidRDefault="00E84BB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</w:rPr>
              <w:t>Press the Home key or Click in the first cell of the repeat antibody screen grid.</w:t>
            </w:r>
          </w:p>
          <w:p w:rsidR="00BA6893" w:rsidRDefault="00E84BB9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lastRenderedPageBreak/>
              <w:drawing>
                <wp:inline distT="0" distB="0" distL="0" distR="0">
                  <wp:extent cx="4086225" cy="24860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893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A6893" w:rsidRDefault="00BA6893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93" w:rsidRDefault="00E84B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93" w:rsidRDefault="00E84BB9">
            <w:pPr>
              <w:pStyle w:val="Level1"/>
              <w:numPr>
                <w:ilvl w:val="0"/>
                <w:numId w:val="0"/>
              </w:numPr>
              <w:tabs>
                <w:tab w:val="left" w:pos="-1440"/>
                <w:tab w:val="num" w:pos="360"/>
                <w:tab w:val="num" w:pos="720"/>
              </w:tabs>
              <w:ind w:left="360" w:hanging="3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Enter the graded reaction results in the appropriate grid cell.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BA6893" w:rsidRDefault="00E84BB9">
            <w:pPr>
              <w:tabs>
                <w:tab w:val="left" w:pos="990"/>
              </w:tabs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Enter NT (key N) if phase is Not Tested.</w:t>
            </w:r>
          </w:p>
          <w:p w:rsidR="00BA6893" w:rsidRDefault="00E84BB9">
            <w:pPr>
              <w:pStyle w:val="TableText"/>
              <w:autoSpaceDE/>
              <w:autoSpaceDN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Enter ICLR (key I) if phase is Inconclusive</w:t>
            </w:r>
          </w:p>
          <w:p w:rsidR="00BA6893" w:rsidRDefault="00BA6893">
            <w:pPr>
              <w:pStyle w:val="TableText"/>
              <w:autoSpaceDE/>
              <w:autoSpaceDN/>
              <w:rPr>
                <w:rFonts w:ascii="Arial" w:hAnsi="Arial"/>
                <w:bCs/>
              </w:rPr>
            </w:pPr>
          </w:p>
          <w:p w:rsidR="00BA6893" w:rsidRDefault="00E84BB9">
            <w:pPr>
              <w:tabs>
                <w:tab w:val="left" w:pos="990"/>
              </w:tabs>
              <w:ind w:left="3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                 </w:t>
            </w:r>
            <w:r>
              <w:rPr>
                <w:rFonts w:ascii="Arial" w:hAnsi="Arial"/>
                <w:b/>
              </w:rPr>
              <w:t>GRID CELL</w:t>
            </w:r>
          </w:p>
          <w:p w:rsidR="00BA6893" w:rsidRDefault="00E84BB9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720"/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S1=</w:t>
            </w:r>
            <w:r>
              <w:rPr>
                <w:rFonts w:ascii="Arial" w:hAnsi="Arial" w:cs="Arial"/>
                <w:sz w:val="20"/>
              </w:rPr>
              <w:tab/>
              <w:t xml:space="preserve">Screening Cell 1 </w:t>
            </w:r>
          </w:p>
          <w:p w:rsidR="00BA6893" w:rsidRDefault="00E84BB9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720"/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S2=</w:t>
            </w:r>
            <w:r>
              <w:rPr>
                <w:rFonts w:ascii="Arial" w:hAnsi="Arial" w:cs="Arial"/>
                <w:sz w:val="20"/>
              </w:rPr>
              <w:tab/>
              <w:t xml:space="preserve">Screening Cell 2 </w:t>
            </w:r>
          </w:p>
          <w:p w:rsidR="00BA6893" w:rsidRDefault="00E84BB9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720"/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IS=</w:t>
            </w:r>
            <w:r>
              <w:rPr>
                <w:rFonts w:ascii="Arial" w:hAnsi="Arial" w:cs="Arial"/>
                <w:sz w:val="20"/>
              </w:rPr>
              <w:tab/>
              <w:t>Immediate Spin  (tube)</w:t>
            </w:r>
          </w:p>
          <w:p w:rsidR="00BA6893" w:rsidRDefault="00E84BB9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720"/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INC=</w:t>
            </w:r>
            <w:r>
              <w:rPr>
                <w:rFonts w:ascii="Arial" w:hAnsi="Arial" w:cs="Arial"/>
                <w:sz w:val="20"/>
              </w:rPr>
              <w:tab/>
              <w:t>37</w:t>
            </w:r>
            <w:r>
              <w:rPr>
                <w:rFonts w:ascii="Arial" w:hAnsi="Arial" w:cs="Arial"/>
                <w:sz w:val="20"/>
              </w:rPr>
              <w:sym w:font="Symbol" w:char="F0B0"/>
            </w:r>
            <w:r>
              <w:rPr>
                <w:rFonts w:ascii="Arial" w:hAnsi="Arial" w:cs="Arial"/>
                <w:sz w:val="20"/>
              </w:rPr>
              <w:t>C Incubation with LISS (tube)</w:t>
            </w:r>
          </w:p>
          <w:p w:rsidR="00BA6893" w:rsidRDefault="00E84BB9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720"/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AHG=</w:t>
            </w:r>
            <w:r>
              <w:rPr>
                <w:rFonts w:ascii="Arial" w:hAnsi="Arial" w:cs="Arial"/>
                <w:sz w:val="20"/>
              </w:rPr>
              <w:tab/>
              <w:t>Coombs reaction (tube)</w:t>
            </w:r>
          </w:p>
          <w:p w:rsidR="00BA6893" w:rsidRDefault="00E84BB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CC=</w:t>
            </w:r>
            <w:r>
              <w:rPr>
                <w:rFonts w:ascii="Arial" w:hAnsi="Arial" w:cs="Arial"/>
                <w:sz w:val="20"/>
              </w:rPr>
              <w:tab/>
              <w:t>Coombs Control Cells (tube)</w:t>
            </w:r>
          </w:p>
          <w:p w:rsidR="00BA6893" w:rsidRDefault="00E84BB9">
            <w:pPr>
              <w:pStyle w:val="TableText"/>
              <w:autoSpaceDE/>
              <w:autoSpaceDN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         AGEL= Gel testing</w:t>
            </w:r>
            <w:r>
              <w:rPr>
                <w:rFonts w:ascii="Arial" w:hAnsi="Arial"/>
                <w:bCs/>
              </w:rPr>
              <w:t xml:space="preserve">               </w:t>
            </w:r>
          </w:p>
        </w:tc>
      </w:tr>
      <w:tr w:rsidR="00BA6893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A6893" w:rsidRDefault="00BA6893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93" w:rsidRDefault="00E84B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93" w:rsidRDefault="00E84BB9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Record the Antibody Screen interpretation as Pos (Key </w:t>
            </w:r>
            <w:r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Cs/>
              </w:rPr>
              <w:t xml:space="preserve">),  Negative (key </w:t>
            </w:r>
            <w:r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Cs/>
              </w:rPr>
              <w:t xml:space="preserve">) or Inconclusive (key S or ;ICLR) in the grid entry interpretation field.  </w:t>
            </w:r>
          </w:p>
          <w:p w:rsidR="00BA6893" w:rsidRDefault="00E84BB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4086225" cy="24860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893">
        <w:trPr>
          <w:trHeight w:val="167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A6893" w:rsidRDefault="00BA6893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93" w:rsidRDefault="00E84B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93" w:rsidRDefault="00E84BB9">
            <w:pPr>
              <w:jc w:val="lef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Review reaction results and interpretation entry if QA failures occurs.</w:t>
            </w:r>
          </w:p>
          <w:tbl>
            <w:tblPr>
              <w:tblW w:w="8318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828"/>
              <w:gridCol w:w="5490"/>
            </w:tblGrid>
            <w:tr w:rsidR="00BA6893">
              <w:trPr>
                <w:trHeight w:val="288"/>
              </w:trPr>
              <w:tc>
                <w:tcPr>
                  <w:tcW w:w="2828" w:type="dxa"/>
                  <w:shd w:val="clear" w:color="auto" w:fill="F3F3F3"/>
                  <w:vAlign w:val="center"/>
                </w:tcPr>
                <w:p w:rsidR="00BA6893" w:rsidRDefault="00E84BB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If</w:t>
                  </w:r>
                </w:p>
              </w:tc>
              <w:tc>
                <w:tcPr>
                  <w:tcW w:w="5490" w:type="dxa"/>
                  <w:shd w:val="clear" w:color="auto" w:fill="F3F3F3"/>
                  <w:vAlign w:val="center"/>
                </w:tcPr>
                <w:p w:rsidR="00BA6893" w:rsidRDefault="00E84BB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Then</w:t>
                  </w:r>
                </w:p>
              </w:tc>
            </w:tr>
            <w:tr w:rsidR="00BA6893">
              <w:trPr>
                <w:trHeight w:val="288"/>
              </w:trPr>
              <w:tc>
                <w:tcPr>
                  <w:tcW w:w="2828" w:type="dxa"/>
                </w:tcPr>
                <w:p w:rsidR="00BA6893" w:rsidRDefault="00E84BB9">
                  <w:pPr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An enter error was made</w:t>
                  </w:r>
                </w:p>
              </w:tc>
              <w:tc>
                <w:tcPr>
                  <w:tcW w:w="5490" w:type="dxa"/>
                </w:tcPr>
                <w:p w:rsidR="00BA6893" w:rsidRDefault="00E84BB9">
                  <w:pPr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Re-enter results reactions and/or interpretation.</w:t>
                  </w:r>
                </w:p>
              </w:tc>
            </w:tr>
            <w:tr w:rsidR="00BA6893">
              <w:trPr>
                <w:trHeight w:val="288"/>
              </w:trPr>
              <w:tc>
                <w:tcPr>
                  <w:tcW w:w="2828" w:type="dxa"/>
                </w:tcPr>
                <w:p w:rsidR="00BA6893" w:rsidRDefault="00E84BB9">
                  <w:pPr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Entry confirmed</w:t>
                  </w:r>
                </w:p>
              </w:tc>
              <w:tc>
                <w:tcPr>
                  <w:tcW w:w="5490" w:type="dxa"/>
                </w:tcPr>
                <w:p w:rsidR="00BA6893" w:rsidRDefault="00E84BB9">
                  <w:pPr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Acknowledge QA warnings.</w:t>
                  </w:r>
                  <w:r w:rsidR="00EC62DF">
                    <w:rPr>
                      <w:rFonts w:ascii="Arial" w:hAnsi="Arial" w:cs="Arial"/>
                      <w:iCs/>
                      <w:sz w:val="20"/>
                    </w:rPr>
                    <w:t xml:space="preserve"> </w:t>
                  </w:r>
                  <w:r w:rsidR="00EC62DF">
                    <w:rPr>
                      <w:rFonts w:ascii="Arial" w:hAnsi="Arial" w:cs="Arial"/>
                      <w:b/>
                      <w:iCs/>
                      <w:color w:val="FF0000"/>
                      <w:sz w:val="20"/>
                    </w:rPr>
                    <w:t>All QA failures have to be reviewed and responded by a second tech.</w:t>
                  </w:r>
                </w:p>
                <w:p w:rsidR="00BA6893" w:rsidRDefault="00E84BB9">
                  <w:pPr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Respond to QA failures with a reason code or free text entry</w:t>
                  </w:r>
                </w:p>
              </w:tc>
            </w:tr>
          </w:tbl>
          <w:p w:rsidR="00BA6893" w:rsidRDefault="00BA689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A6893">
        <w:trPr>
          <w:trHeight w:val="4062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A6893" w:rsidRDefault="00BA6893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93" w:rsidRDefault="00E84B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93" w:rsidRDefault="00E84BB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special testing such a prewarming or use of 22% Albumin is performed document using the Add Spec Test  BBC comment (key ‘)</w:t>
            </w:r>
          </w:p>
          <w:p w:rsidR="00BA6893" w:rsidRDefault="00E84BB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4581525" cy="27146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6893" w:rsidRDefault="00BA6893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A6893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A6893" w:rsidRDefault="00BA6893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93" w:rsidRDefault="00E84B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93" w:rsidRDefault="00E84BB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Save results.</w:t>
            </w:r>
          </w:p>
        </w:tc>
      </w:tr>
      <w:tr w:rsidR="00BA6893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A6893" w:rsidRDefault="00BA6893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93" w:rsidRDefault="00E84B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93" w:rsidRDefault="00E84BB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Enter the Blood Bank Administrative Data Entry folder to enter additional information regarding testing into the patient’s permanent record.</w:t>
            </w:r>
          </w:p>
        </w:tc>
      </w:tr>
      <w:tr w:rsidR="00BA6893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A6893" w:rsidRDefault="00BA6893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6893" w:rsidRDefault="00BA689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A689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BA6893" w:rsidRDefault="00BA6893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BA6893" w:rsidRDefault="00E84BB9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:rsidR="00BA6893" w:rsidRDefault="00E84BB9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BA6893" w:rsidRDefault="00BA689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BA6893" w:rsidRDefault="00E84BB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Service/Laboratory Director</w:t>
            </w:r>
          </w:p>
          <w:p w:rsidR="00BA6893" w:rsidRDefault="00BA689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BA6893" w:rsidRDefault="00BA689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BA689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BA6893" w:rsidRDefault="00BA6893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:rsidR="00BA6893" w:rsidRDefault="00BA6893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BA689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right w:val="single" w:sz="2" w:space="0" w:color="auto"/>
            </w:tcBorders>
          </w:tcPr>
          <w:p w:rsidR="00BA6893" w:rsidRDefault="00E84BB9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E84BB9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E84BB9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E84BB9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E84BB9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BA689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BA6893" w:rsidRDefault="00BA6893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E84B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E84B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J.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E84B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9/86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E84B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BA689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BA6893" w:rsidRDefault="00BA6893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E84B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E84B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J.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E84B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7/90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BA6893">
            <w:pPr>
              <w:rPr>
                <w:rFonts w:ascii="Arial" w:hAnsi="Arial" w:cs="Arial"/>
                <w:sz w:val="20"/>
              </w:rPr>
            </w:pPr>
          </w:p>
        </w:tc>
      </w:tr>
      <w:tr w:rsidR="00BA689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BA6893" w:rsidRDefault="00BA6893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E84B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E84B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J.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E84B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5/94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E84B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LISS in STP</w:t>
            </w:r>
          </w:p>
        </w:tc>
      </w:tr>
      <w:tr w:rsidR="00BA689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BA6893" w:rsidRDefault="00BA6893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E84B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E84B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D. Hansen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E84B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12/95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E84B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Merger</w:t>
            </w:r>
          </w:p>
        </w:tc>
      </w:tr>
      <w:tr w:rsidR="00BA689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BA6893" w:rsidRDefault="00BA6893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E84B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E84B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J.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E84B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9/96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BA6893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</w:tr>
      <w:tr w:rsidR="00BA689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BA6893" w:rsidRDefault="00BA6893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E84B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E84B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D. Hansen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E84B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1/6/97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BA6893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</w:tr>
      <w:tr w:rsidR="00BA689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BA6893" w:rsidRDefault="00BA6893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E84B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E84B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J.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E84B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12/99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BA6893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</w:tr>
      <w:tr w:rsidR="00BA689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BA6893" w:rsidRDefault="00BA6893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E84B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E84B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D. Hansen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E84B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1/4/00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BA6893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</w:tr>
      <w:tr w:rsidR="00BA689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BA6893" w:rsidRDefault="00BA6893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E84B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E84B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J.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E84B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5/22/01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BA6893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</w:tr>
      <w:tr w:rsidR="00BA689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BA6893" w:rsidRDefault="00BA6893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E84B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E84B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J.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E84B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10/19/2009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E84B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Online version</w:t>
            </w:r>
          </w:p>
        </w:tc>
      </w:tr>
      <w:tr w:rsidR="00BA689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:rsidR="00BA6893" w:rsidRDefault="00BA6893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E84B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E84BB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J.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E84BB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4/10/2012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3" w:rsidRDefault="00E84BB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Inconclusive as an Interpretation result option.</w:t>
            </w:r>
          </w:p>
        </w:tc>
      </w:tr>
      <w:tr w:rsidR="00EC62D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left w:val="nil"/>
              <w:bottom w:val="nil"/>
              <w:right w:val="single" w:sz="2" w:space="0" w:color="auto"/>
            </w:tcBorders>
          </w:tcPr>
          <w:p w:rsidR="00EC62DF" w:rsidRDefault="00EC62DF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C62DF" w:rsidRDefault="00EC62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F" w:rsidRDefault="00EC62DF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F" w:rsidRDefault="00EC62DF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07/03/2019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F" w:rsidRDefault="00EC62D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statement that all QA failures need to be reviewed and responded by a second tech</w:t>
            </w:r>
          </w:p>
        </w:tc>
      </w:tr>
    </w:tbl>
    <w:p w:rsidR="00BA6893" w:rsidRDefault="00BA689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BA6893" w:rsidSect="00BE3D7A">
      <w:headerReference w:type="even" r:id="rId19"/>
      <w:headerReference w:type="default" r:id="rId20"/>
      <w:footerReference w:type="default" r:id="rId21"/>
      <w:headerReference w:type="first" r:id="rId22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893" w:rsidRDefault="00E84BB9">
      <w:r>
        <w:separator/>
      </w:r>
    </w:p>
  </w:endnote>
  <w:endnote w:type="continuationSeparator" w:id="0">
    <w:p w:rsidR="00BA6893" w:rsidRDefault="00E84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893" w:rsidRDefault="00E84BB9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 w:rsidR="001F092A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1F092A">
      <w:rPr>
        <w:rFonts w:ascii="Arial" w:hAnsi="Arial" w:cs="Arial"/>
        <w:sz w:val="16"/>
      </w:rPr>
      <w:fldChar w:fldCharType="separate"/>
    </w:r>
    <w:r w:rsidR="00084215">
      <w:rPr>
        <w:rFonts w:ascii="Arial" w:hAnsi="Arial" w:cs="Arial"/>
        <w:noProof/>
        <w:sz w:val="16"/>
      </w:rPr>
      <w:t>3</w:t>
    </w:r>
    <w:r w:rsidR="001F092A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1F092A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1F092A">
      <w:rPr>
        <w:rFonts w:ascii="Arial" w:hAnsi="Arial" w:cs="Arial"/>
        <w:sz w:val="16"/>
      </w:rPr>
      <w:fldChar w:fldCharType="separate"/>
    </w:r>
    <w:r w:rsidR="00084215">
      <w:rPr>
        <w:rFonts w:ascii="Arial" w:hAnsi="Arial" w:cs="Arial"/>
        <w:noProof/>
        <w:sz w:val="16"/>
      </w:rPr>
      <w:t>3</w:t>
    </w:r>
    <w:r w:rsidR="001F092A">
      <w:rPr>
        <w:rFonts w:ascii="Arial" w:hAnsi="Arial" w:cs="Arial"/>
        <w:sz w:val="16"/>
      </w:rPr>
      <w:fldChar w:fldCharType="end"/>
    </w:r>
  </w:p>
  <w:p w:rsidR="00BA6893" w:rsidRDefault="00E84BB9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893" w:rsidRDefault="00E84BB9">
      <w:r>
        <w:separator/>
      </w:r>
    </w:p>
  </w:footnote>
  <w:footnote w:type="continuationSeparator" w:id="0">
    <w:p w:rsidR="00BA6893" w:rsidRDefault="00E84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893" w:rsidRDefault="001F092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1152" w:type="dxa"/>
      <w:tblLook w:val="0000"/>
    </w:tblPr>
    <w:tblGrid>
      <w:gridCol w:w="5760"/>
      <w:gridCol w:w="5580"/>
    </w:tblGrid>
    <w:tr w:rsidR="00BA6893">
      <w:trPr>
        <w:cantSplit/>
        <w:trHeight w:val="245"/>
      </w:trPr>
      <w:tc>
        <w:tcPr>
          <w:tcW w:w="5760" w:type="dxa"/>
        </w:tcPr>
        <w:p w:rsidR="00BA6893" w:rsidRDefault="00E84BB9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Procedure: Entering Results for Repeat Antibody Screen</w:t>
          </w:r>
        </w:p>
      </w:tc>
      <w:tc>
        <w:tcPr>
          <w:tcW w:w="5580" w:type="dxa"/>
          <w:vMerge w:val="restart"/>
        </w:tcPr>
        <w:p w:rsidR="00BA6893" w:rsidRDefault="00EC62DF">
          <w:pPr>
            <w:pStyle w:val="Header"/>
            <w:tabs>
              <w:tab w:val="clear" w:pos="8640"/>
            </w:tabs>
          </w:pPr>
          <w:r>
            <w:t xml:space="preserve">                                                     </w:t>
          </w:r>
          <w:r>
            <w:rPr>
              <w:noProof/>
            </w:rPr>
            <w:drawing>
              <wp:inline distT="0" distB="0" distL="0" distR="0">
                <wp:extent cx="1190625" cy="381000"/>
                <wp:effectExtent l="19050" t="0" r="9525" b="0"/>
                <wp:docPr id="5" name="Picture 1" descr="SM-Childrens-logo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-Childrens-logo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E84BB9">
            <w:t xml:space="preserve">                                                                    </w:t>
          </w:r>
        </w:p>
      </w:tc>
    </w:tr>
    <w:tr w:rsidR="00BA6893">
      <w:trPr>
        <w:cantSplit/>
        <w:trHeight w:val="245"/>
      </w:trPr>
      <w:tc>
        <w:tcPr>
          <w:tcW w:w="5760" w:type="dxa"/>
        </w:tcPr>
        <w:p w:rsidR="00BA6893" w:rsidRDefault="00EC62DF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Document: TS 5.10 Version 12</w:t>
          </w:r>
        </w:p>
      </w:tc>
      <w:tc>
        <w:tcPr>
          <w:tcW w:w="5580" w:type="dxa"/>
          <w:vMerge/>
        </w:tcPr>
        <w:p w:rsidR="00BA6893" w:rsidRDefault="00BA6893">
          <w:pPr>
            <w:pStyle w:val="Header"/>
            <w:tabs>
              <w:tab w:val="clear" w:pos="8640"/>
            </w:tabs>
          </w:pPr>
        </w:p>
      </w:tc>
    </w:tr>
    <w:tr w:rsidR="00BA6893">
      <w:trPr>
        <w:cantSplit/>
        <w:trHeight w:val="245"/>
      </w:trPr>
      <w:tc>
        <w:tcPr>
          <w:tcW w:w="5760" w:type="dxa"/>
        </w:tcPr>
        <w:p w:rsidR="00BA6893" w:rsidRDefault="00E84BB9" w:rsidP="00EC62DF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EC62DF">
            <w:rPr>
              <w:rFonts w:ascii="Arial" w:hAnsi="Arial" w:cs="Arial"/>
              <w:sz w:val="18"/>
            </w:rPr>
            <w:t>07/03/2019</w:t>
          </w:r>
        </w:p>
      </w:tc>
      <w:tc>
        <w:tcPr>
          <w:tcW w:w="5580" w:type="dxa"/>
          <w:vMerge/>
        </w:tcPr>
        <w:p w:rsidR="00BA6893" w:rsidRDefault="00BA6893">
          <w:pPr>
            <w:pStyle w:val="Header"/>
            <w:tabs>
              <w:tab w:val="clear" w:pos="8640"/>
            </w:tabs>
          </w:pPr>
        </w:p>
      </w:tc>
    </w:tr>
  </w:tbl>
  <w:p w:rsidR="00BA6893" w:rsidRDefault="00BA6893">
    <w:pPr>
      <w:pStyle w:val="Header"/>
      <w:rPr>
        <w:rFonts w:ascii="Calibri" w:hAnsi="Calibri"/>
        <w:b/>
        <w:bCs/>
        <w:sz w:val="16"/>
      </w:rPr>
    </w:pPr>
  </w:p>
  <w:p w:rsidR="00BA6893" w:rsidRDefault="00BA6893">
    <w:pPr>
      <w:ind w:right="-1260"/>
      <w:rPr>
        <w:b/>
        <w:sz w:val="26"/>
        <w:szCs w:val="2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893" w:rsidRDefault="001F092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E203A6"/>
    <w:multiLevelType w:val="hybridMultilevel"/>
    <w:tmpl w:val="3684F8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990EA9"/>
    <w:multiLevelType w:val="hybridMultilevel"/>
    <w:tmpl w:val="23D63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447B25"/>
    <w:multiLevelType w:val="hybridMultilevel"/>
    <w:tmpl w:val="2110A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4A5F0C"/>
    <w:multiLevelType w:val="hybridMultilevel"/>
    <w:tmpl w:val="45FA0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6D01D1"/>
    <w:multiLevelType w:val="hybridMultilevel"/>
    <w:tmpl w:val="CAC46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DE4A2F"/>
    <w:multiLevelType w:val="hybridMultilevel"/>
    <w:tmpl w:val="7FE8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F25D78"/>
    <w:multiLevelType w:val="hybridMultilevel"/>
    <w:tmpl w:val="34480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5775FB"/>
    <w:multiLevelType w:val="hybridMultilevel"/>
    <w:tmpl w:val="DF32F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84BB9"/>
    <w:rsid w:val="00084215"/>
    <w:rsid w:val="001F092A"/>
    <w:rsid w:val="004768CC"/>
    <w:rsid w:val="007B3201"/>
    <w:rsid w:val="00AF5A4C"/>
    <w:rsid w:val="00B2090E"/>
    <w:rsid w:val="00BA6893"/>
    <w:rsid w:val="00BE3D7A"/>
    <w:rsid w:val="00E84BB9"/>
    <w:rsid w:val="00EC6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D7A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BE3D7A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BE3D7A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BE3D7A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BE3D7A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BE3D7A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BE3D7A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BE3D7A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BE3D7A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BE3D7A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E3D7A"/>
    <w:rPr>
      <w:bCs/>
      <w:iCs/>
      <w:color w:val="000000"/>
    </w:rPr>
  </w:style>
  <w:style w:type="paragraph" w:styleId="Header">
    <w:name w:val="header"/>
    <w:basedOn w:val="Normal"/>
    <w:semiHidden/>
    <w:rsid w:val="00BE3D7A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BE3D7A"/>
    <w:pPr>
      <w:ind w:left="360" w:hanging="360"/>
    </w:pPr>
  </w:style>
  <w:style w:type="paragraph" w:styleId="Title">
    <w:name w:val="Title"/>
    <w:basedOn w:val="Normal"/>
    <w:qFormat/>
    <w:rsid w:val="00BE3D7A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BE3D7A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BE3D7A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BE3D7A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BE3D7A"/>
    <w:pPr>
      <w:numPr>
        <w:numId w:val="0"/>
      </w:numPr>
    </w:pPr>
  </w:style>
  <w:style w:type="paragraph" w:customStyle="1" w:styleId="TableText">
    <w:name w:val="Table Text"/>
    <w:basedOn w:val="Normal"/>
    <w:rsid w:val="00BE3D7A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BE3D7A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BE3D7A"/>
    <w:rPr>
      <w:b/>
      <w:color w:val="0000FF"/>
    </w:rPr>
  </w:style>
  <w:style w:type="paragraph" w:styleId="BodyTextIndent">
    <w:name w:val="Body Text Indent"/>
    <w:basedOn w:val="Normal"/>
    <w:semiHidden/>
    <w:rsid w:val="00BE3D7A"/>
    <w:pPr>
      <w:spacing w:after="120"/>
      <w:ind w:left="360"/>
    </w:pPr>
  </w:style>
  <w:style w:type="paragraph" w:customStyle="1" w:styleId="Level1">
    <w:name w:val="Level 1"/>
    <w:basedOn w:val="Normal"/>
    <w:rsid w:val="00BE3D7A"/>
    <w:pPr>
      <w:widowControl w:val="0"/>
      <w:numPr>
        <w:numId w:val="10"/>
      </w:numPr>
      <w:ind w:left="720" w:hanging="720"/>
      <w:jc w:val="left"/>
      <w:outlineLvl w:val="0"/>
    </w:pPr>
    <w:rPr>
      <w:rFonts w:ascii="Courier" w:hAnsi="Courier"/>
      <w:snapToGrid w:val="0"/>
      <w:sz w:val="24"/>
      <w:szCs w:val="20"/>
    </w:rPr>
  </w:style>
  <w:style w:type="character" w:styleId="Hyperlink">
    <w:name w:val="Hyperlink"/>
    <w:basedOn w:val="DefaultParagraphFont"/>
    <w:semiHidden/>
    <w:rsid w:val="00BE3D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khan.childrensmn.org/Manuals/Lab/SOP/TS/PatTest/202226.pdf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khan.childrensmn.org/Manuals/Lab/SOP/TS/PatTest/202225.pdf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khan.childrensmn.org/Manuals/Lab/SOP/TS/SpecRR/202247.pdf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khan.childrensmn.org/Manuals/Lab/SOP/TS/SpecRR/202248.pdf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ate xmlns="199f0838-75a6-4f0c-9be1-f2c07140bccc">2021-05-01T05:00:00+00:00</Renewal_x0020_Date>
    <CHC_x0020_Approval_x0020_Workflow_x0028_1_x0029_1 xmlns="c1848e11-9cf6-4ce4-877e-6837d2c2fa23">
      <Url xsi:nil="true"/>
      <Description xsi:nil="true"/>
    </CHC_x0020_Approval_x0020_Workflow_x0028_1_x0029_1>
    <Kids_x0020_Health_x0020_Article_x0020_ID xmlns="199f0838-75a6-4f0c-9be1-f2c07140bccc" xsi:nil="true"/>
    <CHC_x0020_Approval_x0020_Workflow xmlns="c1848e11-9cf6-4ce4-877e-6837d2c2fa23">
      <Url xsi:nil="true"/>
      <Description xsi:nil="true"/>
    </CHC_x0020_Approval_x0020_Workflow>
    <CHC_x0020_Approval_x0020_Workflow_x0028_1_x0029_0 xmlns="c1848e11-9cf6-4ce4-877e-6837d2c2fa23">
      <Url xsi:nil="true"/>
      <Description xsi:nil="true"/>
    </CHC_x0020_Approval_x0020_Workflow_x0028_1_x0029_0>
    <_Version xmlns="http://schemas.microsoft.com/sharepoint/v3/fields">3</_Version>
    <dCategory xmlns="http://schemas.microsoft.com/sharepoint/v3" xsi:nil="true"/>
    <Related_x0020_Documents xmlns="199f0838-75a6-4f0c-9be1-f2c07140bccc" xsi:nil="true"/>
    <Owner xmlns="http://schemas.microsoft.com/sharepoint/v3">BB</Owner>
    <Publishing_x0020_Destination xmlns="199f0838-75a6-4f0c-9be1-f2c07140bccc">Default</Publishing_x0020_Destination>
    <Summary xmlns="199f0838-75a6-4f0c-9be1-f2c07140bccc">Original release: 3/28/12</Summary>
    <Publish_x0020_As xmlns="199f0838-75a6-4f0c-9be1-f2c07140bccc">Default</Publish_x0020_As>
    <Content_x0020_Expiration_x0020_Date xmlns="199f0838-75a6-4f0c-9be1-f2c07140bccc" xsi:nil="true"/>
    <PDF_x0020_Watermark xmlns="199f0838-75a6-4f0c-9be1-f2c07140bccc">None</PDF_x0020_Watermark>
    <Sort_x0020_Order xmlns="199f0838-75a6-4f0c-9be1-f2c07140bccc">1</Sort_x0020_Order>
    <Study_x0020_Status xmlns="c1848e11-9cf6-4ce4-877e-6837d2c2fa23" xsi:nil="true"/>
    <Meta_x0020_Tag_x0020_Keywords xmlns="199f0838-75a6-4f0c-9be1-f2c07140bccc" xsi:nil="true"/>
    <CategoryDescription xmlns="http://schemas.microsoft.com/sharepoint.v3" xsi:nil="true"/>
    <SubTitle xmlns="199f0838-75a6-4f0c-9be1-f2c07140bccc" xsi:nil="true"/>
    <Legacy_x0020_Document_x0020_ID xmlns="199f0838-75a6-4f0c-9be1-f2c07140bccc">202255</Legacy_x0020_Document_x0020_ID>
    <CHC_x0020_Approval_x0020_Workflow_x0020_2 xmlns="c1848e11-9cf6-4ce4-877e-6837d2c2fa23">
      <Url xsi:nil="true"/>
      <Description xsi:nil="true"/>
    </CHC_x0020_Approval_x0020_Workflow_x0020_2>
    <Document_x0020_Title xmlns="199f0838-75a6-4f0c-9be1-f2c07140bccc">TS 5.10   Entering Results for Repeat Antibody Screening</Document_x0020_Title>
    <Content_x0020_Release_x0020_Date xmlns="199f0838-75a6-4f0c-9be1-f2c07140bccc">2019-07-03T05:00:00+00:00</Content_x0020_Release_x0020_Date>
    <Legacy_x0020_Name xmlns="199f0838-75a6-4f0c-9be1-f2c07140bccc">TS 5.10 Entering Results for Repeat Antibody Screen[1].DOC</Legacy_x0020_Name>
    <CHC_x0020_Approval_x0020_Workflow_x0028_1_x0029_ xmlns="c1848e11-9cf6-4ce4-877e-6837d2c2fa23">
      <Url xsi:nil="true"/>
      <Description xsi:nil="true"/>
    </CHC_x0020_Approval_x0020_Workflow_x0028_1_x0029_>
    <Meta_x0020_Page_x0020_Description xmlns="199f0838-75a6-4f0c-9be1-f2c07140bccc" xsi:nil="true"/>
    <_DCDateCreated xmlns="http://schemas.microsoft.com/sharepoint/v3/fields">2015-05-21T18:06:00+00:00</_DCDateCreated>
    <WFStatus xmlns="199f0838-75a6-4f0c-9be1-f2c07140bccc">Approved</WFStatus>
    <_dlc_DocId xmlns="199f0838-75a6-4f0c-9be1-f2c07140bccc">F6TN54CWY5RS-50183619-31266</_dlc_DocId>
    <_dlc_DocIdUrl xmlns="199f0838-75a6-4f0c-9be1-f2c07140bccc">
      <Url>http://vcpsharepoint2/references/_layouts/15/DocIdRedir.aspx?ID=F6TN54CWY5RS-50183619-31266</Url>
      <Description>F6TN54CWY5RS-50183619-31266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829EFE-0002-4C5F-AEE4-3494D65E18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F17154-3536-4F3D-9F70-FDC368BB3ED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1478F29-02DD-487F-8A55-0369B6938952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138A2E-CA12-43D1-9FEB-5B7D8853D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2892</CharactersWithSpaces>
  <SharedDoc>false</SharedDoc>
  <HLinks>
    <vt:vector size="24" baseType="variant">
      <vt:variant>
        <vt:i4>4456521</vt:i4>
      </vt:variant>
      <vt:variant>
        <vt:i4>9</vt:i4>
      </vt:variant>
      <vt:variant>
        <vt:i4>0</vt:i4>
      </vt:variant>
      <vt:variant>
        <vt:i4>5</vt:i4>
      </vt:variant>
      <vt:variant>
        <vt:lpwstr>http://khan.childrensmn.org/Manuals/Lab/SOP/TS/SpecRR/202248.pdf</vt:lpwstr>
      </vt:variant>
      <vt:variant>
        <vt:lpwstr/>
      </vt:variant>
      <vt:variant>
        <vt:i4>5111899</vt:i4>
      </vt:variant>
      <vt:variant>
        <vt:i4>6</vt:i4>
      </vt:variant>
      <vt:variant>
        <vt:i4>0</vt:i4>
      </vt:variant>
      <vt:variant>
        <vt:i4>5</vt:i4>
      </vt:variant>
      <vt:variant>
        <vt:lpwstr>http://khan.childrensmn.org/Manuals/Lab/SOP/TS/PatTest/202226.pdf</vt:lpwstr>
      </vt:variant>
      <vt:variant>
        <vt:lpwstr/>
      </vt:variant>
      <vt:variant>
        <vt:i4>5111896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http://khan.childrensmn.org/Manuals/Lab/SOP/TS/PatTest/202225.pdf</vt:lpwstr>
      </vt:variant>
      <vt:variant>
        <vt:lpwstr/>
      </vt:variant>
      <vt:variant>
        <vt:i4>4915273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http://khan.childrensmn.org/Manuals/Lab/SOP/TS/SpecRR/202247.pdf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 5.10   Entering Results for Repeat Antibody Screening</dc:title>
  <dc:creator>CE005489</dc:creator>
  <dc:description>Added statement that all QA failures need to be reviewed and responded by a second tech 06/18/2019</dc:description>
  <cp:lastModifiedBy>CE005489</cp:lastModifiedBy>
  <cp:revision>2</cp:revision>
  <cp:lastPrinted>2011-05-17T22:24:00Z</cp:lastPrinted>
  <dcterms:created xsi:type="dcterms:W3CDTF">2019-06-18T17:10:00Z</dcterms:created>
  <dcterms:modified xsi:type="dcterms:W3CDTF">2019-06-18T17:10:00Z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22b877ae-8381-40e0-aff2-0d529e41dde8</vt:lpwstr>
  </property>
</Properties>
</file>