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Layout w:type="fixed"/>
        <w:tblLook w:val="0000" w:firstRow="0" w:lastRow="0" w:firstColumn="0" w:lastColumn="0" w:noHBand="0" w:noVBand="0"/>
      </w:tblPr>
      <w:tblGrid>
        <w:gridCol w:w="1980"/>
        <w:gridCol w:w="1260"/>
        <w:gridCol w:w="2700"/>
        <w:gridCol w:w="1620"/>
        <w:gridCol w:w="3600"/>
      </w:tblGrid>
      <w:tr w:rsidR="00194134">
        <w:trPr>
          <w:cantSplit/>
        </w:trPr>
        <w:tc>
          <w:tcPr>
            <w:tcW w:w="11160" w:type="dxa"/>
            <w:gridSpan w:val="5"/>
          </w:tcPr>
          <w:p w:rsidR="00194134" w:rsidRDefault="00A17FE0">
            <w:pPr>
              <w:rPr>
                <w:rFonts w:ascii="Arial" w:hAnsi="Arial" w:cs="Arial"/>
                <w:b/>
                <w:bCs/>
                <w:color w:val="0000FF"/>
                <w:sz w:val="36"/>
              </w:rPr>
            </w:pPr>
            <w:r>
              <w:rPr>
                <w:rFonts w:ascii="Arial" w:hAnsi="Arial" w:cs="Arial"/>
                <w:b/>
                <w:bCs/>
                <w:color w:val="0000FF"/>
                <w:sz w:val="36"/>
              </w:rPr>
              <w:t xml:space="preserve">Laboratory </w:t>
            </w:r>
            <w:r w:rsidR="005F785E">
              <w:rPr>
                <w:rFonts w:ascii="Arial" w:hAnsi="Arial" w:cs="Arial"/>
                <w:b/>
                <w:bCs/>
                <w:color w:val="0000FF"/>
                <w:sz w:val="36"/>
              </w:rPr>
              <w:t>Education Reimbursement</w:t>
            </w:r>
            <w:r>
              <w:rPr>
                <w:rFonts w:ascii="Arial" w:hAnsi="Arial" w:cs="Arial"/>
                <w:b/>
                <w:bCs/>
                <w:color w:val="0000FF"/>
                <w:sz w:val="36"/>
              </w:rPr>
              <w:t xml:space="preserve"> and Travel Policy</w:t>
            </w:r>
          </w:p>
          <w:p w:rsidR="00194134" w:rsidRDefault="00194134">
            <w:pPr>
              <w:pStyle w:val="BodyText"/>
              <w:rPr>
                <w:rFonts w:ascii="Arial" w:hAnsi="Arial" w:cs="Arial"/>
                <w:sz w:val="24"/>
              </w:rPr>
            </w:pPr>
          </w:p>
        </w:tc>
      </w:tr>
      <w:tr w:rsidR="00194134">
        <w:trPr>
          <w:cantSplit/>
          <w:trHeight w:val="233"/>
        </w:trPr>
        <w:tc>
          <w:tcPr>
            <w:tcW w:w="1980" w:type="dxa"/>
          </w:tcPr>
          <w:p w:rsidR="00194134" w:rsidRDefault="00194134">
            <w:pPr>
              <w:jc w:val="left"/>
              <w:rPr>
                <w:rFonts w:ascii="Arial" w:hAnsi="Arial" w:cs="Arial"/>
                <w:b/>
                <w:bCs/>
                <w:color w:val="0000FF"/>
                <w:sz w:val="20"/>
              </w:rPr>
            </w:pPr>
          </w:p>
          <w:p w:rsidR="00194134" w:rsidRDefault="00194134">
            <w:pPr>
              <w:jc w:val="left"/>
              <w:rPr>
                <w:rFonts w:ascii="Arial" w:hAnsi="Arial" w:cs="Arial"/>
                <w:b/>
                <w:bCs/>
                <w:color w:val="0000FF"/>
                <w:sz w:val="20"/>
              </w:rPr>
            </w:pPr>
            <w:r>
              <w:rPr>
                <w:rFonts w:ascii="Arial" w:hAnsi="Arial" w:cs="Arial"/>
                <w:b/>
                <w:bCs/>
                <w:color w:val="0000FF"/>
                <w:sz w:val="20"/>
              </w:rPr>
              <w:t>Purpose</w:t>
            </w:r>
          </w:p>
        </w:tc>
        <w:tc>
          <w:tcPr>
            <w:tcW w:w="9180" w:type="dxa"/>
            <w:gridSpan w:val="4"/>
            <w:tcBorders>
              <w:top w:val="single" w:sz="4" w:space="0" w:color="auto"/>
              <w:bottom w:val="single" w:sz="4" w:space="0" w:color="auto"/>
            </w:tcBorders>
          </w:tcPr>
          <w:p w:rsidR="00194134" w:rsidRDefault="00194134">
            <w:pPr>
              <w:jc w:val="left"/>
              <w:rPr>
                <w:rFonts w:ascii="Arial" w:hAnsi="Arial" w:cs="Arial"/>
              </w:rPr>
            </w:pPr>
          </w:p>
          <w:p w:rsidR="00A17FE0" w:rsidRPr="00FE6421" w:rsidRDefault="00A17FE0" w:rsidP="00A17FE0">
            <w:pPr>
              <w:rPr>
                <w:rFonts w:ascii="Arial" w:hAnsi="Arial" w:cs="Arial"/>
                <w:sz w:val="20"/>
                <w:szCs w:val="20"/>
              </w:rPr>
            </w:pPr>
            <w:r w:rsidRPr="00FE6421">
              <w:rPr>
                <w:rFonts w:ascii="Arial" w:hAnsi="Arial" w:cs="Arial"/>
                <w:sz w:val="20"/>
                <w:szCs w:val="20"/>
              </w:rPr>
              <w:t xml:space="preserve">It is the policy of Children’s Minnesota </w:t>
            </w:r>
            <w:r>
              <w:rPr>
                <w:rFonts w:ascii="Arial" w:hAnsi="Arial" w:cs="Arial"/>
                <w:sz w:val="20"/>
                <w:szCs w:val="20"/>
              </w:rPr>
              <w:t xml:space="preserve">Laboratory </w:t>
            </w:r>
            <w:r w:rsidRPr="00FE6421">
              <w:rPr>
                <w:rFonts w:ascii="Arial" w:hAnsi="Arial" w:cs="Arial"/>
                <w:sz w:val="20"/>
                <w:szCs w:val="20"/>
              </w:rPr>
              <w:t xml:space="preserve">to encourage and assist employees to increase their skills and knowledge through education that will contribute to maintenance of competency and improvement of job performance and/or potential advancement.  </w:t>
            </w:r>
            <w:r>
              <w:rPr>
                <w:rFonts w:ascii="Arial" w:hAnsi="Arial" w:cs="Arial"/>
                <w:sz w:val="20"/>
                <w:szCs w:val="20"/>
              </w:rPr>
              <w:t>This policy provides a standard process for approving conference attendance and funding guidelines. Any workshop, seminar, conference requested by laboratory staff for funding must be applicable to Children’s Minnesota and/or Laboratory Department goals, objective or practice of laboratory before it is approved as company business time and/or for company travel. Approval is contingent upon staffing levels and available funds for reimbursement.</w:t>
            </w:r>
          </w:p>
          <w:p w:rsidR="009663BC" w:rsidRDefault="009663BC">
            <w:pPr>
              <w:jc w:val="left"/>
              <w:rPr>
                <w:rFonts w:ascii="Arial" w:hAnsi="Arial" w:cs="Arial"/>
              </w:rPr>
            </w:pPr>
          </w:p>
        </w:tc>
      </w:tr>
      <w:tr w:rsidR="00194134">
        <w:trPr>
          <w:cantSplit/>
          <w:trHeight w:val="1025"/>
        </w:trPr>
        <w:tc>
          <w:tcPr>
            <w:tcW w:w="1980" w:type="dxa"/>
          </w:tcPr>
          <w:p w:rsidR="00194134" w:rsidRDefault="00194134">
            <w:pPr>
              <w:jc w:val="left"/>
              <w:rPr>
                <w:rFonts w:ascii="Arial" w:hAnsi="Arial" w:cs="Arial"/>
                <w:b/>
                <w:bCs/>
                <w:color w:val="0000FF"/>
                <w:sz w:val="20"/>
              </w:rPr>
            </w:pPr>
          </w:p>
          <w:p w:rsidR="00194134" w:rsidRDefault="00194134">
            <w:pPr>
              <w:jc w:val="left"/>
              <w:rPr>
                <w:rFonts w:ascii="Arial" w:hAnsi="Arial" w:cs="Arial"/>
                <w:b/>
                <w:bCs/>
                <w:color w:val="0000FF"/>
                <w:sz w:val="20"/>
              </w:rPr>
            </w:pPr>
            <w:r>
              <w:rPr>
                <w:rFonts w:ascii="Arial" w:hAnsi="Arial" w:cs="Arial"/>
                <w:b/>
                <w:bCs/>
                <w:color w:val="0000FF"/>
                <w:sz w:val="20"/>
              </w:rPr>
              <w:t>Policy</w:t>
            </w:r>
          </w:p>
          <w:p w:rsidR="00194134" w:rsidRDefault="00194134">
            <w:pPr>
              <w:jc w:val="left"/>
              <w:rPr>
                <w:rFonts w:ascii="Arial" w:hAnsi="Arial" w:cs="Arial"/>
                <w:b/>
                <w:bCs/>
                <w:color w:val="0000FF"/>
                <w:sz w:val="20"/>
              </w:rPr>
            </w:pPr>
          </w:p>
        </w:tc>
        <w:tc>
          <w:tcPr>
            <w:tcW w:w="9180" w:type="dxa"/>
            <w:gridSpan w:val="4"/>
            <w:tcBorders>
              <w:top w:val="single" w:sz="4" w:space="0" w:color="auto"/>
              <w:bottom w:val="single" w:sz="4" w:space="0" w:color="auto"/>
            </w:tcBorders>
          </w:tcPr>
          <w:p w:rsidR="00194134" w:rsidRPr="00030536" w:rsidRDefault="00B67958" w:rsidP="00B67958">
            <w:pPr>
              <w:pStyle w:val="ListParagraph"/>
              <w:numPr>
                <w:ilvl w:val="0"/>
                <w:numId w:val="33"/>
              </w:numPr>
              <w:jc w:val="left"/>
              <w:rPr>
                <w:rFonts w:ascii="Arial" w:hAnsi="Arial" w:cs="Arial"/>
                <w:sz w:val="20"/>
                <w:szCs w:val="20"/>
              </w:rPr>
            </w:pPr>
            <w:r w:rsidRPr="00030536">
              <w:rPr>
                <w:rFonts w:ascii="Arial" w:hAnsi="Arial" w:cs="Arial"/>
                <w:sz w:val="20"/>
                <w:szCs w:val="20"/>
              </w:rPr>
              <w:t>General Policies</w:t>
            </w:r>
          </w:p>
          <w:p w:rsidR="00B67958" w:rsidRPr="00030536" w:rsidRDefault="00B67958" w:rsidP="00B67958">
            <w:pPr>
              <w:pStyle w:val="ListParagraph"/>
              <w:numPr>
                <w:ilvl w:val="1"/>
                <w:numId w:val="33"/>
              </w:numPr>
              <w:jc w:val="left"/>
              <w:rPr>
                <w:rFonts w:ascii="Arial" w:hAnsi="Arial" w:cs="Arial"/>
                <w:sz w:val="20"/>
                <w:szCs w:val="20"/>
              </w:rPr>
            </w:pPr>
            <w:r w:rsidRPr="00030536">
              <w:rPr>
                <w:rFonts w:ascii="Arial" w:hAnsi="Arial" w:cs="Arial"/>
                <w:sz w:val="20"/>
                <w:szCs w:val="20"/>
              </w:rPr>
              <w:t>All employees are strongly encourage</w:t>
            </w:r>
            <w:r w:rsidR="00281954" w:rsidRPr="00030536">
              <w:rPr>
                <w:rFonts w:ascii="Arial" w:hAnsi="Arial" w:cs="Arial"/>
                <w:sz w:val="20"/>
                <w:szCs w:val="20"/>
              </w:rPr>
              <w:t>d</w:t>
            </w:r>
            <w:r w:rsidRPr="00030536">
              <w:rPr>
                <w:rFonts w:ascii="Arial" w:hAnsi="Arial" w:cs="Arial"/>
                <w:sz w:val="20"/>
                <w:szCs w:val="20"/>
              </w:rPr>
              <w:t xml:space="preserve"> to participate in the CHC Grand Round conferences, webinars and other free or cost-effective methods of continuing education.</w:t>
            </w:r>
          </w:p>
          <w:p w:rsidR="00281954" w:rsidRPr="00030536" w:rsidRDefault="00B67958" w:rsidP="00281954">
            <w:pPr>
              <w:pStyle w:val="ListParagraph"/>
              <w:numPr>
                <w:ilvl w:val="1"/>
                <w:numId w:val="33"/>
              </w:numPr>
              <w:jc w:val="left"/>
              <w:rPr>
                <w:rFonts w:ascii="Arial" w:hAnsi="Arial" w:cs="Arial"/>
                <w:sz w:val="20"/>
                <w:szCs w:val="20"/>
              </w:rPr>
            </w:pPr>
            <w:r w:rsidRPr="00030536">
              <w:rPr>
                <w:rFonts w:ascii="Arial" w:hAnsi="Arial" w:cs="Arial"/>
                <w:sz w:val="20"/>
                <w:szCs w:val="20"/>
              </w:rPr>
              <w:t xml:space="preserve">Decisions to approve a request for education reimbursement </w:t>
            </w:r>
            <w:r w:rsidR="00281954" w:rsidRPr="00030536">
              <w:rPr>
                <w:rFonts w:ascii="Arial" w:hAnsi="Arial" w:cs="Arial"/>
                <w:sz w:val="20"/>
                <w:szCs w:val="20"/>
              </w:rPr>
              <w:t xml:space="preserve">are based on available education funds and </w:t>
            </w:r>
            <w:r w:rsidRPr="00030536">
              <w:rPr>
                <w:rFonts w:ascii="Arial" w:hAnsi="Arial" w:cs="Arial"/>
                <w:sz w:val="20"/>
                <w:szCs w:val="20"/>
              </w:rPr>
              <w:t xml:space="preserve">reside with the manager </w:t>
            </w:r>
            <w:r w:rsidR="00281954" w:rsidRPr="00030536">
              <w:rPr>
                <w:rFonts w:ascii="Arial" w:hAnsi="Arial" w:cs="Arial"/>
                <w:sz w:val="20"/>
                <w:szCs w:val="20"/>
              </w:rPr>
              <w:t xml:space="preserve">and the Senior Director Radiology/Lab. </w:t>
            </w:r>
          </w:p>
          <w:p w:rsidR="00281954" w:rsidRPr="00030536" w:rsidRDefault="00281954" w:rsidP="00B67958">
            <w:pPr>
              <w:pStyle w:val="ListParagraph"/>
              <w:numPr>
                <w:ilvl w:val="1"/>
                <w:numId w:val="33"/>
              </w:numPr>
              <w:jc w:val="left"/>
              <w:rPr>
                <w:rFonts w:ascii="Arial" w:hAnsi="Arial" w:cs="Arial"/>
                <w:sz w:val="20"/>
                <w:szCs w:val="20"/>
              </w:rPr>
            </w:pPr>
            <w:r w:rsidRPr="00030536">
              <w:rPr>
                <w:rFonts w:ascii="Arial" w:hAnsi="Arial" w:cs="Arial"/>
                <w:sz w:val="20"/>
                <w:szCs w:val="20"/>
              </w:rPr>
              <w:t>Managers, supervisors, leads, education coordinator and technical specialists should be supportive of staff attendance at educational programs. Responsibilities include, but are not limited to, circulating education programs brochures and announcements, identifying and recommending education programs and opportunities and support bench coverage when appropriate.</w:t>
            </w:r>
          </w:p>
          <w:p w:rsidR="00281954" w:rsidRPr="00030536" w:rsidRDefault="00281954" w:rsidP="00B67958">
            <w:pPr>
              <w:pStyle w:val="ListParagraph"/>
              <w:numPr>
                <w:ilvl w:val="1"/>
                <w:numId w:val="33"/>
              </w:numPr>
              <w:jc w:val="left"/>
              <w:rPr>
                <w:rFonts w:ascii="Arial" w:hAnsi="Arial" w:cs="Arial"/>
                <w:sz w:val="20"/>
                <w:szCs w:val="20"/>
              </w:rPr>
            </w:pPr>
            <w:r w:rsidRPr="00030536">
              <w:rPr>
                <w:rFonts w:ascii="Arial" w:hAnsi="Arial" w:cs="Arial"/>
                <w:sz w:val="20"/>
                <w:szCs w:val="20"/>
              </w:rPr>
              <w:t>Laboratory staff approved for funding may be asked to provide an update to peers and/or laboratory leadership on a topic from the meeting.</w:t>
            </w:r>
          </w:p>
          <w:p w:rsidR="00281954" w:rsidRPr="00030536" w:rsidRDefault="00281954" w:rsidP="00B67958">
            <w:pPr>
              <w:pStyle w:val="ListParagraph"/>
              <w:numPr>
                <w:ilvl w:val="1"/>
                <w:numId w:val="33"/>
              </w:numPr>
              <w:jc w:val="left"/>
              <w:rPr>
                <w:rFonts w:ascii="Arial" w:hAnsi="Arial" w:cs="Arial"/>
                <w:sz w:val="20"/>
                <w:szCs w:val="20"/>
              </w:rPr>
            </w:pPr>
            <w:r w:rsidRPr="00030536">
              <w:rPr>
                <w:rFonts w:ascii="Arial" w:hAnsi="Arial" w:cs="Arial"/>
                <w:sz w:val="20"/>
                <w:szCs w:val="20"/>
              </w:rPr>
              <w:t>This policy covers educational programs that occur within the continental United States. Attendance at international meetings requires approval from the Senior Director Radiology/Lab.</w:t>
            </w:r>
          </w:p>
          <w:p w:rsidR="00FC0DF7" w:rsidRPr="00030536" w:rsidRDefault="00FC0DF7">
            <w:pPr>
              <w:widowControl w:val="0"/>
              <w:jc w:val="left"/>
              <w:rPr>
                <w:rFonts w:ascii="Arial" w:hAnsi="Arial" w:cs="Arial"/>
                <w:sz w:val="20"/>
                <w:szCs w:val="20"/>
              </w:rPr>
            </w:pPr>
          </w:p>
          <w:p w:rsidR="00281954" w:rsidRPr="00030536" w:rsidRDefault="00281954" w:rsidP="00281954">
            <w:pPr>
              <w:pStyle w:val="ListParagraph"/>
              <w:widowControl w:val="0"/>
              <w:numPr>
                <w:ilvl w:val="0"/>
                <w:numId w:val="33"/>
              </w:numPr>
              <w:jc w:val="left"/>
              <w:rPr>
                <w:rFonts w:ascii="Arial" w:hAnsi="Arial" w:cs="Arial"/>
                <w:sz w:val="20"/>
                <w:szCs w:val="20"/>
              </w:rPr>
            </w:pPr>
            <w:r w:rsidRPr="00030536">
              <w:rPr>
                <w:rFonts w:ascii="Arial" w:hAnsi="Arial" w:cs="Arial"/>
                <w:sz w:val="20"/>
                <w:szCs w:val="20"/>
              </w:rPr>
              <w:t>Eligibility</w:t>
            </w:r>
          </w:p>
          <w:p w:rsidR="005F785E" w:rsidRPr="00030536" w:rsidRDefault="00281954" w:rsidP="005F785E">
            <w:pPr>
              <w:pStyle w:val="ListParagraph"/>
              <w:widowControl w:val="0"/>
              <w:numPr>
                <w:ilvl w:val="1"/>
                <w:numId w:val="33"/>
              </w:numPr>
              <w:jc w:val="left"/>
              <w:rPr>
                <w:rFonts w:ascii="Arial" w:hAnsi="Arial" w:cs="Arial"/>
                <w:sz w:val="20"/>
                <w:szCs w:val="20"/>
              </w:rPr>
            </w:pPr>
            <w:r w:rsidRPr="00030536">
              <w:rPr>
                <w:rFonts w:ascii="Arial" w:hAnsi="Arial" w:cs="Arial"/>
                <w:sz w:val="20"/>
                <w:szCs w:val="20"/>
              </w:rPr>
              <w:t>All laboratory employees are eligible to receive education reimbursement each year.</w:t>
            </w:r>
            <w:r w:rsidR="005F785E" w:rsidRPr="00030536">
              <w:rPr>
                <w:rFonts w:ascii="Arial" w:hAnsi="Arial" w:cs="Arial"/>
                <w:sz w:val="20"/>
                <w:szCs w:val="20"/>
              </w:rPr>
              <w:t xml:space="preserve"> Temporary and casual staff are not eligible for education reimbursement.</w:t>
            </w:r>
          </w:p>
          <w:p w:rsidR="00281954" w:rsidRPr="00030536" w:rsidRDefault="00281954" w:rsidP="00281954">
            <w:pPr>
              <w:pStyle w:val="ListParagraph"/>
              <w:widowControl w:val="0"/>
              <w:numPr>
                <w:ilvl w:val="1"/>
                <w:numId w:val="33"/>
              </w:numPr>
              <w:jc w:val="left"/>
              <w:rPr>
                <w:rFonts w:ascii="Arial" w:hAnsi="Arial" w:cs="Arial"/>
                <w:sz w:val="20"/>
                <w:szCs w:val="20"/>
              </w:rPr>
            </w:pPr>
            <w:r w:rsidRPr="00030536">
              <w:rPr>
                <w:rFonts w:ascii="Arial" w:hAnsi="Arial" w:cs="Arial"/>
                <w:sz w:val="20"/>
                <w:szCs w:val="20"/>
              </w:rPr>
              <w:t xml:space="preserve">Eligibility for the </w:t>
            </w:r>
            <w:r w:rsidR="005F785E" w:rsidRPr="00030536">
              <w:rPr>
                <w:rFonts w:ascii="Arial" w:hAnsi="Arial" w:cs="Arial"/>
                <w:sz w:val="20"/>
                <w:szCs w:val="20"/>
              </w:rPr>
              <w:t>education reimbursement may be based on the following criteria:</w:t>
            </w:r>
          </w:p>
          <w:p w:rsidR="005F785E" w:rsidRPr="00030536" w:rsidRDefault="005F785E" w:rsidP="005F785E">
            <w:pPr>
              <w:pStyle w:val="ListParagraph"/>
              <w:widowControl w:val="0"/>
              <w:numPr>
                <w:ilvl w:val="2"/>
                <w:numId w:val="33"/>
              </w:numPr>
              <w:jc w:val="left"/>
              <w:rPr>
                <w:rFonts w:ascii="Arial" w:hAnsi="Arial" w:cs="Arial"/>
                <w:sz w:val="20"/>
                <w:szCs w:val="20"/>
              </w:rPr>
            </w:pPr>
            <w:r w:rsidRPr="00030536">
              <w:rPr>
                <w:rFonts w:ascii="Arial" w:hAnsi="Arial" w:cs="Arial"/>
                <w:sz w:val="20"/>
                <w:szCs w:val="20"/>
              </w:rPr>
              <w:t xml:space="preserve">Employee shall have demonstrated outstanding and consistent meritorious services as determined by laboratory leadership (examples: </w:t>
            </w:r>
            <w:r w:rsidR="001778C0">
              <w:rPr>
                <w:rFonts w:ascii="Arial" w:hAnsi="Arial" w:cs="Arial"/>
                <w:sz w:val="20"/>
                <w:szCs w:val="20"/>
              </w:rPr>
              <w:t xml:space="preserve">precepting students/new employees, </w:t>
            </w:r>
            <w:r w:rsidR="009B434C">
              <w:rPr>
                <w:rFonts w:ascii="Arial" w:hAnsi="Arial" w:cs="Arial"/>
                <w:sz w:val="20"/>
                <w:szCs w:val="20"/>
              </w:rPr>
              <w:t xml:space="preserve">support new test development, validation of new instrumentation, conducting </w:t>
            </w:r>
            <w:r w:rsidR="004968D3">
              <w:rPr>
                <w:rFonts w:ascii="Arial" w:hAnsi="Arial" w:cs="Arial"/>
                <w:sz w:val="20"/>
                <w:szCs w:val="20"/>
              </w:rPr>
              <w:t>in-services</w:t>
            </w:r>
            <w:r w:rsidR="001B620A">
              <w:rPr>
                <w:rFonts w:ascii="Arial" w:hAnsi="Arial" w:cs="Arial"/>
                <w:sz w:val="20"/>
                <w:szCs w:val="20"/>
              </w:rPr>
              <w:t>, presenting at scientific events</w:t>
            </w:r>
            <w:r w:rsidRPr="00030536">
              <w:rPr>
                <w:rFonts w:ascii="Arial" w:hAnsi="Arial" w:cs="Arial"/>
                <w:sz w:val="20"/>
                <w:szCs w:val="20"/>
              </w:rPr>
              <w:t>)</w:t>
            </w:r>
          </w:p>
          <w:p w:rsidR="005F785E" w:rsidRDefault="005F785E" w:rsidP="005F785E">
            <w:pPr>
              <w:pStyle w:val="ListParagraph"/>
              <w:widowControl w:val="0"/>
              <w:numPr>
                <w:ilvl w:val="2"/>
                <w:numId w:val="33"/>
              </w:numPr>
              <w:jc w:val="left"/>
              <w:rPr>
                <w:rFonts w:ascii="Arial" w:hAnsi="Arial" w:cs="Arial"/>
                <w:sz w:val="20"/>
                <w:szCs w:val="20"/>
              </w:rPr>
            </w:pPr>
            <w:r w:rsidRPr="00030536">
              <w:rPr>
                <w:rFonts w:ascii="Arial" w:hAnsi="Arial" w:cs="Arial"/>
                <w:sz w:val="20"/>
                <w:szCs w:val="20"/>
              </w:rPr>
              <w:t>Laboratory leadership, as needed to perform their job duties</w:t>
            </w:r>
          </w:p>
          <w:p w:rsidR="00030536" w:rsidRDefault="00030536" w:rsidP="005F785E">
            <w:pPr>
              <w:pStyle w:val="ListParagraph"/>
              <w:widowControl w:val="0"/>
              <w:numPr>
                <w:ilvl w:val="2"/>
                <w:numId w:val="33"/>
              </w:numPr>
              <w:jc w:val="left"/>
              <w:rPr>
                <w:rFonts w:ascii="Arial" w:hAnsi="Arial" w:cs="Arial"/>
                <w:sz w:val="20"/>
                <w:szCs w:val="20"/>
              </w:rPr>
            </w:pPr>
            <w:r>
              <w:rPr>
                <w:rFonts w:ascii="Arial" w:hAnsi="Arial" w:cs="Arial"/>
                <w:sz w:val="20"/>
                <w:szCs w:val="20"/>
              </w:rPr>
              <w:t>Available funds</w:t>
            </w:r>
          </w:p>
          <w:p w:rsidR="00030536" w:rsidRDefault="00030536" w:rsidP="005F785E">
            <w:pPr>
              <w:pStyle w:val="ListParagraph"/>
              <w:widowControl w:val="0"/>
              <w:numPr>
                <w:ilvl w:val="2"/>
                <w:numId w:val="33"/>
              </w:numPr>
              <w:jc w:val="left"/>
              <w:rPr>
                <w:rFonts w:ascii="Arial" w:hAnsi="Arial" w:cs="Arial"/>
                <w:sz w:val="20"/>
                <w:szCs w:val="20"/>
              </w:rPr>
            </w:pPr>
            <w:r>
              <w:rPr>
                <w:rFonts w:ascii="Arial" w:hAnsi="Arial" w:cs="Arial"/>
                <w:sz w:val="20"/>
                <w:szCs w:val="20"/>
              </w:rPr>
              <w:t>Number of eligible applications</w:t>
            </w:r>
          </w:p>
          <w:p w:rsidR="00030536" w:rsidRDefault="00030536" w:rsidP="005F785E">
            <w:pPr>
              <w:pStyle w:val="ListParagraph"/>
              <w:widowControl w:val="0"/>
              <w:numPr>
                <w:ilvl w:val="2"/>
                <w:numId w:val="33"/>
              </w:numPr>
              <w:jc w:val="left"/>
              <w:rPr>
                <w:rFonts w:ascii="Arial" w:hAnsi="Arial" w:cs="Arial"/>
                <w:sz w:val="20"/>
                <w:szCs w:val="20"/>
              </w:rPr>
            </w:pPr>
            <w:r>
              <w:rPr>
                <w:rFonts w:ascii="Arial" w:hAnsi="Arial" w:cs="Arial"/>
                <w:sz w:val="20"/>
                <w:szCs w:val="20"/>
              </w:rPr>
              <w:t>Course quality and content</w:t>
            </w:r>
          </w:p>
          <w:p w:rsidR="00030536" w:rsidRDefault="00162C19" w:rsidP="005F785E">
            <w:pPr>
              <w:pStyle w:val="ListParagraph"/>
              <w:widowControl w:val="0"/>
              <w:numPr>
                <w:ilvl w:val="2"/>
                <w:numId w:val="33"/>
              </w:numPr>
              <w:jc w:val="left"/>
              <w:rPr>
                <w:rFonts w:ascii="Arial" w:hAnsi="Arial" w:cs="Arial"/>
                <w:sz w:val="20"/>
                <w:szCs w:val="20"/>
              </w:rPr>
            </w:pPr>
            <w:r>
              <w:rPr>
                <w:rFonts w:ascii="Arial" w:hAnsi="Arial" w:cs="Arial"/>
                <w:sz w:val="20"/>
                <w:szCs w:val="20"/>
              </w:rPr>
              <w:t>Relevance of educational program to employee’s work assignment</w:t>
            </w:r>
          </w:p>
          <w:p w:rsidR="00162C19" w:rsidRDefault="00162C19" w:rsidP="005F785E">
            <w:pPr>
              <w:pStyle w:val="ListParagraph"/>
              <w:widowControl w:val="0"/>
              <w:numPr>
                <w:ilvl w:val="2"/>
                <w:numId w:val="33"/>
              </w:numPr>
              <w:jc w:val="left"/>
              <w:rPr>
                <w:rFonts w:ascii="Arial" w:hAnsi="Arial" w:cs="Arial"/>
                <w:sz w:val="20"/>
                <w:szCs w:val="20"/>
              </w:rPr>
            </w:pPr>
            <w:r>
              <w:rPr>
                <w:rFonts w:ascii="Arial" w:hAnsi="Arial" w:cs="Arial"/>
                <w:sz w:val="20"/>
                <w:szCs w:val="20"/>
              </w:rPr>
              <w:t>Impact of the employee’s absence on staffing</w:t>
            </w:r>
          </w:p>
          <w:p w:rsidR="00162C19" w:rsidRPr="00030536" w:rsidRDefault="00162C19" w:rsidP="005F785E">
            <w:pPr>
              <w:pStyle w:val="ListParagraph"/>
              <w:widowControl w:val="0"/>
              <w:numPr>
                <w:ilvl w:val="2"/>
                <w:numId w:val="33"/>
              </w:numPr>
              <w:jc w:val="left"/>
              <w:rPr>
                <w:rFonts w:ascii="Arial" w:hAnsi="Arial" w:cs="Arial"/>
                <w:sz w:val="20"/>
                <w:szCs w:val="20"/>
              </w:rPr>
            </w:pPr>
            <w:r>
              <w:rPr>
                <w:rFonts w:ascii="Arial" w:hAnsi="Arial" w:cs="Arial"/>
                <w:sz w:val="20"/>
                <w:szCs w:val="20"/>
              </w:rPr>
              <w:t>Availability of less expensive education alternatives, such as participation by telephone or video conferencing and the availability of local substitutes.</w:t>
            </w:r>
          </w:p>
          <w:p w:rsidR="005F785E" w:rsidRPr="00030536" w:rsidRDefault="005F785E" w:rsidP="005F785E">
            <w:pPr>
              <w:pStyle w:val="ListParagraph"/>
              <w:widowControl w:val="0"/>
              <w:numPr>
                <w:ilvl w:val="2"/>
                <w:numId w:val="33"/>
              </w:numPr>
              <w:jc w:val="left"/>
              <w:rPr>
                <w:rFonts w:ascii="Arial" w:hAnsi="Arial" w:cs="Arial"/>
                <w:sz w:val="20"/>
                <w:szCs w:val="20"/>
              </w:rPr>
            </w:pPr>
            <w:r w:rsidRPr="00030536">
              <w:rPr>
                <w:rFonts w:ascii="Arial" w:hAnsi="Arial" w:cs="Arial"/>
                <w:sz w:val="20"/>
                <w:szCs w:val="20"/>
              </w:rPr>
              <w:t>Timing:</w:t>
            </w:r>
          </w:p>
          <w:p w:rsidR="005F785E" w:rsidRPr="00030536" w:rsidRDefault="005F785E" w:rsidP="005F785E">
            <w:pPr>
              <w:pStyle w:val="ListParagraph"/>
              <w:widowControl w:val="0"/>
              <w:numPr>
                <w:ilvl w:val="0"/>
                <w:numId w:val="34"/>
              </w:numPr>
              <w:jc w:val="left"/>
              <w:rPr>
                <w:rFonts w:ascii="Arial" w:hAnsi="Arial" w:cs="Arial"/>
                <w:sz w:val="20"/>
                <w:szCs w:val="20"/>
              </w:rPr>
            </w:pPr>
            <w:r w:rsidRPr="00030536">
              <w:rPr>
                <w:rFonts w:ascii="Arial" w:hAnsi="Arial" w:cs="Arial"/>
                <w:sz w:val="20"/>
                <w:szCs w:val="20"/>
              </w:rPr>
              <w:t>Time worked as a laboratory employee</w:t>
            </w:r>
          </w:p>
          <w:p w:rsidR="005F785E" w:rsidRPr="00030536" w:rsidRDefault="005F785E" w:rsidP="005F785E">
            <w:pPr>
              <w:pStyle w:val="ListParagraph"/>
              <w:widowControl w:val="0"/>
              <w:numPr>
                <w:ilvl w:val="0"/>
                <w:numId w:val="34"/>
              </w:numPr>
              <w:jc w:val="left"/>
              <w:rPr>
                <w:rFonts w:ascii="Arial" w:hAnsi="Arial" w:cs="Arial"/>
                <w:sz w:val="20"/>
                <w:szCs w:val="20"/>
              </w:rPr>
            </w:pPr>
            <w:r w:rsidRPr="00030536">
              <w:rPr>
                <w:rFonts w:ascii="Arial" w:hAnsi="Arial" w:cs="Arial"/>
                <w:sz w:val="20"/>
                <w:szCs w:val="20"/>
              </w:rPr>
              <w:t xml:space="preserve">Time worked since last attending a conference paid for by the department or hospital </w:t>
            </w:r>
          </w:p>
          <w:p w:rsidR="005F785E" w:rsidRDefault="005F785E" w:rsidP="005F785E">
            <w:pPr>
              <w:pStyle w:val="ListParagraph"/>
              <w:widowControl w:val="0"/>
              <w:numPr>
                <w:ilvl w:val="1"/>
                <w:numId w:val="33"/>
              </w:numPr>
              <w:jc w:val="left"/>
              <w:rPr>
                <w:rFonts w:ascii="Arial" w:hAnsi="Arial" w:cs="Arial"/>
                <w:sz w:val="20"/>
                <w:szCs w:val="20"/>
              </w:rPr>
            </w:pPr>
            <w:r w:rsidRPr="00030536">
              <w:rPr>
                <w:rFonts w:ascii="Arial" w:hAnsi="Arial" w:cs="Arial"/>
                <w:sz w:val="20"/>
                <w:szCs w:val="20"/>
              </w:rPr>
              <w:t xml:space="preserve">Education programs that are eligible for education reimbursement must be directly related to the employee’s immediate work, or to work that the employee may reasonably be expected to advance within the laboratory. Examples of educational programs include, but are not limited to, seminars, workshops, lectures and professional meetings. </w:t>
            </w:r>
          </w:p>
          <w:p w:rsidR="00194134" w:rsidRDefault="00194134">
            <w:pPr>
              <w:jc w:val="left"/>
              <w:rPr>
                <w:rFonts w:ascii="Arial" w:hAnsi="Arial" w:cs="Arial"/>
              </w:rPr>
            </w:pPr>
          </w:p>
        </w:tc>
      </w:tr>
      <w:tr w:rsidR="00A00156">
        <w:trPr>
          <w:cantSplit/>
          <w:trHeight w:val="1025"/>
        </w:trPr>
        <w:tc>
          <w:tcPr>
            <w:tcW w:w="1980" w:type="dxa"/>
          </w:tcPr>
          <w:p w:rsidR="00A00156" w:rsidRDefault="00A00156">
            <w:pPr>
              <w:jc w:val="left"/>
              <w:rPr>
                <w:rFonts w:ascii="Arial" w:hAnsi="Arial" w:cs="Arial"/>
                <w:b/>
                <w:bCs/>
                <w:color w:val="0000FF"/>
                <w:sz w:val="20"/>
              </w:rPr>
            </w:pPr>
          </w:p>
        </w:tc>
        <w:tc>
          <w:tcPr>
            <w:tcW w:w="9180" w:type="dxa"/>
            <w:gridSpan w:val="4"/>
            <w:tcBorders>
              <w:top w:val="single" w:sz="4" w:space="0" w:color="auto"/>
              <w:bottom w:val="single" w:sz="4" w:space="0" w:color="auto"/>
            </w:tcBorders>
          </w:tcPr>
          <w:p w:rsidR="00E54D39" w:rsidRDefault="00E54D39" w:rsidP="00E54D39">
            <w:pPr>
              <w:widowControl w:val="0"/>
              <w:jc w:val="left"/>
              <w:rPr>
                <w:rFonts w:ascii="Arial" w:hAnsi="Arial" w:cs="Arial"/>
                <w:sz w:val="20"/>
                <w:szCs w:val="20"/>
              </w:rPr>
            </w:pPr>
          </w:p>
          <w:p w:rsidR="00E54D39" w:rsidRDefault="00E54D39" w:rsidP="00E54D39">
            <w:pPr>
              <w:pStyle w:val="ListParagraph"/>
              <w:widowControl w:val="0"/>
              <w:numPr>
                <w:ilvl w:val="0"/>
                <w:numId w:val="33"/>
              </w:numPr>
              <w:jc w:val="left"/>
              <w:rPr>
                <w:rFonts w:ascii="Arial" w:hAnsi="Arial" w:cs="Arial"/>
                <w:sz w:val="20"/>
                <w:szCs w:val="20"/>
              </w:rPr>
            </w:pPr>
            <w:r>
              <w:rPr>
                <w:rFonts w:ascii="Arial" w:hAnsi="Arial" w:cs="Arial"/>
                <w:sz w:val="20"/>
                <w:szCs w:val="20"/>
              </w:rPr>
              <w:t>Approval and reimbursement process</w:t>
            </w:r>
          </w:p>
          <w:p w:rsidR="00E54D39" w:rsidRDefault="00E54D39" w:rsidP="00E54D39">
            <w:pPr>
              <w:pStyle w:val="ListParagraph"/>
              <w:widowControl w:val="0"/>
              <w:numPr>
                <w:ilvl w:val="1"/>
                <w:numId w:val="33"/>
              </w:numPr>
              <w:jc w:val="left"/>
              <w:rPr>
                <w:rFonts w:ascii="Arial" w:hAnsi="Arial" w:cs="Arial"/>
                <w:sz w:val="20"/>
                <w:szCs w:val="20"/>
              </w:rPr>
            </w:pPr>
            <w:r>
              <w:rPr>
                <w:rFonts w:ascii="Arial" w:hAnsi="Arial" w:cs="Arial"/>
                <w:sz w:val="20"/>
                <w:szCs w:val="20"/>
              </w:rPr>
              <w:t>Reimbursement processes will follow Children’s Employee Reimbursement Policy 1404.09. The laboratory policy may place added restrictions or guidance above and beyond the Children’s policy.</w:t>
            </w:r>
          </w:p>
          <w:p w:rsidR="00E54D39" w:rsidRDefault="00E54D39" w:rsidP="00E54D39">
            <w:pPr>
              <w:pStyle w:val="ListParagraph"/>
              <w:widowControl w:val="0"/>
              <w:numPr>
                <w:ilvl w:val="1"/>
                <w:numId w:val="33"/>
              </w:numPr>
              <w:jc w:val="left"/>
              <w:rPr>
                <w:rFonts w:ascii="Arial" w:hAnsi="Arial" w:cs="Arial"/>
                <w:sz w:val="20"/>
                <w:szCs w:val="20"/>
              </w:rPr>
            </w:pPr>
            <w:r>
              <w:rPr>
                <w:rFonts w:ascii="Arial" w:hAnsi="Arial" w:cs="Arial"/>
                <w:sz w:val="20"/>
                <w:szCs w:val="20"/>
              </w:rPr>
              <w:t xml:space="preserve">The Education Reimbursement Request Form must be completed with estimated funds and submitted </w:t>
            </w:r>
            <w:r w:rsidR="000B44C5">
              <w:rPr>
                <w:rFonts w:ascii="Arial" w:hAnsi="Arial" w:cs="Arial"/>
                <w:sz w:val="20"/>
                <w:szCs w:val="20"/>
              </w:rPr>
              <w:t xml:space="preserve">to the manager </w:t>
            </w:r>
            <w:r>
              <w:rPr>
                <w:rFonts w:ascii="Arial" w:hAnsi="Arial" w:cs="Arial"/>
                <w:sz w:val="20"/>
                <w:szCs w:val="20"/>
              </w:rPr>
              <w:t xml:space="preserve">for approval by the laboratory leadership team in advance of meeting registration/reservations for travel. </w:t>
            </w:r>
            <w:r w:rsidR="000B44C5">
              <w:rPr>
                <w:rFonts w:ascii="Arial" w:hAnsi="Arial" w:cs="Arial"/>
                <w:sz w:val="20"/>
                <w:szCs w:val="20"/>
              </w:rPr>
              <w:t>Attach a copy of the brochure, announcement or descriptions and fee schedules of the session to be attended.</w:t>
            </w:r>
          </w:p>
          <w:p w:rsidR="00E54D39" w:rsidRDefault="00E54D39" w:rsidP="00E54D39">
            <w:pPr>
              <w:pStyle w:val="ListParagraph"/>
              <w:widowControl w:val="0"/>
              <w:numPr>
                <w:ilvl w:val="1"/>
                <w:numId w:val="33"/>
              </w:numPr>
              <w:jc w:val="left"/>
              <w:rPr>
                <w:rFonts w:ascii="Arial" w:hAnsi="Arial" w:cs="Arial"/>
                <w:sz w:val="20"/>
                <w:szCs w:val="20"/>
              </w:rPr>
            </w:pPr>
            <w:r>
              <w:rPr>
                <w:rFonts w:ascii="Arial" w:hAnsi="Arial" w:cs="Arial"/>
                <w:sz w:val="20"/>
                <w:szCs w:val="20"/>
              </w:rPr>
              <w:t>Any professional leave time paid as company business time must be approved by laboratory leadership.</w:t>
            </w:r>
          </w:p>
          <w:p w:rsidR="00E54D39" w:rsidRDefault="00E54D39" w:rsidP="00E54D39">
            <w:pPr>
              <w:pStyle w:val="ListParagraph"/>
              <w:widowControl w:val="0"/>
              <w:numPr>
                <w:ilvl w:val="1"/>
                <w:numId w:val="33"/>
              </w:numPr>
              <w:jc w:val="left"/>
              <w:rPr>
                <w:rFonts w:ascii="Arial" w:hAnsi="Arial" w:cs="Arial"/>
                <w:sz w:val="20"/>
                <w:szCs w:val="20"/>
              </w:rPr>
            </w:pPr>
            <w:r>
              <w:rPr>
                <w:rFonts w:ascii="Arial" w:hAnsi="Arial" w:cs="Arial"/>
                <w:sz w:val="20"/>
                <w:szCs w:val="20"/>
              </w:rPr>
              <w:t>Based on budgetary considerations, laboratory leadership may impose a reimbursement cap on meeting and travel funding.</w:t>
            </w:r>
          </w:p>
          <w:p w:rsidR="00E54D39" w:rsidRDefault="00E54D39" w:rsidP="00E54D39">
            <w:pPr>
              <w:pStyle w:val="ListParagraph"/>
              <w:widowControl w:val="0"/>
              <w:numPr>
                <w:ilvl w:val="1"/>
                <w:numId w:val="33"/>
              </w:numPr>
              <w:jc w:val="left"/>
              <w:rPr>
                <w:rFonts w:ascii="Arial" w:hAnsi="Arial" w:cs="Arial"/>
                <w:sz w:val="20"/>
                <w:szCs w:val="20"/>
              </w:rPr>
            </w:pPr>
            <w:r>
              <w:rPr>
                <w:rFonts w:ascii="Arial" w:hAnsi="Arial" w:cs="Arial"/>
                <w:sz w:val="20"/>
                <w:szCs w:val="20"/>
              </w:rPr>
              <w:t>Only the member-rate fee and/or the early registration rate for conference attendance will be considered for reimbursement. The employee will not be required to pay the difference between the member and non-member registration fee and/or early registration rate if the meeting is considered a priority for the department and attendance is requested by leadership in a time frame that would not allow capture of early registration rate.</w:t>
            </w:r>
          </w:p>
          <w:p w:rsidR="009D4AAB" w:rsidRDefault="009D4AAB" w:rsidP="00E54D39">
            <w:pPr>
              <w:pStyle w:val="ListParagraph"/>
              <w:widowControl w:val="0"/>
              <w:numPr>
                <w:ilvl w:val="1"/>
                <w:numId w:val="33"/>
              </w:numPr>
              <w:jc w:val="left"/>
              <w:rPr>
                <w:rFonts w:ascii="Arial" w:hAnsi="Arial" w:cs="Arial"/>
                <w:sz w:val="20"/>
                <w:szCs w:val="20"/>
              </w:rPr>
            </w:pPr>
            <w:r>
              <w:rPr>
                <w:rFonts w:ascii="Arial" w:hAnsi="Arial" w:cs="Arial"/>
                <w:sz w:val="20"/>
                <w:szCs w:val="20"/>
              </w:rPr>
              <w:t>Airfare will be reimbursed for meetings that are more than 250 miles from the Minneapolis/St. Paul International Airport.</w:t>
            </w:r>
          </w:p>
          <w:p w:rsidR="009D4AAB" w:rsidRDefault="009D4AAB" w:rsidP="009D4AAB">
            <w:pPr>
              <w:pStyle w:val="ListParagraph"/>
              <w:widowControl w:val="0"/>
              <w:numPr>
                <w:ilvl w:val="1"/>
                <w:numId w:val="33"/>
              </w:numPr>
              <w:jc w:val="left"/>
              <w:rPr>
                <w:rFonts w:ascii="Arial" w:hAnsi="Arial" w:cs="Arial"/>
                <w:sz w:val="20"/>
                <w:szCs w:val="20"/>
              </w:rPr>
            </w:pPr>
            <w:r>
              <w:rPr>
                <w:rFonts w:ascii="Arial" w:hAnsi="Arial" w:cs="Arial"/>
                <w:sz w:val="20"/>
                <w:szCs w:val="20"/>
              </w:rPr>
              <w:t>Hotel expenses will be reimbursed:</w:t>
            </w:r>
          </w:p>
          <w:p w:rsidR="009D4AAB" w:rsidRDefault="009D4AAB" w:rsidP="009D4AAB">
            <w:pPr>
              <w:pStyle w:val="ListParagraph"/>
              <w:widowControl w:val="0"/>
              <w:numPr>
                <w:ilvl w:val="2"/>
                <w:numId w:val="33"/>
              </w:numPr>
              <w:jc w:val="left"/>
              <w:rPr>
                <w:rFonts w:ascii="Arial" w:hAnsi="Arial" w:cs="Arial"/>
                <w:sz w:val="20"/>
                <w:szCs w:val="20"/>
              </w:rPr>
            </w:pPr>
            <w:r>
              <w:rPr>
                <w:rFonts w:ascii="Arial" w:hAnsi="Arial" w:cs="Arial"/>
                <w:sz w:val="20"/>
                <w:szCs w:val="20"/>
              </w:rPr>
              <w:t>at the double occupancy rate (when applicable depending on the gender and number in travel group)</w:t>
            </w:r>
          </w:p>
          <w:p w:rsidR="009D4AAB" w:rsidRDefault="009D4AAB" w:rsidP="009D4AAB">
            <w:pPr>
              <w:pStyle w:val="ListParagraph"/>
              <w:widowControl w:val="0"/>
              <w:numPr>
                <w:ilvl w:val="2"/>
                <w:numId w:val="33"/>
              </w:numPr>
              <w:jc w:val="left"/>
              <w:rPr>
                <w:rFonts w:ascii="Arial" w:hAnsi="Arial" w:cs="Arial"/>
                <w:sz w:val="20"/>
                <w:szCs w:val="20"/>
              </w:rPr>
            </w:pPr>
            <w:r>
              <w:rPr>
                <w:rFonts w:ascii="Arial" w:hAnsi="Arial" w:cs="Arial"/>
                <w:sz w:val="20"/>
                <w:szCs w:val="20"/>
              </w:rPr>
              <w:t xml:space="preserve">for reasonable travel before and after the dates of the meeting; and </w:t>
            </w:r>
          </w:p>
          <w:p w:rsidR="009D4AAB" w:rsidRDefault="004968D3" w:rsidP="009D4AAB">
            <w:pPr>
              <w:pStyle w:val="ListParagraph"/>
              <w:widowControl w:val="0"/>
              <w:numPr>
                <w:ilvl w:val="2"/>
                <w:numId w:val="33"/>
              </w:numPr>
              <w:jc w:val="left"/>
              <w:rPr>
                <w:rFonts w:ascii="Arial" w:hAnsi="Arial" w:cs="Arial"/>
                <w:sz w:val="20"/>
                <w:szCs w:val="20"/>
              </w:rPr>
            </w:pPr>
            <w:r>
              <w:rPr>
                <w:rFonts w:ascii="Arial" w:hAnsi="Arial" w:cs="Arial"/>
                <w:sz w:val="20"/>
                <w:szCs w:val="20"/>
              </w:rPr>
              <w:t>For</w:t>
            </w:r>
            <w:r w:rsidR="009D4AAB">
              <w:rPr>
                <w:rFonts w:ascii="Arial" w:hAnsi="Arial" w:cs="Arial"/>
                <w:sz w:val="20"/>
                <w:szCs w:val="20"/>
              </w:rPr>
              <w:t xml:space="preserve"> meetings that exceed 120 miles from the Minneapolis/St. Paul area.</w:t>
            </w:r>
          </w:p>
          <w:p w:rsidR="00A16684" w:rsidRDefault="00A16684" w:rsidP="00A16684">
            <w:pPr>
              <w:pStyle w:val="ListParagraph"/>
              <w:widowControl w:val="0"/>
              <w:numPr>
                <w:ilvl w:val="1"/>
                <w:numId w:val="33"/>
              </w:numPr>
              <w:jc w:val="left"/>
              <w:rPr>
                <w:rFonts w:ascii="Arial" w:hAnsi="Arial" w:cs="Arial"/>
                <w:sz w:val="20"/>
                <w:szCs w:val="20"/>
              </w:rPr>
            </w:pPr>
            <w:r>
              <w:rPr>
                <w:rFonts w:ascii="Arial" w:hAnsi="Arial" w:cs="Arial"/>
                <w:sz w:val="20"/>
                <w:szCs w:val="20"/>
              </w:rPr>
              <w:t>Travel vendors, personal automobile reimbursement, personal expenses, meals and ground transportation: refer to Children’s Employee Reimbursement Policy 1404.09.</w:t>
            </w:r>
          </w:p>
          <w:p w:rsidR="00914728" w:rsidRDefault="00914728" w:rsidP="00914728">
            <w:pPr>
              <w:pStyle w:val="ListParagraph"/>
              <w:widowControl w:val="0"/>
              <w:jc w:val="left"/>
              <w:rPr>
                <w:rFonts w:ascii="Arial" w:hAnsi="Arial" w:cs="Arial"/>
                <w:sz w:val="20"/>
                <w:szCs w:val="20"/>
              </w:rPr>
            </w:pPr>
          </w:p>
          <w:p w:rsidR="00914728" w:rsidRDefault="00914728" w:rsidP="00914728">
            <w:pPr>
              <w:pStyle w:val="ListParagraph"/>
              <w:widowControl w:val="0"/>
              <w:numPr>
                <w:ilvl w:val="0"/>
                <w:numId w:val="33"/>
              </w:numPr>
              <w:jc w:val="left"/>
              <w:rPr>
                <w:rFonts w:ascii="Arial" w:hAnsi="Arial" w:cs="Arial"/>
                <w:sz w:val="20"/>
                <w:szCs w:val="20"/>
              </w:rPr>
            </w:pPr>
            <w:r>
              <w:rPr>
                <w:rFonts w:ascii="Arial" w:hAnsi="Arial" w:cs="Arial"/>
                <w:sz w:val="20"/>
                <w:szCs w:val="20"/>
              </w:rPr>
              <w:t>Company business time determination</w:t>
            </w:r>
          </w:p>
          <w:p w:rsidR="00914728" w:rsidRDefault="00914728" w:rsidP="00914728">
            <w:pPr>
              <w:pStyle w:val="ListParagraph"/>
              <w:widowControl w:val="0"/>
              <w:numPr>
                <w:ilvl w:val="1"/>
                <w:numId w:val="33"/>
              </w:numPr>
              <w:jc w:val="left"/>
              <w:rPr>
                <w:rFonts w:ascii="Arial" w:hAnsi="Arial" w:cs="Arial"/>
                <w:sz w:val="20"/>
                <w:szCs w:val="20"/>
              </w:rPr>
            </w:pPr>
            <w:r>
              <w:rPr>
                <w:rFonts w:ascii="Arial" w:hAnsi="Arial" w:cs="Arial"/>
                <w:sz w:val="20"/>
                <w:szCs w:val="20"/>
              </w:rPr>
              <w:t>The decision to approve meeting attendance on company business time vs. laboratory staff using their own PTO, will be balanced based on the clinical and operational priorities of the laboratory department and of the organization. This will be approved on a case by case basis by the leadership team.</w:t>
            </w:r>
          </w:p>
          <w:p w:rsidR="00914728" w:rsidRDefault="00914728" w:rsidP="00914728">
            <w:pPr>
              <w:pStyle w:val="ListParagraph"/>
              <w:widowControl w:val="0"/>
              <w:numPr>
                <w:ilvl w:val="1"/>
                <w:numId w:val="33"/>
              </w:numPr>
              <w:jc w:val="left"/>
              <w:rPr>
                <w:rFonts w:ascii="Arial" w:hAnsi="Arial" w:cs="Arial"/>
                <w:sz w:val="20"/>
                <w:szCs w:val="20"/>
              </w:rPr>
            </w:pPr>
            <w:r>
              <w:rPr>
                <w:rFonts w:ascii="Arial" w:hAnsi="Arial" w:cs="Arial"/>
                <w:sz w:val="20"/>
                <w:szCs w:val="20"/>
              </w:rPr>
              <w:t>If approved for company business time, if the meeting is during a time when the laboratory employee is normally schedule to work, those days will be compensated through company business time. Laboratory staff cannot be paid above 1.0 FTE for company business time.</w:t>
            </w:r>
          </w:p>
          <w:p w:rsidR="00E95715" w:rsidRDefault="00E95715" w:rsidP="00914728">
            <w:pPr>
              <w:pStyle w:val="ListParagraph"/>
              <w:widowControl w:val="0"/>
              <w:numPr>
                <w:ilvl w:val="1"/>
                <w:numId w:val="33"/>
              </w:numPr>
              <w:jc w:val="left"/>
              <w:rPr>
                <w:rFonts w:ascii="Arial" w:hAnsi="Arial" w:cs="Arial"/>
                <w:sz w:val="20"/>
                <w:szCs w:val="20"/>
              </w:rPr>
            </w:pPr>
            <w:r>
              <w:rPr>
                <w:rFonts w:ascii="Arial" w:hAnsi="Arial" w:cs="Arial"/>
                <w:sz w:val="20"/>
                <w:szCs w:val="20"/>
              </w:rPr>
              <w:t>General guidelines for approving company business time:</w:t>
            </w:r>
          </w:p>
          <w:p w:rsidR="00E95715" w:rsidRDefault="00E95715" w:rsidP="00E95715">
            <w:pPr>
              <w:pStyle w:val="ListParagraph"/>
              <w:widowControl w:val="0"/>
              <w:numPr>
                <w:ilvl w:val="2"/>
                <w:numId w:val="33"/>
              </w:numPr>
              <w:jc w:val="left"/>
              <w:rPr>
                <w:rFonts w:ascii="Arial" w:hAnsi="Arial" w:cs="Arial"/>
                <w:sz w:val="20"/>
                <w:szCs w:val="20"/>
              </w:rPr>
            </w:pPr>
            <w:r>
              <w:rPr>
                <w:rFonts w:ascii="Arial" w:hAnsi="Arial" w:cs="Arial"/>
                <w:sz w:val="20"/>
                <w:szCs w:val="20"/>
              </w:rPr>
              <w:t>Laboratory meetings required by laboratory leadership or Children’s Executive team.</w:t>
            </w:r>
          </w:p>
          <w:p w:rsidR="00E95715" w:rsidRDefault="00E95715" w:rsidP="00E95715">
            <w:pPr>
              <w:pStyle w:val="ListParagraph"/>
              <w:widowControl w:val="0"/>
              <w:numPr>
                <w:ilvl w:val="2"/>
                <w:numId w:val="33"/>
              </w:numPr>
              <w:jc w:val="left"/>
              <w:rPr>
                <w:rFonts w:ascii="Arial" w:hAnsi="Arial" w:cs="Arial"/>
                <w:sz w:val="20"/>
                <w:szCs w:val="20"/>
              </w:rPr>
            </w:pPr>
            <w:r>
              <w:rPr>
                <w:rFonts w:ascii="Arial" w:hAnsi="Arial" w:cs="Arial"/>
                <w:sz w:val="20"/>
                <w:szCs w:val="20"/>
              </w:rPr>
              <w:t>Training (e.g. new instrumentation)</w:t>
            </w:r>
          </w:p>
          <w:p w:rsidR="00E95715" w:rsidRDefault="00E95715" w:rsidP="00E95715">
            <w:pPr>
              <w:pStyle w:val="ListParagraph"/>
              <w:widowControl w:val="0"/>
              <w:numPr>
                <w:ilvl w:val="2"/>
                <w:numId w:val="33"/>
              </w:numPr>
              <w:jc w:val="left"/>
              <w:rPr>
                <w:rFonts w:ascii="Arial" w:hAnsi="Arial" w:cs="Arial"/>
                <w:sz w:val="20"/>
                <w:szCs w:val="20"/>
              </w:rPr>
            </w:pPr>
            <w:r>
              <w:rPr>
                <w:rFonts w:ascii="Arial" w:hAnsi="Arial" w:cs="Arial"/>
                <w:sz w:val="20"/>
                <w:szCs w:val="20"/>
              </w:rPr>
              <w:t>Approved continuing education/meetings</w:t>
            </w:r>
          </w:p>
          <w:p w:rsidR="00E95715" w:rsidRDefault="00E95715" w:rsidP="00E95715">
            <w:pPr>
              <w:pStyle w:val="ListParagraph"/>
              <w:widowControl w:val="0"/>
              <w:numPr>
                <w:ilvl w:val="1"/>
                <w:numId w:val="33"/>
              </w:numPr>
              <w:jc w:val="left"/>
              <w:rPr>
                <w:rFonts w:ascii="Arial" w:hAnsi="Arial" w:cs="Arial"/>
                <w:sz w:val="20"/>
                <w:szCs w:val="20"/>
              </w:rPr>
            </w:pPr>
            <w:r>
              <w:rPr>
                <w:rFonts w:ascii="Arial" w:hAnsi="Arial" w:cs="Arial"/>
                <w:sz w:val="20"/>
                <w:szCs w:val="20"/>
              </w:rPr>
              <w:t xml:space="preserve">Up to five (5) meeting days can be approved for company business time pay. Additional days requested will require review and approval by the </w:t>
            </w:r>
            <w:r w:rsidRPr="00030536">
              <w:rPr>
                <w:rFonts w:ascii="Arial" w:hAnsi="Arial" w:cs="Arial"/>
                <w:sz w:val="20"/>
                <w:szCs w:val="20"/>
              </w:rPr>
              <w:t>Senior Director Radiology/Lab</w:t>
            </w:r>
            <w:r>
              <w:rPr>
                <w:rFonts w:ascii="Arial" w:hAnsi="Arial" w:cs="Arial"/>
                <w:sz w:val="20"/>
                <w:szCs w:val="20"/>
              </w:rPr>
              <w:t xml:space="preserve"> in </w:t>
            </w:r>
            <w:r w:rsidR="004968D3">
              <w:rPr>
                <w:rFonts w:ascii="Arial" w:hAnsi="Arial" w:cs="Arial"/>
                <w:sz w:val="20"/>
                <w:szCs w:val="20"/>
              </w:rPr>
              <w:t>conjunction</w:t>
            </w:r>
            <w:r>
              <w:rPr>
                <w:rFonts w:ascii="Arial" w:hAnsi="Arial" w:cs="Arial"/>
                <w:sz w:val="20"/>
                <w:szCs w:val="20"/>
              </w:rPr>
              <w:t xml:space="preserve"> with the laboratory leadership team.</w:t>
            </w:r>
          </w:p>
          <w:p w:rsidR="00E95715" w:rsidRDefault="00E95715" w:rsidP="00E95715">
            <w:pPr>
              <w:pStyle w:val="ListParagraph"/>
              <w:widowControl w:val="0"/>
              <w:numPr>
                <w:ilvl w:val="1"/>
                <w:numId w:val="33"/>
              </w:numPr>
              <w:jc w:val="left"/>
              <w:rPr>
                <w:rFonts w:ascii="Arial" w:hAnsi="Arial" w:cs="Arial"/>
                <w:sz w:val="20"/>
                <w:szCs w:val="20"/>
              </w:rPr>
            </w:pPr>
            <w:r>
              <w:rPr>
                <w:rFonts w:ascii="Arial" w:hAnsi="Arial" w:cs="Arial"/>
                <w:sz w:val="20"/>
                <w:szCs w:val="20"/>
              </w:rPr>
              <w:t>Types of activities that would NOT be approved for company business time included:</w:t>
            </w:r>
          </w:p>
          <w:p w:rsidR="00E95715" w:rsidRDefault="00E95715" w:rsidP="00E95715">
            <w:pPr>
              <w:pStyle w:val="ListParagraph"/>
              <w:widowControl w:val="0"/>
              <w:numPr>
                <w:ilvl w:val="2"/>
                <w:numId w:val="33"/>
              </w:numPr>
              <w:jc w:val="left"/>
              <w:rPr>
                <w:rFonts w:ascii="Arial" w:hAnsi="Arial" w:cs="Arial"/>
                <w:sz w:val="20"/>
                <w:szCs w:val="20"/>
              </w:rPr>
            </w:pPr>
            <w:r>
              <w:rPr>
                <w:rFonts w:ascii="Arial" w:hAnsi="Arial" w:cs="Arial"/>
                <w:sz w:val="20"/>
                <w:szCs w:val="20"/>
              </w:rPr>
              <w:t>Honorarium paid/c</w:t>
            </w:r>
            <w:r w:rsidR="004968D3">
              <w:rPr>
                <w:rFonts w:ascii="Arial" w:hAnsi="Arial" w:cs="Arial"/>
                <w:sz w:val="20"/>
                <w:szCs w:val="20"/>
              </w:rPr>
              <w:t>onsultative paid activitie</w:t>
            </w:r>
            <w:r>
              <w:rPr>
                <w:rFonts w:ascii="Arial" w:hAnsi="Arial" w:cs="Arial"/>
                <w:sz w:val="20"/>
                <w:szCs w:val="20"/>
              </w:rPr>
              <w:t>s (see Children’s Minnesota Conflicts of Interest Policy #1048.0)</w:t>
            </w:r>
          </w:p>
          <w:p w:rsidR="009D4AAB" w:rsidRPr="004968D3" w:rsidRDefault="00E95715" w:rsidP="009D4AAB">
            <w:pPr>
              <w:pStyle w:val="ListParagraph"/>
              <w:widowControl w:val="0"/>
              <w:numPr>
                <w:ilvl w:val="2"/>
                <w:numId w:val="33"/>
              </w:numPr>
              <w:jc w:val="left"/>
              <w:rPr>
                <w:rFonts w:ascii="Arial" w:hAnsi="Arial" w:cs="Arial"/>
                <w:sz w:val="20"/>
                <w:szCs w:val="20"/>
              </w:rPr>
            </w:pPr>
            <w:r>
              <w:rPr>
                <w:rFonts w:ascii="Arial" w:hAnsi="Arial" w:cs="Arial"/>
                <w:sz w:val="20"/>
                <w:szCs w:val="20"/>
              </w:rPr>
              <w:t>Business/committee/advisory or consultative involvement in organizations/companies/agencies not directly related to Children’s or laboratory department activities.</w:t>
            </w:r>
          </w:p>
          <w:p w:rsidR="00A00156" w:rsidRDefault="00A00156" w:rsidP="00030536">
            <w:pPr>
              <w:widowControl w:val="0"/>
              <w:jc w:val="left"/>
              <w:rPr>
                <w:rFonts w:ascii="Arial" w:hAnsi="Arial" w:cs="Arial"/>
              </w:rPr>
            </w:pPr>
          </w:p>
        </w:tc>
      </w:tr>
      <w:tr w:rsidR="00194134" w:rsidTr="00E223C2">
        <w:trPr>
          <w:cantSplit/>
          <w:trHeight w:val="1133"/>
        </w:trPr>
        <w:tc>
          <w:tcPr>
            <w:tcW w:w="1980" w:type="dxa"/>
            <w:tcBorders>
              <w:bottom w:val="nil"/>
            </w:tcBorders>
          </w:tcPr>
          <w:p w:rsidR="00194134" w:rsidRDefault="00194134">
            <w:pPr>
              <w:jc w:val="left"/>
              <w:rPr>
                <w:rFonts w:ascii="Arial" w:hAnsi="Arial" w:cs="Arial"/>
                <w:b/>
                <w:bCs/>
                <w:color w:val="0000FF"/>
                <w:sz w:val="20"/>
              </w:rPr>
            </w:pPr>
          </w:p>
          <w:p w:rsidR="00E223C2" w:rsidRDefault="00E223C2">
            <w:pPr>
              <w:jc w:val="left"/>
              <w:rPr>
                <w:rFonts w:ascii="Arial" w:hAnsi="Arial" w:cs="Arial"/>
                <w:b/>
                <w:bCs/>
                <w:color w:val="0000FF"/>
                <w:sz w:val="20"/>
              </w:rPr>
            </w:pPr>
          </w:p>
          <w:p w:rsidR="00194134" w:rsidRDefault="00194134">
            <w:pPr>
              <w:jc w:val="left"/>
              <w:rPr>
                <w:rFonts w:ascii="Arial" w:hAnsi="Arial" w:cs="Arial"/>
                <w:b/>
                <w:bCs/>
                <w:color w:val="0000FF"/>
                <w:sz w:val="20"/>
              </w:rPr>
            </w:pPr>
            <w:r>
              <w:rPr>
                <w:rFonts w:ascii="Arial" w:hAnsi="Arial" w:cs="Arial"/>
                <w:b/>
                <w:bCs/>
                <w:color w:val="0000FF"/>
                <w:sz w:val="20"/>
              </w:rPr>
              <w:t>Responsibility</w:t>
            </w:r>
          </w:p>
        </w:tc>
        <w:tc>
          <w:tcPr>
            <w:tcW w:w="9180" w:type="dxa"/>
            <w:gridSpan w:val="4"/>
            <w:tcBorders>
              <w:top w:val="single" w:sz="4" w:space="0" w:color="auto"/>
              <w:bottom w:val="single" w:sz="4" w:space="0" w:color="auto"/>
            </w:tcBorders>
          </w:tcPr>
          <w:p w:rsidR="00194134" w:rsidRDefault="00194134">
            <w:pPr>
              <w:jc w:val="left"/>
              <w:rPr>
                <w:rFonts w:ascii="Arial" w:hAnsi="Arial" w:cs="Arial"/>
                <w:b/>
                <w:bCs/>
                <w:sz w:val="20"/>
              </w:rPr>
            </w:pPr>
          </w:p>
          <w:p w:rsidR="00E223C2" w:rsidRDefault="00E223C2" w:rsidP="002229A4">
            <w:pPr>
              <w:jc w:val="left"/>
              <w:rPr>
                <w:rFonts w:ascii="Arial" w:hAnsi="Arial" w:cs="Arial"/>
              </w:rPr>
            </w:pPr>
          </w:p>
          <w:p w:rsidR="00194134" w:rsidRPr="00F17252" w:rsidRDefault="00194134" w:rsidP="002229A4">
            <w:pPr>
              <w:jc w:val="left"/>
              <w:rPr>
                <w:rFonts w:ascii="Arial" w:hAnsi="Arial" w:cs="Arial"/>
                <w:b/>
                <w:bCs/>
                <w:sz w:val="20"/>
                <w:szCs w:val="20"/>
              </w:rPr>
            </w:pPr>
            <w:r w:rsidRPr="00F17252">
              <w:rPr>
                <w:rFonts w:ascii="Arial" w:hAnsi="Arial" w:cs="Arial"/>
                <w:sz w:val="20"/>
                <w:szCs w:val="20"/>
              </w:rPr>
              <w:t>This policy applies to all laboratory staff.</w:t>
            </w:r>
          </w:p>
        </w:tc>
      </w:tr>
      <w:tr w:rsidR="005A4428" w:rsidTr="00E223C2">
        <w:trPr>
          <w:cantSplit/>
        </w:trPr>
        <w:tc>
          <w:tcPr>
            <w:tcW w:w="1980" w:type="dxa"/>
          </w:tcPr>
          <w:p w:rsidR="005A4428" w:rsidRDefault="005A4428" w:rsidP="00001166">
            <w:pPr>
              <w:jc w:val="left"/>
              <w:rPr>
                <w:rFonts w:ascii="Arial" w:hAnsi="Arial" w:cs="Arial"/>
                <w:b/>
                <w:bCs/>
                <w:color w:val="0000FF"/>
                <w:sz w:val="20"/>
              </w:rPr>
            </w:pPr>
          </w:p>
          <w:p w:rsidR="00E223C2" w:rsidRDefault="00E223C2" w:rsidP="00001166">
            <w:pPr>
              <w:jc w:val="left"/>
              <w:rPr>
                <w:rFonts w:ascii="Arial" w:hAnsi="Arial" w:cs="Arial"/>
                <w:b/>
                <w:bCs/>
                <w:color w:val="0000FF"/>
                <w:sz w:val="20"/>
              </w:rPr>
            </w:pPr>
          </w:p>
          <w:p w:rsidR="005A4428" w:rsidRDefault="005A4428" w:rsidP="00001166">
            <w:pPr>
              <w:jc w:val="left"/>
              <w:rPr>
                <w:rFonts w:ascii="Arial" w:hAnsi="Arial" w:cs="Arial"/>
                <w:b/>
                <w:bCs/>
                <w:color w:val="0000FF"/>
                <w:sz w:val="20"/>
              </w:rPr>
            </w:pPr>
            <w:r>
              <w:rPr>
                <w:rFonts w:ascii="Arial" w:hAnsi="Arial" w:cs="Arial"/>
                <w:b/>
                <w:bCs/>
                <w:color w:val="0000FF"/>
                <w:sz w:val="20"/>
              </w:rPr>
              <w:t>Supporting Documents</w:t>
            </w:r>
          </w:p>
        </w:tc>
        <w:tc>
          <w:tcPr>
            <w:tcW w:w="9180" w:type="dxa"/>
            <w:gridSpan w:val="4"/>
            <w:tcBorders>
              <w:top w:val="single" w:sz="4" w:space="0" w:color="auto"/>
              <w:bottom w:val="single" w:sz="4" w:space="0" w:color="auto"/>
            </w:tcBorders>
          </w:tcPr>
          <w:p w:rsidR="005A4428" w:rsidRDefault="005A4428" w:rsidP="00001166">
            <w:pPr>
              <w:jc w:val="left"/>
              <w:rPr>
                <w:rFonts w:ascii="Arial" w:hAnsi="Arial" w:cs="Arial"/>
                <w:b/>
                <w:bCs/>
                <w:sz w:val="20"/>
              </w:rPr>
            </w:pPr>
          </w:p>
          <w:p w:rsidR="00E223C2" w:rsidRDefault="00E223C2" w:rsidP="00001166">
            <w:pPr>
              <w:jc w:val="left"/>
              <w:rPr>
                <w:rFonts w:ascii="Arial" w:hAnsi="Arial" w:cs="Arial"/>
              </w:rPr>
            </w:pPr>
          </w:p>
          <w:p w:rsidR="005A4428" w:rsidRPr="00F17252" w:rsidRDefault="00084416" w:rsidP="00E223C2">
            <w:pPr>
              <w:pBdr>
                <w:bottom w:val="single" w:sz="4" w:space="1" w:color="auto"/>
              </w:pBdr>
              <w:jc w:val="left"/>
              <w:rPr>
                <w:rFonts w:ascii="Arial" w:hAnsi="Arial" w:cs="Arial"/>
                <w:sz w:val="20"/>
                <w:szCs w:val="20"/>
              </w:rPr>
            </w:pPr>
            <w:hyperlink r:id="rId12" w:history="1">
              <w:r w:rsidR="00E54D39" w:rsidRPr="00084416">
                <w:rPr>
                  <w:rStyle w:val="Hyperlink"/>
                  <w:rFonts w:ascii="Arial" w:hAnsi="Arial" w:cs="Arial"/>
                  <w:sz w:val="20"/>
                  <w:szCs w:val="20"/>
                </w:rPr>
                <w:t>Education Reimbursement Request Form</w:t>
              </w:r>
            </w:hyperlink>
            <w:bookmarkStart w:id="0" w:name="_GoBack"/>
            <w:bookmarkEnd w:id="0"/>
            <w:r>
              <w:rPr>
                <w:rFonts w:ascii="Arial" w:hAnsi="Arial" w:cs="Arial"/>
                <w:sz w:val="20"/>
                <w:szCs w:val="20"/>
              </w:rPr>
              <w:t xml:space="preserve"> </w:t>
            </w:r>
          </w:p>
          <w:p w:rsidR="00E223C2" w:rsidRDefault="00E223C2" w:rsidP="00E223C2">
            <w:pPr>
              <w:pBdr>
                <w:bottom w:val="single" w:sz="4" w:space="1" w:color="auto"/>
              </w:pBdr>
              <w:jc w:val="left"/>
              <w:rPr>
                <w:rFonts w:ascii="Arial" w:hAnsi="Arial" w:cs="Arial"/>
              </w:rPr>
            </w:pPr>
          </w:p>
          <w:p w:rsidR="00E223C2" w:rsidRDefault="00E223C2" w:rsidP="00E223C2">
            <w:pPr>
              <w:pBdr>
                <w:bottom w:val="single" w:sz="4" w:space="1" w:color="auto"/>
              </w:pBdr>
              <w:jc w:val="left"/>
              <w:rPr>
                <w:rFonts w:ascii="Arial" w:hAnsi="Arial" w:cs="Arial"/>
              </w:rPr>
            </w:pPr>
          </w:p>
          <w:p w:rsidR="005A4428" w:rsidRDefault="005A4428" w:rsidP="00001166">
            <w:pPr>
              <w:jc w:val="left"/>
              <w:rPr>
                <w:rFonts w:ascii="Arial" w:hAnsi="Arial" w:cs="Arial"/>
                <w:b/>
                <w:bCs/>
                <w:sz w:val="20"/>
              </w:rPr>
            </w:pPr>
          </w:p>
          <w:p w:rsidR="00E223C2" w:rsidRDefault="00E223C2" w:rsidP="00001166">
            <w:pPr>
              <w:jc w:val="left"/>
              <w:rPr>
                <w:rFonts w:ascii="Arial" w:hAnsi="Arial" w:cs="Arial"/>
                <w:b/>
                <w:bCs/>
                <w:sz w:val="20"/>
              </w:rPr>
            </w:pPr>
          </w:p>
          <w:p w:rsidR="00E223C2" w:rsidRPr="002229A4" w:rsidRDefault="00E223C2" w:rsidP="00001166">
            <w:pPr>
              <w:jc w:val="left"/>
              <w:rPr>
                <w:rFonts w:ascii="Arial" w:hAnsi="Arial" w:cs="Arial"/>
                <w:b/>
                <w:bCs/>
                <w:sz w:val="20"/>
              </w:rPr>
            </w:pPr>
          </w:p>
        </w:tc>
      </w:tr>
      <w:tr w:rsidR="005A4428" w:rsidTr="00E223C2">
        <w:trPr>
          <w:cantSplit/>
          <w:trHeight w:val="225"/>
        </w:trPr>
        <w:tc>
          <w:tcPr>
            <w:tcW w:w="1980" w:type="dxa"/>
            <w:vMerge w:val="restart"/>
            <w:tcBorders>
              <w:right w:val="single" w:sz="4" w:space="0" w:color="auto"/>
            </w:tcBorders>
          </w:tcPr>
          <w:p w:rsidR="005A4428" w:rsidRDefault="005A4428">
            <w:pPr>
              <w:jc w:val="left"/>
              <w:rPr>
                <w:rFonts w:ascii="Arial" w:hAnsi="Arial" w:cs="Arial"/>
                <w:b/>
                <w:bCs/>
                <w:color w:val="0000FF"/>
                <w:sz w:val="20"/>
              </w:rPr>
            </w:pPr>
            <w:r>
              <w:rPr>
                <w:rFonts w:ascii="Arial" w:hAnsi="Arial" w:cs="Arial"/>
                <w:b/>
                <w:bCs/>
                <w:color w:val="0000FF"/>
                <w:sz w:val="20"/>
              </w:rPr>
              <w:t>Historical Record</w:t>
            </w:r>
          </w:p>
        </w:tc>
        <w:tc>
          <w:tcPr>
            <w:tcW w:w="1260"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b/>
                <w:bCs/>
                <w:sz w:val="20"/>
              </w:rPr>
            </w:pPr>
            <w:r>
              <w:rPr>
                <w:rFonts w:ascii="Arial" w:hAnsi="Arial" w:cs="Arial"/>
                <w:b/>
                <w:b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b/>
                <w:bCs/>
                <w:sz w:val="20"/>
              </w:rPr>
            </w:pPr>
            <w:r>
              <w:rPr>
                <w:rFonts w:ascii="Arial" w:hAnsi="Arial" w:cs="Arial"/>
                <w:b/>
                <w:b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b/>
                <w:bCs/>
                <w:sz w:val="20"/>
              </w:rPr>
            </w:pPr>
            <w:r>
              <w:rPr>
                <w:rFonts w:ascii="Arial" w:hAnsi="Arial" w:cs="Arial"/>
                <w:b/>
                <w:bCs/>
                <w:sz w:val="20"/>
              </w:rPr>
              <w:t>Summary of Revisions</w:t>
            </w:r>
          </w:p>
        </w:tc>
      </w:tr>
      <w:tr w:rsidR="005A4428">
        <w:trPr>
          <w:cantSplit/>
          <w:trHeight w:val="135"/>
        </w:trPr>
        <w:tc>
          <w:tcPr>
            <w:tcW w:w="1980" w:type="dxa"/>
            <w:vMerge/>
            <w:tcBorders>
              <w:right w:val="single" w:sz="4" w:space="0" w:color="auto"/>
            </w:tcBorders>
          </w:tcPr>
          <w:p w:rsidR="005A4428" w:rsidRDefault="005A4428">
            <w:pPr>
              <w:rPr>
                <w:rFonts w:ascii="Arial" w:hAnsi="Arial"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5A4428" w:rsidRDefault="005A4428">
            <w:pPr>
              <w:pStyle w:val="Header"/>
              <w:tabs>
                <w:tab w:val="clear" w:pos="4320"/>
                <w:tab w:val="clear" w:pos="8640"/>
              </w:tabs>
              <w:jc w:val="left"/>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iCs/>
                <w:sz w:val="20"/>
              </w:rPr>
            </w:pPr>
            <w:r>
              <w:rPr>
                <w:rFonts w:ascii="Arial" w:hAnsi="Arial" w:cs="Arial"/>
                <w:iCs/>
                <w:sz w:val="20"/>
              </w:rPr>
              <w:t>J</w:t>
            </w:r>
            <w:r w:rsidR="00E54D39">
              <w:rPr>
                <w:rFonts w:ascii="Arial" w:hAnsi="Arial" w:cs="Arial"/>
                <w:iCs/>
                <w:sz w:val="20"/>
              </w:rPr>
              <w:t>ennifer Heimkes</w:t>
            </w:r>
          </w:p>
        </w:tc>
        <w:tc>
          <w:tcPr>
            <w:tcW w:w="1620" w:type="dxa"/>
            <w:tcBorders>
              <w:top w:val="single" w:sz="4" w:space="0" w:color="auto"/>
              <w:left w:val="single" w:sz="4" w:space="0" w:color="auto"/>
              <w:bottom w:val="single" w:sz="4" w:space="0" w:color="auto"/>
              <w:right w:val="single" w:sz="4" w:space="0" w:color="auto"/>
            </w:tcBorders>
          </w:tcPr>
          <w:p w:rsidR="005A4428" w:rsidRDefault="00E54D39">
            <w:pPr>
              <w:jc w:val="left"/>
              <w:rPr>
                <w:rFonts w:ascii="Arial" w:hAnsi="Arial" w:cs="Arial"/>
                <w:iCs/>
                <w:sz w:val="20"/>
              </w:rPr>
            </w:pPr>
            <w:r>
              <w:rPr>
                <w:rFonts w:ascii="Arial" w:hAnsi="Arial" w:cs="Arial"/>
                <w:iCs/>
                <w:sz w:val="20"/>
              </w:rPr>
              <w:t>5/09/2019</w:t>
            </w:r>
          </w:p>
        </w:tc>
        <w:tc>
          <w:tcPr>
            <w:tcW w:w="3600"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sz w:val="20"/>
              </w:rPr>
            </w:pPr>
            <w:r>
              <w:rPr>
                <w:rFonts w:ascii="Arial" w:hAnsi="Arial" w:cs="Arial"/>
                <w:sz w:val="20"/>
              </w:rPr>
              <w:t>Initial Version</w:t>
            </w:r>
          </w:p>
        </w:tc>
      </w:tr>
      <w:tr w:rsidR="005A4428">
        <w:trPr>
          <w:cantSplit/>
          <w:trHeight w:val="143"/>
        </w:trPr>
        <w:tc>
          <w:tcPr>
            <w:tcW w:w="1980" w:type="dxa"/>
            <w:vMerge/>
            <w:tcBorders>
              <w:right w:val="single" w:sz="4" w:space="0" w:color="auto"/>
            </w:tcBorders>
          </w:tcPr>
          <w:p w:rsidR="005A4428" w:rsidRDefault="005A4428">
            <w:pPr>
              <w:rPr>
                <w:rFonts w:ascii="Arial" w:hAnsi="Arial"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rsidR="005A4428" w:rsidRDefault="005A4428" w:rsidP="00E54D39">
            <w:pPr>
              <w:jc w:val="left"/>
              <w:rPr>
                <w:rFonts w:ascii="Arial" w:hAnsi="Arial" w:cs="Arial"/>
                <w:iCs/>
                <w:sz w:val="20"/>
              </w:rPr>
            </w:pPr>
            <w:r>
              <w:rPr>
                <w:rFonts w:ascii="Arial" w:hAnsi="Arial" w:cs="Arial"/>
                <w:iCs/>
                <w:sz w:val="20"/>
              </w:rPr>
              <w:t>J</w:t>
            </w:r>
            <w:r w:rsidR="00E54D39">
              <w:rPr>
                <w:rFonts w:ascii="Arial" w:hAnsi="Arial" w:cs="Arial"/>
                <w:iCs/>
                <w:sz w:val="20"/>
              </w:rPr>
              <w:t>ennifer Heimkes</w:t>
            </w:r>
          </w:p>
        </w:tc>
        <w:tc>
          <w:tcPr>
            <w:tcW w:w="1620" w:type="dxa"/>
            <w:tcBorders>
              <w:top w:val="single" w:sz="4" w:space="0" w:color="auto"/>
              <w:left w:val="single" w:sz="4" w:space="0" w:color="auto"/>
              <w:bottom w:val="single" w:sz="4" w:space="0" w:color="auto"/>
              <w:right w:val="single" w:sz="4" w:space="0" w:color="auto"/>
            </w:tcBorders>
          </w:tcPr>
          <w:p w:rsidR="005A4428" w:rsidRDefault="006867BF">
            <w:pPr>
              <w:jc w:val="left"/>
              <w:rPr>
                <w:rFonts w:ascii="Arial" w:hAnsi="Arial" w:cs="Arial"/>
                <w:iCs/>
                <w:sz w:val="20"/>
              </w:rPr>
            </w:pPr>
            <w:r>
              <w:rPr>
                <w:rFonts w:ascii="Arial" w:hAnsi="Arial" w:cs="Arial"/>
                <w:iCs/>
                <w:sz w:val="20"/>
              </w:rPr>
              <w:t>5/12/2019</w:t>
            </w:r>
          </w:p>
        </w:tc>
        <w:tc>
          <w:tcPr>
            <w:tcW w:w="3600" w:type="dxa"/>
            <w:tcBorders>
              <w:top w:val="single" w:sz="4" w:space="0" w:color="auto"/>
              <w:left w:val="single" w:sz="4" w:space="0" w:color="auto"/>
              <w:bottom w:val="single" w:sz="4" w:space="0" w:color="auto"/>
              <w:right w:val="single" w:sz="4" w:space="0" w:color="auto"/>
            </w:tcBorders>
          </w:tcPr>
          <w:p w:rsidR="005A4428" w:rsidRDefault="006867BF">
            <w:pPr>
              <w:jc w:val="left"/>
              <w:rPr>
                <w:rFonts w:ascii="Arial" w:hAnsi="Arial" w:cs="Arial"/>
                <w:iCs/>
                <w:sz w:val="20"/>
              </w:rPr>
            </w:pPr>
            <w:r>
              <w:rPr>
                <w:rFonts w:ascii="Arial" w:hAnsi="Arial" w:cs="Arial"/>
                <w:iCs/>
                <w:sz w:val="20"/>
              </w:rPr>
              <w:t>Updated title.</w:t>
            </w:r>
            <w:r w:rsidR="006D1E86">
              <w:rPr>
                <w:rFonts w:ascii="Arial" w:hAnsi="Arial" w:cs="Arial"/>
                <w:iCs/>
                <w:sz w:val="20"/>
              </w:rPr>
              <w:t xml:space="preserve"> Updated general policy, eligibility and approval &amp; reimbursement process. Added company business time section. Removed fund allocation, request procedure and submission of evidence sections.</w:t>
            </w:r>
          </w:p>
        </w:tc>
      </w:tr>
    </w:tbl>
    <w:p w:rsidR="00194134" w:rsidRDefault="00194134">
      <w:pPr>
        <w:rPr>
          <w:rFonts w:ascii="Arial" w:hAnsi="Arial" w:cs="Arial"/>
        </w:rPr>
      </w:pPr>
    </w:p>
    <w:sectPr w:rsidR="00194134" w:rsidSect="006D0066">
      <w:headerReference w:type="default" r:id="rId13"/>
      <w:footerReference w:type="default" r:id="rId14"/>
      <w:pgSz w:w="12240" w:h="15840" w:code="1"/>
      <w:pgMar w:top="1260"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536" w:rsidRDefault="00030536">
      <w:r>
        <w:separator/>
      </w:r>
    </w:p>
  </w:endnote>
  <w:endnote w:type="continuationSeparator" w:id="0">
    <w:p w:rsidR="00030536" w:rsidRDefault="0003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536" w:rsidRDefault="00030536">
    <w:pPr>
      <w:pStyle w:val="Footer"/>
      <w:tabs>
        <w:tab w:val="clear" w:pos="8640"/>
        <w:tab w:val="right" w:pos="9900"/>
      </w:tabs>
      <w:ind w:left="-1260"/>
      <w:rPr>
        <w:sz w:val="16"/>
      </w:rPr>
    </w:pPr>
    <w:r>
      <w:rPr>
        <w:sz w:val="16"/>
      </w:rPr>
      <w:t>Children’s Minnesota Laboratory, Minneapolis/St. Paul, MN</w:t>
    </w: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sidR="00084416">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084416">
      <w:rPr>
        <w:noProof/>
        <w:sz w:val="16"/>
      </w:rPr>
      <w:t>3</w:t>
    </w:r>
    <w:r>
      <w:rPr>
        <w:sz w:val="16"/>
      </w:rPr>
      <w:fldChar w:fldCharType="end"/>
    </w:r>
  </w:p>
  <w:p w:rsidR="00030536" w:rsidRDefault="00030536">
    <w:pPr>
      <w:pStyle w:val="Footer"/>
      <w:tabs>
        <w:tab w:val="clear" w:pos="8640"/>
        <w:tab w:val="left" w:pos="5235"/>
      </w:tabs>
      <w:ind w:left="-1260"/>
      <w:rPr>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536" w:rsidRDefault="00030536">
      <w:r>
        <w:separator/>
      </w:r>
    </w:p>
  </w:footnote>
  <w:footnote w:type="continuationSeparator" w:id="0">
    <w:p w:rsidR="00030536" w:rsidRDefault="00030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536" w:rsidRPr="00B67958" w:rsidRDefault="00084416">
    <w:pPr>
      <w:ind w:left="-1260" w:right="-1260"/>
      <w:rPr>
        <w:rFonts w:ascii="Arial" w:hAnsi="Arial" w:cs="Arial"/>
        <w:sz w:val="18"/>
        <w:szCs w:val="18"/>
      </w:rPr>
    </w:pPr>
    <w:r>
      <w:rPr>
        <w:rFonts w:ascii="Arial" w:hAnsi="Arial" w:cs="Arial"/>
        <w:iCs/>
        <w:noProof/>
        <w:sz w:val="18"/>
        <w:szCs w:val="18"/>
      </w:rPr>
      <w:pict>
        <v:shapetype id="_x0000_t202" coordsize="21600,21600" o:spt="202" path="m,l,21600r21600,l21600,xe">
          <v:stroke joinstyle="miter"/>
          <v:path gradientshapeok="t" o:connecttype="rect"/>
        </v:shapetype>
        <v:shape id="_x0000_s7169" type="#_x0000_t202" style="position:absolute;left:0;text-align:left;margin-left:385.6pt;margin-top:-7.05pt;width:115.6pt;height:40.95pt;z-index:251658240" stroked="f" strokecolor="blue">
          <v:textbox>
            <w:txbxContent>
              <w:p w:rsidR="00030536" w:rsidRDefault="00030536">
                <w:r>
                  <w:rPr>
                    <w:noProof/>
                  </w:rPr>
                  <w:drawing>
                    <wp:inline distT="0" distB="0" distL="0" distR="0">
                      <wp:extent cx="1285240" cy="412750"/>
                      <wp:effectExtent l="19050" t="0" r="0" b="0"/>
                      <wp:docPr id="1" name="Picture 0" descr="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s_MN_2015_logo_2c_RGB_800x257.jpg"/>
                              <pic:cNvPicPr/>
                            </pic:nvPicPr>
                            <pic:blipFill>
                              <a:blip r:embed="rId1"/>
                              <a:stretch>
                                <a:fillRect/>
                              </a:stretch>
                            </pic:blipFill>
                            <pic:spPr>
                              <a:xfrm>
                                <a:off x="0" y="0"/>
                                <a:ext cx="1285240" cy="412750"/>
                              </a:xfrm>
                              <a:prstGeom prst="rect">
                                <a:avLst/>
                              </a:prstGeom>
                            </pic:spPr>
                          </pic:pic>
                        </a:graphicData>
                      </a:graphic>
                    </wp:inline>
                  </w:drawing>
                </w:r>
              </w:p>
            </w:txbxContent>
          </v:textbox>
        </v:shape>
      </w:pict>
    </w:r>
    <w:r w:rsidR="00030536" w:rsidRPr="00B67958">
      <w:rPr>
        <w:rFonts w:ascii="Arial" w:hAnsi="Arial" w:cs="Arial"/>
        <w:iCs/>
        <w:sz w:val="18"/>
        <w:szCs w:val="18"/>
      </w:rPr>
      <w:t xml:space="preserve">GL 2.2 Laboratory Education Reimbursement </w:t>
    </w:r>
    <w:r w:rsidR="006867BF">
      <w:rPr>
        <w:rFonts w:ascii="Arial" w:hAnsi="Arial" w:cs="Arial"/>
        <w:iCs/>
        <w:sz w:val="18"/>
        <w:szCs w:val="18"/>
      </w:rPr>
      <w:t xml:space="preserve">and Travel </w:t>
    </w:r>
    <w:r w:rsidR="00030536" w:rsidRPr="00B67958">
      <w:rPr>
        <w:rFonts w:ascii="Arial" w:hAnsi="Arial" w:cs="Arial"/>
        <w:iCs/>
        <w:sz w:val="18"/>
        <w:szCs w:val="18"/>
      </w:rPr>
      <w:t>Policy</w:t>
    </w:r>
    <w:r w:rsidR="00030536" w:rsidRPr="00B67958">
      <w:rPr>
        <w:rFonts w:ascii="Arial" w:hAnsi="Arial" w:cs="Arial"/>
        <w:i/>
        <w:sz w:val="18"/>
        <w:szCs w:val="18"/>
      </w:rPr>
      <w:tab/>
    </w:r>
    <w:r w:rsidR="00030536" w:rsidRPr="00B67958">
      <w:rPr>
        <w:rFonts w:ascii="Arial" w:hAnsi="Arial" w:cs="Arial"/>
        <w:sz w:val="18"/>
        <w:szCs w:val="18"/>
      </w:rPr>
      <w:t xml:space="preserve">                                                                     </w:t>
    </w:r>
    <w:r w:rsidR="00030536" w:rsidRPr="00B67958">
      <w:rPr>
        <w:rFonts w:ascii="Arial" w:hAnsi="Arial" w:cs="Arial"/>
        <w:sz w:val="18"/>
        <w:szCs w:val="18"/>
      </w:rPr>
      <w:tab/>
    </w:r>
    <w:r w:rsidR="00030536" w:rsidRPr="00B67958">
      <w:rPr>
        <w:rFonts w:ascii="Arial" w:hAnsi="Arial" w:cs="Arial"/>
        <w:sz w:val="18"/>
        <w:szCs w:val="18"/>
      </w:rPr>
      <w:tab/>
    </w:r>
    <w:r w:rsidR="00030536" w:rsidRPr="00B67958">
      <w:rPr>
        <w:rFonts w:ascii="Arial" w:hAnsi="Arial" w:cs="Arial"/>
        <w:sz w:val="18"/>
        <w:szCs w:val="18"/>
      </w:rPr>
      <w:tab/>
    </w:r>
  </w:p>
  <w:p w:rsidR="00030536" w:rsidRPr="00B67958" w:rsidRDefault="00030536">
    <w:pPr>
      <w:ind w:left="-1260" w:right="-1260"/>
      <w:rPr>
        <w:rFonts w:ascii="Arial" w:hAnsi="Arial" w:cs="Arial"/>
        <w:sz w:val="18"/>
        <w:szCs w:val="18"/>
      </w:rPr>
    </w:pPr>
    <w:r w:rsidRPr="00B67958">
      <w:rPr>
        <w:rFonts w:ascii="Arial" w:hAnsi="Arial" w:cs="Arial"/>
        <w:sz w:val="18"/>
        <w:szCs w:val="18"/>
      </w:rPr>
      <w:t>Version 2</w:t>
    </w:r>
  </w:p>
  <w:p w:rsidR="00030536" w:rsidRPr="00B67958" w:rsidRDefault="00030536">
    <w:pPr>
      <w:ind w:left="-1260" w:right="-1260"/>
      <w:rPr>
        <w:rFonts w:ascii="Arial" w:hAnsi="Arial" w:cs="Arial"/>
        <w:b/>
        <w:sz w:val="18"/>
        <w:szCs w:val="18"/>
      </w:rPr>
    </w:pPr>
    <w:r w:rsidRPr="00B67958">
      <w:rPr>
        <w:rFonts w:ascii="Arial" w:hAnsi="Arial" w:cs="Arial"/>
        <w:sz w:val="18"/>
        <w:szCs w:val="18"/>
      </w:rPr>
      <w:t>Effective</w:t>
    </w:r>
    <w:r w:rsidR="006867BF">
      <w:rPr>
        <w:rFonts w:ascii="Arial" w:hAnsi="Arial" w:cs="Arial"/>
        <w:sz w:val="18"/>
        <w:szCs w:val="18"/>
      </w:rPr>
      <w:t xml:space="preserve"> Date: 5/12</w:t>
    </w:r>
    <w:r w:rsidRPr="00B67958">
      <w:rPr>
        <w:rFonts w:ascii="Arial" w:hAnsi="Arial" w:cs="Arial"/>
        <w:sz w:val="18"/>
        <w:szCs w:val="18"/>
      </w:rPr>
      <w:t>/2019</w:t>
    </w:r>
  </w:p>
  <w:p w:rsidR="00030536" w:rsidRDefault="00030536">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23A3C"/>
    <w:multiLevelType w:val="hybridMultilevel"/>
    <w:tmpl w:val="4F7A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D49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C12206"/>
    <w:multiLevelType w:val="hybridMultilevel"/>
    <w:tmpl w:val="447E1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1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E55FB"/>
    <w:multiLevelType w:val="hybridMultilevel"/>
    <w:tmpl w:val="558C372C"/>
    <w:lvl w:ilvl="0" w:tplc="EA1CF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052E0"/>
    <w:multiLevelType w:val="hybridMultilevel"/>
    <w:tmpl w:val="6A605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C42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692260"/>
    <w:multiLevelType w:val="hybridMultilevel"/>
    <w:tmpl w:val="C4EE7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862E7"/>
    <w:multiLevelType w:val="hybridMultilevel"/>
    <w:tmpl w:val="8024441A"/>
    <w:lvl w:ilvl="0" w:tplc="64F232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BD08C6"/>
    <w:multiLevelType w:val="hybridMultilevel"/>
    <w:tmpl w:val="68142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A46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E5B85"/>
    <w:multiLevelType w:val="hybridMultilevel"/>
    <w:tmpl w:val="86FE5F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CA4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56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C80D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E354C"/>
    <w:multiLevelType w:val="hybridMultilevel"/>
    <w:tmpl w:val="AB4E43FA"/>
    <w:lvl w:ilvl="0" w:tplc="FFFFFFFF">
      <w:start w:val="2"/>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5961193D"/>
    <w:multiLevelType w:val="hybridMultilevel"/>
    <w:tmpl w:val="C33C72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675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1E326E"/>
    <w:multiLevelType w:val="hybridMultilevel"/>
    <w:tmpl w:val="CB1A3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9F37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565B78"/>
    <w:multiLevelType w:val="hybridMultilevel"/>
    <w:tmpl w:val="C2EA366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7462374D"/>
    <w:multiLevelType w:val="hybridMultilevel"/>
    <w:tmpl w:val="90161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C60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12544A"/>
    <w:multiLevelType w:val="hybridMultilevel"/>
    <w:tmpl w:val="E4A051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AB21F4"/>
    <w:multiLevelType w:val="hybridMultilevel"/>
    <w:tmpl w:val="95B6E9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BB058F"/>
    <w:multiLevelType w:val="multilevel"/>
    <w:tmpl w:val="DD802C40"/>
    <w:lvl w:ilvl="0">
      <w:start w:val="1"/>
      <w:numFmt w:val="upperRoman"/>
      <w:lvlText w:val="%1."/>
      <w:lvlJc w:val="left"/>
      <w:pPr>
        <w:ind w:left="0" w:firstLine="0"/>
      </w:pPr>
    </w:lvl>
    <w:lvl w:ilvl="1">
      <w:start w:val="1"/>
      <w:numFmt w:val="upperLetter"/>
      <w:lvlText w:val="%2."/>
      <w:lvlJc w:val="left"/>
      <w:pPr>
        <w:ind w:left="720" w:firstLine="0"/>
      </w:pPr>
      <w:rPr>
        <w:rFonts w:ascii="Arial" w:eastAsia="Times New Roman" w:hAnsi="Arial" w:cs="Arial"/>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79643B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7E245E"/>
    <w:multiLevelType w:val="hybridMultilevel"/>
    <w:tmpl w:val="D0CA4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26"/>
  </w:num>
  <w:num w:numId="4">
    <w:abstractNumId w:val="1"/>
  </w:num>
  <w:num w:numId="5">
    <w:abstractNumId w:val="0"/>
  </w:num>
  <w:num w:numId="6">
    <w:abstractNumId w:val="19"/>
  </w:num>
  <w:num w:numId="7">
    <w:abstractNumId w:val="6"/>
  </w:num>
  <w:num w:numId="8">
    <w:abstractNumId w:val="27"/>
  </w:num>
  <w:num w:numId="9">
    <w:abstractNumId w:val="28"/>
  </w:num>
  <w:num w:numId="10">
    <w:abstractNumId w:val="20"/>
  </w:num>
  <w:num w:numId="11">
    <w:abstractNumId w:val="5"/>
  </w:num>
  <w:num w:numId="12">
    <w:abstractNumId w:val="33"/>
  </w:num>
  <w:num w:numId="13">
    <w:abstractNumId w:val="22"/>
  </w:num>
  <w:num w:numId="14">
    <w:abstractNumId w:val="3"/>
  </w:num>
  <w:num w:numId="15">
    <w:abstractNumId w:val="18"/>
  </w:num>
  <w:num w:numId="16">
    <w:abstractNumId w:val="16"/>
  </w:num>
  <w:num w:numId="17">
    <w:abstractNumId w:val="8"/>
  </w:num>
  <w:num w:numId="18">
    <w:abstractNumId w:val="31"/>
  </w:num>
  <w:num w:numId="19">
    <w:abstractNumId w:val="13"/>
  </w:num>
  <w:num w:numId="20">
    <w:abstractNumId w:val="29"/>
  </w:num>
  <w:num w:numId="21">
    <w:abstractNumId w:val="24"/>
  </w:num>
  <w:num w:numId="22">
    <w:abstractNumId w:val="10"/>
  </w:num>
  <w:num w:numId="23">
    <w:abstractNumId w:val="34"/>
  </w:num>
  <w:num w:numId="24">
    <w:abstractNumId w:val="4"/>
  </w:num>
  <w:num w:numId="25">
    <w:abstractNumId w:val="12"/>
  </w:num>
  <w:num w:numId="26">
    <w:abstractNumId w:val="21"/>
  </w:num>
  <w:num w:numId="27">
    <w:abstractNumId w:val="30"/>
  </w:num>
  <w:num w:numId="28">
    <w:abstractNumId w:val="2"/>
  </w:num>
  <w:num w:numId="29">
    <w:abstractNumId w:val="7"/>
  </w:num>
  <w:num w:numId="30">
    <w:abstractNumId w:val="32"/>
  </w:num>
  <w:num w:numId="31">
    <w:abstractNumId w:val="25"/>
  </w:num>
  <w:num w:numId="32">
    <w:abstractNumId w:val="9"/>
  </w:num>
  <w:num w:numId="33">
    <w:abstractNumId w:val="17"/>
  </w:num>
  <w:num w:numId="34">
    <w:abstractNumId w:val="1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7171">
      <o:colormenu v:ext="edit" strokecolor="none"/>
    </o:shapedefaults>
    <o:shapelayout v:ext="edit">
      <o:idmap v:ext="edit" data="7"/>
    </o:shapelayout>
  </w:hdrShapeDefaults>
  <w:footnotePr>
    <w:footnote w:id="-1"/>
    <w:footnote w:id="0"/>
  </w:footnotePr>
  <w:endnotePr>
    <w:endnote w:id="-1"/>
    <w:endnote w:id="0"/>
  </w:endnotePr>
  <w:compat>
    <w:compatSetting w:name="compatibilityMode" w:uri="http://schemas.microsoft.com/office/word" w:val="12"/>
  </w:compat>
  <w:rsids>
    <w:rsidRoot w:val="004F104E"/>
    <w:rsid w:val="00001166"/>
    <w:rsid w:val="00030536"/>
    <w:rsid w:val="00035CE4"/>
    <w:rsid w:val="00084416"/>
    <w:rsid w:val="00084F19"/>
    <w:rsid w:val="000B44C5"/>
    <w:rsid w:val="000D61D8"/>
    <w:rsid w:val="00162C19"/>
    <w:rsid w:val="001778C0"/>
    <w:rsid w:val="00194134"/>
    <w:rsid w:val="001B620A"/>
    <w:rsid w:val="001C61B4"/>
    <w:rsid w:val="00202750"/>
    <w:rsid w:val="002229A4"/>
    <w:rsid w:val="00281954"/>
    <w:rsid w:val="002E02AB"/>
    <w:rsid w:val="00416DA3"/>
    <w:rsid w:val="004968D3"/>
    <w:rsid w:val="00497281"/>
    <w:rsid w:val="004F104E"/>
    <w:rsid w:val="00531EEA"/>
    <w:rsid w:val="005A4428"/>
    <w:rsid w:val="005F785E"/>
    <w:rsid w:val="006867BF"/>
    <w:rsid w:val="006D0066"/>
    <w:rsid w:val="006D1E86"/>
    <w:rsid w:val="00734DF2"/>
    <w:rsid w:val="007D1000"/>
    <w:rsid w:val="007D1B32"/>
    <w:rsid w:val="00914728"/>
    <w:rsid w:val="009663BC"/>
    <w:rsid w:val="009B434C"/>
    <w:rsid w:val="009D4AAB"/>
    <w:rsid w:val="00A00156"/>
    <w:rsid w:val="00A16684"/>
    <w:rsid w:val="00A17FE0"/>
    <w:rsid w:val="00B67958"/>
    <w:rsid w:val="00BD55F0"/>
    <w:rsid w:val="00C30BDB"/>
    <w:rsid w:val="00D054E6"/>
    <w:rsid w:val="00D139BC"/>
    <w:rsid w:val="00DA4436"/>
    <w:rsid w:val="00DC1ADF"/>
    <w:rsid w:val="00DE3108"/>
    <w:rsid w:val="00E223C2"/>
    <w:rsid w:val="00E54D39"/>
    <w:rsid w:val="00E95715"/>
    <w:rsid w:val="00EA1766"/>
    <w:rsid w:val="00F0161E"/>
    <w:rsid w:val="00F17252"/>
    <w:rsid w:val="00FC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1">
      <o:colormenu v:ext="edit" strokecolor="none"/>
    </o:shapedefaults>
    <o:shapelayout v:ext="edit">
      <o:idmap v:ext="edit" data="1"/>
    </o:shapelayout>
  </w:shapeDefaults>
  <w:decimalSymbol w:val="."/>
  <w:listSeparator w:val=","/>
  <w15:docId w15:val="{4143D2ED-77DC-4B56-8E74-FEE0972C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066"/>
    <w:pPr>
      <w:jc w:val="both"/>
    </w:pPr>
    <w:rPr>
      <w:sz w:val="22"/>
      <w:szCs w:val="24"/>
    </w:rPr>
  </w:style>
  <w:style w:type="paragraph" w:styleId="Heading1">
    <w:name w:val="heading 1"/>
    <w:basedOn w:val="Normal"/>
    <w:next w:val="Normal"/>
    <w:qFormat/>
    <w:rsid w:val="006D0066"/>
    <w:pPr>
      <w:keepNext/>
      <w:numPr>
        <w:numId w:val="5"/>
      </w:numPr>
      <w:outlineLvl w:val="0"/>
    </w:pPr>
    <w:rPr>
      <w:rFonts w:cs="Arial"/>
      <w:b/>
      <w:bCs/>
      <w:kern w:val="32"/>
      <w:sz w:val="26"/>
      <w:szCs w:val="32"/>
    </w:rPr>
  </w:style>
  <w:style w:type="paragraph" w:styleId="Heading2">
    <w:name w:val="heading 2"/>
    <w:basedOn w:val="Normal"/>
    <w:next w:val="Normal"/>
    <w:qFormat/>
    <w:rsid w:val="006D0066"/>
    <w:pPr>
      <w:keepNext/>
      <w:numPr>
        <w:ilvl w:val="1"/>
        <w:numId w:val="5"/>
      </w:numPr>
      <w:outlineLvl w:val="1"/>
    </w:pPr>
    <w:rPr>
      <w:rFonts w:cs="Arial"/>
      <w:b/>
      <w:bCs/>
      <w:iCs/>
      <w:sz w:val="24"/>
      <w:szCs w:val="28"/>
    </w:rPr>
  </w:style>
  <w:style w:type="paragraph" w:styleId="Heading3">
    <w:name w:val="heading 3"/>
    <w:basedOn w:val="Normal"/>
    <w:next w:val="Normal"/>
    <w:qFormat/>
    <w:rsid w:val="006D0066"/>
    <w:pPr>
      <w:keepNext/>
      <w:numPr>
        <w:ilvl w:val="2"/>
        <w:numId w:val="5"/>
      </w:numPr>
      <w:outlineLvl w:val="2"/>
    </w:pPr>
    <w:rPr>
      <w:rFonts w:cs="Arial"/>
      <w:b/>
      <w:bCs/>
      <w:szCs w:val="26"/>
    </w:rPr>
  </w:style>
  <w:style w:type="paragraph" w:styleId="Heading4">
    <w:name w:val="heading 4"/>
    <w:aliases w:val="Map Title"/>
    <w:basedOn w:val="Normal"/>
    <w:next w:val="Normal"/>
    <w:qFormat/>
    <w:rsid w:val="006D0066"/>
    <w:pPr>
      <w:keepNext/>
      <w:numPr>
        <w:ilvl w:val="3"/>
        <w:numId w:val="5"/>
      </w:numPr>
      <w:outlineLvl w:val="3"/>
    </w:pPr>
    <w:rPr>
      <w:bCs/>
      <w:szCs w:val="28"/>
    </w:rPr>
  </w:style>
  <w:style w:type="paragraph" w:styleId="Heading5">
    <w:name w:val="heading 5"/>
    <w:aliases w:val="Block Label"/>
    <w:basedOn w:val="Normal"/>
    <w:next w:val="Normal"/>
    <w:qFormat/>
    <w:rsid w:val="006D0066"/>
    <w:pPr>
      <w:keepNext/>
      <w:numPr>
        <w:ilvl w:val="4"/>
        <w:numId w:val="5"/>
      </w:numPr>
      <w:spacing w:before="20"/>
      <w:outlineLvl w:val="4"/>
    </w:pPr>
  </w:style>
  <w:style w:type="paragraph" w:styleId="Heading6">
    <w:name w:val="heading 6"/>
    <w:basedOn w:val="Normal"/>
    <w:next w:val="Normal"/>
    <w:qFormat/>
    <w:rsid w:val="006D0066"/>
    <w:pPr>
      <w:keepNext/>
      <w:numPr>
        <w:ilvl w:val="5"/>
        <w:numId w:val="5"/>
      </w:numPr>
      <w:outlineLvl w:val="5"/>
    </w:pPr>
    <w:rPr>
      <w:b/>
      <w:bCs/>
      <w:sz w:val="18"/>
    </w:rPr>
  </w:style>
  <w:style w:type="paragraph" w:styleId="Heading7">
    <w:name w:val="heading 7"/>
    <w:basedOn w:val="Normal"/>
    <w:next w:val="Normal"/>
    <w:qFormat/>
    <w:rsid w:val="006D0066"/>
    <w:pPr>
      <w:keepNext/>
      <w:numPr>
        <w:ilvl w:val="6"/>
        <w:numId w:val="5"/>
      </w:numPr>
      <w:outlineLvl w:val="6"/>
    </w:pPr>
    <w:rPr>
      <w:sz w:val="28"/>
    </w:rPr>
  </w:style>
  <w:style w:type="paragraph" w:styleId="Heading8">
    <w:name w:val="heading 8"/>
    <w:basedOn w:val="Normal"/>
    <w:next w:val="Normal"/>
    <w:qFormat/>
    <w:rsid w:val="006D0066"/>
    <w:pPr>
      <w:keepNext/>
      <w:numPr>
        <w:ilvl w:val="7"/>
        <w:numId w:val="5"/>
      </w:numPr>
      <w:jc w:val="center"/>
      <w:outlineLvl w:val="7"/>
    </w:pPr>
    <w:rPr>
      <w:b/>
      <w:bCs/>
    </w:rPr>
  </w:style>
  <w:style w:type="paragraph" w:styleId="Heading9">
    <w:name w:val="heading 9"/>
    <w:basedOn w:val="Normal"/>
    <w:next w:val="Normal"/>
    <w:qFormat/>
    <w:rsid w:val="006D0066"/>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D0066"/>
    <w:rPr>
      <w:bCs/>
      <w:iCs/>
      <w:color w:val="000000"/>
    </w:rPr>
  </w:style>
  <w:style w:type="paragraph" w:styleId="Header">
    <w:name w:val="header"/>
    <w:basedOn w:val="Normal"/>
    <w:semiHidden/>
    <w:rsid w:val="006D0066"/>
    <w:pPr>
      <w:tabs>
        <w:tab w:val="center" w:pos="4320"/>
        <w:tab w:val="right" w:pos="8640"/>
      </w:tabs>
    </w:pPr>
  </w:style>
  <w:style w:type="paragraph" w:styleId="List">
    <w:name w:val="List"/>
    <w:basedOn w:val="Normal"/>
    <w:semiHidden/>
    <w:rsid w:val="006D0066"/>
    <w:pPr>
      <w:ind w:left="360" w:hanging="360"/>
    </w:pPr>
  </w:style>
  <w:style w:type="paragraph" w:styleId="Title">
    <w:name w:val="Title"/>
    <w:basedOn w:val="Normal"/>
    <w:qFormat/>
    <w:rsid w:val="006D0066"/>
    <w:pPr>
      <w:spacing w:before="240" w:after="60"/>
      <w:jc w:val="center"/>
    </w:pPr>
    <w:rPr>
      <w:rFonts w:cs="Arial"/>
      <w:b/>
      <w:bCs/>
      <w:kern w:val="28"/>
      <w:sz w:val="28"/>
      <w:szCs w:val="32"/>
    </w:rPr>
  </w:style>
  <w:style w:type="paragraph" w:styleId="BodyText2">
    <w:name w:val="Body Text 2"/>
    <w:basedOn w:val="Normal"/>
    <w:semiHidden/>
    <w:rsid w:val="006D0066"/>
    <w:pPr>
      <w:jc w:val="left"/>
    </w:pPr>
    <w:rPr>
      <w:b/>
      <w:bCs/>
      <w:color w:val="0000FF"/>
    </w:rPr>
  </w:style>
  <w:style w:type="paragraph" w:styleId="Footer">
    <w:name w:val="footer"/>
    <w:basedOn w:val="Normal"/>
    <w:semiHidden/>
    <w:rsid w:val="006D0066"/>
    <w:pPr>
      <w:tabs>
        <w:tab w:val="center" w:pos="4320"/>
        <w:tab w:val="right" w:pos="8640"/>
      </w:tabs>
    </w:pPr>
  </w:style>
  <w:style w:type="character" w:styleId="FootnoteReference">
    <w:name w:val="footnote reference"/>
    <w:basedOn w:val="DefaultParagraphFont"/>
    <w:semiHidden/>
    <w:rsid w:val="006D0066"/>
    <w:rPr>
      <w:rFonts w:ascii="Times New Roman" w:hAnsi="Times New Roman"/>
      <w:sz w:val="18"/>
      <w:vertAlign w:val="superscript"/>
    </w:rPr>
  </w:style>
  <w:style w:type="paragraph" w:customStyle="1" w:styleId="Heading">
    <w:name w:val="Heading"/>
    <w:basedOn w:val="Heading1"/>
    <w:next w:val="Normal"/>
    <w:rsid w:val="006D0066"/>
    <w:pPr>
      <w:numPr>
        <w:numId w:val="0"/>
      </w:numPr>
    </w:pPr>
  </w:style>
  <w:style w:type="paragraph" w:customStyle="1" w:styleId="TableText">
    <w:name w:val="Table Text"/>
    <w:basedOn w:val="Normal"/>
    <w:rsid w:val="006D0066"/>
    <w:pPr>
      <w:autoSpaceDE w:val="0"/>
      <w:autoSpaceDN w:val="0"/>
      <w:jc w:val="left"/>
    </w:pPr>
    <w:rPr>
      <w:sz w:val="20"/>
    </w:rPr>
  </w:style>
  <w:style w:type="paragraph" w:customStyle="1" w:styleId="TableHeaderText">
    <w:name w:val="Table Header Text"/>
    <w:basedOn w:val="TableText"/>
    <w:rsid w:val="006D0066"/>
    <w:pPr>
      <w:jc w:val="center"/>
    </w:pPr>
    <w:rPr>
      <w:b/>
      <w:bCs/>
    </w:rPr>
  </w:style>
  <w:style w:type="paragraph" w:styleId="BodyText3">
    <w:name w:val="Body Text 3"/>
    <w:basedOn w:val="Normal"/>
    <w:semiHidden/>
    <w:rsid w:val="006D0066"/>
    <w:rPr>
      <w:b/>
      <w:color w:val="0000FF"/>
    </w:rPr>
  </w:style>
  <w:style w:type="paragraph" w:styleId="BalloonText">
    <w:name w:val="Balloon Text"/>
    <w:basedOn w:val="Normal"/>
    <w:link w:val="BalloonTextChar"/>
    <w:uiPriority w:val="99"/>
    <w:semiHidden/>
    <w:unhideWhenUsed/>
    <w:rsid w:val="002229A4"/>
    <w:rPr>
      <w:rFonts w:ascii="Tahoma" w:hAnsi="Tahoma" w:cs="Tahoma"/>
      <w:sz w:val="16"/>
      <w:szCs w:val="16"/>
    </w:rPr>
  </w:style>
  <w:style w:type="character" w:customStyle="1" w:styleId="BalloonTextChar">
    <w:name w:val="Balloon Text Char"/>
    <w:basedOn w:val="DefaultParagraphFont"/>
    <w:link w:val="BalloonText"/>
    <w:uiPriority w:val="99"/>
    <w:semiHidden/>
    <w:rsid w:val="002229A4"/>
    <w:rPr>
      <w:rFonts w:ascii="Tahoma" w:hAnsi="Tahoma" w:cs="Tahoma"/>
      <w:sz w:val="16"/>
      <w:szCs w:val="16"/>
    </w:rPr>
  </w:style>
  <w:style w:type="paragraph" w:styleId="ListParagraph">
    <w:name w:val="List Paragraph"/>
    <w:basedOn w:val="Normal"/>
    <w:uiPriority w:val="34"/>
    <w:qFormat/>
    <w:rsid w:val="007D1B32"/>
    <w:pPr>
      <w:ind w:left="720"/>
      <w:contextualSpacing/>
    </w:pPr>
  </w:style>
  <w:style w:type="character" w:styleId="Hyperlink">
    <w:name w:val="Hyperlink"/>
    <w:basedOn w:val="DefaultParagraphFont"/>
    <w:uiPriority w:val="99"/>
    <w:unhideWhenUsed/>
    <w:rsid w:val="00EA1766"/>
    <w:rPr>
      <w:color w:val="0563C1" w:themeColor="hyperlink"/>
      <w:u w:val="single"/>
    </w:rPr>
  </w:style>
  <w:style w:type="character" w:styleId="FollowedHyperlink">
    <w:name w:val="FollowedHyperlink"/>
    <w:basedOn w:val="DefaultParagraphFont"/>
    <w:uiPriority w:val="99"/>
    <w:semiHidden/>
    <w:unhideWhenUsed/>
    <w:rsid w:val="007D10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References/labsop/gen/gen/gl-2.2f1v1-laboratory-education-reimbursement-request-form.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2019-07-15T05:00:00+00:00</Renewal_x0020_Date>
    <Related_x0020_Documents xmlns="199f0838-75a6-4f0c-9be1-f2c07140bccc" xsi:nil="true"/>
    <Legacy_x0020_Name xmlns="199f0838-75a6-4f0c-9be1-f2c07140bccc">GL1.10 Shift to Shift Communication.doc</Legacy_x0020_Name>
    <Legacy_x0020_Document_x0020_ID xmlns="199f0838-75a6-4f0c-9be1-f2c07140bccc">203280</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F6TN54CWY5RS-50183619-29342</_dlc_DocId>
    <_Version xmlns="http://schemas.microsoft.com/sharepoint/v3/fields">2</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http://vcpsharepoint2/references/_layouts/15/DocIdRedir.aspx?ID=F6TN54CWY5RS-50183619-29342</Url>
      <Description>F6TN54CWY5RS-50183619-29342</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GL 1.10 Shift to Shift Communication</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2015-07-21T18:46:00+00:00</_DCDateCreated>
    <Owner xmlns="http://schemas.microsoft.com/sharepoint/v3">GEN</Owner>
    <Summary xmlns="199f0838-75a6-4f0c-9be1-f2c07140bccc">7/21/2015 reviewed, minor grammar edits, J.Heimkes</Summary>
    <SubTitle xmlns="199f0838-75a6-4f0c-9be1-f2c07140bccc" xsi:nil="true"/>
    <Content_x0020_Release_x0020_Date xmlns="199f0838-75a6-4f0c-9be1-f2c07140bccc">2015-07-21T05:00:00+00:00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593F0-886F-4EF9-A57B-44098237342E}">
  <ds:schemaRefs>
    <ds:schemaRef ds:uri="http://schemas.microsoft.com/sharepoint/events"/>
  </ds:schemaRefs>
</ds:datastoreItem>
</file>

<file path=customXml/itemProps2.xml><?xml version="1.0" encoding="utf-8"?>
<ds:datastoreItem xmlns:ds="http://schemas.openxmlformats.org/officeDocument/2006/customXml" ds:itemID="{B91CDCF8-D02A-4D5F-A12D-BFAB7B9E16AB}">
  <ds:schemaRefs>
    <ds:schemaRef ds:uri="http://schemas.microsoft.com/sharepoint/v3/contenttype/forms"/>
  </ds:schemaRefs>
</ds:datastoreItem>
</file>

<file path=customXml/itemProps3.xml><?xml version="1.0" encoding="utf-8"?>
<ds:datastoreItem xmlns:ds="http://schemas.openxmlformats.org/officeDocument/2006/customXml" ds:itemID="{7BC70432-67FF-472F-AFD3-6185698BEBD7}">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A8DF897C-9176-4D58-95D2-BA87313AB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400B8A-6461-46A9-BDE2-36AF4CAA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CE132454</dc:creator>
  <cp:lastModifiedBy>Jennifer Heimkes</cp:lastModifiedBy>
  <cp:revision>17</cp:revision>
  <cp:lastPrinted>2019-04-24T20:29:00Z</cp:lastPrinted>
  <dcterms:created xsi:type="dcterms:W3CDTF">2019-04-24T18:02:00Z</dcterms:created>
  <dcterms:modified xsi:type="dcterms:W3CDTF">2019-07-09T17:00:00Z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0a540c08-2583-424b-9d6f-8731e522cce8</vt:lpwstr>
  </property>
</Properties>
</file>