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1442"/>
        <w:gridCol w:w="2702"/>
        <w:gridCol w:w="1803"/>
        <w:gridCol w:w="3429"/>
        <w:gridCol w:w="2696"/>
        <w:gridCol w:w="2696"/>
      </w:tblGrid>
      <w:tr w:rsidR="00563051">
        <w:trPr>
          <w:gridAfter w:val="2"/>
          <w:wAfter w:w="5392" w:type="dxa"/>
          <w:cantSplit/>
        </w:trPr>
        <w:tc>
          <w:tcPr>
            <w:tcW w:w="111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3051" w:rsidRPr="00BA2B2C" w:rsidRDefault="001E2108">
            <w:pPr>
              <w:pStyle w:val="Title"/>
              <w:jc w:val="left"/>
              <w:rPr>
                <w:rFonts w:ascii="Arial" w:hAnsi="Arial"/>
                <w:color w:val="1F497D" w:themeColor="text2"/>
              </w:rPr>
            </w:pPr>
            <w:r>
              <w:rPr>
                <w:rFonts w:ascii="Arial" w:hAnsi="Arial"/>
                <w:color w:val="1F497D" w:themeColor="text2"/>
              </w:rPr>
              <w:t>Isolate</w:t>
            </w:r>
            <w:r w:rsidR="00B603E2">
              <w:rPr>
                <w:rFonts w:ascii="Arial" w:hAnsi="Arial"/>
                <w:color w:val="1F497D" w:themeColor="text2"/>
              </w:rPr>
              <w:t xml:space="preserve"> Send</w:t>
            </w:r>
            <w:r w:rsidR="00930D3D">
              <w:rPr>
                <w:rFonts w:ascii="Arial" w:hAnsi="Arial"/>
                <w:color w:val="1F497D" w:themeColor="text2"/>
              </w:rPr>
              <w:t>-</w:t>
            </w:r>
            <w:r w:rsidR="00B603E2">
              <w:rPr>
                <w:rFonts w:ascii="Arial" w:hAnsi="Arial"/>
                <w:color w:val="1F497D" w:themeColor="text2"/>
              </w:rPr>
              <w:t>o</w:t>
            </w:r>
            <w:r w:rsidR="009D3E45">
              <w:rPr>
                <w:rFonts w:ascii="Arial" w:hAnsi="Arial"/>
                <w:color w:val="1F497D" w:themeColor="text2"/>
              </w:rPr>
              <w:t>ut to Mayo Medical Laboratories (MML)</w:t>
            </w:r>
          </w:p>
          <w:p w:rsidR="00563051" w:rsidRDefault="00563051">
            <w:pPr>
              <w:pStyle w:val="Custom"/>
            </w:pPr>
          </w:p>
        </w:tc>
      </w:tr>
      <w:tr w:rsidR="00563051">
        <w:trPr>
          <w:gridAfter w:val="2"/>
          <w:wAfter w:w="5392" w:type="dxa"/>
          <w:trHeight w:val="1025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63051" w:rsidRPr="00BA2B2C" w:rsidRDefault="00563051">
            <w:pPr>
              <w:rPr>
                <w:rFonts w:ascii="Arial" w:hAnsi="Arial"/>
                <w:b/>
                <w:color w:val="1F497D" w:themeColor="text2"/>
                <w:sz w:val="20"/>
              </w:rPr>
            </w:pPr>
          </w:p>
          <w:p w:rsidR="00563051" w:rsidRPr="00C17F55" w:rsidRDefault="00FC05C7">
            <w:pPr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C17F55">
              <w:rPr>
                <w:rFonts w:ascii="Arial" w:hAnsi="Arial"/>
                <w:b/>
                <w:color w:val="17365D" w:themeColor="text2" w:themeShade="BF"/>
                <w:sz w:val="20"/>
              </w:rPr>
              <w:t>Purpose</w:t>
            </w:r>
          </w:p>
        </w:tc>
        <w:tc>
          <w:tcPr>
            <w:tcW w:w="9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051" w:rsidRDefault="005630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563051" w:rsidRDefault="009D3E45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purpose of this procedure is to provide guidance on </w:t>
            </w:r>
            <w:r w:rsidR="00A64423">
              <w:rPr>
                <w:rFonts w:ascii="Arial" w:hAnsi="Arial"/>
              </w:rPr>
              <w:t xml:space="preserve">sending out isolates for </w:t>
            </w:r>
            <w:r w:rsidR="001E2108">
              <w:rPr>
                <w:rFonts w:ascii="Arial" w:hAnsi="Arial"/>
              </w:rPr>
              <w:t xml:space="preserve">identification/ </w:t>
            </w:r>
            <w:r w:rsidR="00A64423">
              <w:rPr>
                <w:rFonts w:ascii="Arial" w:hAnsi="Arial"/>
              </w:rPr>
              <w:t>susceptibility</w:t>
            </w:r>
            <w:r>
              <w:rPr>
                <w:rFonts w:ascii="Arial" w:hAnsi="Arial"/>
              </w:rPr>
              <w:t xml:space="preserve"> testing to Mayo Medical Laboratories (MML). The procedure explains ordering, shipping, and billing. </w:t>
            </w:r>
          </w:p>
        </w:tc>
      </w:tr>
      <w:tr w:rsidR="00563051">
        <w:trPr>
          <w:gridAfter w:val="2"/>
          <w:wAfter w:w="5392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D3E45" w:rsidRDefault="009D3E45">
            <w:pPr>
              <w:rPr>
                <w:rFonts w:ascii="Arial" w:hAnsi="Arial"/>
                <w:b/>
                <w:color w:val="1F497D" w:themeColor="text2"/>
                <w:sz w:val="20"/>
              </w:rPr>
            </w:pPr>
          </w:p>
          <w:p w:rsidR="00563051" w:rsidRPr="00C17F55" w:rsidRDefault="009D3E45">
            <w:pPr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C17F55">
              <w:rPr>
                <w:rFonts w:ascii="Arial" w:hAnsi="Arial"/>
                <w:b/>
                <w:color w:val="17365D" w:themeColor="text2" w:themeShade="BF"/>
                <w:sz w:val="20"/>
              </w:rPr>
              <w:t>Principle</w:t>
            </w:r>
          </w:p>
        </w:tc>
        <w:tc>
          <w:tcPr>
            <w:tcW w:w="93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3051" w:rsidRDefault="00563051" w:rsidP="009D3E45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9D3E45" w:rsidRDefault="009D3E45" w:rsidP="009D3E45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This procedure discusses the process for properly sending out patient isolates that require </w:t>
            </w:r>
            <w:r w:rsidR="00D440EB">
              <w:rPr>
                <w:rFonts w:ascii="Arial" w:hAnsi="Arial"/>
                <w:sz w:val="20"/>
              </w:rPr>
              <w:t xml:space="preserve">special </w:t>
            </w:r>
            <w:r w:rsidR="001E2108">
              <w:rPr>
                <w:rFonts w:ascii="Arial" w:hAnsi="Arial"/>
                <w:sz w:val="20"/>
              </w:rPr>
              <w:t>identification/</w:t>
            </w:r>
            <w:r w:rsidR="00D440EB">
              <w:rPr>
                <w:rFonts w:ascii="Arial" w:hAnsi="Arial"/>
                <w:sz w:val="20"/>
              </w:rPr>
              <w:t xml:space="preserve">susceptibility </w:t>
            </w:r>
            <w:r w:rsidR="00D669A8">
              <w:rPr>
                <w:rFonts w:ascii="Arial" w:hAnsi="Arial"/>
                <w:sz w:val="20"/>
              </w:rPr>
              <w:t>testing</w:t>
            </w:r>
            <w:r>
              <w:rPr>
                <w:rFonts w:ascii="Arial" w:hAnsi="Arial"/>
                <w:sz w:val="20"/>
              </w:rPr>
              <w:t xml:space="preserve">. Having </w:t>
            </w:r>
            <w:r w:rsidR="001D78A1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 xml:space="preserve"> process and guidelines in place will ensure for maximum efficien</w:t>
            </w:r>
            <w:r w:rsidR="00D669A8">
              <w:rPr>
                <w:rFonts w:ascii="Arial" w:hAnsi="Arial"/>
                <w:sz w:val="20"/>
              </w:rPr>
              <w:t xml:space="preserve">cy so that patient results </w:t>
            </w:r>
            <w:r w:rsidR="00D440EB">
              <w:rPr>
                <w:rFonts w:ascii="Arial" w:hAnsi="Arial"/>
                <w:sz w:val="20"/>
              </w:rPr>
              <w:t>can become</w:t>
            </w:r>
            <w:r w:rsidR="00D669A8">
              <w:rPr>
                <w:rFonts w:ascii="Arial" w:hAnsi="Arial"/>
                <w:sz w:val="20"/>
              </w:rPr>
              <w:t xml:space="preserve"> obtained </w:t>
            </w:r>
            <w:r w:rsidR="00FC5D45">
              <w:rPr>
                <w:rFonts w:ascii="Arial" w:hAnsi="Arial"/>
                <w:sz w:val="20"/>
              </w:rPr>
              <w:t xml:space="preserve">in a timely manner. </w:t>
            </w:r>
          </w:p>
          <w:p w:rsidR="009D3E45" w:rsidRDefault="009D3E45" w:rsidP="009D3E45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</w:tc>
      </w:tr>
      <w:tr w:rsidR="00563051" w:rsidTr="00D669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782"/>
        </w:trPr>
        <w:tc>
          <w:tcPr>
            <w:tcW w:w="1792" w:type="dxa"/>
            <w:tcBorders>
              <w:top w:val="nil"/>
              <w:left w:val="nil"/>
              <w:right w:val="nil"/>
            </w:tcBorders>
          </w:tcPr>
          <w:p w:rsidR="00D57D69" w:rsidRDefault="00D57D69">
            <w:pPr>
              <w:jc w:val="left"/>
              <w:rPr>
                <w:rFonts w:ascii="Arial" w:hAnsi="Arial"/>
                <w:b/>
                <w:color w:val="1F497D" w:themeColor="text2"/>
                <w:sz w:val="20"/>
              </w:rPr>
            </w:pPr>
          </w:p>
          <w:p w:rsidR="00563051" w:rsidRPr="00C17F55" w:rsidRDefault="00FC05C7">
            <w:pPr>
              <w:jc w:val="left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C17F55">
              <w:rPr>
                <w:rFonts w:ascii="Arial" w:hAnsi="Arial"/>
                <w:b/>
                <w:color w:val="17365D" w:themeColor="text2" w:themeShade="BF"/>
                <w:sz w:val="20"/>
              </w:rPr>
              <w:t>Test Code</w:t>
            </w:r>
          </w:p>
          <w:p w:rsidR="00563051" w:rsidRPr="00BA2B2C" w:rsidRDefault="00563051">
            <w:pPr>
              <w:jc w:val="left"/>
              <w:rPr>
                <w:rFonts w:ascii="Arial" w:hAnsi="Arial"/>
                <w:b/>
                <w:color w:val="1F497D" w:themeColor="text2"/>
                <w:sz w:val="20"/>
              </w:rPr>
            </w:pPr>
          </w:p>
        </w:tc>
        <w:tc>
          <w:tcPr>
            <w:tcW w:w="9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1C1E" w:rsidRDefault="00AD1C1E" w:rsidP="00D57D69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  <w:p w:rsidR="00527F7F" w:rsidRPr="00D45061" w:rsidRDefault="00527F7F" w:rsidP="00D57D69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 w:rsidRPr="00785492">
              <w:rPr>
                <w:rFonts w:ascii="Arial" w:hAnsi="Arial"/>
                <w:b/>
                <w:sz w:val="20"/>
              </w:rPr>
              <w:t>MBAT</w:t>
            </w:r>
            <w:r w:rsidRPr="00D45061">
              <w:rPr>
                <w:rFonts w:ascii="Arial" w:hAnsi="Arial"/>
                <w:sz w:val="20"/>
              </w:rPr>
              <w:t xml:space="preserve"> (Miscellaneous Battery)  </w:t>
            </w:r>
          </w:p>
          <w:p w:rsidR="00D57D69" w:rsidRDefault="00D57D69" w:rsidP="00D57D69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ZMMLS (Antimicrobial </w:t>
            </w:r>
            <w:r w:rsidR="001E2108"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>usceptibility, Aerobic</w:t>
            </w:r>
            <w:r w:rsidR="000A40C2">
              <w:rPr>
                <w:rFonts w:ascii="Arial" w:hAnsi="Arial"/>
                <w:sz w:val="20"/>
              </w:rPr>
              <w:t xml:space="preserve"> Bacteria, MIC</w:t>
            </w:r>
            <w:r>
              <w:rPr>
                <w:rFonts w:ascii="Arial" w:hAnsi="Arial"/>
                <w:sz w:val="20"/>
              </w:rPr>
              <w:t>)</w:t>
            </w:r>
            <w:r w:rsidR="006A2E8A">
              <w:rPr>
                <w:rFonts w:ascii="Arial" w:hAnsi="Arial"/>
                <w:sz w:val="20"/>
              </w:rPr>
              <w:t xml:space="preserve"> - MAYO</w:t>
            </w:r>
          </w:p>
          <w:p w:rsidR="001E2108" w:rsidRDefault="001E2108" w:rsidP="00D57D69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IDENT (Organism Referred for Identification, Aerobic Bacteria)</w:t>
            </w:r>
            <w:r w:rsidR="006A2E8A">
              <w:rPr>
                <w:rFonts w:ascii="Arial" w:hAnsi="Arial"/>
                <w:sz w:val="20"/>
              </w:rPr>
              <w:t xml:space="preserve"> – MAYO </w:t>
            </w:r>
          </w:p>
          <w:p w:rsidR="00E43164" w:rsidRDefault="00E43164" w:rsidP="00D57D69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ANIDE (Organism Referred for Identification, Anaerobic Bacteria) – MAYO </w:t>
            </w:r>
          </w:p>
          <w:p w:rsidR="00E43164" w:rsidRDefault="00E43164" w:rsidP="00D57D69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MMLSA (Antimicrobial Susceptibility, Anaerobic Bacteria, MIC) – MAYO </w:t>
            </w:r>
          </w:p>
          <w:p w:rsidR="00AD1C1E" w:rsidRDefault="00324A42" w:rsidP="00D57D69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CTBID</w:t>
            </w:r>
            <w:r w:rsidR="00AD1C1E">
              <w:rPr>
                <w:rFonts w:ascii="Arial" w:hAnsi="Arial"/>
                <w:sz w:val="20"/>
              </w:rPr>
              <w:t xml:space="preserve"> (</w:t>
            </w:r>
            <w:r>
              <w:rPr>
                <w:rFonts w:ascii="Arial" w:hAnsi="Arial"/>
                <w:sz w:val="20"/>
              </w:rPr>
              <w:t xml:space="preserve">Culture Referred for Identification, </w:t>
            </w:r>
            <w:r w:rsidR="00AD1C1E">
              <w:rPr>
                <w:rFonts w:ascii="Arial" w:hAnsi="Arial"/>
                <w:sz w:val="20"/>
              </w:rPr>
              <w:t xml:space="preserve">Mycobacteria and </w:t>
            </w:r>
            <w:r w:rsidR="00AD1C1E">
              <w:rPr>
                <w:rFonts w:ascii="Arial" w:hAnsi="Arial"/>
                <w:i/>
                <w:sz w:val="20"/>
              </w:rPr>
              <w:t>Nocardia</w:t>
            </w:r>
            <w:r w:rsidR="00AD1C1E">
              <w:rPr>
                <w:rFonts w:ascii="Arial" w:hAnsi="Arial"/>
                <w:sz w:val="20"/>
              </w:rPr>
              <w:t>) – MAYO</w:t>
            </w:r>
          </w:p>
          <w:p w:rsidR="006A2E8A" w:rsidRDefault="006A2E8A" w:rsidP="00324A42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</w:tc>
      </w:tr>
      <w:tr w:rsidR="00563051">
        <w:trPr>
          <w:gridAfter w:val="2"/>
          <w:wAfter w:w="5392" w:type="dxa"/>
          <w:trHeight w:val="341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63051" w:rsidRPr="00BA2B2C" w:rsidRDefault="00563051">
            <w:pPr>
              <w:pStyle w:val="Custom2"/>
              <w:rPr>
                <w:color w:val="1F497D" w:themeColor="text2"/>
              </w:rPr>
            </w:pPr>
          </w:p>
          <w:p w:rsidR="00563051" w:rsidRPr="00C17F55" w:rsidRDefault="003728EC">
            <w:pPr>
              <w:jc w:val="left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C17F55">
              <w:rPr>
                <w:rFonts w:ascii="Arial" w:hAnsi="Arial"/>
                <w:b/>
                <w:color w:val="17365D" w:themeColor="text2" w:themeShade="BF"/>
                <w:sz w:val="20"/>
              </w:rPr>
              <w:t>Procedure</w:t>
            </w:r>
          </w:p>
        </w:tc>
        <w:tc>
          <w:tcPr>
            <w:tcW w:w="9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7ADA" w:rsidRPr="001C0B31" w:rsidRDefault="002F7ADA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</w:p>
          <w:p w:rsidR="00765DCB" w:rsidRDefault="00765DCB" w:rsidP="00FA6298">
            <w:pPr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Obtain a pure isolate of the organism.</w:t>
            </w:r>
          </w:p>
          <w:p w:rsidR="00765DCB" w:rsidRDefault="00765DCB" w:rsidP="00765DCB">
            <w:pPr>
              <w:numPr>
                <w:ilvl w:val="1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Organisms must be subbed to an agar slant. </w:t>
            </w:r>
            <w:r w:rsidRPr="00530DE2">
              <w:rPr>
                <w:rFonts w:ascii="Arial" w:hAnsi="Arial"/>
                <w:sz w:val="20"/>
                <w:u w:val="single"/>
              </w:rPr>
              <w:t>MML does not accept agar plates.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  <w:p w:rsidR="00632655" w:rsidRDefault="00765DCB" w:rsidP="00E841DD">
            <w:pPr>
              <w:numPr>
                <w:ilvl w:val="1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 chunk of agar may be cut off a plate and </w:t>
            </w:r>
            <w:r w:rsidR="00BE1E67">
              <w:rPr>
                <w:rFonts w:ascii="Arial" w:hAnsi="Arial"/>
                <w:sz w:val="20"/>
              </w:rPr>
              <w:t xml:space="preserve">placed into </w:t>
            </w:r>
            <w:r w:rsidR="004219C3">
              <w:rPr>
                <w:rFonts w:ascii="Arial" w:hAnsi="Arial"/>
                <w:sz w:val="20"/>
              </w:rPr>
              <w:t>an</w:t>
            </w:r>
            <w:r w:rsidR="00BE1E67">
              <w:rPr>
                <w:rFonts w:ascii="Arial" w:hAnsi="Arial"/>
                <w:sz w:val="20"/>
              </w:rPr>
              <w:t xml:space="preserve"> agar slant</w:t>
            </w:r>
            <w:r w:rsidR="00DE13B9">
              <w:rPr>
                <w:rFonts w:ascii="Arial" w:hAnsi="Arial"/>
                <w:sz w:val="20"/>
              </w:rPr>
              <w:t>, if necessary</w:t>
            </w:r>
            <w:r w:rsidR="00BE1E67">
              <w:rPr>
                <w:rFonts w:ascii="Arial" w:hAnsi="Arial"/>
                <w:sz w:val="20"/>
              </w:rPr>
              <w:t xml:space="preserve">. </w:t>
            </w:r>
            <w:r w:rsidR="001A5E95">
              <w:rPr>
                <w:rFonts w:ascii="Arial" w:hAnsi="Arial"/>
                <w:sz w:val="20"/>
              </w:rPr>
              <w:t xml:space="preserve">This method is recommended for sending Mycobacterial and </w:t>
            </w:r>
            <w:r w:rsidR="001A5E95">
              <w:rPr>
                <w:rFonts w:ascii="Arial" w:hAnsi="Arial"/>
                <w:i/>
                <w:sz w:val="20"/>
              </w:rPr>
              <w:t xml:space="preserve">Nocardia </w:t>
            </w:r>
            <w:r w:rsidR="001A5E95">
              <w:rPr>
                <w:rFonts w:ascii="Arial" w:hAnsi="Arial"/>
                <w:sz w:val="20"/>
              </w:rPr>
              <w:t xml:space="preserve">isolates that need further identification. </w:t>
            </w:r>
          </w:p>
          <w:p w:rsidR="00616A37" w:rsidRDefault="00FA6298" w:rsidP="00FA6298">
            <w:pPr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Login to Sunquest Order Entry. </w:t>
            </w:r>
          </w:p>
          <w:p w:rsidR="00FA6298" w:rsidRDefault="00FA6298" w:rsidP="00FA6298">
            <w:pPr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Enter patient MRN and select correct encounter. </w:t>
            </w:r>
          </w:p>
          <w:p w:rsidR="00FA6298" w:rsidRDefault="00FA6298" w:rsidP="00FA6298">
            <w:pPr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Enter collect date and time of the origin</w:t>
            </w:r>
            <w:r w:rsidR="00CE0C42">
              <w:rPr>
                <w:rFonts w:ascii="Arial" w:hAnsi="Arial"/>
                <w:sz w:val="20"/>
              </w:rPr>
              <w:t>al specimen. A</w:t>
            </w:r>
            <w:r>
              <w:rPr>
                <w:rFonts w:ascii="Arial" w:hAnsi="Arial"/>
                <w:sz w:val="20"/>
              </w:rPr>
              <w:t xml:space="preserve">dd ordering provider that has made the request for </w:t>
            </w:r>
            <w:r w:rsidR="00DE13B9">
              <w:rPr>
                <w:rFonts w:ascii="Arial" w:hAnsi="Arial"/>
                <w:sz w:val="20"/>
              </w:rPr>
              <w:t>additional testing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CE0C42" w:rsidRDefault="00CE0C42" w:rsidP="00FA6298">
            <w:pPr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Order the test code, </w:t>
            </w:r>
            <w:r>
              <w:rPr>
                <w:rFonts w:ascii="Arial" w:hAnsi="Arial"/>
                <w:b/>
                <w:sz w:val="20"/>
              </w:rPr>
              <w:t>MBAT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CE0C42" w:rsidRDefault="00CE0C42" w:rsidP="00CE0C42">
            <w:pPr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Fill in</w:t>
            </w:r>
            <w:r w:rsidR="00573D6B">
              <w:rPr>
                <w:rFonts w:ascii="Arial" w:hAnsi="Arial"/>
                <w:sz w:val="20"/>
              </w:rPr>
              <w:t xml:space="preserve"> the</w:t>
            </w:r>
            <w:r>
              <w:rPr>
                <w:rFonts w:ascii="Arial" w:hAnsi="Arial"/>
                <w:sz w:val="20"/>
              </w:rPr>
              <w:t xml:space="preserve"> </w:t>
            </w:r>
            <w:r w:rsidR="00F902CA">
              <w:rPr>
                <w:rFonts w:ascii="Arial" w:hAnsi="Arial"/>
                <w:sz w:val="20"/>
              </w:rPr>
              <w:t>‘</w:t>
            </w:r>
            <w:r w:rsidR="000360A9">
              <w:rPr>
                <w:rFonts w:ascii="Arial" w:hAnsi="Arial"/>
                <w:sz w:val="20"/>
              </w:rPr>
              <w:t>R</w:t>
            </w:r>
            <w:r>
              <w:rPr>
                <w:rFonts w:ascii="Arial" w:hAnsi="Arial"/>
                <w:sz w:val="20"/>
              </w:rPr>
              <w:t>esults</w:t>
            </w:r>
            <w:r w:rsidR="00F902CA">
              <w:rPr>
                <w:rFonts w:ascii="Arial" w:hAnsi="Arial"/>
                <w:sz w:val="20"/>
              </w:rPr>
              <w:t>’</w:t>
            </w:r>
            <w:r>
              <w:rPr>
                <w:rFonts w:ascii="Arial" w:hAnsi="Arial"/>
                <w:sz w:val="20"/>
              </w:rPr>
              <w:t xml:space="preserve"> boxe</w:t>
            </w:r>
            <w:r w:rsidR="001E2108">
              <w:rPr>
                <w:rFonts w:ascii="Arial" w:hAnsi="Arial"/>
                <w:sz w:val="20"/>
              </w:rPr>
              <w:t>s with</w:t>
            </w:r>
            <w:r w:rsidR="000360A9">
              <w:rPr>
                <w:rFonts w:ascii="Arial" w:hAnsi="Arial"/>
                <w:sz w:val="20"/>
              </w:rPr>
              <w:t xml:space="preserve"> the</w:t>
            </w:r>
            <w:r w:rsidR="001E2108">
              <w:rPr>
                <w:rFonts w:ascii="Arial" w:hAnsi="Arial"/>
                <w:sz w:val="20"/>
              </w:rPr>
              <w:t xml:space="preserve"> appropriate information (</w:t>
            </w:r>
            <w:r w:rsidR="00573D6B">
              <w:rPr>
                <w:rFonts w:ascii="Arial" w:hAnsi="Arial"/>
                <w:sz w:val="20"/>
              </w:rPr>
              <w:t xml:space="preserve">Example: </w:t>
            </w:r>
            <w:r w:rsidR="001E2108" w:rsidRPr="00964B67">
              <w:rPr>
                <w:rFonts w:ascii="Arial" w:hAnsi="Arial"/>
                <w:sz w:val="20"/>
              </w:rPr>
              <w:t>Figure 1</w:t>
            </w:r>
            <w:r w:rsidR="001E2108">
              <w:rPr>
                <w:rFonts w:ascii="Arial" w:hAnsi="Arial"/>
                <w:sz w:val="20"/>
              </w:rPr>
              <w:t xml:space="preserve">). </w:t>
            </w:r>
          </w:p>
          <w:p w:rsidR="001E2108" w:rsidRPr="001E2108" w:rsidRDefault="001E2108" w:rsidP="00CE0C42">
            <w:pPr>
              <w:numPr>
                <w:ilvl w:val="1"/>
                <w:numId w:val="5"/>
              </w:numPr>
              <w:jc w:val="left"/>
              <w:rPr>
                <w:rFonts w:ascii="Arial" w:hAnsi="Arial"/>
                <w:sz w:val="20"/>
                <w:u w:val="single"/>
              </w:rPr>
            </w:pPr>
            <w:r w:rsidRPr="001E2108">
              <w:rPr>
                <w:rFonts w:ascii="Arial" w:hAnsi="Arial"/>
                <w:sz w:val="20"/>
                <w:u w:val="single"/>
              </w:rPr>
              <w:t>NAM</w:t>
            </w:r>
            <w:r>
              <w:rPr>
                <w:rFonts w:ascii="Arial" w:hAnsi="Arial"/>
                <w:sz w:val="20"/>
              </w:rPr>
              <w:t xml:space="preserve">: </w:t>
            </w:r>
            <w:r w:rsidR="00573D6B">
              <w:rPr>
                <w:rFonts w:ascii="Arial" w:hAnsi="Arial"/>
                <w:sz w:val="20"/>
              </w:rPr>
              <w:t>free-text</w:t>
            </w:r>
            <w:r>
              <w:rPr>
                <w:rFonts w:ascii="Arial" w:hAnsi="Arial"/>
                <w:sz w:val="20"/>
              </w:rPr>
              <w:t xml:space="preserve"> </w:t>
            </w:r>
            <w:r w:rsidR="00573D6B">
              <w:rPr>
                <w:rFonts w:ascii="Arial" w:hAnsi="Arial"/>
                <w:sz w:val="20"/>
              </w:rPr>
              <w:t xml:space="preserve">specifics of testing being ordered (i.e. aerobic ID, </w:t>
            </w:r>
            <w:r w:rsidR="001E545D">
              <w:rPr>
                <w:rFonts w:ascii="Arial" w:hAnsi="Arial"/>
                <w:sz w:val="20"/>
              </w:rPr>
              <w:t xml:space="preserve">specific </w:t>
            </w:r>
            <w:r w:rsidR="00573D6B">
              <w:rPr>
                <w:rFonts w:ascii="Arial" w:hAnsi="Arial"/>
                <w:sz w:val="20"/>
              </w:rPr>
              <w:t>drugs desired for susceptibility testing</w:t>
            </w:r>
            <w:r w:rsidR="001E545D">
              <w:rPr>
                <w:rFonts w:ascii="Arial" w:hAnsi="Arial"/>
                <w:sz w:val="20"/>
              </w:rPr>
              <w:t>, etc.</w:t>
            </w:r>
            <w:r w:rsidR="00573D6B"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1E2108" w:rsidRPr="001E2108" w:rsidRDefault="001E2108" w:rsidP="00CE0C42">
            <w:pPr>
              <w:numPr>
                <w:ilvl w:val="1"/>
                <w:numId w:val="5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RLAB</w:t>
            </w:r>
            <w:r>
              <w:rPr>
                <w:rFonts w:ascii="Arial" w:hAnsi="Arial"/>
                <w:sz w:val="20"/>
              </w:rPr>
              <w:t xml:space="preserve">: MML (site being sent to) </w:t>
            </w:r>
          </w:p>
          <w:p w:rsidR="00CE0C42" w:rsidRPr="001E2108" w:rsidRDefault="001E2108" w:rsidP="00CE0C42">
            <w:pPr>
              <w:numPr>
                <w:ilvl w:val="1"/>
                <w:numId w:val="5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SRCE:</w:t>
            </w:r>
            <w:r>
              <w:rPr>
                <w:rFonts w:ascii="Arial" w:hAnsi="Arial"/>
                <w:sz w:val="20"/>
              </w:rPr>
              <w:t xml:space="preserve"> use Sunquest codes to provide source</w:t>
            </w:r>
          </w:p>
          <w:p w:rsidR="001E2108" w:rsidRPr="00F902CA" w:rsidRDefault="001E2108" w:rsidP="00CE0C42">
            <w:pPr>
              <w:numPr>
                <w:ilvl w:val="1"/>
                <w:numId w:val="5"/>
              </w:numPr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TSTCD</w:t>
            </w:r>
            <w:r>
              <w:rPr>
                <w:rFonts w:ascii="Arial" w:hAnsi="Arial"/>
                <w:sz w:val="20"/>
              </w:rPr>
              <w:t xml:space="preserve">: </w:t>
            </w:r>
            <w:r w:rsidR="00573D6B">
              <w:rPr>
                <w:rFonts w:ascii="Arial" w:hAnsi="Arial"/>
                <w:sz w:val="20"/>
              </w:rPr>
              <w:t>free-text</w:t>
            </w:r>
            <w:r w:rsidR="004219C3">
              <w:rPr>
                <w:rFonts w:ascii="Arial" w:hAnsi="Arial"/>
                <w:sz w:val="20"/>
              </w:rPr>
              <w:t xml:space="preserve"> appropriate</w:t>
            </w:r>
            <w:r w:rsidR="00573D6B">
              <w:rPr>
                <w:rFonts w:ascii="Arial" w:hAnsi="Arial"/>
                <w:sz w:val="20"/>
              </w:rPr>
              <w:t xml:space="preserve"> Mayo test code </w:t>
            </w:r>
          </w:p>
          <w:p w:rsidR="00F902CA" w:rsidRDefault="00F902CA" w:rsidP="00F902CA">
            <w:pPr>
              <w:ind w:left="1440"/>
              <w:jc w:val="left"/>
              <w:rPr>
                <w:rFonts w:ascii="Arial" w:hAnsi="Arial"/>
                <w:sz w:val="20"/>
                <w:u w:val="single"/>
              </w:rPr>
            </w:pPr>
          </w:p>
          <w:p w:rsidR="006367DF" w:rsidRDefault="006367DF" w:rsidP="00186F32"/>
          <w:p w:rsidR="006F2448" w:rsidRDefault="006F2448" w:rsidP="00186F32"/>
          <w:p w:rsidR="006F2448" w:rsidRDefault="006F2448" w:rsidP="00186F32"/>
          <w:p w:rsidR="006F2448" w:rsidRDefault="006F2448" w:rsidP="00186F32"/>
          <w:p w:rsidR="006F2448" w:rsidRDefault="006F2448" w:rsidP="00186F32"/>
          <w:p w:rsidR="006F2448" w:rsidRDefault="006F2448" w:rsidP="00186F32"/>
          <w:p w:rsidR="006F2448" w:rsidRDefault="006F2448" w:rsidP="00186F32"/>
          <w:p w:rsidR="006F2448" w:rsidRDefault="006F2448" w:rsidP="00186F32"/>
          <w:p w:rsidR="006F2448" w:rsidRDefault="006F2448" w:rsidP="00186F32"/>
          <w:p w:rsidR="006F2448" w:rsidRDefault="006F2448" w:rsidP="00186F32"/>
          <w:p w:rsidR="006F2448" w:rsidRDefault="006F2448" w:rsidP="00186F32"/>
          <w:p w:rsidR="006F2448" w:rsidRDefault="006F2448" w:rsidP="00186F32"/>
          <w:p w:rsidR="006F2448" w:rsidRDefault="006F2448" w:rsidP="00186F32"/>
          <w:p w:rsidR="006F2448" w:rsidRDefault="006F2448" w:rsidP="00186F32"/>
          <w:p w:rsidR="006F2448" w:rsidRDefault="006F2448" w:rsidP="00186F32"/>
          <w:p w:rsidR="006367DF" w:rsidRDefault="006367DF" w:rsidP="00F902CA">
            <w:pPr>
              <w:jc w:val="center"/>
            </w:pPr>
          </w:p>
          <w:p w:rsidR="00573D6B" w:rsidRDefault="003E21B8" w:rsidP="00F902CA">
            <w:pPr>
              <w:jc w:val="center"/>
            </w:pPr>
            <w:r>
              <w:object w:dxaOrig="9870" w:dyaOrig="6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1pt;height:201pt" o:ole="">
                  <v:imagedata r:id="rId7" o:title=""/>
                </v:shape>
                <o:OLEObject Type="Embed" ProgID="PBrush" ShapeID="_x0000_i1025" DrawAspect="Content" ObjectID="_1625484012" r:id="rId8"/>
              </w:object>
            </w:r>
          </w:p>
          <w:p w:rsidR="00964B67" w:rsidRDefault="00964B67" w:rsidP="00F90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B67">
              <w:rPr>
                <w:rFonts w:ascii="Arial" w:hAnsi="Arial" w:cs="Arial"/>
                <w:sz w:val="20"/>
                <w:szCs w:val="20"/>
              </w:rPr>
              <w:t xml:space="preserve">Figure 1. </w:t>
            </w:r>
            <w:r>
              <w:rPr>
                <w:rFonts w:ascii="Arial" w:hAnsi="Arial" w:cs="Arial"/>
                <w:sz w:val="20"/>
                <w:szCs w:val="20"/>
              </w:rPr>
              <w:t xml:space="preserve">Example of MBAT order. </w:t>
            </w:r>
          </w:p>
          <w:p w:rsidR="009308DE" w:rsidRDefault="009308DE">
            <w:pPr>
              <w:jc w:val="left"/>
              <w:rPr>
                <w:rFonts w:ascii="Arial" w:hAnsi="Arial"/>
                <w:sz w:val="20"/>
              </w:rPr>
            </w:pPr>
          </w:p>
          <w:p w:rsidR="00944C25" w:rsidRDefault="0005494F" w:rsidP="00944C25">
            <w:pPr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Save</w:t>
            </w:r>
            <w:r w:rsidR="00937234">
              <w:rPr>
                <w:rFonts w:ascii="Arial" w:hAnsi="Arial"/>
                <w:sz w:val="20"/>
              </w:rPr>
              <w:t xml:space="preserve"> order and collect</w:t>
            </w:r>
            <w:r w:rsidR="00C4084E">
              <w:rPr>
                <w:rFonts w:ascii="Arial" w:hAnsi="Arial"/>
                <w:sz w:val="20"/>
              </w:rPr>
              <w:t xml:space="preserve"> printed</w:t>
            </w:r>
            <w:r w:rsidR="00937234">
              <w:rPr>
                <w:rFonts w:ascii="Arial" w:hAnsi="Arial"/>
                <w:sz w:val="20"/>
              </w:rPr>
              <w:t xml:space="preserve"> labels</w:t>
            </w:r>
            <w:r w:rsidR="00944C25">
              <w:rPr>
                <w:rFonts w:ascii="Arial" w:hAnsi="Arial"/>
                <w:sz w:val="20"/>
              </w:rPr>
              <w:t xml:space="preserve">. </w:t>
            </w:r>
          </w:p>
          <w:p w:rsidR="003D4721" w:rsidRPr="00443AC7" w:rsidRDefault="003D4721" w:rsidP="00944C25">
            <w:pPr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Document the MML test code on the label. </w:t>
            </w:r>
          </w:p>
          <w:p w:rsidR="009B5725" w:rsidRPr="009B5725" w:rsidRDefault="00944C25" w:rsidP="009B5725">
            <w:pPr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Write an isolate description onto the</w:t>
            </w:r>
            <w:r w:rsidR="00FF6BB1">
              <w:rPr>
                <w:rFonts w:ascii="Arial" w:hAnsi="Arial"/>
                <w:sz w:val="20"/>
              </w:rPr>
              <w:t xml:space="preserve"> </w:t>
            </w:r>
            <w:r w:rsidR="00C3502C">
              <w:rPr>
                <w:rFonts w:ascii="Arial" w:hAnsi="Arial"/>
                <w:sz w:val="20"/>
              </w:rPr>
              <w:t>large</w:t>
            </w:r>
            <w:r w:rsidR="00CC0918">
              <w:rPr>
                <w:rFonts w:ascii="Arial" w:hAnsi="Arial"/>
                <w:sz w:val="20"/>
              </w:rPr>
              <w:t xml:space="preserve"> l</w:t>
            </w:r>
            <w:r w:rsidR="00CE0267">
              <w:rPr>
                <w:rFonts w:ascii="Arial" w:hAnsi="Arial"/>
                <w:sz w:val="20"/>
              </w:rPr>
              <w:t>abel for the S</w:t>
            </w:r>
            <w:r w:rsidR="00B603E2">
              <w:rPr>
                <w:rFonts w:ascii="Arial" w:hAnsi="Arial"/>
                <w:sz w:val="20"/>
              </w:rPr>
              <w:t>end</w:t>
            </w:r>
            <w:r w:rsidR="00706609">
              <w:rPr>
                <w:rFonts w:ascii="Arial" w:hAnsi="Arial"/>
                <w:sz w:val="20"/>
              </w:rPr>
              <w:t>-</w:t>
            </w:r>
            <w:r w:rsidR="00B603E2"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z w:val="20"/>
              </w:rPr>
              <w:t xml:space="preserve">uts staff. </w:t>
            </w:r>
            <w:r w:rsidR="00FF6BB1">
              <w:rPr>
                <w:rFonts w:ascii="Arial" w:hAnsi="Arial"/>
                <w:sz w:val="20"/>
              </w:rPr>
              <w:t>Items that can be included are:</w:t>
            </w:r>
            <w:r>
              <w:rPr>
                <w:rFonts w:ascii="Arial" w:hAnsi="Arial"/>
                <w:sz w:val="20"/>
              </w:rPr>
              <w:t xml:space="preserve"> gram stain reaction, morphology and</w:t>
            </w:r>
            <w:r w:rsidR="00FF6BB1">
              <w:rPr>
                <w:rFonts w:ascii="Arial" w:hAnsi="Arial"/>
                <w:sz w:val="20"/>
              </w:rPr>
              <w:t>/or</w:t>
            </w:r>
            <w:r w:rsidR="00F9366B">
              <w:rPr>
                <w:rFonts w:ascii="Arial" w:hAnsi="Arial"/>
                <w:sz w:val="20"/>
              </w:rPr>
              <w:t xml:space="preserve"> tests performed. The easiest description to document is the gram stain reaction (i.e. Gram positive cocci). </w:t>
            </w:r>
          </w:p>
          <w:p w:rsidR="00772E3D" w:rsidRDefault="00772E3D" w:rsidP="00FF6BB1">
            <w:pPr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Indicate on the </w:t>
            </w:r>
            <w:r w:rsidR="00C3502C">
              <w:rPr>
                <w:rFonts w:ascii="Arial" w:hAnsi="Arial"/>
                <w:sz w:val="20"/>
              </w:rPr>
              <w:t>large label</w:t>
            </w:r>
            <w:r>
              <w:rPr>
                <w:rFonts w:ascii="Arial" w:hAnsi="Arial"/>
                <w:sz w:val="20"/>
              </w:rPr>
              <w:t xml:space="preserve"> if the patient </w:t>
            </w:r>
            <w:r w:rsidR="007935A6">
              <w:rPr>
                <w:rFonts w:ascii="Arial" w:hAnsi="Arial"/>
                <w:sz w:val="20"/>
              </w:rPr>
              <w:t>encounter</w:t>
            </w:r>
            <w:r w:rsidR="00EB436F">
              <w:rPr>
                <w:rFonts w:ascii="Arial" w:hAnsi="Arial"/>
                <w:sz w:val="20"/>
              </w:rPr>
              <w:t xml:space="preserve"> is</w:t>
            </w:r>
            <w:r>
              <w:rPr>
                <w:rFonts w:ascii="Arial" w:hAnsi="Arial"/>
                <w:sz w:val="20"/>
              </w:rPr>
              <w:t xml:space="preserve"> through Minneapolis or St. Paul. </w:t>
            </w:r>
          </w:p>
          <w:p w:rsidR="00C3502C" w:rsidRDefault="00387198" w:rsidP="00FF6BB1">
            <w:pPr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Place the large label onto the isolate tube. </w:t>
            </w:r>
          </w:p>
          <w:p w:rsidR="00B3719B" w:rsidRDefault="00CC0918" w:rsidP="00DF1B5C">
            <w:pPr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Bring the</w:t>
            </w:r>
            <w:r w:rsidR="00387198">
              <w:rPr>
                <w:rFonts w:ascii="Arial" w:hAnsi="Arial"/>
                <w:sz w:val="20"/>
              </w:rPr>
              <w:t xml:space="preserve"> isolate </w:t>
            </w:r>
            <w:r w:rsidR="00496AF7">
              <w:rPr>
                <w:rFonts w:ascii="Arial" w:hAnsi="Arial"/>
                <w:sz w:val="20"/>
              </w:rPr>
              <w:t>to the Send</w:t>
            </w:r>
            <w:r w:rsidR="00706609">
              <w:rPr>
                <w:rFonts w:ascii="Arial" w:hAnsi="Arial"/>
                <w:sz w:val="20"/>
              </w:rPr>
              <w:t>-</w:t>
            </w:r>
            <w:r w:rsidR="00251288">
              <w:rPr>
                <w:rFonts w:ascii="Arial" w:hAnsi="Arial"/>
                <w:sz w:val="20"/>
              </w:rPr>
              <w:t>outs departmen</w:t>
            </w:r>
            <w:r w:rsidR="00DA6CE0">
              <w:rPr>
                <w:rFonts w:ascii="Arial" w:hAnsi="Arial"/>
                <w:sz w:val="20"/>
              </w:rPr>
              <w:t>t</w:t>
            </w:r>
            <w:r w:rsidR="00902EFD">
              <w:rPr>
                <w:rFonts w:ascii="Arial" w:hAnsi="Arial"/>
                <w:sz w:val="20"/>
              </w:rPr>
              <w:t xml:space="preserve"> during day shift hours</w:t>
            </w:r>
            <w:r w:rsidR="00DA6CE0">
              <w:rPr>
                <w:rFonts w:ascii="Arial" w:hAnsi="Arial"/>
                <w:sz w:val="20"/>
              </w:rPr>
              <w:t xml:space="preserve">. </w:t>
            </w:r>
            <w:r w:rsidR="00BA535A">
              <w:rPr>
                <w:rFonts w:ascii="Arial" w:hAnsi="Arial"/>
                <w:sz w:val="20"/>
              </w:rPr>
              <w:t>Send</w:t>
            </w:r>
            <w:r w:rsidR="00706609">
              <w:rPr>
                <w:rFonts w:ascii="Arial" w:hAnsi="Arial"/>
                <w:sz w:val="20"/>
              </w:rPr>
              <w:t>-</w:t>
            </w:r>
            <w:r w:rsidR="00BA535A">
              <w:rPr>
                <w:rFonts w:ascii="Arial" w:hAnsi="Arial"/>
                <w:sz w:val="20"/>
              </w:rPr>
              <w:t>outs staff</w:t>
            </w:r>
            <w:r w:rsidR="00DA6CE0">
              <w:rPr>
                <w:rFonts w:ascii="Arial" w:hAnsi="Arial"/>
                <w:sz w:val="20"/>
              </w:rPr>
              <w:t xml:space="preserve"> </w:t>
            </w:r>
            <w:r w:rsidR="00251288">
              <w:rPr>
                <w:rFonts w:ascii="Arial" w:hAnsi="Arial"/>
                <w:sz w:val="20"/>
              </w:rPr>
              <w:t>will prepare and ship the isolate</w:t>
            </w:r>
            <w:r w:rsidR="00DA6CE0">
              <w:rPr>
                <w:rFonts w:ascii="Arial" w:hAnsi="Arial"/>
                <w:sz w:val="20"/>
              </w:rPr>
              <w:t xml:space="preserve"> by performing the </w:t>
            </w:r>
            <w:r w:rsidR="00652EE0">
              <w:rPr>
                <w:rFonts w:ascii="Arial" w:hAnsi="Arial"/>
                <w:sz w:val="20"/>
              </w:rPr>
              <w:t>necessary</w:t>
            </w:r>
            <w:r w:rsidR="00DA6CE0">
              <w:rPr>
                <w:rFonts w:ascii="Arial" w:hAnsi="Arial"/>
                <w:sz w:val="20"/>
              </w:rPr>
              <w:t xml:space="preserve"> steps</w:t>
            </w:r>
            <w:r w:rsidR="00652EE0">
              <w:rPr>
                <w:rFonts w:ascii="Arial" w:hAnsi="Arial"/>
                <w:sz w:val="20"/>
              </w:rPr>
              <w:t xml:space="preserve">. </w:t>
            </w:r>
          </w:p>
          <w:p w:rsidR="004A4654" w:rsidRDefault="009308DE" w:rsidP="009E1B50">
            <w:pPr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 w:rsidRPr="006643D0">
              <w:rPr>
                <w:rFonts w:ascii="Arial" w:hAnsi="Arial"/>
                <w:sz w:val="20"/>
              </w:rPr>
              <w:t xml:space="preserve">MBAT </w:t>
            </w:r>
            <w:r w:rsidR="00E615DB" w:rsidRPr="006643D0">
              <w:rPr>
                <w:rFonts w:ascii="Arial" w:hAnsi="Arial"/>
                <w:sz w:val="20"/>
              </w:rPr>
              <w:t>testing requires</w:t>
            </w:r>
            <w:r w:rsidR="006643D0" w:rsidRPr="006643D0">
              <w:rPr>
                <w:rFonts w:ascii="Arial" w:hAnsi="Arial"/>
                <w:sz w:val="20"/>
              </w:rPr>
              <w:t xml:space="preserve"> a</w:t>
            </w:r>
            <w:r w:rsidR="00E615DB" w:rsidRPr="006643D0">
              <w:rPr>
                <w:rFonts w:ascii="Arial" w:hAnsi="Arial"/>
                <w:sz w:val="20"/>
              </w:rPr>
              <w:t xml:space="preserve"> manual billing</w:t>
            </w:r>
            <w:r w:rsidR="006643D0" w:rsidRPr="006643D0">
              <w:rPr>
                <w:rFonts w:ascii="Arial" w:hAnsi="Arial"/>
                <w:sz w:val="20"/>
              </w:rPr>
              <w:t xml:space="preserve"> form</w:t>
            </w:r>
            <w:r w:rsidR="00E615DB" w:rsidRPr="006643D0">
              <w:rPr>
                <w:rFonts w:ascii="Arial" w:hAnsi="Arial"/>
                <w:sz w:val="20"/>
              </w:rPr>
              <w:t xml:space="preserve"> to be completed.</w:t>
            </w:r>
            <w:r w:rsidR="00345018">
              <w:rPr>
                <w:rFonts w:ascii="Arial" w:hAnsi="Arial"/>
                <w:sz w:val="20"/>
              </w:rPr>
              <w:t xml:space="preserve"> Forms can be located in the send-out dr</w:t>
            </w:r>
            <w:r w:rsidR="001D78A1">
              <w:rPr>
                <w:rFonts w:ascii="Arial" w:hAnsi="Arial"/>
                <w:sz w:val="20"/>
              </w:rPr>
              <w:t>awer (desk 3) or electronically (</w:t>
            </w:r>
            <w:hyperlink r:id="rId9" w:history="1">
              <w:r w:rsidR="00345018" w:rsidRPr="00345018">
                <w:rPr>
                  <w:rStyle w:val="Hyperlink"/>
                  <w:rFonts w:ascii="Arial" w:hAnsi="Arial"/>
                  <w:sz w:val="20"/>
                </w:rPr>
                <w:t>Sendout Manual Billing Request Form</w:t>
              </w:r>
            </w:hyperlink>
            <w:r w:rsidR="001D78A1">
              <w:rPr>
                <w:rFonts w:ascii="Arial" w:hAnsi="Arial"/>
                <w:sz w:val="20"/>
              </w:rPr>
              <w:t>)</w:t>
            </w:r>
            <w:r w:rsidR="00345018">
              <w:rPr>
                <w:rFonts w:ascii="Arial" w:hAnsi="Arial"/>
                <w:sz w:val="20"/>
              </w:rPr>
              <w:t xml:space="preserve">. </w:t>
            </w:r>
            <w:r w:rsidR="00E615DB" w:rsidRPr="006643D0">
              <w:rPr>
                <w:rFonts w:ascii="Arial" w:hAnsi="Arial"/>
                <w:sz w:val="20"/>
              </w:rPr>
              <w:t xml:space="preserve"> </w:t>
            </w:r>
            <w:r w:rsidR="006643D0" w:rsidRPr="006643D0">
              <w:rPr>
                <w:rFonts w:ascii="Arial" w:hAnsi="Arial"/>
                <w:sz w:val="20"/>
              </w:rPr>
              <w:t>Microbiology staff will</w:t>
            </w:r>
            <w:r w:rsidR="006643D0">
              <w:rPr>
                <w:rFonts w:ascii="Arial" w:hAnsi="Arial"/>
                <w:sz w:val="20"/>
              </w:rPr>
              <w:t xml:space="preserve"> </w:t>
            </w:r>
            <w:r w:rsidR="001D7D65" w:rsidRPr="006643D0">
              <w:rPr>
                <w:rFonts w:ascii="Arial" w:hAnsi="Arial"/>
                <w:sz w:val="20"/>
              </w:rPr>
              <w:t xml:space="preserve">complete </w:t>
            </w:r>
            <w:r w:rsidR="009E1B50" w:rsidRPr="006643D0">
              <w:rPr>
                <w:rFonts w:ascii="Arial" w:hAnsi="Arial"/>
                <w:sz w:val="20"/>
              </w:rPr>
              <w:t xml:space="preserve">the </w:t>
            </w:r>
            <w:r w:rsidR="00345018">
              <w:rPr>
                <w:rFonts w:ascii="Arial" w:hAnsi="Arial"/>
                <w:sz w:val="20"/>
              </w:rPr>
              <w:t xml:space="preserve">necessary fields at the top of the </w:t>
            </w:r>
            <w:r w:rsidR="006643D0">
              <w:rPr>
                <w:rFonts w:ascii="Arial" w:hAnsi="Arial"/>
                <w:sz w:val="20"/>
              </w:rPr>
              <w:t>form. Se</w:t>
            </w:r>
            <w:r w:rsidR="002A3F15">
              <w:rPr>
                <w:rFonts w:ascii="Arial" w:hAnsi="Arial"/>
                <w:sz w:val="20"/>
              </w:rPr>
              <w:t>nd the form to LIS staff members</w:t>
            </w:r>
            <w:r w:rsidR="006643D0">
              <w:rPr>
                <w:rFonts w:ascii="Arial" w:hAnsi="Arial"/>
                <w:sz w:val="20"/>
              </w:rPr>
              <w:t xml:space="preserve">. </w:t>
            </w:r>
            <w:r w:rsidR="00345018">
              <w:rPr>
                <w:rFonts w:ascii="Arial" w:hAnsi="Arial"/>
                <w:sz w:val="20"/>
              </w:rPr>
              <w:t>Scan</w:t>
            </w:r>
            <w:r w:rsidR="00785492">
              <w:rPr>
                <w:rFonts w:ascii="Arial" w:hAnsi="Arial"/>
                <w:sz w:val="20"/>
              </w:rPr>
              <w:t>ning</w:t>
            </w:r>
            <w:r w:rsidR="00345018">
              <w:rPr>
                <w:rFonts w:ascii="Arial" w:hAnsi="Arial"/>
                <w:sz w:val="20"/>
              </w:rPr>
              <w:t xml:space="preserve"> and email</w:t>
            </w:r>
            <w:r w:rsidR="00785492">
              <w:rPr>
                <w:rFonts w:ascii="Arial" w:hAnsi="Arial"/>
                <w:sz w:val="20"/>
              </w:rPr>
              <w:t>ing</w:t>
            </w:r>
            <w:r w:rsidR="00345018">
              <w:rPr>
                <w:rFonts w:ascii="Arial" w:hAnsi="Arial"/>
                <w:sz w:val="20"/>
              </w:rPr>
              <w:t xml:space="preserve"> to “LIS </w:t>
            </w:r>
            <w:r w:rsidR="00785492">
              <w:rPr>
                <w:rFonts w:ascii="Arial" w:hAnsi="Arial"/>
                <w:sz w:val="20"/>
              </w:rPr>
              <w:t xml:space="preserve">Staff DL” is an option. </w:t>
            </w:r>
          </w:p>
          <w:p w:rsidR="00164EE7" w:rsidRDefault="00CE0267" w:rsidP="00164EE7">
            <w:pPr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Once Send</w:t>
            </w:r>
            <w:r w:rsidR="00706609"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 xml:space="preserve">outs has ordered the specimen for shipment to MML, the Microbiology technologist that completed the order will login to </w:t>
            </w:r>
            <w:r w:rsidR="00706609">
              <w:rPr>
                <w:rFonts w:ascii="Arial" w:hAnsi="Arial"/>
                <w:sz w:val="20"/>
              </w:rPr>
              <w:t>MayoACCESS</w:t>
            </w:r>
            <w:r>
              <w:rPr>
                <w:rFonts w:ascii="Arial" w:hAnsi="Arial"/>
                <w:sz w:val="20"/>
              </w:rPr>
              <w:t xml:space="preserve"> and request a faxback for results</w:t>
            </w:r>
            <w:r w:rsidR="00164EE7">
              <w:rPr>
                <w:rFonts w:ascii="Arial" w:hAnsi="Arial"/>
                <w:sz w:val="20"/>
              </w:rPr>
              <w:t xml:space="preserve"> as they become available</w:t>
            </w:r>
            <w:r>
              <w:rPr>
                <w:rFonts w:ascii="Arial" w:hAnsi="Arial"/>
                <w:sz w:val="20"/>
              </w:rPr>
              <w:t>.</w:t>
            </w:r>
          </w:p>
          <w:p w:rsidR="00164EE7" w:rsidRDefault="00164EE7" w:rsidP="00164EE7">
            <w:pPr>
              <w:numPr>
                <w:ilvl w:val="1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Locate order in MayoACCESS.</w:t>
            </w:r>
          </w:p>
          <w:p w:rsidR="00164EE7" w:rsidRDefault="00164EE7" w:rsidP="00164EE7">
            <w:pPr>
              <w:numPr>
                <w:ilvl w:val="1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Select </w:t>
            </w:r>
            <w:r>
              <w:rPr>
                <w:rFonts w:ascii="Arial" w:hAnsi="Arial"/>
                <w:i/>
                <w:sz w:val="20"/>
              </w:rPr>
              <w:t>‘Set Faxback’</w:t>
            </w:r>
            <w:r>
              <w:rPr>
                <w:rFonts w:ascii="Arial" w:hAnsi="Arial"/>
                <w:sz w:val="20"/>
              </w:rPr>
              <w:t xml:space="preserve">. </w:t>
            </w:r>
            <w:bookmarkStart w:id="0" w:name="_GoBack"/>
            <w:bookmarkEnd w:id="0"/>
          </w:p>
          <w:p w:rsidR="00164EE7" w:rsidRDefault="00164EE7" w:rsidP="00164EE7">
            <w:pPr>
              <w:numPr>
                <w:ilvl w:val="1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Select </w:t>
            </w:r>
            <w:r>
              <w:rPr>
                <w:rFonts w:ascii="Arial" w:hAnsi="Arial"/>
                <w:i/>
                <w:sz w:val="20"/>
              </w:rPr>
              <w:t xml:space="preserve">‘New Fax Number’ </w:t>
            </w:r>
            <w:r>
              <w:rPr>
                <w:rFonts w:ascii="Arial" w:hAnsi="Arial"/>
                <w:sz w:val="20"/>
              </w:rPr>
              <w:t xml:space="preserve">(Children’s number will be added). Click </w:t>
            </w:r>
            <w:r>
              <w:rPr>
                <w:rFonts w:ascii="Arial" w:hAnsi="Arial"/>
                <w:i/>
                <w:sz w:val="20"/>
              </w:rPr>
              <w:t>‘Close’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164EE7" w:rsidRDefault="00164EE7" w:rsidP="00164EE7">
            <w:pPr>
              <w:numPr>
                <w:ilvl w:val="1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Click ‘</w:t>
            </w:r>
            <w:r>
              <w:rPr>
                <w:rFonts w:ascii="Arial" w:hAnsi="Arial"/>
                <w:i/>
                <w:sz w:val="20"/>
              </w:rPr>
              <w:t xml:space="preserve">Refresh Grid’ </w:t>
            </w:r>
            <w:r>
              <w:rPr>
                <w:rFonts w:ascii="Arial" w:hAnsi="Arial"/>
                <w:sz w:val="20"/>
              </w:rPr>
              <w:t>to ensure that a faxback icon displays for the order</w:t>
            </w:r>
            <w:r w:rsidR="00C732C2">
              <w:rPr>
                <w:rFonts w:ascii="Arial" w:hAnsi="Arial"/>
                <w:sz w:val="20"/>
              </w:rPr>
              <w:t>.</w:t>
            </w:r>
          </w:p>
          <w:p w:rsidR="006A248C" w:rsidRPr="006A248C" w:rsidRDefault="00164EE7" w:rsidP="00164EE7">
            <w:pPr>
              <w:numPr>
                <w:ilvl w:val="1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For in-depth directions on requesting a faxback and/or retrieving orders in MayoACCESS, visit the </w:t>
            </w:r>
            <w:r w:rsidRPr="00164EE7">
              <w:rPr>
                <w:rFonts w:ascii="Arial" w:hAnsi="Arial" w:cs="Arial"/>
                <w:bCs/>
                <w:i/>
                <w:sz w:val="20"/>
                <w:szCs w:val="20"/>
              </w:rPr>
              <w:t>MayoACCESS Report Retrieval &amp; Updates</w:t>
            </w:r>
            <w:r w:rsidRPr="00164EE7">
              <w:rPr>
                <w:bCs/>
                <w:i/>
                <w:sz w:val="20"/>
                <w:szCs w:val="20"/>
              </w:rPr>
              <w:t xml:space="preserve"> </w:t>
            </w:r>
            <w:r w:rsidRPr="00164EE7">
              <w:rPr>
                <w:rFonts w:ascii="Arial" w:hAnsi="Arial" w:cs="Arial"/>
                <w:bCs/>
                <w:sz w:val="20"/>
                <w:szCs w:val="20"/>
              </w:rPr>
              <w:t xml:space="preserve">section in the </w:t>
            </w:r>
          </w:p>
          <w:p w:rsidR="00EC5D90" w:rsidRDefault="00706609" w:rsidP="00EC5D90">
            <w:pPr>
              <w:ind w:left="144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hyperlink r:id="rId10" w:history="1">
              <w:r w:rsidR="00164EE7" w:rsidRPr="00164EE7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Acid-Fast Bacilli Resulting &amp; Susceptibility Add-On</w:t>
              </w:r>
            </w:hyperlink>
            <w:r w:rsidR="00164EE7" w:rsidRPr="00164EE7">
              <w:rPr>
                <w:rFonts w:ascii="Arial" w:hAnsi="Arial" w:cs="Arial"/>
                <w:bCs/>
                <w:sz w:val="20"/>
                <w:szCs w:val="20"/>
              </w:rPr>
              <w:t xml:space="preserve"> procedure. </w:t>
            </w:r>
          </w:p>
          <w:p w:rsidR="00EC5D90" w:rsidRDefault="00EC5D90" w:rsidP="00EC5D90">
            <w:pPr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Obtain result and enter under the appropriate accession number in Sunquest Micro Result Entry. </w:t>
            </w:r>
          </w:p>
          <w:p w:rsidR="00EC5D90" w:rsidRDefault="00EC5D90" w:rsidP="00EC5D90">
            <w:pPr>
              <w:numPr>
                <w:ilvl w:val="1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Do NOT add additional billing. This will be taken care of through the Manual Billing form in LIS. </w:t>
            </w:r>
          </w:p>
          <w:p w:rsidR="00EC5D90" w:rsidRPr="00164EE7" w:rsidRDefault="00EC5D90" w:rsidP="00EC5D90">
            <w:pPr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Add scanned comment to the Sunquest report (SCAND). Submit the Mayo report to the front desk to be scanned. </w:t>
            </w:r>
          </w:p>
          <w:p w:rsidR="00164EE7" w:rsidRPr="00164EE7" w:rsidRDefault="00164EE7" w:rsidP="00164EE7">
            <w:pPr>
              <w:ind w:left="1440"/>
              <w:jc w:val="left"/>
              <w:rPr>
                <w:rFonts w:ascii="Arial" w:hAnsi="Arial"/>
                <w:sz w:val="20"/>
              </w:rPr>
            </w:pPr>
          </w:p>
          <w:p w:rsidR="00DF1B5C" w:rsidRPr="00DF1B5C" w:rsidRDefault="00DF1B5C" w:rsidP="00DF1B5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5630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563051" w:rsidRPr="00BA2B2C" w:rsidRDefault="00563051">
            <w:pPr>
              <w:jc w:val="left"/>
              <w:rPr>
                <w:rFonts w:ascii="Arial" w:hAnsi="Arial"/>
                <w:b/>
                <w:color w:val="1F497D" w:themeColor="text2"/>
                <w:sz w:val="20"/>
              </w:rPr>
            </w:pPr>
          </w:p>
          <w:p w:rsidR="008160F1" w:rsidRPr="00C17F55" w:rsidRDefault="008160F1" w:rsidP="008160F1">
            <w:pPr>
              <w:jc w:val="left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C17F55">
              <w:rPr>
                <w:rFonts w:ascii="Arial" w:hAnsi="Arial"/>
                <w:b/>
                <w:color w:val="17365D" w:themeColor="text2" w:themeShade="BF"/>
                <w:sz w:val="20"/>
              </w:rPr>
              <w:t>Training Plan/</w:t>
            </w:r>
          </w:p>
          <w:p w:rsidR="00563051" w:rsidRPr="00C17F55" w:rsidRDefault="008160F1" w:rsidP="008160F1">
            <w:pPr>
              <w:jc w:val="left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C17F55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Competency Assessment </w:t>
            </w:r>
          </w:p>
          <w:p w:rsidR="008160F1" w:rsidRPr="00BA2B2C" w:rsidRDefault="008160F1" w:rsidP="008160F1">
            <w:pPr>
              <w:jc w:val="left"/>
              <w:rPr>
                <w:rFonts w:ascii="Arial" w:hAnsi="Arial"/>
                <w:b/>
                <w:color w:val="1F497D" w:themeColor="text2"/>
                <w:sz w:val="20"/>
              </w:rPr>
            </w:pPr>
          </w:p>
        </w:tc>
        <w:tc>
          <w:tcPr>
            <w:tcW w:w="9376" w:type="dxa"/>
            <w:gridSpan w:val="4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563051" w:rsidRDefault="00563051">
            <w:pPr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2"/>
              <w:gridCol w:w="4573"/>
            </w:tblGrid>
            <w:tr w:rsidR="008160F1" w:rsidTr="008160F1">
              <w:tc>
                <w:tcPr>
                  <w:tcW w:w="4572" w:type="dxa"/>
                </w:tcPr>
                <w:p w:rsidR="008160F1" w:rsidRPr="008160F1" w:rsidRDefault="008160F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Training Plan</w:t>
                  </w:r>
                </w:p>
              </w:tc>
              <w:tc>
                <w:tcPr>
                  <w:tcW w:w="4573" w:type="dxa"/>
                </w:tcPr>
                <w:p w:rsidR="008160F1" w:rsidRPr="008160F1" w:rsidRDefault="008160F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60F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Initial Competency Assessment </w:t>
                  </w:r>
                </w:p>
              </w:tc>
            </w:tr>
            <w:tr w:rsidR="008160F1" w:rsidTr="008160F1">
              <w:tc>
                <w:tcPr>
                  <w:tcW w:w="4572" w:type="dxa"/>
                </w:tcPr>
                <w:p w:rsidR="002F1812" w:rsidRPr="002F1812" w:rsidRDefault="002F1812" w:rsidP="002F1812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2F1812">
                    <w:rPr>
                      <w:sz w:val="20"/>
                      <w:szCs w:val="20"/>
                    </w:rPr>
                    <w:t xml:space="preserve">1.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2F1812">
                    <w:rPr>
                      <w:sz w:val="20"/>
                      <w:szCs w:val="20"/>
                    </w:rPr>
                    <w:t xml:space="preserve">Employee must read the procedure. </w:t>
                  </w:r>
                </w:p>
                <w:p w:rsidR="002F1812" w:rsidRPr="002F1812" w:rsidRDefault="002F1812" w:rsidP="002F1812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 </w:t>
                  </w:r>
                  <w:r w:rsidRPr="002F1812">
                    <w:rPr>
                      <w:sz w:val="20"/>
                      <w:szCs w:val="20"/>
                    </w:rPr>
                    <w:t xml:space="preserve">Employee will observe trainer performing the </w:t>
                  </w:r>
                  <w:r w:rsidRPr="002F1812">
                    <w:rPr>
                      <w:sz w:val="20"/>
                      <w:szCs w:val="20"/>
                    </w:rPr>
                    <w:lastRenderedPageBreak/>
                    <w:t xml:space="preserve">procedure. </w:t>
                  </w:r>
                </w:p>
                <w:p w:rsidR="008160F1" w:rsidRDefault="002F1812" w:rsidP="002F1812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3. </w:t>
                  </w:r>
                  <w:r w:rsidRPr="002F1812">
                    <w:rPr>
                      <w:rFonts w:ascii="Arial" w:hAnsi="Arial" w:cs="Arial"/>
                      <w:sz w:val="20"/>
                      <w:szCs w:val="20"/>
                    </w:rPr>
                    <w:t>Employee will demonstrate the ability to perform procedure, record results and document corrective action after instruction by the trainer.</w:t>
                  </w:r>
                  <w:r w:rsidRPr="002F1812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73" w:type="dxa"/>
                </w:tcPr>
                <w:p w:rsidR="008160F1" w:rsidRPr="002F1812" w:rsidRDefault="002F181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1812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1. Direct Observation </w:t>
                  </w:r>
                </w:p>
              </w:tc>
            </w:tr>
          </w:tbl>
          <w:p w:rsidR="00563051" w:rsidRDefault="00563051">
            <w:pPr>
              <w:pStyle w:val="Header"/>
              <w:tabs>
                <w:tab w:val="clear" w:pos="4320"/>
                <w:tab w:val="clear" w:pos="8640"/>
              </w:tabs>
            </w:pPr>
          </w:p>
          <w:p w:rsidR="00370B09" w:rsidRDefault="00370B09">
            <w:pPr>
              <w:pStyle w:val="Header"/>
              <w:tabs>
                <w:tab w:val="clear" w:pos="4320"/>
                <w:tab w:val="clear" w:pos="8640"/>
              </w:tabs>
            </w:pPr>
          </w:p>
          <w:p w:rsidR="008160F1" w:rsidRDefault="008160F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5630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vMerge w:val="restart"/>
            <w:tcBorders>
              <w:left w:val="nil"/>
              <w:right w:val="single" w:sz="4" w:space="0" w:color="auto"/>
            </w:tcBorders>
          </w:tcPr>
          <w:p w:rsidR="00563051" w:rsidRPr="00C17F55" w:rsidRDefault="008160F1">
            <w:pPr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C17F55">
              <w:rPr>
                <w:rFonts w:ascii="Arial" w:hAnsi="Arial"/>
                <w:b/>
                <w:color w:val="17365D" w:themeColor="text2" w:themeShade="BF"/>
                <w:sz w:val="20"/>
              </w:rPr>
              <w:lastRenderedPageBreak/>
              <w:t>Historical Record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FC05C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FC05C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FC05C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FC05C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5630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35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FC05C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8259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Andrew Fangel</w:t>
            </w:r>
            <w:r w:rsidR="002D1EF7">
              <w:rPr>
                <w:rFonts w:ascii="Arial" w:hAnsi="Arial"/>
                <w:sz w:val="20"/>
              </w:rPr>
              <w:t>/Susan DeMeyere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652A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8/8/2019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FC05C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5630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43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</w:tr>
      <w:tr w:rsidR="005630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</w:tr>
      <w:tr w:rsidR="005630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696" w:type="dxa"/>
          </w:tcPr>
          <w:p w:rsidR="00563051" w:rsidRDefault="0056305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6" w:type="dxa"/>
          </w:tcPr>
          <w:p w:rsidR="00563051" w:rsidRDefault="00563051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5630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72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sz w:val="20"/>
              </w:rPr>
            </w:pPr>
          </w:p>
        </w:tc>
      </w:tr>
      <w:tr w:rsidR="005630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63051" w:rsidRDefault="0056305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FC05C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FC05C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51" w:rsidRDefault="00563051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563051" w:rsidRDefault="008160F1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ab/>
      </w:r>
    </w:p>
    <w:sectPr w:rsidR="00563051" w:rsidSect="00563051">
      <w:headerReference w:type="default" r:id="rId11"/>
      <w:footerReference w:type="default" r:id="rId12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018" w:rsidRDefault="00345018">
      <w:r>
        <w:separator/>
      </w:r>
    </w:p>
  </w:endnote>
  <w:endnote w:type="continuationSeparator" w:id="0">
    <w:p w:rsidR="00345018" w:rsidRDefault="0034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7DF" w:rsidRDefault="006367DF" w:rsidP="006367DF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 w:rsidR="00986EB8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 w:rsidR="00986EB8">
      <w:rPr>
        <w:rFonts w:ascii="Arial" w:hAnsi="Arial"/>
        <w:sz w:val="16"/>
      </w:rPr>
      <w:fldChar w:fldCharType="separate"/>
    </w:r>
    <w:r w:rsidR="00706609">
      <w:rPr>
        <w:rFonts w:ascii="Arial" w:hAnsi="Arial"/>
        <w:noProof/>
        <w:sz w:val="16"/>
      </w:rPr>
      <w:t>2</w:t>
    </w:r>
    <w:r w:rsidR="00986EB8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 w:rsidR="00986EB8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 w:rsidR="00986EB8">
      <w:rPr>
        <w:rFonts w:ascii="Arial" w:hAnsi="Arial"/>
        <w:sz w:val="16"/>
      </w:rPr>
      <w:fldChar w:fldCharType="separate"/>
    </w:r>
    <w:r w:rsidR="00706609">
      <w:rPr>
        <w:rFonts w:ascii="Arial" w:hAnsi="Arial"/>
        <w:noProof/>
        <w:sz w:val="16"/>
      </w:rPr>
      <w:t>3</w:t>
    </w:r>
    <w:r w:rsidR="00986EB8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</w:p>
  <w:p w:rsidR="006367DF" w:rsidRDefault="006367DF" w:rsidP="006367DF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Children’s Minnesota, Minneapolis, Minnesota</w:t>
    </w:r>
  </w:p>
  <w:p w:rsidR="006367DF" w:rsidRPr="006367DF" w:rsidRDefault="006367DF" w:rsidP="006367DF">
    <w:pPr>
      <w:ind w:left="-1260" w:right="-1260"/>
      <w:rPr>
        <w:rFonts w:ascii="Arial" w:hAnsi="Arial"/>
        <w:sz w:val="16"/>
      </w:rPr>
    </w:pPr>
    <w:r w:rsidRPr="003F1963">
      <w:rPr>
        <w:rFonts w:ascii="Arial" w:hAnsi="Arial" w:cs="Arial"/>
        <w:sz w:val="16"/>
        <w:szCs w:val="16"/>
      </w:rPr>
      <w:t>Printed copy expires</w:t>
    </w:r>
    <w:r>
      <w:rPr>
        <w:rFonts w:ascii="Arial" w:hAnsi="Arial" w:cs="Arial"/>
        <w:sz w:val="16"/>
        <w:szCs w:val="16"/>
      </w:rPr>
      <w:t xml:space="preserve"> at</w:t>
    </w:r>
    <w:r w:rsidRPr="003F1963">
      <w:rPr>
        <w:rFonts w:ascii="Arial" w:hAnsi="Arial" w:cs="Arial"/>
        <w:sz w:val="16"/>
        <w:szCs w:val="16"/>
      </w:rPr>
      <w:t xml:space="preserve"> 23</w:t>
    </w:r>
    <w:r>
      <w:rPr>
        <w:rFonts w:ascii="Arial" w:hAnsi="Arial" w:cs="Arial"/>
        <w:sz w:val="16"/>
        <w:szCs w:val="16"/>
      </w:rPr>
      <w:t>:</w:t>
    </w:r>
    <w:r w:rsidRPr="003F1963">
      <w:rPr>
        <w:rFonts w:ascii="Arial" w:hAnsi="Arial" w:cs="Arial"/>
        <w:sz w:val="16"/>
        <w:szCs w:val="16"/>
      </w:rPr>
      <w:t>59 on day of print</w:t>
    </w:r>
  </w:p>
  <w:p w:rsidR="006367DF" w:rsidRDefault="006367DF">
    <w:pPr>
      <w:ind w:left="-1260" w:right="-1260"/>
      <w:rPr>
        <w:rFonts w:ascii="Arial" w:hAnsi="Arial"/>
        <w:sz w:val="16"/>
      </w:rPr>
    </w:pPr>
  </w:p>
  <w:p w:rsidR="00345018" w:rsidRDefault="00345018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018" w:rsidRDefault="00345018">
      <w:r>
        <w:separator/>
      </w:r>
    </w:p>
  </w:footnote>
  <w:footnote w:type="continuationSeparator" w:id="0">
    <w:p w:rsidR="00345018" w:rsidRDefault="00345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018" w:rsidRDefault="00706609">
    <w:pPr>
      <w:ind w:left="-1260" w:right="-1260"/>
      <w:rPr>
        <w:rFonts w:ascii="Arial" w:hAnsi="Arial"/>
        <w:sz w:val="18"/>
      </w:rPr>
    </w:pPr>
    <w:r>
      <w:rPr>
        <w:rFonts w:ascii="Arial" w:hAnsi="Arial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2" type="#_x0000_t75" alt="Childrens_MN_2015_logo_RGB_of_PMS280-PMS2925_800x257" style="position:absolute;left:0;text-align:left;margin-left:384.75pt;margin-top:17.65pt;width:114pt;height:36.65pt;z-index:251659776;visibility:visible;mso-wrap-style:square;mso-wrap-distance-left:9pt;mso-wrap-distance-top:0;mso-wrap-distance-right:9pt;mso-wrap-distance-bottom:0;mso-position-horizontal-relative:text;mso-position-vertical-relative:page" o:allowincell="f">
          <v:imagedata r:id="rId1" o:title="Childrens_MN_2015_logo_RGB_of_PMS280-PMS2925_800x257"/>
          <w10:wrap anchory="page"/>
        </v:shape>
      </w:pict>
    </w:r>
    <w:r w:rsidR="00345018">
      <w:rPr>
        <w:rFonts w:ascii="Arial" w:hAnsi="Arial"/>
        <w:sz w:val="18"/>
      </w:rPr>
      <w:t>MCVI 5.5 Isolate Send-Out to Mayo Medical Laboratories (MML)</w:t>
    </w:r>
  </w:p>
  <w:p w:rsidR="00345018" w:rsidRDefault="00345018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1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  <w:p w:rsidR="00345018" w:rsidRDefault="00345018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 xml:space="preserve">Effective Date: </w:t>
    </w:r>
    <w:r w:rsidR="00652A93">
      <w:rPr>
        <w:rFonts w:ascii="Arial" w:hAnsi="Arial"/>
        <w:sz w:val="18"/>
      </w:rPr>
      <w:t>8/8/2019</w:t>
    </w:r>
  </w:p>
  <w:p w:rsidR="00345018" w:rsidRDefault="00345018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70C6155"/>
    <w:multiLevelType w:val="hybridMultilevel"/>
    <w:tmpl w:val="6CBCF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7433D"/>
    <w:multiLevelType w:val="hybridMultilevel"/>
    <w:tmpl w:val="0F5220BA"/>
    <w:lvl w:ilvl="0" w:tplc="D9E0E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F3FB2"/>
    <w:multiLevelType w:val="hybridMultilevel"/>
    <w:tmpl w:val="47C48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66DDD"/>
    <w:multiLevelType w:val="hybridMultilevel"/>
    <w:tmpl w:val="DCFC2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FEA"/>
    <w:rsid w:val="00013DB5"/>
    <w:rsid w:val="000360A9"/>
    <w:rsid w:val="0005494F"/>
    <w:rsid w:val="00057534"/>
    <w:rsid w:val="00084ABC"/>
    <w:rsid w:val="000A0B0E"/>
    <w:rsid w:val="000A40C2"/>
    <w:rsid w:val="000C73E4"/>
    <w:rsid w:val="00110CD4"/>
    <w:rsid w:val="00164EE7"/>
    <w:rsid w:val="00186F32"/>
    <w:rsid w:val="001A5E95"/>
    <w:rsid w:val="001A788A"/>
    <w:rsid w:val="001C0B31"/>
    <w:rsid w:val="001D78A1"/>
    <w:rsid w:val="001D7D65"/>
    <w:rsid w:val="001E2108"/>
    <w:rsid w:val="001E545D"/>
    <w:rsid w:val="00251288"/>
    <w:rsid w:val="00276EFF"/>
    <w:rsid w:val="002A3F15"/>
    <w:rsid w:val="002A7577"/>
    <w:rsid w:val="002D1EF7"/>
    <w:rsid w:val="002D297F"/>
    <w:rsid w:val="002F1812"/>
    <w:rsid w:val="002F7ADA"/>
    <w:rsid w:val="00324A42"/>
    <w:rsid w:val="003301A0"/>
    <w:rsid w:val="00345018"/>
    <w:rsid w:val="00363E0A"/>
    <w:rsid w:val="00370B09"/>
    <w:rsid w:val="003728EC"/>
    <w:rsid w:val="00383AD8"/>
    <w:rsid w:val="00387198"/>
    <w:rsid w:val="00387EF8"/>
    <w:rsid w:val="003D4721"/>
    <w:rsid w:val="003E21B8"/>
    <w:rsid w:val="003E6536"/>
    <w:rsid w:val="004219C3"/>
    <w:rsid w:val="00443AC7"/>
    <w:rsid w:val="00483B80"/>
    <w:rsid w:val="00487BFF"/>
    <w:rsid w:val="00496AF7"/>
    <w:rsid w:val="004A4654"/>
    <w:rsid w:val="004D0B9B"/>
    <w:rsid w:val="00527F7F"/>
    <w:rsid w:val="00530DE2"/>
    <w:rsid w:val="00563051"/>
    <w:rsid w:val="00564C3D"/>
    <w:rsid w:val="00573D6B"/>
    <w:rsid w:val="00616A37"/>
    <w:rsid w:val="00632655"/>
    <w:rsid w:val="006367DF"/>
    <w:rsid w:val="006468FD"/>
    <w:rsid w:val="00652A93"/>
    <w:rsid w:val="00652EE0"/>
    <w:rsid w:val="00663A4A"/>
    <w:rsid w:val="006643D0"/>
    <w:rsid w:val="00680CF4"/>
    <w:rsid w:val="006A248C"/>
    <w:rsid w:val="006A2E8A"/>
    <w:rsid w:val="006F2448"/>
    <w:rsid w:val="00706609"/>
    <w:rsid w:val="00765DCB"/>
    <w:rsid w:val="00772E3D"/>
    <w:rsid w:val="00785492"/>
    <w:rsid w:val="007860A3"/>
    <w:rsid w:val="007935A6"/>
    <w:rsid w:val="007C28DE"/>
    <w:rsid w:val="0081307D"/>
    <w:rsid w:val="008160F1"/>
    <w:rsid w:val="008259EA"/>
    <w:rsid w:val="00827FEA"/>
    <w:rsid w:val="008A11EB"/>
    <w:rsid w:val="008A212B"/>
    <w:rsid w:val="00902EFD"/>
    <w:rsid w:val="009308DE"/>
    <w:rsid w:val="00930D3D"/>
    <w:rsid w:val="00937234"/>
    <w:rsid w:val="00944C25"/>
    <w:rsid w:val="00964B67"/>
    <w:rsid w:val="00986EB8"/>
    <w:rsid w:val="009943E2"/>
    <w:rsid w:val="009B5725"/>
    <w:rsid w:val="009D3908"/>
    <w:rsid w:val="009D3E45"/>
    <w:rsid w:val="009D6156"/>
    <w:rsid w:val="009E1B50"/>
    <w:rsid w:val="00A17188"/>
    <w:rsid w:val="00A5290C"/>
    <w:rsid w:val="00A62BAE"/>
    <w:rsid w:val="00A64423"/>
    <w:rsid w:val="00AD1C1E"/>
    <w:rsid w:val="00AE273A"/>
    <w:rsid w:val="00B3719B"/>
    <w:rsid w:val="00B5048E"/>
    <w:rsid w:val="00B603E2"/>
    <w:rsid w:val="00BA2B2C"/>
    <w:rsid w:val="00BA535A"/>
    <w:rsid w:val="00BE1E67"/>
    <w:rsid w:val="00C17F55"/>
    <w:rsid w:val="00C3502C"/>
    <w:rsid w:val="00C4084E"/>
    <w:rsid w:val="00C732C2"/>
    <w:rsid w:val="00CA08AF"/>
    <w:rsid w:val="00CC0918"/>
    <w:rsid w:val="00CE0267"/>
    <w:rsid w:val="00CE0C42"/>
    <w:rsid w:val="00D21BBF"/>
    <w:rsid w:val="00D440EB"/>
    <w:rsid w:val="00D45061"/>
    <w:rsid w:val="00D57D69"/>
    <w:rsid w:val="00D669A8"/>
    <w:rsid w:val="00D831B1"/>
    <w:rsid w:val="00D853C9"/>
    <w:rsid w:val="00DA6CE0"/>
    <w:rsid w:val="00DE1333"/>
    <w:rsid w:val="00DE13B9"/>
    <w:rsid w:val="00DF1B5C"/>
    <w:rsid w:val="00E06C6A"/>
    <w:rsid w:val="00E43164"/>
    <w:rsid w:val="00E615DB"/>
    <w:rsid w:val="00E841DD"/>
    <w:rsid w:val="00EB436F"/>
    <w:rsid w:val="00EC5D90"/>
    <w:rsid w:val="00ED7F9C"/>
    <w:rsid w:val="00EF085C"/>
    <w:rsid w:val="00F15B51"/>
    <w:rsid w:val="00F27CEB"/>
    <w:rsid w:val="00F62A64"/>
    <w:rsid w:val="00F727B2"/>
    <w:rsid w:val="00F902CA"/>
    <w:rsid w:val="00F9366B"/>
    <w:rsid w:val="00FA6298"/>
    <w:rsid w:val="00FC05C7"/>
    <w:rsid w:val="00FC5D45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C400E6FF-97C0-4D9F-B5C9-B5C513CC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051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563051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563051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563051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563051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563051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563051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563051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563051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563051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63051"/>
    <w:rPr>
      <w:bCs/>
      <w:iCs/>
      <w:color w:val="000000"/>
    </w:rPr>
  </w:style>
  <w:style w:type="paragraph" w:styleId="Header">
    <w:name w:val="header"/>
    <w:basedOn w:val="Normal"/>
    <w:semiHidden/>
    <w:rsid w:val="00563051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563051"/>
    <w:pPr>
      <w:ind w:left="360" w:hanging="360"/>
    </w:pPr>
  </w:style>
  <w:style w:type="paragraph" w:styleId="Title">
    <w:name w:val="Title"/>
    <w:basedOn w:val="Normal"/>
    <w:qFormat/>
    <w:rsid w:val="00563051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563051"/>
    <w:pPr>
      <w:jc w:val="left"/>
    </w:pPr>
    <w:rPr>
      <w:b/>
      <w:bCs/>
      <w:color w:val="0000FF"/>
    </w:rPr>
  </w:style>
  <w:style w:type="paragraph" w:styleId="Footer">
    <w:name w:val="footer"/>
    <w:basedOn w:val="Normal"/>
    <w:link w:val="FooterChar"/>
    <w:uiPriority w:val="99"/>
    <w:rsid w:val="00563051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563051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563051"/>
    <w:pPr>
      <w:numPr>
        <w:numId w:val="0"/>
      </w:numPr>
    </w:pPr>
  </w:style>
  <w:style w:type="paragraph" w:customStyle="1" w:styleId="TableText">
    <w:name w:val="Table Text"/>
    <w:basedOn w:val="Normal"/>
    <w:rsid w:val="00563051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563051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563051"/>
    <w:rPr>
      <w:b/>
      <w:color w:val="0000FF"/>
    </w:rPr>
  </w:style>
  <w:style w:type="paragraph" w:styleId="BodyTextIndent">
    <w:name w:val="Body Text Indent"/>
    <w:basedOn w:val="Normal"/>
    <w:semiHidden/>
    <w:rsid w:val="00563051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563051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563051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563051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563051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semiHidden/>
    <w:rsid w:val="00563051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563051"/>
    <w:rPr>
      <w:color w:val="800080"/>
      <w:u w:val="single"/>
    </w:rPr>
  </w:style>
  <w:style w:type="table" w:styleId="TableGrid">
    <w:name w:val="Table Grid"/>
    <w:basedOn w:val="TableNormal"/>
    <w:uiPriority w:val="59"/>
    <w:rsid w:val="00816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18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3AC7"/>
    <w:pPr>
      <w:ind w:left="720"/>
    </w:pPr>
  </w:style>
  <w:style w:type="paragraph" w:styleId="Caption">
    <w:name w:val="caption"/>
    <w:basedOn w:val="Normal"/>
    <w:next w:val="Normal"/>
    <w:uiPriority w:val="35"/>
    <w:unhideWhenUsed/>
    <w:qFormat/>
    <w:rsid w:val="00F62A64"/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367D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tarnet.childrenshc.org/References/labsop/mcvi/comp/mcvi-5.4-acid-fast-bacilli-reporting-and-susceptbility-add-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rnet.childrenshc.org/References/labsop/is/sq/bill/lis10.6a-manual-billing-form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Susan Demeyere</cp:lastModifiedBy>
  <cp:revision>28</cp:revision>
  <cp:lastPrinted>2018-05-04T21:22:00Z</cp:lastPrinted>
  <dcterms:created xsi:type="dcterms:W3CDTF">2018-05-04T21:22:00Z</dcterms:created>
  <dcterms:modified xsi:type="dcterms:W3CDTF">2019-07-24T19:34:00Z</dcterms:modified>
</cp:coreProperties>
</file>