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4322"/>
        <w:gridCol w:w="2703"/>
        <w:gridCol w:w="2157"/>
        <w:gridCol w:w="127"/>
        <w:gridCol w:w="53"/>
      </w:tblGrid>
      <w:tr w:rsidR="00A93B78">
        <w:trPr>
          <w:gridAfter w:val="2"/>
          <w:wAfter w:w="180" w:type="dxa"/>
          <w:cantSplit/>
        </w:trPr>
        <w:tc>
          <w:tcPr>
            <w:tcW w:w="10980" w:type="dxa"/>
            <w:gridSpan w:val="4"/>
            <w:tcBorders>
              <w:top w:val="nil"/>
              <w:left w:val="nil"/>
              <w:bottom w:val="nil"/>
              <w:right w:val="nil"/>
            </w:tcBorders>
          </w:tcPr>
          <w:p w:rsidR="00A93B78" w:rsidRDefault="00A93B78">
            <w:pPr>
              <w:rPr>
                <w:rFonts w:ascii="Arial" w:hAnsi="Arial" w:cs="Arial"/>
                <w:b/>
                <w:bCs/>
                <w:color w:val="0000FF"/>
                <w:sz w:val="36"/>
              </w:rPr>
            </w:pPr>
            <w:r>
              <w:rPr>
                <w:rFonts w:ascii="Arial" w:hAnsi="Arial" w:cs="Arial"/>
                <w:b/>
                <w:bCs/>
                <w:color w:val="0000FF"/>
                <w:sz w:val="36"/>
              </w:rPr>
              <w:t>EBNA IgG (Epstein Barr Virus Nuclear Antigen)</w:t>
            </w:r>
          </w:p>
          <w:p w:rsidR="00A93B78" w:rsidRDefault="00A93B78">
            <w:pPr>
              <w:pStyle w:val="BodyText"/>
              <w:rPr>
                <w:rFonts w:ascii="Arial" w:hAnsi="Arial" w:cs="Arial"/>
                <w:sz w:val="24"/>
              </w:rPr>
            </w:pPr>
          </w:p>
        </w:tc>
      </w:tr>
      <w:tr w:rsidR="00A93B78" w:rsidRPr="00DF692F" w:rsidTr="00C101FA">
        <w:trPr>
          <w:gridAfter w:val="2"/>
          <w:wAfter w:w="180" w:type="dxa"/>
          <w:cantSplit/>
          <w:trHeight w:val="647"/>
        </w:trPr>
        <w:tc>
          <w:tcPr>
            <w:tcW w:w="1798" w:type="dxa"/>
            <w:tcBorders>
              <w:top w:val="nil"/>
              <w:left w:val="nil"/>
              <w:bottom w:val="nil"/>
              <w:right w:val="nil"/>
            </w:tcBorders>
            <w:vAlign w:val="center"/>
          </w:tcPr>
          <w:p w:rsidR="00A93B78" w:rsidRPr="00DF692F" w:rsidRDefault="00A93B78">
            <w:pPr>
              <w:jc w:val="left"/>
              <w:rPr>
                <w:rFonts w:ascii="Arial" w:hAnsi="Arial" w:cs="Arial"/>
                <w:b/>
                <w:bCs/>
                <w:color w:val="0000FF"/>
                <w:sz w:val="20"/>
                <w:szCs w:val="20"/>
              </w:rPr>
            </w:pPr>
            <w:r w:rsidRPr="00DF692F">
              <w:rPr>
                <w:rFonts w:ascii="Arial" w:hAnsi="Arial" w:cs="Arial"/>
                <w:b/>
                <w:bCs/>
                <w:color w:val="0000FF"/>
                <w:sz w:val="20"/>
                <w:szCs w:val="20"/>
              </w:rPr>
              <w:t>Purpose</w:t>
            </w:r>
          </w:p>
        </w:tc>
        <w:tc>
          <w:tcPr>
            <w:tcW w:w="9182" w:type="dxa"/>
            <w:gridSpan w:val="3"/>
            <w:tcBorders>
              <w:top w:val="single" w:sz="18" w:space="0" w:color="A6A6A6"/>
              <w:left w:val="nil"/>
              <w:bottom w:val="single" w:sz="18" w:space="0" w:color="A6A6A6"/>
              <w:right w:val="nil"/>
            </w:tcBorders>
            <w:vAlign w:val="center"/>
          </w:tcPr>
          <w:p w:rsidR="00A93B78" w:rsidRPr="00DF692F" w:rsidRDefault="00A93B78">
            <w:pPr>
              <w:rPr>
                <w:rFonts w:ascii="Arial" w:hAnsi="Arial" w:cs="Arial"/>
                <w:sz w:val="20"/>
                <w:szCs w:val="20"/>
              </w:rPr>
            </w:pPr>
            <w:r w:rsidRPr="00DF692F">
              <w:rPr>
                <w:rFonts w:ascii="Arial" w:hAnsi="Arial" w:cs="Arial"/>
                <w:sz w:val="20"/>
                <w:szCs w:val="20"/>
              </w:rPr>
              <w:t xml:space="preserve">This procedure provides instructions for performing EBNA IgG (Epstein Barr Virus Nuclear Antigen) on the DIASORIN </w:t>
            </w:r>
            <w:r w:rsidR="0047575A" w:rsidRPr="00DF692F">
              <w:rPr>
                <w:rFonts w:ascii="Arial" w:hAnsi="Arial" w:cs="Arial"/>
                <w:sz w:val="20"/>
                <w:szCs w:val="20"/>
              </w:rPr>
              <w:t>LIAISON XL</w:t>
            </w:r>
            <w:r w:rsidRPr="00DF692F">
              <w:rPr>
                <w:rFonts w:ascii="Arial" w:hAnsi="Arial" w:cs="Arial"/>
                <w:sz w:val="20"/>
                <w:szCs w:val="20"/>
              </w:rPr>
              <w:t>.</w:t>
            </w:r>
          </w:p>
        </w:tc>
      </w:tr>
      <w:tr w:rsidR="00A93B78" w:rsidRPr="00DF692F" w:rsidTr="00C101FA">
        <w:trPr>
          <w:gridAfter w:val="2"/>
          <w:wAfter w:w="180" w:type="dxa"/>
          <w:cantSplit/>
          <w:trHeight w:val="710"/>
        </w:trPr>
        <w:tc>
          <w:tcPr>
            <w:tcW w:w="1798" w:type="dxa"/>
            <w:tcBorders>
              <w:top w:val="nil"/>
              <w:left w:val="nil"/>
              <w:bottom w:val="nil"/>
              <w:right w:val="nil"/>
            </w:tcBorders>
            <w:vAlign w:val="center"/>
          </w:tcPr>
          <w:p w:rsidR="00A93B78" w:rsidRPr="00DF692F" w:rsidRDefault="00A93B78">
            <w:pPr>
              <w:jc w:val="left"/>
              <w:rPr>
                <w:rFonts w:ascii="Arial" w:hAnsi="Arial" w:cs="Arial"/>
                <w:b/>
                <w:bCs/>
                <w:color w:val="0000FF"/>
                <w:sz w:val="20"/>
                <w:szCs w:val="20"/>
              </w:rPr>
            </w:pPr>
            <w:r w:rsidRPr="00DF692F">
              <w:rPr>
                <w:rFonts w:ascii="Arial" w:hAnsi="Arial" w:cs="Arial"/>
                <w:b/>
                <w:bCs/>
                <w:color w:val="0000FF"/>
                <w:sz w:val="20"/>
                <w:szCs w:val="20"/>
              </w:rPr>
              <w:t>Policy Statements</w:t>
            </w:r>
          </w:p>
        </w:tc>
        <w:tc>
          <w:tcPr>
            <w:tcW w:w="9182" w:type="dxa"/>
            <w:gridSpan w:val="3"/>
            <w:tcBorders>
              <w:top w:val="single" w:sz="18" w:space="0" w:color="A6A6A6"/>
              <w:left w:val="nil"/>
              <w:bottom w:val="single" w:sz="18" w:space="0" w:color="A6A6A6"/>
              <w:right w:val="nil"/>
            </w:tcBorders>
            <w:vAlign w:val="center"/>
          </w:tcPr>
          <w:p w:rsidR="00A93B78" w:rsidRPr="00DF692F" w:rsidRDefault="00A93B78">
            <w:pPr>
              <w:rPr>
                <w:rFonts w:ascii="Arial" w:hAnsi="Arial" w:cs="Arial"/>
                <w:iCs/>
                <w:sz w:val="20"/>
                <w:szCs w:val="20"/>
              </w:rPr>
            </w:pPr>
            <w:r w:rsidRPr="00DF692F">
              <w:rPr>
                <w:rFonts w:ascii="Arial" w:hAnsi="Arial" w:cs="Arial"/>
                <w:sz w:val="20"/>
                <w:szCs w:val="20"/>
              </w:rPr>
              <w:t xml:space="preserve">This procedure applies to all laboratory technical staff responsible for performing EBNA IgG testing on the DiaSorin </w:t>
            </w:r>
            <w:r w:rsidR="0047575A" w:rsidRPr="00DF692F">
              <w:rPr>
                <w:rFonts w:ascii="Arial" w:hAnsi="Arial" w:cs="Arial"/>
                <w:sz w:val="20"/>
                <w:szCs w:val="20"/>
              </w:rPr>
              <w:t>Liaison XL</w:t>
            </w:r>
            <w:r w:rsidRPr="00DF692F">
              <w:rPr>
                <w:rFonts w:ascii="Arial" w:hAnsi="Arial" w:cs="Arial"/>
                <w:sz w:val="20"/>
                <w:szCs w:val="20"/>
              </w:rPr>
              <w:t>.</w:t>
            </w:r>
          </w:p>
        </w:tc>
      </w:tr>
      <w:tr w:rsidR="00A93B78" w:rsidRPr="00DF692F" w:rsidTr="00C101FA">
        <w:trPr>
          <w:gridAfter w:val="2"/>
          <w:wAfter w:w="180" w:type="dxa"/>
          <w:cantSplit/>
          <w:trHeight w:val="1025"/>
        </w:trPr>
        <w:tc>
          <w:tcPr>
            <w:tcW w:w="1798" w:type="dxa"/>
            <w:tcBorders>
              <w:top w:val="nil"/>
              <w:left w:val="nil"/>
              <w:bottom w:val="nil"/>
              <w:right w:val="nil"/>
            </w:tcBorders>
          </w:tcPr>
          <w:p w:rsidR="00A93B78" w:rsidRPr="00DF692F" w:rsidRDefault="00A93B78">
            <w:pPr>
              <w:rPr>
                <w:rFonts w:ascii="Arial" w:hAnsi="Arial" w:cs="Arial"/>
                <w:b/>
                <w:bCs/>
                <w:color w:val="0000FF"/>
                <w:sz w:val="20"/>
                <w:szCs w:val="20"/>
              </w:rPr>
            </w:pPr>
          </w:p>
          <w:p w:rsidR="00A93B78" w:rsidRPr="00DF692F" w:rsidRDefault="00A93B78">
            <w:pPr>
              <w:rPr>
                <w:rFonts w:ascii="Arial" w:hAnsi="Arial" w:cs="Arial"/>
                <w:b/>
                <w:bCs/>
                <w:color w:val="0000FF"/>
                <w:sz w:val="20"/>
                <w:szCs w:val="20"/>
              </w:rPr>
            </w:pPr>
            <w:r w:rsidRPr="00DF692F">
              <w:rPr>
                <w:rFonts w:ascii="Arial" w:hAnsi="Arial" w:cs="Arial"/>
                <w:b/>
                <w:bCs/>
                <w:color w:val="0000FF"/>
                <w:sz w:val="20"/>
                <w:szCs w:val="20"/>
              </w:rPr>
              <w:t>Principle</w:t>
            </w:r>
          </w:p>
          <w:p w:rsidR="00A93B78" w:rsidRPr="00DF692F" w:rsidRDefault="00A93B78">
            <w:pPr>
              <w:rPr>
                <w:rFonts w:ascii="Arial" w:hAnsi="Arial" w:cs="Arial"/>
                <w:b/>
                <w:bCs/>
                <w:color w:val="0000FF"/>
                <w:sz w:val="20"/>
                <w:szCs w:val="20"/>
              </w:rPr>
            </w:pPr>
          </w:p>
        </w:tc>
        <w:tc>
          <w:tcPr>
            <w:tcW w:w="9182" w:type="dxa"/>
            <w:gridSpan w:val="3"/>
            <w:tcBorders>
              <w:top w:val="single" w:sz="18" w:space="0" w:color="A6A6A6"/>
              <w:left w:val="nil"/>
              <w:bottom w:val="single" w:sz="18" w:space="0" w:color="A6A6A6"/>
              <w:right w:val="nil"/>
            </w:tcBorders>
          </w:tcPr>
          <w:p w:rsidR="00A93B78" w:rsidRPr="00DF692F" w:rsidRDefault="00A93B78">
            <w:pPr>
              <w:rPr>
                <w:rFonts w:ascii="Arial" w:hAnsi="Arial" w:cs="Arial"/>
                <w:iCs/>
                <w:sz w:val="20"/>
                <w:szCs w:val="20"/>
              </w:rPr>
            </w:pPr>
          </w:p>
          <w:p w:rsidR="00A93B78" w:rsidRPr="00DF692F" w:rsidRDefault="00A93B78">
            <w:pPr>
              <w:autoSpaceDE w:val="0"/>
              <w:autoSpaceDN w:val="0"/>
              <w:adjustRightInd w:val="0"/>
              <w:rPr>
                <w:rFonts w:ascii="Arial" w:hAnsi="Arial" w:cs="Arial"/>
                <w:sz w:val="20"/>
                <w:szCs w:val="20"/>
              </w:rPr>
            </w:pPr>
            <w:r w:rsidRPr="00DF692F">
              <w:rPr>
                <w:rFonts w:ascii="Arial" w:hAnsi="Arial" w:cs="Arial"/>
                <w:sz w:val="20"/>
                <w:szCs w:val="20"/>
              </w:rPr>
              <w:t xml:space="preserve">The LIAISON® EBNA IgG assay uses chemiluminescent immunoassay (CLIA) technology on the </w:t>
            </w:r>
            <w:r w:rsidR="0047575A" w:rsidRPr="00DF692F">
              <w:rPr>
                <w:rFonts w:ascii="Arial" w:hAnsi="Arial" w:cs="Arial"/>
                <w:sz w:val="20"/>
                <w:szCs w:val="20"/>
              </w:rPr>
              <w:t>LIAISON XL</w:t>
            </w:r>
            <w:r w:rsidRPr="00DF692F">
              <w:rPr>
                <w:rFonts w:ascii="Arial" w:hAnsi="Arial" w:cs="Arial"/>
                <w:sz w:val="20"/>
                <w:szCs w:val="20"/>
              </w:rPr>
              <w:t xml:space="preserve">® Analyzer for the qualitative determination of specific IgG antibodies to Epstein-Barr virus (EBV) nuclear antigen synthetic peptide (EBNA-1) in human serum. </w:t>
            </w:r>
            <w:r w:rsidR="00A177AA" w:rsidRPr="00DF692F">
              <w:rPr>
                <w:rFonts w:ascii="Arial" w:hAnsi="Arial" w:cs="Arial"/>
                <w:sz w:val="20"/>
                <w:szCs w:val="20"/>
              </w:rPr>
              <w:t xml:space="preserve"> </w:t>
            </w:r>
            <w:r w:rsidRPr="00DF692F">
              <w:rPr>
                <w:rFonts w:ascii="Arial" w:hAnsi="Arial" w:cs="Arial"/>
                <w:sz w:val="20"/>
                <w:szCs w:val="20"/>
              </w:rPr>
              <w:t>When performed in conjunction with other EBV markers, this assay can be used as an aid in the clinical laboratory diagnosis of Epstein-Barr Viral Syndrome in patients with signs and symptoms of EBV infection such as infectious mononucleosis.</w:t>
            </w:r>
          </w:p>
          <w:p w:rsidR="00A93B78" w:rsidRPr="00DF692F" w:rsidRDefault="00A93B78">
            <w:pPr>
              <w:rPr>
                <w:rFonts w:ascii="Arial" w:hAnsi="Arial" w:cs="Arial"/>
                <w:b/>
                <w:bCs/>
                <w:sz w:val="20"/>
                <w:szCs w:val="20"/>
              </w:rPr>
            </w:pPr>
          </w:p>
          <w:p w:rsidR="00A93B78" w:rsidRPr="00DF692F" w:rsidRDefault="00A93B78" w:rsidP="00A177AA">
            <w:pPr>
              <w:autoSpaceDE w:val="0"/>
              <w:autoSpaceDN w:val="0"/>
              <w:adjustRightInd w:val="0"/>
              <w:rPr>
                <w:rFonts w:ascii="Arial" w:hAnsi="Arial" w:cs="Arial"/>
                <w:iCs/>
                <w:sz w:val="20"/>
                <w:szCs w:val="20"/>
              </w:rPr>
            </w:pPr>
            <w:r w:rsidRPr="00DF692F">
              <w:rPr>
                <w:rFonts w:ascii="Arial" w:hAnsi="Arial" w:cs="Arial"/>
                <w:sz w:val="20"/>
                <w:szCs w:val="20"/>
              </w:rPr>
              <w:t xml:space="preserve">The method for </w:t>
            </w:r>
            <w:r w:rsidR="00A177AA" w:rsidRPr="00DF692F">
              <w:rPr>
                <w:rFonts w:ascii="Arial" w:hAnsi="Arial" w:cs="Arial"/>
                <w:sz w:val="20"/>
                <w:szCs w:val="20"/>
              </w:rPr>
              <w:t>qualitative</w:t>
            </w:r>
            <w:r w:rsidRPr="00DF692F">
              <w:rPr>
                <w:rFonts w:ascii="Arial" w:hAnsi="Arial" w:cs="Arial"/>
                <w:sz w:val="20"/>
                <w:szCs w:val="20"/>
              </w:rPr>
              <w:t xml:space="preserve"> determination of specific IgG to EBV nuclear antigen (EBNA) is an indirect chemil</w:t>
            </w:r>
            <w:r w:rsidR="00A177AA" w:rsidRPr="00DF692F">
              <w:rPr>
                <w:rFonts w:ascii="Arial" w:hAnsi="Arial" w:cs="Arial"/>
                <w:sz w:val="20"/>
                <w:szCs w:val="20"/>
              </w:rPr>
              <w:t xml:space="preserve">uminescence immunoassay (CLIA).  </w:t>
            </w:r>
            <w:r w:rsidRPr="00DF692F">
              <w:rPr>
                <w:rFonts w:ascii="Arial" w:hAnsi="Arial" w:cs="Arial"/>
                <w:sz w:val="20"/>
                <w:szCs w:val="20"/>
              </w:rPr>
              <w:t xml:space="preserve">All assay steps (with the exception of magnetic particle resuspension) and incubations are performed by the </w:t>
            </w:r>
            <w:r w:rsidR="0047575A" w:rsidRPr="00DF692F">
              <w:rPr>
                <w:rFonts w:ascii="Arial" w:hAnsi="Arial" w:cs="Arial"/>
                <w:sz w:val="20"/>
                <w:szCs w:val="20"/>
              </w:rPr>
              <w:t>LIAISON XL</w:t>
            </w:r>
            <w:r w:rsidRPr="00DF692F">
              <w:rPr>
                <w:rFonts w:ascii="Arial" w:hAnsi="Arial" w:cs="Arial"/>
                <w:sz w:val="20"/>
                <w:szCs w:val="20"/>
              </w:rPr>
              <w:t xml:space="preserve">® Analyzer. </w:t>
            </w:r>
            <w:r w:rsidR="00A177AA" w:rsidRPr="00DF692F">
              <w:rPr>
                <w:rFonts w:ascii="Arial" w:hAnsi="Arial" w:cs="Arial"/>
                <w:sz w:val="20"/>
                <w:szCs w:val="20"/>
              </w:rPr>
              <w:t xml:space="preserve"> </w:t>
            </w:r>
            <w:r w:rsidRPr="00DF692F">
              <w:rPr>
                <w:rFonts w:ascii="Arial" w:hAnsi="Arial" w:cs="Arial"/>
                <w:sz w:val="20"/>
                <w:szCs w:val="20"/>
              </w:rPr>
              <w:t>The principal components of the test are magnetic particles (solid phase) coated with EBNA-1 synthetic peptide and a conjugate of mouse monoclonal antibody to human IgG linked to an isoluminol derivative (isoluminol-antibody conjugate).</w:t>
            </w:r>
            <w:r w:rsidR="00A177AA" w:rsidRPr="00DF692F">
              <w:rPr>
                <w:rFonts w:ascii="Arial" w:hAnsi="Arial" w:cs="Arial"/>
                <w:sz w:val="20"/>
                <w:szCs w:val="20"/>
              </w:rPr>
              <w:t xml:space="preserve"> </w:t>
            </w:r>
            <w:r w:rsidRPr="00DF692F">
              <w:rPr>
                <w:rFonts w:ascii="Arial" w:hAnsi="Arial" w:cs="Arial"/>
                <w:sz w:val="20"/>
                <w:szCs w:val="20"/>
              </w:rPr>
              <w:t xml:space="preserve"> During the first incubation, EBNA IgG antibodies present in calibrators, samples or controls bind to the solid phase.</w:t>
            </w:r>
            <w:r w:rsidR="00A177AA" w:rsidRPr="00DF692F">
              <w:rPr>
                <w:rFonts w:ascii="Arial" w:hAnsi="Arial" w:cs="Arial"/>
                <w:sz w:val="20"/>
                <w:szCs w:val="20"/>
              </w:rPr>
              <w:t xml:space="preserve"> </w:t>
            </w:r>
            <w:r w:rsidRPr="00DF692F">
              <w:rPr>
                <w:rFonts w:ascii="Arial" w:hAnsi="Arial" w:cs="Arial"/>
                <w:sz w:val="20"/>
                <w:szCs w:val="20"/>
              </w:rPr>
              <w:t xml:space="preserve"> During the second incubation, the antibody conjugate reacts with EBNA IgG antibodies that are already bound to the solid phase. </w:t>
            </w:r>
            <w:r w:rsidR="00A177AA" w:rsidRPr="00DF692F">
              <w:rPr>
                <w:rFonts w:ascii="Arial" w:hAnsi="Arial" w:cs="Arial"/>
                <w:sz w:val="20"/>
                <w:szCs w:val="20"/>
              </w:rPr>
              <w:t xml:space="preserve"> </w:t>
            </w:r>
            <w:r w:rsidRPr="00DF692F">
              <w:rPr>
                <w:rFonts w:ascii="Arial" w:hAnsi="Arial" w:cs="Arial"/>
                <w:sz w:val="20"/>
                <w:szCs w:val="20"/>
              </w:rPr>
              <w:t xml:space="preserve">After each incubation, unbound material is removed with a wash cycle. Subsequently, the starter reagents are added and a flash chemiluminescence reaction is induced. </w:t>
            </w:r>
            <w:r w:rsidR="00A177AA" w:rsidRPr="00DF692F">
              <w:rPr>
                <w:rFonts w:ascii="Arial" w:hAnsi="Arial" w:cs="Arial"/>
                <w:sz w:val="20"/>
                <w:szCs w:val="20"/>
              </w:rPr>
              <w:t xml:space="preserve"> </w:t>
            </w:r>
            <w:r w:rsidRPr="00DF692F">
              <w:rPr>
                <w:rFonts w:ascii="Arial" w:hAnsi="Arial" w:cs="Arial"/>
                <w:sz w:val="20"/>
                <w:szCs w:val="20"/>
              </w:rPr>
              <w:t>The light signal, and hence the amount of isoluminol-antibody conjugate, is measured by a photomultiplier as relative light units (RLU) and is indicative of the presence of EBV EBNA IgG antibodies present in calibrators, samples or controls.</w:t>
            </w:r>
          </w:p>
          <w:p w:rsidR="00A93B78" w:rsidRPr="00DF692F" w:rsidRDefault="00A93B78">
            <w:pPr>
              <w:rPr>
                <w:rFonts w:ascii="Arial" w:hAnsi="Arial" w:cs="Arial"/>
                <w:iCs/>
                <w:sz w:val="20"/>
                <w:szCs w:val="20"/>
              </w:rPr>
            </w:pPr>
          </w:p>
        </w:tc>
      </w:tr>
      <w:tr w:rsidR="00A93B78" w:rsidRPr="00DF692F" w:rsidTr="00C101FA">
        <w:trPr>
          <w:gridAfter w:val="2"/>
          <w:wAfter w:w="180" w:type="dxa"/>
          <w:cantSplit/>
          <w:trHeight w:val="7125"/>
        </w:trPr>
        <w:tc>
          <w:tcPr>
            <w:tcW w:w="1798" w:type="dxa"/>
            <w:tcBorders>
              <w:top w:val="nil"/>
              <w:left w:val="nil"/>
              <w:bottom w:val="nil"/>
              <w:right w:val="nil"/>
            </w:tcBorders>
          </w:tcPr>
          <w:p w:rsidR="00A93B78" w:rsidRPr="00DF692F" w:rsidRDefault="00A93B78">
            <w:pPr>
              <w:rPr>
                <w:rFonts w:ascii="Arial" w:hAnsi="Arial" w:cs="Arial"/>
                <w:b/>
                <w:bCs/>
                <w:color w:val="0000FF"/>
                <w:sz w:val="20"/>
                <w:szCs w:val="20"/>
              </w:rPr>
            </w:pPr>
          </w:p>
          <w:p w:rsidR="00A93B78" w:rsidRPr="00DF692F" w:rsidRDefault="00A93B78">
            <w:pPr>
              <w:rPr>
                <w:rFonts w:ascii="Arial" w:hAnsi="Arial" w:cs="Arial"/>
                <w:b/>
                <w:bCs/>
                <w:color w:val="0000FF"/>
                <w:sz w:val="20"/>
                <w:szCs w:val="20"/>
              </w:rPr>
            </w:pPr>
            <w:r w:rsidRPr="00DF692F">
              <w:rPr>
                <w:rFonts w:ascii="Arial" w:hAnsi="Arial" w:cs="Arial"/>
                <w:b/>
                <w:bCs/>
                <w:color w:val="0000FF"/>
                <w:sz w:val="20"/>
                <w:szCs w:val="20"/>
              </w:rPr>
              <w:t>Clinical Significance</w:t>
            </w:r>
          </w:p>
          <w:p w:rsidR="00A93B78" w:rsidRPr="00DF692F" w:rsidRDefault="00A93B78">
            <w:pPr>
              <w:rPr>
                <w:rFonts w:ascii="Arial" w:hAnsi="Arial" w:cs="Arial"/>
                <w:b/>
                <w:bCs/>
                <w:color w:val="0000FF"/>
                <w:sz w:val="20"/>
                <w:szCs w:val="20"/>
              </w:rPr>
            </w:pPr>
          </w:p>
        </w:tc>
        <w:tc>
          <w:tcPr>
            <w:tcW w:w="9182" w:type="dxa"/>
            <w:gridSpan w:val="3"/>
            <w:tcBorders>
              <w:top w:val="single" w:sz="18" w:space="0" w:color="A6A6A6"/>
              <w:left w:val="nil"/>
              <w:bottom w:val="single" w:sz="18" w:space="0" w:color="A6A6A6"/>
              <w:right w:val="nil"/>
            </w:tcBorders>
          </w:tcPr>
          <w:p w:rsidR="00A93B78" w:rsidRPr="00DF692F" w:rsidRDefault="00A93B78">
            <w:pPr>
              <w:rPr>
                <w:rFonts w:ascii="Arial" w:hAnsi="Arial" w:cs="Arial"/>
                <w:iCs/>
                <w:sz w:val="20"/>
                <w:szCs w:val="20"/>
              </w:rPr>
            </w:pPr>
          </w:p>
          <w:p w:rsidR="00A93B78" w:rsidRPr="00DF692F" w:rsidRDefault="00A93B78">
            <w:pPr>
              <w:autoSpaceDE w:val="0"/>
              <w:autoSpaceDN w:val="0"/>
              <w:adjustRightInd w:val="0"/>
              <w:rPr>
                <w:rFonts w:ascii="Arial" w:hAnsi="Arial" w:cs="Arial"/>
                <w:sz w:val="20"/>
                <w:szCs w:val="20"/>
              </w:rPr>
            </w:pPr>
            <w:r w:rsidRPr="00DF692F">
              <w:rPr>
                <w:rFonts w:ascii="Arial" w:hAnsi="Arial" w:cs="Arial"/>
                <w:sz w:val="20"/>
                <w:szCs w:val="20"/>
              </w:rPr>
              <w:t xml:space="preserve">Epstein-Barr virus (EBV) is responsible for infectious mononucleosis (IM) and is implicated in </w:t>
            </w:r>
            <w:proofErr w:type="spellStart"/>
            <w:r w:rsidRPr="00DF692F">
              <w:rPr>
                <w:rFonts w:ascii="Arial" w:hAnsi="Arial" w:cs="Arial"/>
                <w:sz w:val="20"/>
                <w:szCs w:val="20"/>
              </w:rPr>
              <w:t>Burkitt's</w:t>
            </w:r>
            <w:proofErr w:type="spellEnd"/>
            <w:r w:rsidRPr="00DF692F">
              <w:rPr>
                <w:rFonts w:ascii="Arial" w:hAnsi="Arial" w:cs="Arial"/>
                <w:sz w:val="20"/>
                <w:szCs w:val="20"/>
              </w:rPr>
              <w:t xml:space="preserve"> lymphoma and nasopharyngeal carcinoma. </w:t>
            </w:r>
            <w:r w:rsidR="00A177AA" w:rsidRPr="00DF692F">
              <w:rPr>
                <w:rFonts w:ascii="Arial" w:hAnsi="Arial" w:cs="Arial"/>
                <w:sz w:val="20"/>
                <w:szCs w:val="20"/>
              </w:rPr>
              <w:t xml:space="preserve"> </w:t>
            </w:r>
            <w:r w:rsidRPr="00DF692F">
              <w:rPr>
                <w:rFonts w:ascii="Arial" w:hAnsi="Arial" w:cs="Arial"/>
                <w:sz w:val="20"/>
                <w:szCs w:val="20"/>
              </w:rPr>
              <w:t xml:space="preserve">Diagnosis of IM is based upon clinical manifestations that generally include sore throat, fever, lymphadenopathy, and malaise in conjunction with hematological evidence for lymphocytosis and serological evidence for the presence of heterophile antibody and/or EBV antibodies to specific proteins. Clinical manifestations similar to IM can also be induced by a number of other pathogenic infectious agents including Cytomegalovirus, </w:t>
            </w:r>
            <w:r w:rsidRPr="00DF692F">
              <w:rPr>
                <w:rFonts w:ascii="Arial" w:hAnsi="Arial" w:cs="Arial"/>
                <w:i/>
                <w:iCs/>
                <w:sz w:val="20"/>
                <w:szCs w:val="20"/>
              </w:rPr>
              <w:t xml:space="preserve">Toxoplasma </w:t>
            </w:r>
            <w:proofErr w:type="spellStart"/>
            <w:r w:rsidRPr="00DF692F">
              <w:rPr>
                <w:rFonts w:ascii="Arial" w:hAnsi="Arial" w:cs="Arial"/>
                <w:i/>
                <w:iCs/>
                <w:sz w:val="20"/>
                <w:szCs w:val="20"/>
              </w:rPr>
              <w:t>gondii</w:t>
            </w:r>
            <w:proofErr w:type="spellEnd"/>
            <w:r w:rsidRPr="00DF692F">
              <w:rPr>
                <w:rFonts w:ascii="Arial" w:hAnsi="Arial" w:cs="Arial"/>
                <w:sz w:val="20"/>
                <w:szCs w:val="20"/>
              </w:rPr>
              <w:t xml:space="preserve">, Hepatitis viruses, Human Immunodeficiency Virus (HIV), and others. The term mononucleosis syndrome is often applied until the specific etiologic agent is identified. </w:t>
            </w:r>
          </w:p>
          <w:p w:rsidR="00A93B78" w:rsidRPr="00DF692F" w:rsidRDefault="00A93B78">
            <w:pPr>
              <w:autoSpaceDE w:val="0"/>
              <w:autoSpaceDN w:val="0"/>
              <w:adjustRightInd w:val="0"/>
              <w:rPr>
                <w:rFonts w:ascii="Arial" w:hAnsi="Arial" w:cs="Arial"/>
                <w:sz w:val="20"/>
                <w:szCs w:val="20"/>
              </w:rPr>
            </w:pPr>
          </w:p>
          <w:p w:rsidR="00A93B78" w:rsidRPr="00DF692F" w:rsidRDefault="00A93B78">
            <w:pPr>
              <w:autoSpaceDE w:val="0"/>
              <w:autoSpaceDN w:val="0"/>
              <w:adjustRightInd w:val="0"/>
              <w:rPr>
                <w:rFonts w:ascii="Arial" w:hAnsi="Arial" w:cs="Arial"/>
                <w:sz w:val="20"/>
                <w:szCs w:val="20"/>
              </w:rPr>
            </w:pPr>
            <w:r w:rsidRPr="00DF692F">
              <w:rPr>
                <w:rFonts w:ascii="Arial" w:hAnsi="Arial" w:cs="Arial"/>
                <w:sz w:val="20"/>
                <w:szCs w:val="20"/>
              </w:rPr>
              <w:t xml:space="preserve">Confirmation of an acute diagnosis of EBV IM is generally sought by a positive heterophile antibody test (agglutination by patient's serum with horse or sheep red blood cells). </w:t>
            </w:r>
            <w:r w:rsidR="00A177AA" w:rsidRPr="00DF692F">
              <w:rPr>
                <w:rFonts w:ascii="Arial" w:hAnsi="Arial" w:cs="Arial"/>
                <w:sz w:val="20"/>
                <w:szCs w:val="20"/>
              </w:rPr>
              <w:t xml:space="preserve"> </w:t>
            </w:r>
            <w:r w:rsidRPr="00DF692F">
              <w:rPr>
                <w:rFonts w:ascii="Arial" w:hAnsi="Arial" w:cs="Arial"/>
                <w:sz w:val="20"/>
                <w:szCs w:val="20"/>
              </w:rPr>
              <w:t xml:space="preserve">However, difficulties in diagnosis arise when the heterophile test is negative or when clinical manifestations are atypical. </w:t>
            </w:r>
            <w:r w:rsidR="00A177AA" w:rsidRPr="00DF692F">
              <w:rPr>
                <w:rFonts w:ascii="Arial" w:hAnsi="Arial" w:cs="Arial"/>
                <w:sz w:val="20"/>
                <w:szCs w:val="20"/>
              </w:rPr>
              <w:t xml:space="preserve"> </w:t>
            </w:r>
            <w:r w:rsidRPr="00DF692F">
              <w:rPr>
                <w:rFonts w:ascii="Arial" w:hAnsi="Arial" w:cs="Arial"/>
                <w:sz w:val="20"/>
                <w:szCs w:val="20"/>
              </w:rPr>
              <w:t>Heterophile-negative IM has been demonstrated in 10 to 20% of adults with an even greater percentage in children with acute IM infections. For these individuals, IM diagnosis may be confirmed by identification of antibodies to specific EBV protein antigens which include Viral Capsid Antigen (VCA) and Early Antigen Diffuse [</w:t>
            </w:r>
            <w:proofErr w:type="gramStart"/>
            <w:r w:rsidRPr="00DF692F">
              <w:rPr>
                <w:rFonts w:ascii="Arial" w:hAnsi="Arial" w:cs="Arial"/>
                <w:sz w:val="20"/>
                <w:szCs w:val="20"/>
              </w:rPr>
              <w:t>EA(</w:t>
            </w:r>
            <w:proofErr w:type="gramEnd"/>
            <w:r w:rsidRPr="00DF692F">
              <w:rPr>
                <w:rFonts w:ascii="Arial" w:hAnsi="Arial" w:cs="Arial"/>
                <w:sz w:val="20"/>
                <w:szCs w:val="20"/>
              </w:rPr>
              <w:t xml:space="preserve">D)]. </w:t>
            </w:r>
            <w:r w:rsidR="00A177AA" w:rsidRPr="00DF692F">
              <w:rPr>
                <w:rFonts w:ascii="Arial" w:hAnsi="Arial" w:cs="Arial"/>
                <w:sz w:val="20"/>
                <w:szCs w:val="20"/>
              </w:rPr>
              <w:t xml:space="preserve"> </w:t>
            </w:r>
            <w:r w:rsidRPr="00DF692F">
              <w:rPr>
                <w:rFonts w:ascii="Arial" w:hAnsi="Arial" w:cs="Arial"/>
                <w:sz w:val="20"/>
                <w:szCs w:val="20"/>
              </w:rPr>
              <w:t xml:space="preserve">The presence of VCA IgM antibody usually suffices for diagnosis of IM. </w:t>
            </w:r>
            <w:r w:rsidR="00A177AA" w:rsidRPr="00DF692F">
              <w:rPr>
                <w:rFonts w:ascii="Arial" w:hAnsi="Arial" w:cs="Arial"/>
                <w:sz w:val="20"/>
                <w:szCs w:val="20"/>
              </w:rPr>
              <w:t xml:space="preserve"> </w:t>
            </w:r>
            <w:r w:rsidRPr="00DF692F">
              <w:rPr>
                <w:rFonts w:ascii="Arial" w:hAnsi="Arial" w:cs="Arial"/>
                <w:sz w:val="20"/>
                <w:szCs w:val="20"/>
              </w:rPr>
              <w:t xml:space="preserve">However, verification should be sought with additional clinically relevant information (4). </w:t>
            </w:r>
            <w:r w:rsidR="00A177AA" w:rsidRPr="00DF692F">
              <w:rPr>
                <w:rFonts w:ascii="Arial" w:hAnsi="Arial" w:cs="Arial"/>
                <w:sz w:val="20"/>
                <w:szCs w:val="20"/>
              </w:rPr>
              <w:t xml:space="preserve"> </w:t>
            </w:r>
            <w:r w:rsidRPr="00DF692F">
              <w:rPr>
                <w:rFonts w:ascii="Arial" w:hAnsi="Arial" w:cs="Arial"/>
                <w:sz w:val="20"/>
                <w:szCs w:val="20"/>
              </w:rPr>
              <w:t xml:space="preserve">Serologic testing for EBV infection is possible because characteristic time-dependent antibody responses occur. Most (&gt; 80%) symptomatic IM patients show near-peak antibody levels of VCA IgG and IgM when first examined. </w:t>
            </w:r>
            <w:r w:rsidR="00A177AA" w:rsidRPr="00DF692F">
              <w:rPr>
                <w:rFonts w:ascii="Arial" w:hAnsi="Arial" w:cs="Arial"/>
                <w:sz w:val="20"/>
                <w:szCs w:val="20"/>
              </w:rPr>
              <w:t xml:space="preserve"> </w:t>
            </w:r>
            <w:r w:rsidRPr="00DF692F">
              <w:rPr>
                <w:rFonts w:ascii="Arial" w:hAnsi="Arial" w:cs="Arial"/>
                <w:sz w:val="20"/>
                <w:szCs w:val="20"/>
              </w:rPr>
              <w:t xml:space="preserve">VCA IgM antibodies usually disappear in 2-3 months while IgG antibodies persist indefinitely. </w:t>
            </w:r>
            <w:r w:rsidR="00A177AA" w:rsidRPr="00DF692F">
              <w:rPr>
                <w:rFonts w:ascii="Arial" w:hAnsi="Arial" w:cs="Arial"/>
                <w:sz w:val="20"/>
                <w:szCs w:val="20"/>
              </w:rPr>
              <w:t xml:space="preserve"> </w:t>
            </w:r>
            <w:r w:rsidRPr="00DF692F">
              <w:rPr>
                <w:rFonts w:ascii="Arial" w:hAnsi="Arial" w:cs="Arial"/>
                <w:sz w:val="20"/>
                <w:szCs w:val="20"/>
              </w:rPr>
              <w:t xml:space="preserve">Most patients transiently develop antibodies to </w:t>
            </w:r>
            <w:proofErr w:type="gramStart"/>
            <w:r w:rsidRPr="00DF692F">
              <w:rPr>
                <w:rFonts w:ascii="Arial" w:hAnsi="Arial" w:cs="Arial"/>
                <w:sz w:val="20"/>
                <w:szCs w:val="20"/>
              </w:rPr>
              <w:t>EA(</w:t>
            </w:r>
            <w:proofErr w:type="gramEnd"/>
            <w:r w:rsidRPr="00DF692F">
              <w:rPr>
                <w:rFonts w:ascii="Arial" w:hAnsi="Arial" w:cs="Arial"/>
                <w:sz w:val="20"/>
                <w:szCs w:val="20"/>
              </w:rPr>
              <w:t xml:space="preserve">D), but IgG antibodies against Epstein-Barr Nuclear Antigen (EBNA) appear several weeks or months after the onset of disease and persist for years or even life. In symptomatic IM patients, detection of IgG antibodies to EBNA, when detected in concert with VCA IgM and IgG antibodies, is useful in discerning early convalescent stages from acute stages of IM infection. </w:t>
            </w:r>
            <w:r w:rsidR="00A177AA" w:rsidRPr="00DF692F">
              <w:rPr>
                <w:rFonts w:ascii="Arial" w:hAnsi="Arial" w:cs="Arial"/>
                <w:sz w:val="20"/>
                <w:szCs w:val="20"/>
              </w:rPr>
              <w:t xml:space="preserve"> </w:t>
            </w:r>
            <w:r w:rsidRPr="00DF692F">
              <w:rPr>
                <w:rFonts w:ascii="Arial" w:hAnsi="Arial" w:cs="Arial"/>
                <w:sz w:val="20"/>
                <w:szCs w:val="20"/>
              </w:rPr>
              <w:t xml:space="preserve">A rise in EBNA IgG level in IM patients may be indicative of progression from early to later stages of convalescence. </w:t>
            </w:r>
          </w:p>
          <w:p w:rsidR="00A93B78" w:rsidRPr="00DF692F" w:rsidRDefault="00A93B78">
            <w:pPr>
              <w:autoSpaceDE w:val="0"/>
              <w:autoSpaceDN w:val="0"/>
              <w:adjustRightInd w:val="0"/>
              <w:rPr>
                <w:rFonts w:ascii="Arial" w:hAnsi="Arial" w:cs="Arial"/>
                <w:sz w:val="20"/>
                <w:szCs w:val="20"/>
              </w:rPr>
            </w:pPr>
          </w:p>
          <w:p w:rsidR="00A93B78" w:rsidRPr="00DF692F" w:rsidRDefault="00A93B78">
            <w:pPr>
              <w:autoSpaceDE w:val="0"/>
              <w:autoSpaceDN w:val="0"/>
              <w:adjustRightInd w:val="0"/>
              <w:rPr>
                <w:rFonts w:ascii="Arial" w:hAnsi="Arial" w:cs="Arial"/>
                <w:iCs/>
                <w:sz w:val="20"/>
                <w:szCs w:val="20"/>
              </w:rPr>
            </w:pPr>
            <w:r w:rsidRPr="00DF692F">
              <w:rPr>
                <w:rFonts w:ascii="Arial" w:hAnsi="Arial" w:cs="Arial"/>
                <w:sz w:val="20"/>
                <w:szCs w:val="20"/>
              </w:rPr>
              <w:t xml:space="preserve">The presence of EBNA IgG antibodies in healthy individuals indicates past immunological exposure to EBV. Because of the complex relationship that exists between the EBV virus/host reaction and clinical manifestation, tracking of EBV antibody patterns may assist in diagnosis of EBV infection. </w:t>
            </w:r>
            <w:r w:rsidR="00A177AA" w:rsidRPr="00DF692F">
              <w:rPr>
                <w:rFonts w:ascii="Arial" w:hAnsi="Arial" w:cs="Arial"/>
                <w:sz w:val="20"/>
                <w:szCs w:val="20"/>
              </w:rPr>
              <w:t xml:space="preserve"> </w:t>
            </w:r>
            <w:r w:rsidRPr="00DF692F">
              <w:rPr>
                <w:rFonts w:ascii="Arial" w:hAnsi="Arial" w:cs="Arial"/>
                <w:sz w:val="20"/>
                <w:szCs w:val="20"/>
              </w:rPr>
              <w:t xml:space="preserve">Individual levels of specific antibodies are not necessarily indicative of disease state but can be of diagnostic significance when tracked as an antibody response profile. </w:t>
            </w:r>
            <w:r w:rsidR="00A177AA" w:rsidRPr="00DF692F">
              <w:rPr>
                <w:rFonts w:ascii="Arial" w:hAnsi="Arial" w:cs="Arial"/>
                <w:sz w:val="20"/>
                <w:szCs w:val="20"/>
              </w:rPr>
              <w:t xml:space="preserve"> </w:t>
            </w:r>
            <w:r w:rsidRPr="00DF692F">
              <w:rPr>
                <w:rFonts w:ascii="Arial" w:hAnsi="Arial" w:cs="Arial"/>
                <w:sz w:val="20"/>
                <w:szCs w:val="20"/>
              </w:rPr>
              <w:t>Antibody response profiles for the different EBV antigens demonstrate a characteristic pattern for silent primary or persistent latent EBV infections, as well as for each of the EBV-associated diseases.</w:t>
            </w:r>
          </w:p>
          <w:p w:rsidR="00A93B78" w:rsidRPr="00DF692F" w:rsidRDefault="00A93B78">
            <w:pPr>
              <w:rPr>
                <w:rFonts w:ascii="Arial" w:hAnsi="Arial" w:cs="Arial"/>
                <w:iCs/>
                <w:sz w:val="20"/>
                <w:szCs w:val="20"/>
              </w:rPr>
            </w:pPr>
          </w:p>
        </w:tc>
      </w:tr>
      <w:tr w:rsidR="00A93B78" w:rsidRPr="00DF692F" w:rsidTr="00C101FA">
        <w:trPr>
          <w:gridAfter w:val="2"/>
          <w:wAfter w:w="180" w:type="dxa"/>
          <w:cantSplit/>
          <w:trHeight w:val="863"/>
        </w:trPr>
        <w:tc>
          <w:tcPr>
            <w:tcW w:w="1798" w:type="dxa"/>
            <w:tcBorders>
              <w:top w:val="nil"/>
              <w:left w:val="nil"/>
              <w:bottom w:val="nil"/>
              <w:right w:val="nil"/>
            </w:tcBorders>
          </w:tcPr>
          <w:p w:rsidR="00A93B78" w:rsidRPr="00DF692F" w:rsidRDefault="00A93B78">
            <w:pPr>
              <w:rPr>
                <w:rFonts w:ascii="Arial" w:hAnsi="Arial" w:cs="Arial"/>
                <w:b/>
                <w:bCs/>
                <w:color w:val="0000FF"/>
                <w:sz w:val="20"/>
                <w:szCs w:val="20"/>
              </w:rPr>
            </w:pPr>
          </w:p>
          <w:p w:rsidR="00A93B78" w:rsidRPr="00DF692F" w:rsidRDefault="00A93B78">
            <w:pPr>
              <w:rPr>
                <w:rFonts w:ascii="Arial" w:hAnsi="Arial" w:cs="Arial"/>
                <w:b/>
                <w:bCs/>
                <w:color w:val="0000FF"/>
                <w:sz w:val="20"/>
                <w:szCs w:val="20"/>
              </w:rPr>
            </w:pPr>
            <w:r w:rsidRPr="00DF692F">
              <w:rPr>
                <w:rFonts w:ascii="Arial" w:hAnsi="Arial" w:cs="Arial"/>
                <w:b/>
                <w:bCs/>
                <w:color w:val="0000FF"/>
                <w:sz w:val="20"/>
                <w:szCs w:val="20"/>
              </w:rPr>
              <w:t>Instrument</w:t>
            </w:r>
          </w:p>
          <w:p w:rsidR="00A93B78" w:rsidRPr="00DF692F" w:rsidRDefault="00A93B78">
            <w:pPr>
              <w:rPr>
                <w:rFonts w:ascii="Arial" w:hAnsi="Arial" w:cs="Arial"/>
                <w:b/>
                <w:bCs/>
                <w:color w:val="0000FF"/>
                <w:sz w:val="20"/>
                <w:szCs w:val="20"/>
              </w:rPr>
            </w:pPr>
          </w:p>
        </w:tc>
        <w:tc>
          <w:tcPr>
            <w:tcW w:w="9182" w:type="dxa"/>
            <w:gridSpan w:val="3"/>
            <w:tcBorders>
              <w:top w:val="single" w:sz="18" w:space="0" w:color="A6A6A6"/>
              <w:left w:val="nil"/>
              <w:bottom w:val="single" w:sz="18" w:space="0" w:color="A6A6A6"/>
              <w:right w:val="nil"/>
            </w:tcBorders>
          </w:tcPr>
          <w:p w:rsidR="00A93B78" w:rsidRPr="00DF692F" w:rsidRDefault="00A93B78">
            <w:pPr>
              <w:jc w:val="left"/>
              <w:rPr>
                <w:rFonts w:ascii="Arial" w:hAnsi="Arial" w:cs="Arial"/>
                <w:iCs/>
                <w:sz w:val="20"/>
                <w:szCs w:val="20"/>
              </w:rPr>
            </w:pPr>
          </w:p>
          <w:p w:rsidR="00A93B78" w:rsidRPr="00DF692F" w:rsidRDefault="00A93B78">
            <w:pPr>
              <w:jc w:val="left"/>
              <w:rPr>
                <w:rFonts w:ascii="Arial" w:hAnsi="Arial" w:cs="Arial"/>
                <w:iCs/>
                <w:sz w:val="20"/>
                <w:szCs w:val="20"/>
              </w:rPr>
            </w:pPr>
            <w:r w:rsidRPr="00DF692F">
              <w:rPr>
                <w:rFonts w:ascii="Arial" w:hAnsi="Arial" w:cs="Arial"/>
                <w:iCs/>
                <w:sz w:val="20"/>
                <w:szCs w:val="20"/>
              </w:rPr>
              <w:t>DiaSorin LIAISON</w:t>
            </w:r>
            <w:r w:rsidRPr="00DF692F">
              <w:rPr>
                <w:rFonts w:ascii="Arial" w:hAnsi="Arial" w:cs="Arial"/>
                <w:iCs/>
                <w:sz w:val="20"/>
                <w:szCs w:val="20"/>
              </w:rPr>
              <w:sym w:font="Symbol" w:char="F0D2"/>
            </w:r>
            <w:r w:rsidR="00682B02" w:rsidRPr="00DF692F">
              <w:rPr>
                <w:rFonts w:ascii="Arial" w:hAnsi="Arial" w:cs="Arial"/>
                <w:iCs/>
                <w:sz w:val="20"/>
                <w:szCs w:val="20"/>
              </w:rPr>
              <w:t xml:space="preserve"> XL</w:t>
            </w:r>
          </w:p>
          <w:p w:rsidR="00A93B78" w:rsidRPr="00DF692F" w:rsidRDefault="00A93B78" w:rsidP="002E063B">
            <w:pPr>
              <w:jc w:val="left"/>
              <w:rPr>
                <w:rFonts w:ascii="Arial" w:hAnsi="Arial" w:cs="Arial"/>
                <w:b/>
                <w:bCs/>
                <w:iCs/>
                <w:sz w:val="20"/>
                <w:szCs w:val="20"/>
              </w:rPr>
            </w:pPr>
            <w:r w:rsidRPr="00DF692F">
              <w:rPr>
                <w:rFonts w:ascii="Arial" w:hAnsi="Arial" w:cs="Arial"/>
                <w:iCs/>
                <w:sz w:val="20"/>
                <w:szCs w:val="20"/>
              </w:rPr>
              <w:t xml:space="preserve">Sunquest Method Code: </w:t>
            </w:r>
            <w:r w:rsidR="002E063B" w:rsidRPr="00DF692F">
              <w:rPr>
                <w:rFonts w:ascii="Arial" w:hAnsi="Arial" w:cs="Arial"/>
                <w:b/>
                <w:bCs/>
                <w:iCs/>
                <w:sz w:val="20"/>
                <w:szCs w:val="20"/>
              </w:rPr>
              <w:t>XL</w:t>
            </w:r>
          </w:p>
          <w:p w:rsidR="002E063B" w:rsidRPr="00DF692F" w:rsidRDefault="002E063B" w:rsidP="002E063B">
            <w:pPr>
              <w:jc w:val="left"/>
              <w:rPr>
                <w:rFonts w:ascii="Arial" w:hAnsi="Arial" w:cs="Arial"/>
                <w:iCs/>
                <w:sz w:val="20"/>
                <w:szCs w:val="20"/>
              </w:rPr>
            </w:pPr>
          </w:p>
        </w:tc>
      </w:tr>
      <w:tr w:rsidR="00A93B78" w:rsidRPr="00DF692F">
        <w:trPr>
          <w:gridAfter w:val="1"/>
          <w:wAfter w:w="53" w:type="dxa"/>
          <w:trHeight w:val="764"/>
          <w:tblHeader/>
        </w:trPr>
        <w:tc>
          <w:tcPr>
            <w:tcW w:w="1798" w:type="dxa"/>
            <w:tcBorders>
              <w:top w:val="nil"/>
              <w:left w:val="nil"/>
              <w:bottom w:val="nil"/>
              <w:right w:val="nil"/>
            </w:tcBorders>
          </w:tcPr>
          <w:p w:rsidR="00A93B78" w:rsidRPr="00DF692F" w:rsidRDefault="00A93B78">
            <w:pPr>
              <w:jc w:val="left"/>
              <w:rPr>
                <w:rFonts w:ascii="Arial" w:hAnsi="Arial" w:cs="Arial"/>
                <w:b/>
                <w:bCs/>
                <w:color w:val="0000FF"/>
                <w:sz w:val="20"/>
                <w:szCs w:val="20"/>
              </w:rPr>
            </w:pPr>
          </w:p>
          <w:p w:rsidR="00A93B78" w:rsidRPr="00DF692F" w:rsidRDefault="00A93B78">
            <w:pPr>
              <w:jc w:val="left"/>
              <w:rPr>
                <w:rFonts w:ascii="Arial" w:hAnsi="Arial" w:cs="Arial"/>
                <w:b/>
                <w:bCs/>
                <w:color w:val="0000FF"/>
                <w:sz w:val="20"/>
                <w:szCs w:val="20"/>
              </w:rPr>
            </w:pPr>
            <w:r w:rsidRPr="00DF692F">
              <w:rPr>
                <w:rFonts w:ascii="Arial" w:hAnsi="Arial" w:cs="Arial"/>
                <w:b/>
                <w:bCs/>
                <w:color w:val="0000FF"/>
                <w:sz w:val="20"/>
                <w:szCs w:val="20"/>
              </w:rPr>
              <w:t>Sunquest Test Code</w:t>
            </w:r>
          </w:p>
        </w:tc>
        <w:tc>
          <w:tcPr>
            <w:tcW w:w="9309" w:type="dxa"/>
            <w:gridSpan w:val="4"/>
            <w:tcBorders>
              <w:left w:val="nil"/>
              <w:right w:val="nil"/>
            </w:tcBorders>
          </w:tcPr>
          <w:p w:rsidR="00A93B78" w:rsidRPr="00DF692F" w:rsidRDefault="00A93B78">
            <w:pPr>
              <w:rPr>
                <w:rFonts w:ascii="Arial" w:hAnsi="Arial" w:cs="Arial"/>
                <w:sz w:val="20"/>
                <w:szCs w:val="20"/>
              </w:rPr>
            </w:pPr>
          </w:p>
          <w:p w:rsidR="00A93B78" w:rsidRPr="00DF692F" w:rsidRDefault="00A93B78">
            <w:pPr>
              <w:rPr>
                <w:rFonts w:ascii="Arial" w:hAnsi="Arial" w:cs="Arial"/>
                <w:sz w:val="20"/>
                <w:szCs w:val="20"/>
              </w:rPr>
            </w:pPr>
            <w:r w:rsidRPr="00DF692F">
              <w:rPr>
                <w:rFonts w:ascii="Arial" w:hAnsi="Arial" w:cs="Arial"/>
                <w:b/>
                <w:bCs/>
                <w:sz w:val="20"/>
                <w:szCs w:val="20"/>
              </w:rPr>
              <w:t xml:space="preserve">EBVS: </w:t>
            </w:r>
            <w:r w:rsidRPr="00DF692F">
              <w:rPr>
                <w:rFonts w:ascii="Arial" w:hAnsi="Arial" w:cs="Arial"/>
                <w:sz w:val="20"/>
                <w:szCs w:val="20"/>
              </w:rPr>
              <w:t>Epstein Barr antibody serology</w:t>
            </w:r>
          </w:p>
        </w:tc>
      </w:tr>
      <w:tr w:rsidR="00A93B78" w:rsidRPr="00DF692F" w:rsidTr="00C101FA">
        <w:trPr>
          <w:gridAfter w:val="2"/>
          <w:wAfter w:w="180" w:type="dxa"/>
          <w:cantSplit/>
          <w:trHeight w:val="197"/>
        </w:trPr>
        <w:tc>
          <w:tcPr>
            <w:tcW w:w="1798" w:type="dxa"/>
            <w:tcBorders>
              <w:top w:val="nil"/>
              <w:left w:val="nil"/>
              <w:bottom w:val="nil"/>
              <w:right w:val="nil"/>
            </w:tcBorders>
          </w:tcPr>
          <w:p w:rsidR="00A93B78" w:rsidRPr="00DF692F" w:rsidRDefault="00A93B78">
            <w:pPr>
              <w:rPr>
                <w:rFonts w:ascii="Arial" w:hAnsi="Arial" w:cs="Arial"/>
                <w:b/>
                <w:bCs/>
                <w:color w:val="0000FF"/>
                <w:sz w:val="20"/>
                <w:szCs w:val="20"/>
              </w:rPr>
            </w:pPr>
          </w:p>
        </w:tc>
        <w:tc>
          <w:tcPr>
            <w:tcW w:w="9182" w:type="dxa"/>
            <w:gridSpan w:val="3"/>
            <w:tcBorders>
              <w:top w:val="single" w:sz="18" w:space="0" w:color="A6A6A6"/>
              <w:left w:val="nil"/>
              <w:bottom w:val="nil"/>
              <w:right w:val="nil"/>
            </w:tcBorders>
          </w:tcPr>
          <w:p w:rsidR="00A93B78" w:rsidRPr="00DF692F" w:rsidRDefault="00A93B78">
            <w:pPr>
              <w:jc w:val="left"/>
              <w:rPr>
                <w:rFonts w:ascii="Arial" w:hAnsi="Arial" w:cs="Arial"/>
                <w:iCs/>
                <w:sz w:val="20"/>
                <w:szCs w:val="20"/>
              </w:rPr>
            </w:pPr>
          </w:p>
        </w:tc>
      </w:tr>
      <w:tr w:rsidR="00A93B78" w:rsidRPr="00DF692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180" w:type="dxa"/>
          <w:cantSplit/>
        </w:trPr>
        <w:tc>
          <w:tcPr>
            <w:tcW w:w="1798" w:type="dxa"/>
            <w:tcBorders>
              <w:left w:val="nil"/>
              <w:bottom w:val="nil"/>
              <w:right w:val="single" w:sz="6" w:space="0" w:color="auto"/>
            </w:tcBorders>
          </w:tcPr>
          <w:p w:rsidR="00A93B78" w:rsidRPr="00DF692F" w:rsidRDefault="00A93B78">
            <w:pPr>
              <w:jc w:val="left"/>
              <w:rPr>
                <w:rFonts w:ascii="Arial" w:hAnsi="Arial" w:cs="Arial"/>
                <w:b/>
                <w:bCs/>
                <w:color w:val="0000FF"/>
                <w:sz w:val="20"/>
                <w:szCs w:val="20"/>
              </w:rPr>
            </w:pPr>
            <w:r w:rsidRPr="00DF692F">
              <w:rPr>
                <w:rFonts w:ascii="Arial" w:hAnsi="Arial" w:cs="Arial"/>
                <w:b/>
                <w:bCs/>
                <w:color w:val="0000FF"/>
                <w:sz w:val="20"/>
                <w:szCs w:val="20"/>
              </w:rPr>
              <w:t>Materials</w:t>
            </w:r>
          </w:p>
        </w:tc>
        <w:tc>
          <w:tcPr>
            <w:tcW w:w="4322" w:type="dxa"/>
            <w:tcBorders>
              <w:top w:val="single" w:sz="4" w:space="0" w:color="auto"/>
              <w:left w:val="single" w:sz="6" w:space="0" w:color="auto"/>
              <w:bottom w:val="single" w:sz="6" w:space="0" w:color="auto"/>
              <w:right w:val="single" w:sz="6" w:space="0" w:color="auto"/>
            </w:tcBorders>
          </w:tcPr>
          <w:p w:rsidR="00A93B78" w:rsidRPr="00DF692F" w:rsidRDefault="00A93B78">
            <w:pPr>
              <w:jc w:val="left"/>
              <w:rPr>
                <w:rFonts w:ascii="Arial" w:hAnsi="Arial" w:cs="Arial"/>
                <w:iCs/>
                <w:sz w:val="20"/>
                <w:szCs w:val="20"/>
              </w:rPr>
            </w:pPr>
            <w:r w:rsidRPr="00DF692F">
              <w:rPr>
                <w:rFonts w:ascii="Arial" w:hAnsi="Arial" w:cs="Arial"/>
                <w:b/>
                <w:iCs/>
                <w:sz w:val="20"/>
                <w:szCs w:val="20"/>
              </w:rPr>
              <w:t>Reagents</w:t>
            </w:r>
          </w:p>
        </w:tc>
        <w:tc>
          <w:tcPr>
            <w:tcW w:w="2703" w:type="dxa"/>
            <w:tcBorders>
              <w:top w:val="single" w:sz="6" w:space="0" w:color="auto"/>
              <w:left w:val="single" w:sz="6" w:space="0" w:color="auto"/>
              <w:bottom w:val="single" w:sz="6" w:space="0" w:color="auto"/>
              <w:right w:val="single" w:sz="6" w:space="0" w:color="auto"/>
            </w:tcBorders>
          </w:tcPr>
          <w:p w:rsidR="00A93B78" w:rsidRPr="00DF692F" w:rsidRDefault="00A93B78">
            <w:pPr>
              <w:jc w:val="left"/>
              <w:rPr>
                <w:rFonts w:ascii="Arial" w:hAnsi="Arial" w:cs="Arial"/>
                <w:iCs/>
                <w:sz w:val="20"/>
                <w:szCs w:val="20"/>
              </w:rPr>
            </w:pPr>
            <w:r w:rsidRPr="00DF692F">
              <w:rPr>
                <w:rFonts w:ascii="Arial" w:hAnsi="Arial" w:cs="Arial"/>
                <w:b/>
                <w:iCs/>
                <w:sz w:val="20"/>
                <w:szCs w:val="20"/>
              </w:rPr>
              <w:t>Supplies</w:t>
            </w:r>
          </w:p>
        </w:tc>
        <w:tc>
          <w:tcPr>
            <w:tcW w:w="2157" w:type="dxa"/>
            <w:tcBorders>
              <w:top w:val="single" w:sz="6" w:space="0" w:color="auto"/>
              <w:left w:val="single" w:sz="6" w:space="0" w:color="auto"/>
              <w:bottom w:val="single" w:sz="6" w:space="0" w:color="auto"/>
              <w:right w:val="single" w:sz="4" w:space="0" w:color="auto"/>
            </w:tcBorders>
          </w:tcPr>
          <w:p w:rsidR="00A93B78" w:rsidRPr="00DF692F" w:rsidRDefault="00A93B78">
            <w:pPr>
              <w:jc w:val="left"/>
              <w:rPr>
                <w:rFonts w:ascii="Arial" w:hAnsi="Arial" w:cs="Arial"/>
                <w:b/>
                <w:iCs/>
                <w:sz w:val="20"/>
                <w:szCs w:val="20"/>
              </w:rPr>
            </w:pPr>
            <w:r w:rsidRPr="00DF692F">
              <w:rPr>
                <w:rFonts w:ascii="Arial" w:hAnsi="Arial" w:cs="Arial"/>
                <w:b/>
                <w:iCs/>
                <w:sz w:val="20"/>
                <w:szCs w:val="20"/>
              </w:rPr>
              <w:t>Equipment</w:t>
            </w:r>
          </w:p>
        </w:tc>
      </w:tr>
      <w:tr w:rsidR="00A93B78" w:rsidRPr="00DF692F" w:rsidTr="0023783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180" w:type="dxa"/>
          <w:cantSplit/>
        </w:trPr>
        <w:tc>
          <w:tcPr>
            <w:tcW w:w="1798" w:type="dxa"/>
            <w:tcBorders>
              <w:top w:val="nil"/>
              <w:left w:val="nil"/>
              <w:bottom w:val="nil"/>
              <w:right w:val="single" w:sz="4" w:space="0" w:color="auto"/>
            </w:tcBorders>
          </w:tcPr>
          <w:p w:rsidR="00A93B78" w:rsidRPr="00DF692F" w:rsidRDefault="00A93B78">
            <w:pPr>
              <w:jc w:val="left"/>
              <w:rPr>
                <w:rFonts w:ascii="Arial" w:hAnsi="Arial" w:cs="Arial"/>
                <w:b/>
                <w:bCs/>
                <w:color w:val="0000FF"/>
                <w:sz w:val="20"/>
                <w:szCs w:val="20"/>
              </w:rPr>
            </w:pPr>
          </w:p>
        </w:tc>
        <w:tc>
          <w:tcPr>
            <w:tcW w:w="4322" w:type="dxa"/>
            <w:tcBorders>
              <w:top w:val="single" w:sz="4" w:space="0" w:color="auto"/>
              <w:left w:val="single" w:sz="4" w:space="0" w:color="auto"/>
              <w:bottom w:val="single" w:sz="4" w:space="0" w:color="auto"/>
              <w:right w:val="single" w:sz="6" w:space="0" w:color="auto"/>
            </w:tcBorders>
          </w:tcPr>
          <w:p w:rsidR="00A93B78" w:rsidRPr="00DF692F" w:rsidRDefault="00A93B78" w:rsidP="00A177AA">
            <w:pPr>
              <w:pStyle w:val="BodyText3"/>
              <w:rPr>
                <w:rFonts w:ascii="Arial" w:hAnsi="Arial" w:cs="Arial"/>
                <w:b w:val="0"/>
                <w:bCs/>
                <w:color w:val="auto"/>
                <w:sz w:val="20"/>
                <w:szCs w:val="20"/>
              </w:rPr>
            </w:pPr>
            <w:r w:rsidRPr="00DF692F">
              <w:rPr>
                <w:rFonts w:ascii="Arial" w:hAnsi="Arial" w:cs="Arial"/>
                <w:b w:val="0"/>
                <w:bCs/>
                <w:color w:val="auto"/>
                <w:sz w:val="20"/>
                <w:szCs w:val="20"/>
              </w:rPr>
              <w:t>LIAISON® EBNA IgG (310520) Integral, supplied ready to use, containing magnetic particles, calibrators, diluent and conjugate.</w:t>
            </w:r>
          </w:p>
        </w:tc>
        <w:tc>
          <w:tcPr>
            <w:tcW w:w="2703" w:type="dxa"/>
            <w:tcBorders>
              <w:top w:val="single" w:sz="6" w:space="0" w:color="auto"/>
              <w:left w:val="single" w:sz="6" w:space="0" w:color="auto"/>
              <w:bottom w:val="single" w:sz="4" w:space="0" w:color="auto"/>
              <w:right w:val="single" w:sz="6" w:space="0" w:color="auto"/>
            </w:tcBorders>
          </w:tcPr>
          <w:p w:rsidR="00A93B78" w:rsidRPr="00DF692F" w:rsidRDefault="00A93B78">
            <w:pPr>
              <w:pStyle w:val="BodyText3"/>
              <w:rPr>
                <w:rFonts w:ascii="Arial" w:hAnsi="Arial" w:cs="Arial"/>
                <w:b w:val="0"/>
                <w:bCs/>
                <w:iCs/>
                <w:color w:val="auto"/>
                <w:sz w:val="20"/>
                <w:szCs w:val="20"/>
              </w:rPr>
            </w:pPr>
            <w:r w:rsidRPr="00DF692F">
              <w:rPr>
                <w:rFonts w:ascii="Arial" w:hAnsi="Arial" w:cs="Arial"/>
                <w:b w:val="0"/>
                <w:bCs/>
                <w:color w:val="auto"/>
                <w:sz w:val="20"/>
                <w:szCs w:val="20"/>
              </w:rPr>
              <w:t>Glass or polypropylene sample tubes</w:t>
            </w:r>
          </w:p>
        </w:tc>
        <w:tc>
          <w:tcPr>
            <w:tcW w:w="2157" w:type="dxa"/>
            <w:tcBorders>
              <w:top w:val="single" w:sz="6" w:space="0" w:color="auto"/>
              <w:left w:val="single" w:sz="6" w:space="0" w:color="auto"/>
              <w:bottom w:val="single" w:sz="4" w:space="0" w:color="auto"/>
              <w:right w:val="single" w:sz="4" w:space="0" w:color="auto"/>
            </w:tcBorders>
          </w:tcPr>
          <w:p w:rsidR="00A93B78" w:rsidRPr="00DF692F" w:rsidRDefault="00A93B78" w:rsidP="00A177AA">
            <w:pPr>
              <w:pStyle w:val="BodyText3"/>
              <w:jc w:val="left"/>
              <w:rPr>
                <w:rFonts w:ascii="Arial" w:hAnsi="Arial" w:cs="Arial"/>
                <w:b w:val="0"/>
                <w:bCs/>
                <w:iCs/>
                <w:color w:val="auto"/>
                <w:sz w:val="20"/>
                <w:szCs w:val="20"/>
              </w:rPr>
            </w:pPr>
            <w:r w:rsidRPr="00DF692F">
              <w:rPr>
                <w:rFonts w:ascii="Arial" w:hAnsi="Arial" w:cs="Arial"/>
                <w:b w:val="0"/>
                <w:bCs/>
                <w:iCs/>
                <w:color w:val="auto"/>
                <w:sz w:val="20"/>
                <w:szCs w:val="20"/>
              </w:rPr>
              <w:t xml:space="preserve">DiaSorin </w:t>
            </w:r>
            <w:r w:rsidR="0047575A" w:rsidRPr="00DF692F">
              <w:rPr>
                <w:rFonts w:ascii="Arial" w:hAnsi="Arial" w:cs="Arial"/>
                <w:b w:val="0"/>
                <w:bCs/>
                <w:iCs/>
                <w:color w:val="auto"/>
                <w:sz w:val="20"/>
                <w:szCs w:val="20"/>
              </w:rPr>
              <w:t>Liaison XL</w:t>
            </w:r>
            <w:r w:rsidRPr="00DF692F">
              <w:rPr>
                <w:rFonts w:ascii="Arial" w:hAnsi="Arial" w:cs="Arial"/>
                <w:b w:val="0"/>
                <w:bCs/>
                <w:iCs/>
                <w:color w:val="auto"/>
                <w:sz w:val="20"/>
                <w:szCs w:val="20"/>
              </w:rPr>
              <w:t xml:space="preserve"> System</w:t>
            </w:r>
          </w:p>
        </w:tc>
      </w:tr>
      <w:tr w:rsidR="00A93B78" w:rsidRPr="00DF692F" w:rsidTr="0023783F">
        <w:trPr>
          <w:gridAfter w:val="2"/>
          <w:wAfter w:w="180" w:type="dxa"/>
          <w:cantSplit/>
          <w:trHeight w:val="278"/>
        </w:trPr>
        <w:tc>
          <w:tcPr>
            <w:tcW w:w="1798" w:type="dxa"/>
            <w:tcBorders>
              <w:top w:val="nil"/>
              <w:left w:val="nil"/>
              <w:bottom w:val="nil"/>
              <w:right w:val="nil"/>
            </w:tcBorders>
          </w:tcPr>
          <w:p w:rsidR="00682B02" w:rsidRPr="00DF692F" w:rsidRDefault="00682B02">
            <w:pPr>
              <w:jc w:val="left"/>
              <w:rPr>
                <w:rFonts w:ascii="Arial" w:hAnsi="Arial" w:cs="Arial"/>
                <w:b/>
                <w:bCs/>
                <w:color w:val="0000FF"/>
                <w:sz w:val="20"/>
                <w:szCs w:val="20"/>
              </w:rPr>
            </w:pPr>
          </w:p>
          <w:p w:rsidR="00682B02" w:rsidRPr="00DF692F" w:rsidRDefault="00682B02">
            <w:pPr>
              <w:jc w:val="left"/>
              <w:rPr>
                <w:rFonts w:ascii="Arial" w:hAnsi="Arial" w:cs="Arial"/>
                <w:b/>
                <w:bCs/>
                <w:color w:val="0000FF"/>
                <w:sz w:val="20"/>
                <w:szCs w:val="20"/>
              </w:rPr>
            </w:pPr>
          </w:p>
          <w:p w:rsidR="00682B02" w:rsidRPr="00DF692F" w:rsidRDefault="00682B02">
            <w:pPr>
              <w:jc w:val="left"/>
              <w:rPr>
                <w:rFonts w:ascii="Arial" w:hAnsi="Arial" w:cs="Arial"/>
                <w:b/>
                <w:bCs/>
                <w:color w:val="0000FF"/>
                <w:sz w:val="20"/>
                <w:szCs w:val="20"/>
              </w:rPr>
            </w:pPr>
          </w:p>
          <w:p w:rsidR="00A93B78" w:rsidRPr="00DF692F" w:rsidRDefault="00682B02">
            <w:pPr>
              <w:jc w:val="left"/>
              <w:rPr>
                <w:rFonts w:ascii="Arial" w:hAnsi="Arial" w:cs="Arial"/>
                <w:b/>
                <w:bCs/>
                <w:color w:val="0000FF"/>
                <w:sz w:val="20"/>
                <w:szCs w:val="20"/>
              </w:rPr>
            </w:pPr>
            <w:r w:rsidRPr="00DF692F">
              <w:rPr>
                <w:rFonts w:ascii="Arial" w:hAnsi="Arial" w:cs="Arial"/>
                <w:b/>
                <w:bCs/>
                <w:color w:val="0000FF"/>
                <w:sz w:val="20"/>
                <w:szCs w:val="20"/>
              </w:rPr>
              <w:t>Reagent Integral Preparation</w:t>
            </w:r>
          </w:p>
          <w:p w:rsidR="00A93B78" w:rsidRPr="00DF692F" w:rsidRDefault="00A93B78">
            <w:pPr>
              <w:jc w:val="left"/>
              <w:rPr>
                <w:rFonts w:ascii="Arial" w:hAnsi="Arial" w:cs="Arial"/>
                <w:b/>
                <w:bCs/>
                <w:color w:val="0000FF"/>
                <w:sz w:val="20"/>
                <w:szCs w:val="20"/>
              </w:rPr>
            </w:pPr>
          </w:p>
        </w:tc>
        <w:tc>
          <w:tcPr>
            <w:tcW w:w="9182" w:type="dxa"/>
            <w:gridSpan w:val="3"/>
            <w:tcBorders>
              <w:top w:val="single" w:sz="4" w:space="0" w:color="auto"/>
              <w:left w:val="nil"/>
              <w:bottom w:val="single" w:sz="4" w:space="0" w:color="auto"/>
              <w:right w:val="nil"/>
            </w:tcBorders>
          </w:tcPr>
          <w:p w:rsidR="00682B02" w:rsidRPr="00DF692F" w:rsidRDefault="00682B02">
            <w:pPr>
              <w:pStyle w:val="Heading2"/>
              <w:numPr>
                <w:ilvl w:val="0"/>
                <w:numId w:val="0"/>
              </w:numPr>
              <w:rPr>
                <w:rFonts w:ascii="Arial" w:hAnsi="Arial"/>
                <w:sz w:val="20"/>
                <w:szCs w:val="20"/>
              </w:rPr>
            </w:pPr>
          </w:p>
          <w:p w:rsidR="00682B02" w:rsidRPr="00DF692F" w:rsidRDefault="00682B02" w:rsidP="00682B02">
            <w:pPr>
              <w:jc w:val="left"/>
              <w:rPr>
                <w:rFonts w:ascii="Arial" w:hAnsi="Arial" w:cs="Arial"/>
                <w:b/>
                <w:sz w:val="20"/>
                <w:szCs w:val="20"/>
              </w:rPr>
            </w:pPr>
            <w:r w:rsidRPr="00DF692F">
              <w:rPr>
                <w:rFonts w:ascii="Arial" w:hAnsi="Arial" w:cs="Arial"/>
                <w:b/>
                <w:sz w:val="20"/>
                <w:szCs w:val="20"/>
              </w:rPr>
              <w:t>How to prepare and load new</w:t>
            </w:r>
            <w:r w:rsidR="00DF692F">
              <w:rPr>
                <w:rFonts w:ascii="Arial" w:hAnsi="Arial" w:cs="Arial"/>
                <w:b/>
                <w:sz w:val="20"/>
                <w:szCs w:val="20"/>
              </w:rPr>
              <w:t xml:space="preserve"> reagent</w:t>
            </w:r>
            <w:r w:rsidRPr="00DF692F">
              <w:rPr>
                <w:rFonts w:ascii="Arial" w:hAnsi="Arial" w:cs="Arial"/>
                <w:b/>
                <w:sz w:val="20"/>
                <w:szCs w:val="20"/>
              </w:rPr>
              <w:t xml:space="preserve"> integrals</w:t>
            </w:r>
          </w:p>
          <w:p w:rsidR="00682B02" w:rsidRPr="00DF692F" w:rsidRDefault="00682B02" w:rsidP="00682B02">
            <w:pPr>
              <w:pStyle w:val="Default"/>
              <w:numPr>
                <w:ilvl w:val="0"/>
                <w:numId w:val="16"/>
              </w:numPr>
              <w:rPr>
                <w:sz w:val="20"/>
                <w:szCs w:val="20"/>
              </w:rPr>
            </w:pPr>
            <w:r w:rsidRPr="00DF692F">
              <w:rPr>
                <w:sz w:val="20"/>
                <w:szCs w:val="20"/>
              </w:rPr>
              <w:t xml:space="preserve">Remove from refrigerated storage, maintaining upright orientation </w:t>
            </w:r>
          </w:p>
          <w:p w:rsidR="00682B02" w:rsidRPr="00DF692F" w:rsidRDefault="00DF692F" w:rsidP="00682B02">
            <w:pPr>
              <w:pStyle w:val="Default"/>
              <w:numPr>
                <w:ilvl w:val="0"/>
                <w:numId w:val="16"/>
              </w:numPr>
              <w:rPr>
                <w:sz w:val="20"/>
                <w:szCs w:val="20"/>
              </w:rPr>
            </w:pPr>
            <w:r>
              <w:rPr>
                <w:sz w:val="20"/>
                <w:szCs w:val="20"/>
              </w:rPr>
              <w:t>Inspect i</w:t>
            </w:r>
            <w:r w:rsidR="00682B02" w:rsidRPr="00DF692F">
              <w:rPr>
                <w:sz w:val="20"/>
                <w:szCs w:val="20"/>
              </w:rPr>
              <w:t>ntegral for leakage</w:t>
            </w:r>
            <w:r w:rsidR="00072DC9">
              <w:rPr>
                <w:sz w:val="20"/>
                <w:szCs w:val="20"/>
              </w:rPr>
              <w:t>.</w:t>
            </w:r>
            <w:r w:rsidR="00682B02" w:rsidRPr="00DF692F">
              <w:rPr>
                <w:sz w:val="20"/>
                <w:szCs w:val="20"/>
              </w:rPr>
              <w:t xml:space="preserve"> </w:t>
            </w:r>
          </w:p>
          <w:p w:rsidR="00682B02" w:rsidRPr="00DF692F" w:rsidRDefault="00682B02" w:rsidP="00682B02">
            <w:pPr>
              <w:pStyle w:val="Default"/>
              <w:numPr>
                <w:ilvl w:val="0"/>
                <w:numId w:val="16"/>
              </w:numPr>
              <w:rPr>
                <w:sz w:val="20"/>
                <w:szCs w:val="20"/>
              </w:rPr>
            </w:pPr>
            <w:r w:rsidRPr="00DF692F">
              <w:rPr>
                <w:sz w:val="20"/>
                <w:szCs w:val="20"/>
              </w:rPr>
              <w:t>Mix magnetic particle for 30 seconds</w:t>
            </w:r>
            <w:r w:rsidR="00072DC9">
              <w:rPr>
                <w:sz w:val="20"/>
                <w:szCs w:val="20"/>
              </w:rPr>
              <w:t>.</w:t>
            </w:r>
          </w:p>
          <w:p w:rsidR="00682B02" w:rsidRPr="00DF692F" w:rsidRDefault="00682B02" w:rsidP="00682B02">
            <w:pPr>
              <w:pStyle w:val="Default"/>
              <w:numPr>
                <w:ilvl w:val="0"/>
                <w:numId w:val="16"/>
              </w:numPr>
              <w:rPr>
                <w:sz w:val="20"/>
                <w:szCs w:val="20"/>
              </w:rPr>
            </w:pPr>
            <w:r w:rsidRPr="00DF692F">
              <w:rPr>
                <w:sz w:val="20"/>
                <w:szCs w:val="20"/>
              </w:rPr>
              <w:t>Seat test integral in Xcelerator for 30 seconds</w:t>
            </w:r>
            <w:r w:rsidR="00072DC9">
              <w:rPr>
                <w:sz w:val="20"/>
                <w:szCs w:val="20"/>
              </w:rPr>
              <w:t>.</w:t>
            </w:r>
            <w:r w:rsidRPr="00DF692F">
              <w:rPr>
                <w:sz w:val="20"/>
                <w:szCs w:val="20"/>
              </w:rPr>
              <w:t xml:space="preserve"> </w:t>
            </w:r>
            <w:bookmarkStart w:id="0" w:name="_GoBack"/>
            <w:bookmarkEnd w:id="0"/>
          </w:p>
          <w:p w:rsidR="00682B02" w:rsidRPr="00DF692F" w:rsidRDefault="00682B02" w:rsidP="00682B02">
            <w:pPr>
              <w:pStyle w:val="Default"/>
              <w:numPr>
                <w:ilvl w:val="0"/>
                <w:numId w:val="16"/>
              </w:numPr>
              <w:rPr>
                <w:sz w:val="20"/>
                <w:szCs w:val="20"/>
              </w:rPr>
            </w:pPr>
            <w:r w:rsidRPr="00DF692F">
              <w:rPr>
                <w:sz w:val="20"/>
                <w:szCs w:val="20"/>
              </w:rPr>
              <w:t>Gently rotate the magnetic particle vial for 30 seconds</w:t>
            </w:r>
            <w:r w:rsidR="00072DC9">
              <w:rPr>
                <w:sz w:val="20"/>
                <w:szCs w:val="20"/>
              </w:rPr>
              <w:t>.</w:t>
            </w:r>
          </w:p>
          <w:p w:rsidR="00682B02" w:rsidRPr="00DF692F" w:rsidRDefault="00A177AA" w:rsidP="00682B02">
            <w:pPr>
              <w:pStyle w:val="Default"/>
              <w:numPr>
                <w:ilvl w:val="0"/>
                <w:numId w:val="16"/>
              </w:numPr>
              <w:rPr>
                <w:sz w:val="20"/>
                <w:szCs w:val="20"/>
              </w:rPr>
            </w:pPr>
            <w:r w:rsidRPr="00DF692F">
              <w:rPr>
                <w:sz w:val="20"/>
                <w:szCs w:val="20"/>
              </w:rPr>
              <w:t>R</w:t>
            </w:r>
            <w:r w:rsidR="00682B02" w:rsidRPr="00DF692F">
              <w:rPr>
                <w:sz w:val="20"/>
                <w:szCs w:val="20"/>
              </w:rPr>
              <w:t>emove ne</w:t>
            </w:r>
            <w:r w:rsidR="00072DC9">
              <w:rPr>
                <w:sz w:val="20"/>
                <w:szCs w:val="20"/>
              </w:rPr>
              <w:t>w integral sealing flaps slowly.</w:t>
            </w:r>
          </w:p>
          <w:p w:rsidR="00682B02" w:rsidRPr="00DF692F" w:rsidRDefault="00682B02" w:rsidP="00682B02">
            <w:pPr>
              <w:pStyle w:val="Default"/>
              <w:numPr>
                <w:ilvl w:val="0"/>
                <w:numId w:val="16"/>
              </w:numPr>
              <w:rPr>
                <w:sz w:val="20"/>
                <w:szCs w:val="20"/>
              </w:rPr>
            </w:pPr>
            <w:r w:rsidRPr="00DF692F">
              <w:rPr>
                <w:sz w:val="20"/>
                <w:szCs w:val="20"/>
              </w:rPr>
              <w:t>Remove all liquid from the surfaces of the membranes to prevent cross-con</w:t>
            </w:r>
            <w:r w:rsidR="00A177AA" w:rsidRPr="00DF692F">
              <w:rPr>
                <w:sz w:val="20"/>
                <w:szCs w:val="20"/>
              </w:rPr>
              <w:t>tamination of the reagent vials by blotting using a kim wipe folded in half lengthwise</w:t>
            </w:r>
            <w:r w:rsidR="00072DC9">
              <w:rPr>
                <w:sz w:val="20"/>
                <w:szCs w:val="20"/>
              </w:rPr>
              <w:t>.</w:t>
            </w:r>
          </w:p>
          <w:p w:rsidR="00682B02" w:rsidRPr="00DF692F" w:rsidRDefault="00682B02" w:rsidP="00682B02">
            <w:pPr>
              <w:pStyle w:val="Default"/>
              <w:numPr>
                <w:ilvl w:val="0"/>
                <w:numId w:val="16"/>
              </w:numPr>
              <w:rPr>
                <w:sz w:val="20"/>
                <w:szCs w:val="20"/>
              </w:rPr>
            </w:pPr>
            <w:r w:rsidRPr="00DF692F">
              <w:rPr>
                <w:sz w:val="20"/>
                <w:szCs w:val="20"/>
              </w:rPr>
              <w:t xml:space="preserve">Open </w:t>
            </w:r>
            <w:r w:rsidR="00072DC9">
              <w:rPr>
                <w:sz w:val="20"/>
                <w:szCs w:val="20"/>
              </w:rPr>
              <w:t>the reagent bay on the analyzer.</w:t>
            </w:r>
          </w:p>
          <w:p w:rsidR="00682B02" w:rsidRPr="00DF692F" w:rsidRDefault="00682B02" w:rsidP="00682B02">
            <w:pPr>
              <w:pStyle w:val="Default"/>
              <w:numPr>
                <w:ilvl w:val="0"/>
                <w:numId w:val="16"/>
              </w:numPr>
              <w:rPr>
                <w:sz w:val="20"/>
                <w:szCs w:val="20"/>
              </w:rPr>
            </w:pPr>
            <w:r w:rsidRPr="00DF692F">
              <w:rPr>
                <w:sz w:val="20"/>
                <w:szCs w:val="20"/>
              </w:rPr>
              <w:t xml:space="preserve">Using a smooth motion, insert the integral into an unoccupied lane in the reagent area until it rests firmly against the docking pins at the rear. </w:t>
            </w:r>
          </w:p>
          <w:p w:rsidR="00A93B78" w:rsidRPr="00DF692F" w:rsidRDefault="00682B02" w:rsidP="00682B02">
            <w:pPr>
              <w:rPr>
                <w:rFonts w:ascii="Arial" w:hAnsi="Arial" w:cs="Arial"/>
                <w:sz w:val="20"/>
                <w:szCs w:val="20"/>
              </w:rPr>
            </w:pPr>
            <w:r w:rsidRPr="00DF692F">
              <w:rPr>
                <w:rFonts w:ascii="Arial" w:hAnsi="Arial" w:cs="Arial"/>
                <w:b/>
                <w:sz w:val="20"/>
                <w:szCs w:val="20"/>
              </w:rPr>
              <w:t>Note:</w:t>
            </w:r>
            <w:r w:rsidRPr="00DF692F">
              <w:rPr>
                <w:rFonts w:ascii="Arial" w:hAnsi="Arial" w:cs="Arial"/>
                <w:sz w:val="20"/>
                <w:szCs w:val="20"/>
              </w:rPr>
              <w:t xml:space="preserve"> </w:t>
            </w:r>
            <w:r w:rsidRPr="00DF692F">
              <w:rPr>
                <w:rFonts w:ascii="Arial" w:hAnsi="Arial" w:cs="Arial"/>
                <w:color w:val="000000"/>
                <w:sz w:val="20"/>
                <w:szCs w:val="20"/>
              </w:rPr>
              <w:t>if m</w:t>
            </w:r>
            <w:r w:rsidRPr="00DF692F">
              <w:rPr>
                <w:rFonts w:ascii="Arial" w:hAnsi="Arial" w:cs="Arial"/>
                <w:sz w:val="20"/>
                <w:szCs w:val="20"/>
              </w:rPr>
              <w:t>ore than one integral of the same reagent is loaded place the newest integral to the right of the old integral.</w:t>
            </w:r>
            <w:r w:rsidR="00A177AA" w:rsidRPr="00DF692F">
              <w:rPr>
                <w:rFonts w:ascii="Arial" w:hAnsi="Arial" w:cs="Arial"/>
                <w:sz w:val="20"/>
                <w:szCs w:val="20"/>
              </w:rPr>
              <w:t xml:space="preserve"> </w:t>
            </w:r>
            <w:r w:rsidRPr="00DF692F">
              <w:rPr>
                <w:rFonts w:ascii="Arial" w:hAnsi="Arial" w:cs="Arial"/>
                <w:sz w:val="20"/>
                <w:szCs w:val="20"/>
              </w:rPr>
              <w:t xml:space="preserve"> The analyzer will sample from the left integral until empty</w:t>
            </w:r>
            <w:r w:rsidR="00072DC9">
              <w:rPr>
                <w:rFonts w:ascii="Arial" w:hAnsi="Arial" w:cs="Arial"/>
                <w:sz w:val="20"/>
                <w:szCs w:val="20"/>
              </w:rPr>
              <w:t>,</w:t>
            </w:r>
            <w:r w:rsidRPr="00DF692F">
              <w:rPr>
                <w:rFonts w:ascii="Arial" w:hAnsi="Arial" w:cs="Arial"/>
                <w:sz w:val="20"/>
                <w:szCs w:val="20"/>
              </w:rPr>
              <w:t xml:space="preserve"> then move right.</w:t>
            </w:r>
          </w:p>
        </w:tc>
      </w:tr>
      <w:tr w:rsidR="00A93B78" w:rsidRPr="00DF692F" w:rsidTr="00C101FA">
        <w:trPr>
          <w:gridAfter w:val="2"/>
          <w:wAfter w:w="180" w:type="dxa"/>
          <w:cantSplit/>
          <w:trHeight w:val="2590"/>
        </w:trPr>
        <w:tc>
          <w:tcPr>
            <w:tcW w:w="1798" w:type="dxa"/>
            <w:tcBorders>
              <w:top w:val="nil"/>
              <w:left w:val="nil"/>
              <w:bottom w:val="nil"/>
              <w:right w:val="nil"/>
            </w:tcBorders>
          </w:tcPr>
          <w:p w:rsidR="00A93B78" w:rsidRPr="00DF692F" w:rsidRDefault="00A93B78">
            <w:pPr>
              <w:jc w:val="left"/>
              <w:rPr>
                <w:rFonts w:ascii="Arial" w:hAnsi="Arial" w:cs="Arial"/>
                <w:b/>
                <w:bCs/>
                <w:color w:val="0000FF"/>
                <w:sz w:val="20"/>
                <w:szCs w:val="20"/>
              </w:rPr>
            </w:pPr>
          </w:p>
        </w:tc>
        <w:tc>
          <w:tcPr>
            <w:tcW w:w="9182" w:type="dxa"/>
            <w:gridSpan w:val="3"/>
            <w:tcBorders>
              <w:top w:val="single" w:sz="18" w:space="0" w:color="A6A6A6"/>
              <w:left w:val="nil"/>
              <w:bottom w:val="single" w:sz="18" w:space="0" w:color="A6A6A6"/>
              <w:right w:val="nil"/>
            </w:tcBorders>
          </w:tcPr>
          <w:p w:rsidR="00A93B78" w:rsidRPr="00DF692F" w:rsidRDefault="00A93B78">
            <w:pPr>
              <w:pStyle w:val="Heading2"/>
              <w:numPr>
                <w:ilvl w:val="0"/>
                <w:numId w:val="0"/>
              </w:numPr>
              <w:rPr>
                <w:rFonts w:ascii="Arial" w:hAnsi="Arial"/>
                <w:b w:val="0"/>
                <w:sz w:val="20"/>
                <w:szCs w:val="20"/>
              </w:rPr>
            </w:pPr>
          </w:p>
          <w:p w:rsidR="00A93B78" w:rsidRPr="00DF692F" w:rsidRDefault="00C101FA">
            <w:pPr>
              <w:pStyle w:val="Heading2"/>
              <w:numPr>
                <w:ilvl w:val="0"/>
                <w:numId w:val="0"/>
              </w:numPr>
              <w:rPr>
                <w:rFonts w:ascii="Arial" w:hAnsi="Arial"/>
                <w:bCs w:val="0"/>
                <w:sz w:val="20"/>
                <w:szCs w:val="20"/>
              </w:rPr>
            </w:pPr>
            <w:r w:rsidRPr="00DF692F">
              <w:rPr>
                <w:rFonts w:ascii="Arial" w:hAnsi="Arial"/>
                <w:bCs w:val="0"/>
                <w:sz w:val="20"/>
                <w:szCs w:val="20"/>
              </w:rPr>
              <w:t>Reagent Integral Storage a</w:t>
            </w:r>
            <w:r w:rsidR="00A93B78" w:rsidRPr="00DF692F">
              <w:rPr>
                <w:rFonts w:ascii="Arial" w:hAnsi="Arial"/>
                <w:bCs w:val="0"/>
                <w:sz w:val="20"/>
                <w:szCs w:val="20"/>
              </w:rPr>
              <w:t>nd Stability:</w:t>
            </w:r>
          </w:p>
          <w:p w:rsidR="00A93B78" w:rsidRPr="00DF692F" w:rsidRDefault="00A177AA" w:rsidP="00A93B78">
            <w:pPr>
              <w:pStyle w:val="Heading2"/>
              <w:numPr>
                <w:ilvl w:val="0"/>
                <w:numId w:val="6"/>
              </w:numPr>
              <w:rPr>
                <w:rFonts w:ascii="Arial" w:hAnsi="Arial"/>
                <w:b w:val="0"/>
                <w:sz w:val="20"/>
                <w:szCs w:val="20"/>
              </w:rPr>
            </w:pPr>
            <w:r w:rsidRPr="00DF692F">
              <w:rPr>
                <w:rFonts w:ascii="Arial" w:hAnsi="Arial"/>
                <w:b w:val="0"/>
                <w:sz w:val="20"/>
                <w:szCs w:val="20"/>
              </w:rPr>
              <w:t>Upon receipt, the reagent i</w:t>
            </w:r>
            <w:r w:rsidR="00A93B78" w:rsidRPr="00DF692F">
              <w:rPr>
                <w:rFonts w:ascii="Arial" w:hAnsi="Arial"/>
                <w:b w:val="0"/>
                <w:sz w:val="20"/>
                <w:szCs w:val="20"/>
              </w:rPr>
              <w:t xml:space="preserve">ntegral must be stored in an upright position to facilitate resuspension of magnetic particles. </w:t>
            </w:r>
          </w:p>
          <w:p w:rsidR="00A93B78" w:rsidRPr="00DF692F" w:rsidRDefault="00A93B78" w:rsidP="00A93B78">
            <w:pPr>
              <w:pStyle w:val="Heading2"/>
              <w:numPr>
                <w:ilvl w:val="0"/>
                <w:numId w:val="6"/>
              </w:numPr>
              <w:rPr>
                <w:rFonts w:ascii="Arial" w:hAnsi="Arial"/>
                <w:b w:val="0"/>
                <w:sz w:val="20"/>
                <w:szCs w:val="20"/>
              </w:rPr>
            </w:pPr>
            <w:r w:rsidRPr="00DF692F">
              <w:rPr>
                <w:rFonts w:ascii="Arial" w:hAnsi="Arial"/>
                <w:b w:val="0"/>
                <w:sz w:val="20"/>
                <w:szCs w:val="20"/>
              </w:rPr>
              <w:t xml:space="preserve">Stored sealed, the reagents are stable at 2-8°C up to the expiration date. </w:t>
            </w:r>
          </w:p>
          <w:p w:rsidR="00A93B78" w:rsidRPr="00DF692F" w:rsidRDefault="00A93B78" w:rsidP="00A93B78">
            <w:pPr>
              <w:pStyle w:val="Heading2"/>
              <w:numPr>
                <w:ilvl w:val="0"/>
                <w:numId w:val="6"/>
              </w:numPr>
              <w:rPr>
                <w:rFonts w:ascii="Arial" w:hAnsi="Arial"/>
                <w:b w:val="0"/>
                <w:sz w:val="20"/>
                <w:szCs w:val="20"/>
              </w:rPr>
            </w:pPr>
            <w:r w:rsidRPr="00DF692F">
              <w:rPr>
                <w:rFonts w:ascii="Arial" w:hAnsi="Arial"/>
                <w:b w:val="0"/>
                <w:sz w:val="20"/>
                <w:szCs w:val="20"/>
              </w:rPr>
              <w:t>After removin</w:t>
            </w:r>
            <w:r w:rsidR="00A177AA" w:rsidRPr="00DF692F">
              <w:rPr>
                <w:rFonts w:ascii="Arial" w:hAnsi="Arial"/>
                <w:b w:val="0"/>
                <w:sz w:val="20"/>
                <w:szCs w:val="20"/>
              </w:rPr>
              <w:t>g the seals, the reagent i</w:t>
            </w:r>
            <w:r w:rsidRPr="00DF692F">
              <w:rPr>
                <w:rFonts w:ascii="Arial" w:hAnsi="Arial"/>
                <w:b w:val="0"/>
                <w:sz w:val="20"/>
                <w:szCs w:val="20"/>
              </w:rPr>
              <w:t xml:space="preserve">ntegral is stable for eight weeks when stored at 2-8°C or on board the </w:t>
            </w:r>
            <w:r w:rsidR="0047575A" w:rsidRPr="00DF692F">
              <w:rPr>
                <w:rFonts w:ascii="Arial" w:hAnsi="Arial"/>
                <w:b w:val="0"/>
                <w:sz w:val="20"/>
                <w:szCs w:val="20"/>
              </w:rPr>
              <w:t>LIAISON XL</w:t>
            </w:r>
            <w:r w:rsidRPr="00DF692F">
              <w:rPr>
                <w:rFonts w:ascii="Arial" w:hAnsi="Arial"/>
                <w:b w:val="0"/>
                <w:sz w:val="20"/>
                <w:szCs w:val="20"/>
              </w:rPr>
              <w:t xml:space="preserve">® Analyzer. </w:t>
            </w:r>
            <w:r w:rsidR="00A177AA" w:rsidRPr="00DF692F">
              <w:rPr>
                <w:rFonts w:ascii="Arial" w:hAnsi="Arial"/>
                <w:b w:val="0"/>
                <w:sz w:val="20"/>
                <w:szCs w:val="20"/>
              </w:rPr>
              <w:t xml:space="preserve"> </w:t>
            </w:r>
            <w:r w:rsidRPr="00DF692F">
              <w:rPr>
                <w:rFonts w:ascii="Arial" w:hAnsi="Arial"/>
                <w:b w:val="0"/>
                <w:sz w:val="20"/>
                <w:szCs w:val="20"/>
              </w:rPr>
              <w:t>Record new expiration date on the integral.</w:t>
            </w:r>
          </w:p>
          <w:p w:rsidR="00A93B78" w:rsidRPr="00DF692F" w:rsidRDefault="00A93B78" w:rsidP="00A93B78">
            <w:pPr>
              <w:pStyle w:val="Heading2"/>
              <w:numPr>
                <w:ilvl w:val="0"/>
                <w:numId w:val="6"/>
              </w:numPr>
              <w:rPr>
                <w:rFonts w:ascii="Arial" w:hAnsi="Arial"/>
                <w:b w:val="0"/>
                <w:sz w:val="20"/>
                <w:szCs w:val="20"/>
              </w:rPr>
            </w:pPr>
            <w:r w:rsidRPr="00DF692F">
              <w:rPr>
                <w:rFonts w:ascii="Arial" w:hAnsi="Arial"/>
                <w:b w:val="0"/>
                <w:sz w:val="20"/>
                <w:szCs w:val="20"/>
              </w:rPr>
              <w:t xml:space="preserve">Do not freeze. </w:t>
            </w:r>
          </w:p>
          <w:p w:rsidR="00A93B78" w:rsidRPr="00DF692F" w:rsidRDefault="00A177AA" w:rsidP="00A93B78">
            <w:pPr>
              <w:pStyle w:val="Heading2"/>
              <w:numPr>
                <w:ilvl w:val="0"/>
                <w:numId w:val="6"/>
              </w:numPr>
              <w:rPr>
                <w:rFonts w:ascii="Arial" w:hAnsi="Arial"/>
                <w:b w:val="0"/>
                <w:sz w:val="20"/>
                <w:szCs w:val="20"/>
              </w:rPr>
            </w:pPr>
            <w:r w:rsidRPr="00DF692F">
              <w:rPr>
                <w:rFonts w:ascii="Arial" w:hAnsi="Arial"/>
                <w:b w:val="0"/>
                <w:sz w:val="20"/>
                <w:szCs w:val="20"/>
              </w:rPr>
              <w:t>The reagent i</w:t>
            </w:r>
            <w:r w:rsidR="00A93B78" w:rsidRPr="00DF692F">
              <w:rPr>
                <w:rFonts w:ascii="Arial" w:hAnsi="Arial"/>
                <w:b w:val="0"/>
                <w:sz w:val="20"/>
                <w:szCs w:val="20"/>
              </w:rPr>
              <w:t xml:space="preserve">ntegral must not be used past the expiration date indicated on the kit and reagent integral labels. </w:t>
            </w:r>
          </w:p>
          <w:p w:rsidR="00A93B78" w:rsidRPr="00DF692F" w:rsidRDefault="00A93B78">
            <w:pPr>
              <w:pStyle w:val="Heading2"/>
              <w:numPr>
                <w:ilvl w:val="0"/>
                <w:numId w:val="0"/>
              </w:numPr>
              <w:rPr>
                <w:rFonts w:ascii="Arial" w:hAnsi="Arial"/>
                <w:b w:val="0"/>
                <w:sz w:val="20"/>
                <w:szCs w:val="20"/>
              </w:rPr>
            </w:pPr>
          </w:p>
        </w:tc>
      </w:tr>
      <w:tr w:rsidR="00A93B78" w:rsidRPr="00DF692F" w:rsidTr="00C101FA">
        <w:trPr>
          <w:gridAfter w:val="2"/>
          <w:wAfter w:w="180" w:type="dxa"/>
          <w:cantSplit/>
          <w:trHeight w:val="330"/>
        </w:trPr>
        <w:tc>
          <w:tcPr>
            <w:tcW w:w="1798" w:type="dxa"/>
            <w:tcBorders>
              <w:top w:val="nil"/>
              <w:left w:val="nil"/>
              <w:bottom w:val="nil"/>
              <w:right w:val="nil"/>
            </w:tcBorders>
          </w:tcPr>
          <w:p w:rsidR="00A93B78" w:rsidRPr="00DF692F" w:rsidRDefault="00A93B78">
            <w:pPr>
              <w:jc w:val="left"/>
              <w:rPr>
                <w:rFonts w:ascii="Arial" w:hAnsi="Arial" w:cs="Arial"/>
                <w:b/>
                <w:bCs/>
                <w:color w:val="0000FF"/>
                <w:sz w:val="20"/>
                <w:szCs w:val="20"/>
              </w:rPr>
            </w:pPr>
          </w:p>
          <w:p w:rsidR="00A93B78" w:rsidRPr="00DF692F" w:rsidRDefault="00A93B78">
            <w:pPr>
              <w:jc w:val="left"/>
              <w:rPr>
                <w:rFonts w:ascii="Arial" w:hAnsi="Arial" w:cs="Arial"/>
                <w:b/>
                <w:bCs/>
                <w:color w:val="0000FF"/>
                <w:sz w:val="20"/>
                <w:szCs w:val="20"/>
              </w:rPr>
            </w:pPr>
            <w:r w:rsidRPr="00DF692F">
              <w:rPr>
                <w:rFonts w:ascii="Arial" w:hAnsi="Arial" w:cs="Arial"/>
                <w:b/>
                <w:bCs/>
                <w:color w:val="0000FF"/>
                <w:sz w:val="20"/>
                <w:szCs w:val="20"/>
              </w:rPr>
              <w:t>Sample</w:t>
            </w:r>
          </w:p>
        </w:tc>
        <w:tc>
          <w:tcPr>
            <w:tcW w:w="9182" w:type="dxa"/>
            <w:gridSpan w:val="3"/>
            <w:tcBorders>
              <w:top w:val="single" w:sz="18" w:space="0" w:color="A6A6A6"/>
              <w:left w:val="nil"/>
              <w:bottom w:val="single" w:sz="18" w:space="0" w:color="A6A6A6"/>
              <w:right w:val="nil"/>
            </w:tcBorders>
          </w:tcPr>
          <w:p w:rsidR="00A93B78" w:rsidRPr="00DF692F" w:rsidRDefault="00A93B78">
            <w:pPr>
              <w:pStyle w:val="Heading2"/>
              <w:numPr>
                <w:ilvl w:val="0"/>
                <w:numId w:val="0"/>
              </w:numPr>
              <w:rPr>
                <w:rFonts w:ascii="Arial" w:hAnsi="Arial"/>
                <w:b w:val="0"/>
                <w:sz w:val="20"/>
                <w:szCs w:val="20"/>
              </w:rPr>
            </w:pPr>
          </w:p>
          <w:p w:rsidR="00A93B78" w:rsidRPr="00DF692F" w:rsidRDefault="00A93B78">
            <w:pPr>
              <w:pStyle w:val="Heading2"/>
              <w:numPr>
                <w:ilvl w:val="0"/>
                <w:numId w:val="0"/>
              </w:numPr>
              <w:rPr>
                <w:rFonts w:ascii="Arial" w:hAnsi="Arial"/>
                <w:b w:val="0"/>
                <w:sz w:val="20"/>
                <w:szCs w:val="20"/>
              </w:rPr>
            </w:pPr>
            <w:r w:rsidRPr="00DF692F">
              <w:rPr>
                <w:rFonts w:ascii="Arial" w:hAnsi="Arial"/>
                <w:bCs w:val="0"/>
                <w:sz w:val="20"/>
                <w:szCs w:val="20"/>
              </w:rPr>
              <w:t>Serum</w:t>
            </w:r>
            <w:r w:rsidRPr="00DF692F">
              <w:rPr>
                <w:rFonts w:ascii="Arial" w:hAnsi="Arial"/>
                <w:b w:val="0"/>
                <w:sz w:val="20"/>
                <w:szCs w:val="20"/>
              </w:rPr>
              <w:t xml:space="preserve"> is the only acceptable specimen for this assay collected aseptically by venipuncture</w:t>
            </w:r>
            <w:r w:rsidR="00A177AA" w:rsidRPr="00DF692F">
              <w:rPr>
                <w:rFonts w:ascii="Arial" w:hAnsi="Arial"/>
                <w:b w:val="0"/>
                <w:sz w:val="20"/>
                <w:szCs w:val="20"/>
              </w:rPr>
              <w:t xml:space="preserve">. </w:t>
            </w:r>
            <w:r w:rsidRPr="00DF692F">
              <w:rPr>
                <w:rFonts w:ascii="Arial" w:hAnsi="Arial"/>
                <w:b w:val="0"/>
                <w:sz w:val="20"/>
                <w:szCs w:val="20"/>
              </w:rPr>
              <w:t xml:space="preserve"> Refer to specimen collection procedures.</w:t>
            </w:r>
          </w:p>
          <w:p w:rsidR="00A93B78" w:rsidRPr="00DF692F" w:rsidRDefault="00A93B78">
            <w:pPr>
              <w:pStyle w:val="Heading2"/>
              <w:numPr>
                <w:ilvl w:val="0"/>
                <w:numId w:val="0"/>
              </w:numPr>
              <w:rPr>
                <w:rFonts w:ascii="Arial" w:hAnsi="Arial"/>
                <w:b w:val="0"/>
                <w:sz w:val="20"/>
                <w:szCs w:val="20"/>
              </w:rPr>
            </w:pPr>
            <w:r w:rsidRPr="00DF692F">
              <w:rPr>
                <w:rFonts w:ascii="Arial" w:hAnsi="Arial"/>
                <w:b w:val="0"/>
                <w:sz w:val="20"/>
                <w:szCs w:val="20"/>
              </w:rPr>
              <w:t>Grossly hemolyzed, lipemic, or particulate samples are not recommended</w:t>
            </w:r>
          </w:p>
          <w:p w:rsidR="00A93B78" w:rsidRPr="00DF692F" w:rsidRDefault="00A93B78">
            <w:pPr>
              <w:pStyle w:val="Heading2"/>
              <w:numPr>
                <w:ilvl w:val="0"/>
                <w:numId w:val="0"/>
              </w:numPr>
              <w:rPr>
                <w:rFonts w:ascii="Arial" w:hAnsi="Arial"/>
                <w:b w:val="0"/>
                <w:sz w:val="20"/>
                <w:szCs w:val="20"/>
              </w:rPr>
            </w:pPr>
          </w:p>
          <w:p w:rsidR="00547D0C" w:rsidRPr="00DF692F" w:rsidRDefault="00547D0C">
            <w:pPr>
              <w:pStyle w:val="Heading2"/>
              <w:numPr>
                <w:ilvl w:val="0"/>
                <w:numId w:val="0"/>
              </w:numPr>
              <w:rPr>
                <w:rFonts w:ascii="Arial" w:hAnsi="Arial"/>
                <w:b w:val="0"/>
                <w:bCs w:val="0"/>
                <w:sz w:val="20"/>
                <w:szCs w:val="20"/>
              </w:rPr>
            </w:pPr>
            <w:r w:rsidRPr="00DF692F">
              <w:rPr>
                <w:rFonts w:ascii="Arial" w:hAnsi="Arial"/>
                <w:bCs w:val="0"/>
                <w:sz w:val="20"/>
                <w:szCs w:val="20"/>
              </w:rPr>
              <w:t xml:space="preserve">Prefer Draw Volume: </w:t>
            </w:r>
            <w:r w:rsidRPr="00DF692F">
              <w:rPr>
                <w:rFonts w:ascii="Arial" w:hAnsi="Arial"/>
                <w:b w:val="0"/>
                <w:bCs w:val="0"/>
                <w:sz w:val="20"/>
                <w:szCs w:val="20"/>
              </w:rPr>
              <w:t>3.0</w:t>
            </w:r>
            <w:r w:rsidR="00A177AA" w:rsidRPr="00DF692F">
              <w:rPr>
                <w:rFonts w:ascii="Arial" w:hAnsi="Arial"/>
                <w:b w:val="0"/>
                <w:bCs w:val="0"/>
                <w:sz w:val="20"/>
                <w:szCs w:val="20"/>
              </w:rPr>
              <w:t xml:space="preserve"> </w:t>
            </w:r>
            <w:r w:rsidRPr="00DF692F">
              <w:rPr>
                <w:rFonts w:ascii="Arial" w:hAnsi="Arial"/>
                <w:b w:val="0"/>
                <w:bCs w:val="0"/>
                <w:sz w:val="20"/>
                <w:szCs w:val="20"/>
              </w:rPr>
              <w:t xml:space="preserve">mL </w:t>
            </w:r>
          </w:p>
          <w:p w:rsidR="00547D0C" w:rsidRPr="00DF692F" w:rsidRDefault="00547D0C">
            <w:pPr>
              <w:pStyle w:val="Heading2"/>
              <w:numPr>
                <w:ilvl w:val="0"/>
                <w:numId w:val="0"/>
              </w:numPr>
              <w:rPr>
                <w:rFonts w:ascii="Arial" w:hAnsi="Arial"/>
                <w:b w:val="0"/>
                <w:bCs w:val="0"/>
                <w:sz w:val="20"/>
                <w:szCs w:val="20"/>
              </w:rPr>
            </w:pPr>
            <w:r w:rsidRPr="00DF692F">
              <w:rPr>
                <w:rFonts w:ascii="Arial" w:hAnsi="Arial"/>
                <w:bCs w:val="0"/>
                <w:sz w:val="20"/>
                <w:szCs w:val="20"/>
              </w:rPr>
              <w:t xml:space="preserve">Minimum Sample Volume: </w:t>
            </w:r>
            <w:r w:rsidRPr="00DF692F">
              <w:rPr>
                <w:rFonts w:ascii="Arial" w:hAnsi="Arial"/>
                <w:b w:val="0"/>
                <w:bCs w:val="0"/>
                <w:sz w:val="20"/>
                <w:szCs w:val="20"/>
              </w:rPr>
              <w:t>0.6</w:t>
            </w:r>
            <w:r w:rsidR="00A177AA" w:rsidRPr="00DF692F">
              <w:rPr>
                <w:rFonts w:ascii="Arial" w:hAnsi="Arial"/>
                <w:b w:val="0"/>
                <w:bCs w:val="0"/>
                <w:sz w:val="20"/>
                <w:szCs w:val="20"/>
              </w:rPr>
              <w:t xml:space="preserve"> </w:t>
            </w:r>
            <w:r w:rsidRPr="00DF692F">
              <w:rPr>
                <w:rFonts w:ascii="Arial" w:hAnsi="Arial"/>
                <w:b w:val="0"/>
                <w:bCs w:val="0"/>
                <w:sz w:val="20"/>
                <w:szCs w:val="20"/>
              </w:rPr>
              <w:t>mL</w:t>
            </w:r>
          </w:p>
          <w:p w:rsidR="00A93B78" w:rsidRPr="00DF692F" w:rsidRDefault="00547D0C">
            <w:pPr>
              <w:pStyle w:val="Heading2"/>
              <w:numPr>
                <w:ilvl w:val="0"/>
                <w:numId w:val="0"/>
              </w:numPr>
              <w:rPr>
                <w:rFonts w:ascii="Arial" w:hAnsi="Arial"/>
                <w:b w:val="0"/>
                <w:sz w:val="20"/>
                <w:szCs w:val="20"/>
              </w:rPr>
            </w:pPr>
            <w:r w:rsidRPr="00DF692F">
              <w:rPr>
                <w:rFonts w:ascii="Arial" w:hAnsi="Arial"/>
                <w:bCs w:val="0"/>
                <w:sz w:val="20"/>
                <w:szCs w:val="20"/>
              </w:rPr>
              <w:t xml:space="preserve">Minimum Draw Volume: </w:t>
            </w:r>
            <w:r w:rsidRPr="00DF692F">
              <w:rPr>
                <w:rFonts w:ascii="Arial" w:hAnsi="Arial"/>
                <w:b w:val="0"/>
                <w:bCs w:val="0"/>
                <w:sz w:val="20"/>
                <w:szCs w:val="20"/>
              </w:rPr>
              <w:t>1.8</w:t>
            </w:r>
            <w:r w:rsidR="00A177AA" w:rsidRPr="00DF692F">
              <w:rPr>
                <w:rFonts w:ascii="Arial" w:hAnsi="Arial"/>
                <w:b w:val="0"/>
                <w:bCs w:val="0"/>
                <w:sz w:val="20"/>
                <w:szCs w:val="20"/>
              </w:rPr>
              <w:t xml:space="preserve"> </w:t>
            </w:r>
            <w:r w:rsidRPr="00DF692F">
              <w:rPr>
                <w:rFonts w:ascii="Arial" w:hAnsi="Arial"/>
                <w:b w:val="0"/>
                <w:bCs w:val="0"/>
                <w:sz w:val="20"/>
                <w:szCs w:val="20"/>
              </w:rPr>
              <w:t>mL</w:t>
            </w:r>
          </w:p>
          <w:p w:rsidR="00A93B78" w:rsidRPr="00DF692F" w:rsidRDefault="00A93B78" w:rsidP="00547D0C">
            <w:pPr>
              <w:pStyle w:val="Heading2"/>
              <w:numPr>
                <w:ilvl w:val="0"/>
                <w:numId w:val="0"/>
              </w:numPr>
              <w:rPr>
                <w:rFonts w:ascii="Arial" w:hAnsi="Arial"/>
                <w:b w:val="0"/>
                <w:sz w:val="20"/>
                <w:szCs w:val="20"/>
              </w:rPr>
            </w:pPr>
            <w:r w:rsidRPr="00DF692F">
              <w:rPr>
                <w:rFonts w:ascii="Arial" w:hAnsi="Arial"/>
                <w:bCs w:val="0"/>
                <w:sz w:val="20"/>
                <w:szCs w:val="20"/>
              </w:rPr>
              <w:t>Stability</w:t>
            </w:r>
            <w:r w:rsidRPr="00DF692F">
              <w:rPr>
                <w:rFonts w:ascii="Arial" w:hAnsi="Arial"/>
                <w:b w:val="0"/>
                <w:sz w:val="20"/>
                <w:szCs w:val="20"/>
              </w:rPr>
              <w:t xml:space="preserve">: 2-8 </w:t>
            </w:r>
            <w:r w:rsidRPr="00DF692F">
              <w:rPr>
                <w:rFonts w:ascii="Arial" w:hAnsi="Arial"/>
                <w:b w:val="0"/>
                <w:sz w:val="20"/>
                <w:szCs w:val="20"/>
              </w:rPr>
              <w:sym w:font="Symbol" w:char="F0B0"/>
            </w:r>
            <w:r w:rsidRPr="00DF692F">
              <w:rPr>
                <w:rFonts w:ascii="Arial" w:hAnsi="Arial"/>
                <w:b w:val="0"/>
                <w:sz w:val="20"/>
                <w:szCs w:val="20"/>
              </w:rPr>
              <w:t xml:space="preserve">C / </w:t>
            </w:r>
            <w:r w:rsidR="00682B02" w:rsidRPr="00DF692F">
              <w:rPr>
                <w:rFonts w:ascii="Arial" w:hAnsi="Arial"/>
                <w:b w:val="0"/>
                <w:sz w:val="20"/>
                <w:szCs w:val="20"/>
              </w:rPr>
              <w:t>2</w:t>
            </w:r>
            <w:r w:rsidRPr="00DF692F">
              <w:rPr>
                <w:rFonts w:ascii="Arial" w:hAnsi="Arial"/>
                <w:b w:val="0"/>
                <w:sz w:val="20"/>
                <w:szCs w:val="20"/>
              </w:rPr>
              <w:t xml:space="preserve"> days, </w:t>
            </w:r>
            <w:r w:rsidR="007E4011" w:rsidRPr="00DF692F">
              <w:rPr>
                <w:rFonts w:ascii="Arial" w:hAnsi="Arial"/>
                <w:b w:val="0"/>
                <w:sz w:val="20"/>
                <w:szCs w:val="20"/>
              </w:rPr>
              <w:t>30</w:t>
            </w:r>
            <w:r w:rsidRPr="00DF692F">
              <w:rPr>
                <w:rFonts w:ascii="Arial" w:hAnsi="Arial"/>
                <w:b w:val="0"/>
                <w:sz w:val="20"/>
                <w:szCs w:val="20"/>
              </w:rPr>
              <w:t xml:space="preserve"> days at -20 ºC or colder</w:t>
            </w:r>
            <w:r w:rsidR="00547D0C" w:rsidRPr="00DF692F">
              <w:rPr>
                <w:rFonts w:ascii="Arial" w:hAnsi="Arial"/>
                <w:b w:val="0"/>
                <w:sz w:val="20"/>
                <w:szCs w:val="20"/>
              </w:rPr>
              <w:t xml:space="preserve">.  </w:t>
            </w:r>
            <w:r w:rsidRPr="00DF692F">
              <w:rPr>
                <w:rFonts w:ascii="Arial" w:hAnsi="Arial"/>
                <w:b w:val="0"/>
                <w:sz w:val="20"/>
                <w:szCs w:val="20"/>
              </w:rPr>
              <w:t>Do not st</w:t>
            </w:r>
            <w:r w:rsidR="00547D0C" w:rsidRPr="00DF692F">
              <w:rPr>
                <w:rFonts w:ascii="Arial" w:hAnsi="Arial"/>
                <w:b w:val="0"/>
                <w:sz w:val="20"/>
                <w:szCs w:val="20"/>
              </w:rPr>
              <w:t xml:space="preserve">ore in self-defrosting freezer. </w:t>
            </w:r>
            <w:r w:rsidRPr="00DF692F">
              <w:rPr>
                <w:rFonts w:ascii="Arial" w:hAnsi="Arial"/>
                <w:b w:val="0"/>
                <w:sz w:val="20"/>
                <w:szCs w:val="20"/>
              </w:rPr>
              <w:t>Avoid repeated freeze thaw cycles.</w:t>
            </w:r>
          </w:p>
          <w:p w:rsidR="00A93B78" w:rsidRPr="00DF692F" w:rsidRDefault="00A93B78">
            <w:pPr>
              <w:pStyle w:val="Heading2"/>
              <w:numPr>
                <w:ilvl w:val="0"/>
                <w:numId w:val="0"/>
              </w:numPr>
              <w:rPr>
                <w:rFonts w:ascii="Arial" w:hAnsi="Arial"/>
                <w:b w:val="0"/>
                <w:sz w:val="20"/>
                <w:szCs w:val="20"/>
              </w:rPr>
            </w:pPr>
          </w:p>
          <w:p w:rsidR="00A93B78" w:rsidRPr="00DF692F" w:rsidRDefault="00A93B78">
            <w:pPr>
              <w:pStyle w:val="Heading2"/>
              <w:numPr>
                <w:ilvl w:val="0"/>
                <w:numId w:val="0"/>
              </w:numPr>
              <w:rPr>
                <w:rFonts w:ascii="Arial" w:hAnsi="Arial"/>
                <w:b w:val="0"/>
                <w:sz w:val="20"/>
                <w:szCs w:val="20"/>
              </w:rPr>
            </w:pPr>
            <w:r w:rsidRPr="00DF692F">
              <w:rPr>
                <w:rFonts w:ascii="Arial" w:hAnsi="Arial"/>
                <w:bCs w:val="0"/>
                <w:sz w:val="20"/>
                <w:szCs w:val="20"/>
              </w:rPr>
              <w:t>Rejection criteria</w:t>
            </w:r>
            <w:r w:rsidRPr="00DF692F">
              <w:rPr>
                <w:rFonts w:ascii="Arial" w:hAnsi="Arial"/>
                <w:b w:val="0"/>
                <w:sz w:val="20"/>
                <w:szCs w:val="20"/>
              </w:rPr>
              <w:t>: Unlabeled tube</w:t>
            </w:r>
            <w:r w:rsidR="00A177AA" w:rsidRPr="00DF692F">
              <w:rPr>
                <w:rFonts w:ascii="Arial" w:hAnsi="Arial"/>
                <w:b w:val="0"/>
                <w:sz w:val="20"/>
                <w:szCs w:val="20"/>
              </w:rPr>
              <w:t>, grossly hemolyzed samples</w:t>
            </w:r>
          </w:p>
          <w:p w:rsidR="00A93B78" w:rsidRPr="00DF692F" w:rsidRDefault="00A93B78">
            <w:pPr>
              <w:pStyle w:val="Heading2"/>
              <w:numPr>
                <w:ilvl w:val="0"/>
                <w:numId w:val="0"/>
              </w:numPr>
              <w:rPr>
                <w:rFonts w:ascii="Arial" w:hAnsi="Arial"/>
                <w:b w:val="0"/>
                <w:sz w:val="20"/>
                <w:szCs w:val="20"/>
              </w:rPr>
            </w:pPr>
          </w:p>
          <w:p w:rsidR="00A93B78" w:rsidRPr="00DF692F" w:rsidRDefault="00A93B78">
            <w:pPr>
              <w:pStyle w:val="Heading2"/>
              <w:numPr>
                <w:ilvl w:val="0"/>
                <w:numId w:val="0"/>
              </w:numPr>
              <w:rPr>
                <w:rFonts w:ascii="Arial" w:hAnsi="Arial"/>
                <w:bCs w:val="0"/>
                <w:sz w:val="20"/>
                <w:szCs w:val="20"/>
              </w:rPr>
            </w:pPr>
            <w:r w:rsidRPr="00DF692F">
              <w:rPr>
                <w:rFonts w:ascii="Arial" w:hAnsi="Arial"/>
                <w:bCs w:val="0"/>
                <w:sz w:val="20"/>
                <w:szCs w:val="20"/>
              </w:rPr>
              <w:t>Preparation:</w:t>
            </w:r>
          </w:p>
          <w:p w:rsidR="00A93B78" w:rsidRPr="00DF692F" w:rsidRDefault="00A93B78" w:rsidP="00A93B78">
            <w:pPr>
              <w:pStyle w:val="Heading2"/>
              <w:numPr>
                <w:ilvl w:val="0"/>
                <w:numId w:val="7"/>
              </w:numPr>
              <w:rPr>
                <w:rFonts w:ascii="Arial" w:hAnsi="Arial"/>
                <w:b w:val="0"/>
                <w:sz w:val="20"/>
                <w:szCs w:val="20"/>
              </w:rPr>
            </w:pPr>
            <w:r w:rsidRPr="00DF692F">
              <w:rPr>
                <w:rFonts w:ascii="Arial" w:hAnsi="Arial"/>
                <w:b w:val="0"/>
                <w:sz w:val="20"/>
                <w:szCs w:val="20"/>
              </w:rPr>
              <w:t>Whole blood specimens should be centrifuged as soon as clotted, according to Specimen Processing procedures</w:t>
            </w:r>
            <w:r w:rsidR="00A177AA" w:rsidRPr="00DF692F">
              <w:rPr>
                <w:rFonts w:ascii="Arial" w:hAnsi="Arial"/>
                <w:b w:val="0"/>
                <w:sz w:val="20"/>
                <w:szCs w:val="20"/>
              </w:rPr>
              <w:t>,</w:t>
            </w:r>
            <w:r w:rsidRPr="00DF692F">
              <w:rPr>
                <w:rFonts w:ascii="Arial" w:hAnsi="Arial"/>
                <w:b w:val="0"/>
                <w:sz w:val="20"/>
                <w:szCs w:val="20"/>
              </w:rPr>
              <w:t xml:space="preserve"> prior to analysis.</w:t>
            </w:r>
            <w:r w:rsidR="00A177AA" w:rsidRPr="00DF692F">
              <w:rPr>
                <w:rFonts w:ascii="Arial" w:hAnsi="Arial"/>
                <w:b w:val="0"/>
                <w:sz w:val="20"/>
                <w:szCs w:val="20"/>
              </w:rPr>
              <w:t xml:space="preserve"> </w:t>
            </w:r>
            <w:r w:rsidRPr="00DF692F">
              <w:rPr>
                <w:rFonts w:ascii="Arial" w:hAnsi="Arial"/>
                <w:b w:val="0"/>
                <w:sz w:val="20"/>
                <w:szCs w:val="20"/>
              </w:rPr>
              <w:t xml:space="preserve"> See Processing Procedure Manual.</w:t>
            </w:r>
          </w:p>
          <w:p w:rsidR="00A93B78" w:rsidRPr="00DF692F" w:rsidRDefault="00A93B78" w:rsidP="00A93B78">
            <w:pPr>
              <w:pStyle w:val="Heading2"/>
              <w:numPr>
                <w:ilvl w:val="0"/>
                <w:numId w:val="7"/>
              </w:numPr>
              <w:rPr>
                <w:rFonts w:ascii="Arial" w:hAnsi="Arial"/>
                <w:b w:val="0"/>
                <w:sz w:val="20"/>
                <w:szCs w:val="20"/>
              </w:rPr>
            </w:pPr>
            <w:r w:rsidRPr="00DF692F">
              <w:rPr>
                <w:rFonts w:ascii="Arial" w:hAnsi="Arial"/>
                <w:b w:val="0"/>
                <w:sz w:val="20"/>
                <w:szCs w:val="20"/>
              </w:rPr>
              <w:t>Clarify samples having particulate matter, turbidity, lipemia, or erythrocyte debris</w:t>
            </w:r>
          </w:p>
          <w:p w:rsidR="00A93B78" w:rsidRPr="00DF692F" w:rsidRDefault="00A93B78" w:rsidP="00A93B78">
            <w:pPr>
              <w:pStyle w:val="Heading2"/>
              <w:numPr>
                <w:ilvl w:val="0"/>
                <w:numId w:val="7"/>
              </w:numPr>
              <w:rPr>
                <w:rFonts w:ascii="Arial" w:hAnsi="Arial"/>
                <w:b w:val="0"/>
                <w:sz w:val="20"/>
                <w:szCs w:val="20"/>
              </w:rPr>
            </w:pPr>
            <w:r w:rsidRPr="00DF692F">
              <w:rPr>
                <w:rFonts w:ascii="Arial" w:hAnsi="Arial"/>
                <w:b w:val="0"/>
                <w:sz w:val="20"/>
                <w:szCs w:val="20"/>
              </w:rPr>
              <w:t>Remove air bubbles before testing</w:t>
            </w:r>
          </w:p>
          <w:p w:rsidR="00A93B78" w:rsidRPr="00DF692F" w:rsidRDefault="00A93B78" w:rsidP="00A93B78">
            <w:pPr>
              <w:pStyle w:val="Heading2"/>
              <w:numPr>
                <w:ilvl w:val="0"/>
                <w:numId w:val="7"/>
              </w:numPr>
              <w:rPr>
                <w:rFonts w:ascii="Arial" w:hAnsi="Arial"/>
                <w:b w:val="0"/>
                <w:sz w:val="20"/>
                <w:szCs w:val="20"/>
              </w:rPr>
            </w:pPr>
            <w:r w:rsidRPr="00DF692F">
              <w:rPr>
                <w:rFonts w:ascii="Arial" w:hAnsi="Arial"/>
                <w:b w:val="0"/>
                <w:sz w:val="20"/>
                <w:szCs w:val="20"/>
              </w:rPr>
              <w:t>Transfer serum to a properly labeled tube. Minimum labeling includes sample accession ID, and/ or patient name, medical record number, collection date and time.</w:t>
            </w:r>
          </w:p>
          <w:p w:rsidR="00A93B78" w:rsidRPr="00DF692F" w:rsidRDefault="00A93B78" w:rsidP="00A93B78">
            <w:pPr>
              <w:pStyle w:val="Heading2"/>
              <w:numPr>
                <w:ilvl w:val="0"/>
                <w:numId w:val="7"/>
              </w:numPr>
              <w:rPr>
                <w:rFonts w:ascii="Arial" w:hAnsi="Arial"/>
                <w:b w:val="0"/>
                <w:sz w:val="20"/>
                <w:szCs w:val="20"/>
              </w:rPr>
            </w:pPr>
            <w:r w:rsidRPr="00DF692F">
              <w:rPr>
                <w:rFonts w:ascii="Arial" w:hAnsi="Arial"/>
                <w:b w:val="0"/>
                <w:sz w:val="20"/>
                <w:szCs w:val="20"/>
              </w:rPr>
              <w:t>If samples are stored frozen, mix thawed samples well before testing.</w:t>
            </w:r>
          </w:p>
          <w:p w:rsidR="00A93B78" w:rsidRPr="00DF692F" w:rsidRDefault="00A93B78">
            <w:pPr>
              <w:pStyle w:val="Heading2"/>
              <w:numPr>
                <w:ilvl w:val="0"/>
                <w:numId w:val="0"/>
              </w:numPr>
              <w:rPr>
                <w:rFonts w:ascii="Arial" w:hAnsi="Arial"/>
                <w:b w:val="0"/>
                <w:sz w:val="20"/>
                <w:szCs w:val="20"/>
              </w:rPr>
            </w:pPr>
          </w:p>
        </w:tc>
      </w:tr>
      <w:tr w:rsidR="00A93B78" w:rsidRPr="00DF692F" w:rsidTr="007E401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180" w:type="dxa"/>
          <w:cantSplit/>
          <w:trHeight w:val="3060"/>
        </w:trPr>
        <w:tc>
          <w:tcPr>
            <w:tcW w:w="1798" w:type="dxa"/>
            <w:tcBorders>
              <w:top w:val="nil"/>
              <w:left w:val="nil"/>
              <w:bottom w:val="nil"/>
            </w:tcBorders>
          </w:tcPr>
          <w:p w:rsidR="00A93B78" w:rsidRPr="00DF692F" w:rsidRDefault="00A93B78">
            <w:pPr>
              <w:rPr>
                <w:rFonts w:ascii="Arial" w:hAnsi="Arial" w:cs="Arial"/>
                <w:b/>
                <w:bCs/>
                <w:color w:val="0000FF"/>
                <w:sz w:val="20"/>
                <w:szCs w:val="20"/>
              </w:rPr>
            </w:pPr>
          </w:p>
          <w:p w:rsidR="00A93B78" w:rsidRPr="00DF692F" w:rsidRDefault="00A93B78">
            <w:pPr>
              <w:jc w:val="left"/>
              <w:rPr>
                <w:rFonts w:ascii="Arial" w:hAnsi="Arial" w:cs="Arial"/>
                <w:b/>
                <w:bCs/>
                <w:color w:val="0000FF"/>
                <w:sz w:val="20"/>
                <w:szCs w:val="20"/>
              </w:rPr>
            </w:pPr>
            <w:r w:rsidRPr="00DF692F">
              <w:rPr>
                <w:rFonts w:ascii="Arial" w:hAnsi="Arial" w:cs="Arial"/>
                <w:b/>
                <w:bCs/>
                <w:color w:val="0000FF"/>
                <w:sz w:val="20"/>
                <w:szCs w:val="20"/>
              </w:rPr>
              <w:t>Special Safety Precautions</w:t>
            </w:r>
          </w:p>
          <w:p w:rsidR="00A93B78" w:rsidRPr="00DF692F" w:rsidRDefault="00A93B78">
            <w:pPr>
              <w:rPr>
                <w:rFonts w:ascii="Arial" w:hAnsi="Arial" w:cs="Arial"/>
                <w:b/>
                <w:bCs/>
                <w:color w:val="0000FF"/>
                <w:sz w:val="20"/>
                <w:szCs w:val="20"/>
              </w:rPr>
            </w:pPr>
          </w:p>
        </w:tc>
        <w:tc>
          <w:tcPr>
            <w:tcW w:w="9182" w:type="dxa"/>
            <w:gridSpan w:val="3"/>
            <w:tcBorders>
              <w:top w:val="single" w:sz="18" w:space="0" w:color="A6A6A6"/>
              <w:bottom w:val="single" w:sz="18" w:space="0" w:color="A6A6A6"/>
              <w:right w:val="nil"/>
            </w:tcBorders>
          </w:tcPr>
          <w:p w:rsidR="00A93B78" w:rsidRPr="00DF692F" w:rsidRDefault="00A93B78">
            <w:pPr>
              <w:pStyle w:val="Heading2"/>
              <w:numPr>
                <w:ilvl w:val="0"/>
                <w:numId w:val="0"/>
              </w:numPr>
              <w:rPr>
                <w:rFonts w:ascii="Arial" w:hAnsi="Arial"/>
                <w:b w:val="0"/>
                <w:sz w:val="20"/>
                <w:szCs w:val="20"/>
              </w:rPr>
            </w:pPr>
          </w:p>
          <w:p w:rsidR="00A93B78" w:rsidRPr="00DF692F" w:rsidRDefault="00A93B78" w:rsidP="00A93B78">
            <w:pPr>
              <w:pStyle w:val="Heading2"/>
              <w:numPr>
                <w:ilvl w:val="0"/>
                <w:numId w:val="8"/>
              </w:numPr>
              <w:rPr>
                <w:rFonts w:ascii="Arial" w:hAnsi="Arial"/>
                <w:b w:val="0"/>
                <w:sz w:val="20"/>
                <w:szCs w:val="20"/>
              </w:rPr>
            </w:pPr>
            <w:r w:rsidRPr="00DF692F">
              <w:rPr>
                <w:rFonts w:ascii="Arial" w:hAnsi="Arial"/>
                <w:b w:val="0"/>
                <w:sz w:val="20"/>
                <w:szCs w:val="20"/>
              </w:rPr>
              <w:t>All samples, biological reagents and materials used in the assay must be considered potentially able to transmit infectious agents.</w:t>
            </w:r>
          </w:p>
          <w:p w:rsidR="00A93B78" w:rsidRPr="00DF692F" w:rsidRDefault="00A93B78" w:rsidP="00A93B78">
            <w:pPr>
              <w:pStyle w:val="Heading2"/>
              <w:numPr>
                <w:ilvl w:val="0"/>
                <w:numId w:val="8"/>
              </w:numPr>
              <w:rPr>
                <w:rFonts w:ascii="Arial" w:hAnsi="Arial"/>
                <w:b w:val="0"/>
                <w:sz w:val="20"/>
                <w:szCs w:val="20"/>
              </w:rPr>
            </w:pPr>
            <w:r w:rsidRPr="00DF692F">
              <w:rPr>
                <w:rFonts w:ascii="Arial" w:hAnsi="Arial"/>
                <w:b w:val="0"/>
                <w:sz w:val="20"/>
                <w:szCs w:val="20"/>
              </w:rPr>
              <w:t>Specimens should be handled at the BSL 2 level recommended for any potentially infectious human serum or blood specimen.</w:t>
            </w:r>
          </w:p>
          <w:p w:rsidR="00A93B78" w:rsidRPr="00DF692F" w:rsidRDefault="00A93B78" w:rsidP="00A93B78">
            <w:pPr>
              <w:pStyle w:val="Heading2"/>
              <w:numPr>
                <w:ilvl w:val="0"/>
                <w:numId w:val="8"/>
              </w:numPr>
              <w:rPr>
                <w:rFonts w:ascii="Arial" w:hAnsi="Arial"/>
                <w:b w:val="0"/>
                <w:sz w:val="20"/>
                <w:szCs w:val="20"/>
              </w:rPr>
            </w:pPr>
            <w:r w:rsidRPr="00DF692F">
              <w:rPr>
                <w:rFonts w:ascii="Arial" w:hAnsi="Arial"/>
                <w:b w:val="0"/>
                <w:sz w:val="20"/>
                <w:szCs w:val="20"/>
              </w:rPr>
              <w:t>Avoid direct contact with all potentially infectious materials by using protective clothing such as lab coats, protective glasses and disposable gloves. Wash hands at the end of each assay.</w:t>
            </w:r>
          </w:p>
          <w:p w:rsidR="00A93B78" w:rsidRPr="00DF692F" w:rsidRDefault="00A93B78" w:rsidP="00A93B78">
            <w:pPr>
              <w:pStyle w:val="Heading2"/>
              <w:numPr>
                <w:ilvl w:val="0"/>
                <w:numId w:val="8"/>
              </w:numPr>
              <w:rPr>
                <w:rFonts w:ascii="Arial" w:hAnsi="Arial"/>
                <w:b w:val="0"/>
                <w:sz w:val="20"/>
                <w:szCs w:val="20"/>
              </w:rPr>
            </w:pPr>
            <w:r w:rsidRPr="00DF692F">
              <w:rPr>
                <w:rFonts w:ascii="Arial" w:hAnsi="Arial"/>
                <w:b w:val="0"/>
                <w:sz w:val="20"/>
                <w:szCs w:val="20"/>
                <w:lang w:val="en-GB"/>
              </w:rPr>
              <w:t>Some reagents contain sodium azide as a preservative. Flush drains thoroughly with water after disposal.</w:t>
            </w:r>
          </w:p>
          <w:p w:rsidR="00A93B78" w:rsidRPr="00DF692F" w:rsidRDefault="00A93B78" w:rsidP="00A93B78">
            <w:pPr>
              <w:pStyle w:val="Heading2"/>
              <w:numPr>
                <w:ilvl w:val="0"/>
                <w:numId w:val="8"/>
              </w:numPr>
              <w:rPr>
                <w:rFonts w:ascii="Arial" w:hAnsi="Arial"/>
                <w:b w:val="0"/>
                <w:sz w:val="20"/>
                <w:szCs w:val="20"/>
              </w:rPr>
            </w:pPr>
            <w:r w:rsidRPr="00DF692F">
              <w:rPr>
                <w:rFonts w:ascii="Arial" w:hAnsi="Arial"/>
                <w:b w:val="0"/>
                <w:sz w:val="20"/>
                <w:szCs w:val="20"/>
              </w:rPr>
              <w:t xml:space="preserve">Disposable materials must be incinerated; liquid waste must be decontaminated with sodium hypochlorite at a final concentration of 5% for at least half an hour. Any materials to be reused must be autoclaved using an </w:t>
            </w:r>
            <w:r w:rsidRPr="00DF692F">
              <w:rPr>
                <w:rFonts w:ascii="Arial" w:hAnsi="Arial"/>
                <w:b w:val="0"/>
                <w:i/>
                <w:sz w:val="20"/>
                <w:szCs w:val="20"/>
              </w:rPr>
              <w:t xml:space="preserve">overkill </w:t>
            </w:r>
            <w:r w:rsidRPr="00DF692F">
              <w:rPr>
                <w:rFonts w:ascii="Arial" w:hAnsi="Arial"/>
                <w:b w:val="0"/>
                <w:sz w:val="20"/>
                <w:szCs w:val="20"/>
              </w:rPr>
              <w:t>approach.</w:t>
            </w:r>
          </w:p>
          <w:p w:rsidR="00A93B78" w:rsidRPr="00DF692F" w:rsidRDefault="00A93B78">
            <w:pPr>
              <w:pStyle w:val="Heading2"/>
              <w:numPr>
                <w:ilvl w:val="0"/>
                <w:numId w:val="0"/>
              </w:numPr>
              <w:rPr>
                <w:rFonts w:ascii="Arial" w:hAnsi="Arial"/>
                <w:b w:val="0"/>
                <w:sz w:val="20"/>
                <w:szCs w:val="20"/>
              </w:rPr>
            </w:pPr>
          </w:p>
        </w:tc>
      </w:tr>
      <w:tr w:rsidR="00A93B78" w:rsidRPr="00DF692F" w:rsidTr="00A177A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180" w:type="dxa"/>
          <w:cantSplit/>
          <w:trHeight w:val="3897"/>
        </w:trPr>
        <w:tc>
          <w:tcPr>
            <w:tcW w:w="1798" w:type="dxa"/>
            <w:tcBorders>
              <w:top w:val="nil"/>
              <w:left w:val="nil"/>
              <w:bottom w:val="nil"/>
            </w:tcBorders>
          </w:tcPr>
          <w:p w:rsidR="00A93B78" w:rsidRPr="00DF692F" w:rsidRDefault="00A93B78">
            <w:pPr>
              <w:rPr>
                <w:rFonts w:ascii="Arial" w:hAnsi="Arial" w:cs="Arial"/>
                <w:b/>
                <w:bCs/>
                <w:color w:val="0000FF"/>
                <w:sz w:val="20"/>
                <w:szCs w:val="20"/>
              </w:rPr>
            </w:pPr>
          </w:p>
          <w:p w:rsidR="00A93B78" w:rsidRPr="00DF692F" w:rsidRDefault="00A93B78">
            <w:pPr>
              <w:jc w:val="left"/>
              <w:rPr>
                <w:rFonts w:ascii="Arial" w:hAnsi="Arial" w:cs="Arial"/>
                <w:b/>
                <w:bCs/>
                <w:color w:val="0000FF"/>
                <w:sz w:val="20"/>
                <w:szCs w:val="20"/>
              </w:rPr>
            </w:pPr>
            <w:r w:rsidRPr="00DF692F">
              <w:rPr>
                <w:rFonts w:ascii="Arial" w:hAnsi="Arial" w:cs="Arial"/>
                <w:b/>
                <w:bCs/>
                <w:color w:val="0000FF"/>
                <w:sz w:val="20"/>
                <w:szCs w:val="20"/>
              </w:rPr>
              <w:t>Calibration</w:t>
            </w:r>
          </w:p>
        </w:tc>
        <w:tc>
          <w:tcPr>
            <w:tcW w:w="9182" w:type="dxa"/>
            <w:gridSpan w:val="3"/>
            <w:tcBorders>
              <w:top w:val="single" w:sz="18" w:space="0" w:color="A6A6A6"/>
              <w:bottom w:val="single" w:sz="18" w:space="0" w:color="A6A6A6"/>
              <w:right w:val="nil"/>
            </w:tcBorders>
            <w:vAlign w:val="center"/>
          </w:tcPr>
          <w:p w:rsidR="00A93B78" w:rsidRPr="00DF692F" w:rsidRDefault="00A93B78">
            <w:pPr>
              <w:autoSpaceDE w:val="0"/>
              <w:autoSpaceDN w:val="0"/>
              <w:adjustRightInd w:val="0"/>
              <w:jc w:val="left"/>
              <w:rPr>
                <w:rFonts w:ascii="Arial" w:hAnsi="Arial" w:cs="Arial"/>
                <w:sz w:val="20"/>
                <w:szCs w:val="20"/>
              </w:rPr>
            </w:pPr>
            <w:r w:rsidRPr="00DF692F">
              <w:rPr>
                <w:rStyle w:val="SC1607"/>
                <w:rFonts w:ascii="Arial" w:hAnsi="Arial"/>
                <w:sz w:val="20"/>
                <w:szCs w:val="20"/>
              </w:rPr>
              <w:t>Test of assay specific calibrators allows the detected relative light unit (RLU) values to adjust the assigned master curve. Each calibration solution allows four calibrations to be performed</w:t>
            </w:r>
            <w:r w:rsidRPr="00DF692F">
              <w:rPr>
                <w:rFonts w:ascii="Arial" w:hAnsi="Arial" w:cs="Arial"/>
                <w:sz w:val="20"/>
                <w:szCs w:val="20"/>
              </w:rPr>
              <w:t xml:space="preserve">. Refer to the Operator's Manual or </w:t>
            </w:r>
            <w:r w:rsidR="0047575A" w:rsidRPr="00DF692F">
              <w:rPr>
                <w:rFonts w:ascii="Arial" w:hAnsi="Arial" w:cs="Arial"/>
                <w:sz w:val="20"/>
                <w:szCs w:val="20"/>
              </w:rPr>
              <w:t>LIAISON XL</w:t>
            </w:r>
            <w:r w:rsidRPr="00DF692F">
              <w:rPr>
                <w:rFonts w:ascii="Arial" w:hAnsi="Arial" w:cs="Arial"/>
                <w:sz w:val="20"/>
                <w:szCs w:val="20"/>
              </w:rPr>
              <w:t>® Quick Guide for calibration instructions.</w:t>
            </w:r>
          </w:p>
          <w:p w:rsidR="00A93B78" w:rsidRPr="00DF692F" w:rsidRDefault="00A93B78">
            <w:pPr>
              <w:spacing w:before="40" w:after="40"/>
              <w:rPr>
                <w:rFonts w:ascii="Arial" w:hAnsi="Arial" w:cs="Arial"/>
                <w:sz w:val="20"/>
                <w:szCs w:val="20"/>
              </w:rPr>
            </w:pPr>
          </w:p>
          <w:p w:rsidR="00A93B78" w:rsidRPr="00DF692F" w:rsidRDefault="00A177AA">
            <w:pPr>
              <w:spacing w:before="40" w:after="40"/>
              <w:rPr>
                <w:rFonts w:ascii="Arial" w:hAnsi="Arial" w:cs="Arial"/>
                <w:sz w:val="20"/>
                <w:szCs w:val="20"/>
              </w:rPr>
            </w:pPr>
            <w:r w:rsidRPr="00DF692F">
              <w:rPr>
                <w:rFonts w:ascii="Arial" w:hAnsi="Arial" w:cs="Arial"/>
                <w:sz w:val="20"/>
                <w:szCs w:val="20"/>
              </w:rPr>
              <w:t xml:space="preserve">Recalibration </w:t>
            </w:r>
            <w:r w:rsidR="00A93B78" w:rsidRPr="00DF692F">
              <w:rPr>
                <w:rFonts w:ascii="Arial" w:hAnsi="Arial" w:cs="Arial"/>
                <w:sz w:val="20"/>
                <w:szCs w:val="20"/>
              </w:rPr>
              <w:t>is required when</w:t>
            </w:r>
          </w:p>
          <w:p w:rsidR="00A93B78" w:rsidRPr="00DF692F" w:rsidRDefault="00A177AA" w:rsidP="00A93B78">
            <w:pPr>
              <w:numPr>
                <w:ilvl w:val="0"/>
                <w:numId w:val="2"/>
              </w:numPr>
              <w:tabs>
                <w:tab w:val="num" w:pos="1080"/>
              </w:tabs>
              <w:ind w:left="1080"/>
              <w:rPr>
                <w:rFonts w:ascii="Arial" w:hAnsi="Arial" w:cs="Arial"/>
                <w:sz w:val="20"/>
                <w:szCs w:val="20"/>
              </w:rPr>
            </w:pPr>
            <w:r w:rsidRPr="00DF692F">
              <w:rPr>
                <w:rFonts w:ascii="Arial" w:hAnsi="Arial" w:cs="Arial"/>
                <w:sz w:val="20"/>
                <w:szCs w:val="20"/>
              </w:rPr>
              <w:t>With each new lot of reagents (reagent integral or Starter r</w:t>
            </w:r>
            <w:r w:rsidR="00A93B78" w:rsidRPr="00DF692F">
              <w:rPr>
                <w:rFonts w:ascii="Arial" w:hAnsi="Arial" w:cs="Arial"/>
                <w:sz w:val="20"/>
                <w:szCs w:val="20"/>
              </w:rPr>
              <w:t>eagents).</w:t>
            </w:r>
          </w:p>
          <w:p w:rsidR="00A93B78" w:rsidRPr="00DF692F" w:rsidRDefault="00A93B78" w:rsidP="00A93B78">
            <w:pPr>
              <w:numPr>
                <w:ilvl w:val="0"/>
                <w:numId w:val="2"/>
              </w:numPr>
              <w:tabs>
                <w:tab w:val="num" w:pos="1080"/>
              </w:tabs>
              <w:ind w:left="1080"/>
              <w:rPr>
                <w:rFonts w:ascii="Arial" w:hAnsi="Arial" w:cs="Arial"/>
                <w:sz w:val="20"/>
                <w:szCs w:val="20"/>
              </w:rPr>
            </w:pPr>
            <w:r w:rsidRPr="00DF692F">
              <w:rPr>
                <w:rFonts w:ascii="Arial" w:hAnsi="Arial" w:cs="Arial"/>
                <w:sz w:val="20"/>
                <w:szCs w:val="20"/>
              </w:rPr>
              <w:t>Every 14 days.</w:t>
            </w:r>
          </w:p>
          <w:p w:rsidR="00A93B78" w:rsidRPr="00DF692F" w:rsidRDefault="00A93B78" w:rsidP="00A93B78">
            <w:pPr>
              <w:numPr>
                <w:ilvl w:val="0"/>
                <w:numId w:val="2"/>
              </w:numPr>
              <w:tabs>
                <w:tab w:val="num" w:pos="1080"/>
              </w:tabs>
              <w:ind w:left="1080"/>
              <w:rPr>
                <w:rFonts w:ascii="Arial" w:hAnsi="Arial" w:cs="Arial"/>
                <w:sz w:val="20"/>
                <w:szCs w:val="20"/>
              </w:rPr>
            </w:pPr>
            <w:r w:rsidRPr="00DF692F">
              <w:rPr>
                <w:rFonts w:ascii="Arial" w:hAnsi="Arial" w:cs="Arial"/>
                <w:sz w:val="20"/>
                <w:szCs w:val="20"/>
              </w:rPr>
              <w:t xml:space="preserve">After servicing the </w:t>
            </w:r>
            <w:r w:rsidR="0047575A" w:rsidRPr="00DF692F">
              <w:rPr>
                <w:rFonts w:ascii="Arial" w:hAnsi="Arial" w:cs="Arial"/>
                <w:sz w:val="20"/>
                <w:szCs w:val="20"/>
              </w:rPr>
              <w:t>LIAISON XL</w:t>
            </w:r>
            <w:r w:rsidRPr="00DF692F">
              <w:rPr>
                <w:rFonts w:ascii="Arial" w:hAnsi="Arial" w:cs="Arial"/>
                <w:sz w:val="20"/>
                <w:szCs w:val="20"/>
                <w:vertAlign w:val="superscript"/>
              </w:rPr>
              <w:t>®</w:t>
            </w:r>
            <w:r w:rsidRPr="00DF692F">
              <w:rPr>
                <w:rFonts w:ascii="Arial" w:hAnsi="Arial" w:cs="Arial"/>
                <w:sz w:val="20"/>
                <w:szCs w:val="20"/>
              </w:rPr>
              <w:t xml:space="preserve"> Analyzer.</w:t>
            </w:r>
          </w:p>
          <w:p w:rsidR="00A93B78" w:rsidRPr="00DF692F" w:rsidRDefault="00A93B78" w:rsidP="00A93B78">
            <w:pPr>
              <w:numPr>
                <w:ilvl w:val="0"/>
                <w:numId w:val="2"/>
              </w:numPr>
              <w:tabs>
                <w:tab w:val="num" w:pos="1080"/>
              </w:tabs>
              <w:ind w:left="1080"/>
              <w:rPr>
                <w:rFonts w:ascii="Arial" w:hAnsi="Arial" w:cs="Arial"/>
                <w:sz w:val="20"/>
                <w:szCs w:val="20"/>
              </w:rPr>
            </w:pPr>
            <w:r w:rsidRPr="00DF692F">
              <w:rPr>
                <w:rFonts w:ascii="Arial" w:hAnsi="Arial" w:cs="Arial"/>
                <w:sz w:val="20"/>
                <w:szCs w:val="20"/>
              </w:rPr>
              <w:t>If q</w:t>
            </w:r>
            <w:r w:rsidR="00A177AA" w:rsidRPr="00DF692F">
              <w:rPr>
                <w:rFonts w:ascii="Arial" w:hAnsi="Arial" w:cs="Arial"/>
                <w:sz w:val="20"/>
                <w:szCs w:val="20"/>
              </w:rPr>
              <w:t xml:space="preserve">uality controls are out of </w:t>
            </w:r>
            <w:r w:rsidRPr="00DF692F">
              <w:rPr>
                <w:rFonts w:ascii="Arial" w:hAnsi="Arial" w:cs="Arial"/>
                <w:sz w:val="20"/>
                <w:szCs w:val="20"/>
              </w:rPr>
              <w:t>acceptable range.</w:t>
            </w:r>
          </w:p>
          <w:p w:rsidR="00A93B78" w:rsidRPr="00DF692F" w:rsidRDefault="00A93B78">
            <w:pPr>
              <w:tabs>
                <w:tab w:val="num" w:pos="1080"/>
              </w:tabs>
              <w:rPr>
                <w:rStyle w:val="SC1658"/>
                <w:rFonts w:ascii="Arial" w:hAnsi="Arial"/>
                <w:sz w:val="20"/>
                <w:szCs w:val="20"/>
              </w:rPr>
            </w:pPr>
            <w:r w:rsidRPr="00DF692F">
              <w:rPr>
                <w:rStyle w:val="SC1658"/>
                <w:rFonts w:ascii="Arial" w:hAnsi="Arial"/>
                <w:sz w:val="20"/>
                <w:szCs w:val="20"/>
              </w:rPr>
              <w:t>Calibrator values are stored in the bar codes on the integral label.</w:t>
            </w:r>
          </w:p>
          <w:p w:rsidR="00A93B78" w:rsidRPr="00DF692F" w:rsidRDefault="00A93B78">
            <w:pPr>
              <w:tabs>
                <w:tab w:val="num" w:pos="1080"/>
              </w:tabs>
              <w:rPr>
                <w:rFonts w:ascii="Arial" w:hAnsi="Arial" w:cs="Arial"/>
                <w:sz w:val="20"/>
                <w:szCs w:val="20"/>
              </w:rPr>
            </w:pPr>
          </w:p>
          <w:p w:rsidR="00A93B78" w:rsidRPr="00DF692F" w:rsidRDefault="00A93B78">
            <w:pPr>
              <w:tabs>
                <w:tab w:val="num" w:pos="1080"/>
              </w:tabs>
              <w:rPr>
                <w:rFonts w:ascii="Arial" w:hAnsi="Arial" w:cs="Arial"/>
                <w:iCs/>
                <w:sz w:val="20"/>
                <w:szCs w:val="20"/>
              </w:rPr>
            </w:pPr>
            <w:r w:rsidRPr="00DF692F">
              <w:rPr>
                <w:rFonts w:ascii="Arial" w:hAnsi="Arial" w:cs="Arial"/>
                <w:sz w:val="20"/>
                <w:szCs w:val="20"/>
              </w:rPr>
              <w:t>Comparable results verify the new reagent lot. Discrepant results must be resolved before the reagent can be used for patient testing.</w:t>
            </w:r>
          </w:p>
        </w:tc>
      </w:tr>
      <w:tr w:rsidR="00A93B78" w:rsidRPr="00DF692F" w:rsidTr="00EE1F45">
        <w:trPr>
          <w:gridAfter w:val="1"/>
          <w:wAfter w:w="53" w:type="dxa"/>
          <w:cantSplit/>
          <w:trHeight w:val="1065"/>
          <w:tblHeader/>
        </w:trPr>
        <w:tc>
          <w:tcPr>
            <w:tcW w:w="1798" w:type="dxa"/>
            <w:tcBorders>
              <w:top w:val="nil"/>
              <w:left w:val="nil"/>
              <w:bottom w:val="nil"/>
              <w:right w:val="nil"/>
            </w:tcBorders>
            <w:vAlign w:val="center"/>
          </w:tcPr>
          <w:p w:rsidR="00A93B78" w:rsidRPr="00DF692F" w:rsidRDefault="00A93B78">
            <w:pPr>
              <w:rPr>
                <w:rFonts w:ascii="Arial" w:hAnsi="Arial" w:cs="Arial"/>
                <w:b/>
                <w:bCs/>
                <w:color w:val="0000FF"/>
                <w:sz w:val="20"/>
                <w:szCs w:val="20"/>
              </w:rPr>
            </w:pPr>
            <w:r w:rsidRPr="00DF692F">
              <w:rPr>
                <w:rFonts w:ascii="Arial" w:hAnsi="Arial" w:cs="Arial"/>
                <w:b/>
                <w:bCs/>
                <w:color w:val="0000FF"/>
                <w:sz w:val="20"/>
                <w:szCs w:val="20"/>
              </w:rPr>
              <w:t>Analytical Measuring Range (AMR)</w:t>
            </w:r>
          </w:p>
        </w:tc>
        <w:tc>
          <w:tcPr>
            <w:tcW w:w="9309" w:type="dxa"/>
            <w:gridSpan w:val="4"/>
            <w:tcBorders>
              <w:left w:val="nil"/>
              <w:bottom w:val="single" w:sz="18" w:space="0" w:color="AEAAAA"/>
              <w:right w:val="nil"/>
            </w:tcBorders>
            <w:vAlign w:val="center"/>
          </w:tcPr>
          <w:p w:rsidR="00A93B78" w:rsidRPr="00DF692F" w:rsidRDefault="00A93B78" w:rsidP="00036E34">
            <w:pPr>
              <w:rPr>
                <w:rFonts w:ascii="Arial" w:hAnsi="Arial" w:cs="Arial"/>
                <w:sz w:val="20"/>
                <w:szCs w:val="20"/>
              </w:rPr>
            </w:pPr>
            <w:r w:rsidRPr="00DF692F">
              <w:rPr>
                <w:rFonts w:ascii="Arial" w:hAnsi="Arial" w:cs="Arial"/>
                <w:sz w:val="20"/>
                <w:szCs w:val="20"/>
              </w:rPr>
              <w:t xml:space="preserve">EBNA IgG </w:t>
            </w:r>
            <w:r w:rsidR="00036E34" w:rsidRPr="00DF692F">
              <w:rPr>
                <w:rFonts w:ascii="Arial" w:hAnsi="Arial" w:cs="Arial"/>
                <w:sz w:val="20"/>
                <w:szCs w:val="20"/>
              </w:rPr>
              <w:t xml:space="preserve">is an FDA-cleared/approved </w:t>
            </w:r>
            <w:r w:rsidR="00036E34" w:rsidRPr="00DF692F">
              <w:rPr>
                <w:rFonts w:ascii="Arial" w:hAnsi="Arial" w:cs="Arial"/>
                <w:iCs/>
                <w:sz w:val="20"/>
                <w:szCs w:val="20"/>
              </w:rPr>
              <w:t>in vitro</w:t>
            </w:r>
            <w:r w:rsidR="00036E34" w:rsidRPr="00DF692F">
              <w:rPr>
                <w:rFonts w:ascii="Arial" w:hAnsi="Arial" w:cs="Arial"/>
                <w:sz w:val="20"/>
                <w:szCs w:val="20"/>
              </w:rPr>
              <w:t xml:space="preserve"> diagnostic assay that reports the qualitative result based on a predefined cut-off value. Verification of AMR or the cut-off value is not required by CAP or CLIA.</w:t>
            </w:r>
            <w:r w:rsidR="00F60EA0" w:rsidRPr="00DF692F">
              <w:rPr>
                <w:rFonts w:ascii="Arial" w:hAnsi="Arial" w:cs="Arial"/>
                <w:sz w:val="20"/>
                <w:szCs w:val="20"/>
              </w:rPr>
              <w:t xml:space="preserve">  DiaSorin stated AMR is 3.00-600.00 U/</w:t>
            </w:r>
            <w:proofErr w:type="spellStart"/>
            <w:r w:rsidR="00F60EA0" w:rsidRPr="00DF692F">
              <w:rPr>
                <w:rFonts w:ascii="Arial" w:hAnsi="Arial" w:cs="Arial"/>
                <w:sz w:val="20"/>
                <w:szCs w:val="20"/>
              </w:rPr>
              <w:t>mL.</w:t>
            </w:r>
            <w:proofErr w:type="spellEnd"/>
          </w:p>
        </w:tc>
      </w:tr>
      <w:tr w:rsidR="00A93B78" w:rsidRPr="00DF692F" w:rsidTr="00EE1F4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180" w:type="dxa"/>
          <w:cantSplit/>
          <w:trHeight w:val="5160"/>
        </w:trPr>
        <w:tc>
          <w:tcPr>
            <w:tcW w:w="1798" w:type="dxa"/>
            <w:tcBorders>
              <w:top w:val="nil"/>
              <w:left w:val="nil"/>
              <w:bottom w:val="nil"/>
            </w:tcBorders>
          </w:tcPr>
          <w:p w:rsidR="00A93B78" w:rsidRPr="00DF692F" w:rsidRDefault="00A93B78">
            <w:pPr>
              <w:rPr>
                <w:rFonts w:ascii="Arial" w:hAnsi="Arial" w:cs="Arial"/>
                <w:b/>
                <w:bCs/>
                <w:color w:val="0000FF"/>
                <w:sz w:val="20"/>
                <w:szCs w:val="20"/>
              </w:rPr>
            </w:pPr>
          </w:p>
          <w:p w:rsidR="00A93B78" w:rsidRPr="00DF692F" w:rsidRDefault="00A93B78">
            <w:pPr>
              <w:jc w:val="left"/>
              <w:rPr>
                <w:rFonts w:ascii="Arial" w:hAnsi="Arial" w:cs="Arial"/>
                <w:b/>
                <w:bCs/>
                <w:color w:val="0000FF"/>
                <w:sz w:val="20"/>
                <w:szCs w:val="20"/>
              </w:rPr>
            </w:pPr>
            <w:r w:rsidRPr="00DF692F">
              <w:rPr>
                <w:rFonts w:ascii="Arial" w:hAnsi="Arial" w:cs="Arial"/>
                <w:b/>
                <w:bCs/>
                <w:color w:val="0000FF"/>
                <w:sz w:val="20"/>
                <w:szCs w:val="20"/>
              </w:rPr>
              <w:t>Quality Control</w:t>
            </w:r>
          </w:p>
          <w:p w:rsidR="00A93B78" w:rsidRPr="00DF692F" w:rsidRDefault="00A93B78" w:rsidP="00FD451D">
            <w:pPr>
              <w:rPr>
                <w:rFonts w:ascii="Arial" w:hAnsi="Arial" w:cs="Arial"/>
                <w:b/>
                <w:bCs/>
                <w:color w:val="0000FF"/>
                <w:sz w:val="20"/>
                <w:szCs w:val="20"/>
              </w:rPr>
            </w:pPr>
          </w:p>
        </w:tc>
        <w:tc>
          <w:tcPr>
            <w:tcW w:w="9182" w:type="dxa"/>
            <w:gridSpan w:val="3"/>
            <w:tcBorders>
              <w:top w:val="single" w:sz="18" w:space="0" w:color="AEAAAA"/>
              <w:bottom w:val="single" w:sz="18" w:space="0" w:color="A6A6A6"/>
              <w:right w:val="nil"/>
            </w:tcBorders>
          </w:tcPr>
          <w:p w:rsidR="00A93B78" w:rsidRPr="00DF692F" w:rsidRDefault="00682B02" w:rsidP="00682B02">
            <w:pPr>
              <w:rPr>
                <w:rFonts w:ascii="Arial" w:hAnsi="Arial" w:cs="Arial"/>
                <w:sz w:val="20"/>
                <w:szCs w:val="20"/>
              </w:rPr>
            </w:pPr>
            <w:r w:rsidRPr="00DF692F">
              <w:rPr>
                <w:rStyle w:val="SC1647"/>
                <w:rFonts w:ascii="Arial" w:hAnsi="Arial" w:cs="Arial"/>
                <w:sz w:val="20"/>
                <w:szCs w:val="20"/>
              </w:rPr>
              <w:t>LIAISON</w:t>
            </w:r>
            <w:r w:rsidRPr="00DF692F">
              <w:rPr>
                <w:rStyle w:val="SC1652"/>
                <w:rFonts w:ascii="Arial" w:hAnsi="Arial" w:cs="Arial"/>
                <w:sz w:val="20"/>
                <w:szCs w:val="20"/>
              </w:rPr>
              <w:t xml:space="preserve">® </w:t>
            </w:r>
            <w:r w:rsidRPr="00DF692F">
              <w:rPr>
                <w:rStyle w:val="SC1647"/>
                <w:rFonts w:ascii="Arial" w:hAnsi="Arial" w:cs="Arial"/>
                <w:sz w:val="20"/>
                <w:szCs w:val="20"/>
              </w:rPr>
              <w:t>EBNA IgG Serum Control Set (</w:t>
            </w:r>
            <w:r w:rsidRPr="00DF692F">
              <w:rPr>
                <w:rStyle w:val="SC1644"/>
                <w:rFonts w:ascii="Arial" w:hAnsi="Arial" w:cs="Arial"/>
                <w:sz w:val="20"/>
                <w:szCs w:val="20"/>
              </w:rPr>
              <w:t xml:space="preserve">[REF] </w:t>
            </w:r>
            <w:r w:rsidRPr="00DF692F">
              <w:rPr>
                <w:rStyle w:val="SC1647"/>
                <w:rFonts w:ascii="Arial" w:hAnsi="Arial" w:cs="Arial"/>
                <w:sz w:val="20"/>
                <w:szCs w:val="20"/>
              </w:rPr>
              <w:t>310522)</w:t>
            </w:r>
            <w:r w:rsidRPr="00DF692F">
              <w:rPr>
                <w:rFonts w:ascii="Arial" w:hAnsi="Arial" w:cs="Arial"/>
                <w:sz w:val="20"/>
                <w:szCs w:val="20"/>
              </w:rPr>
              <w:t xml:space="preserve"> </w:t>
            </w:r>
            <w:r w:rsidR="00A93B78" w:rsidRPr="00DF692F">
              <w:rPr>
                <w:rFonts w:ascii="Arial" w:hAnsi="Arial" w:cs="Arial"/>
                <w:sz w:val="20"/>
                <w:szCs w:val="20"/>
              </w:rPr>
              <w:t>are used for monitoring substantial reagent failure of the LIAISON® EBNA IgG chemiluminescent immunoassay (CLIA).</w:t>
            </w:r>
          </w:p>
          <w:p w:rsidR="00A93B78" w:rsidRPr="00DF692F" w:rsidRDefault="00A93B78" w:rsidP="00A93B78">
            <w:pPr>
              <w:numPr>
                <w:ilvl w:val="0"/>
                <w:numId w:val="10"/>
              </w:numPr>
              <w:autoSpaceDE w:val="0"/>
              <w:autoSpaceDN w:val="0"/>
              <w:adjustRightInd w:val="0"/>
              <w:jc w:val="left"/>
              <w:rPr>
                <w:rFonts w:ascii="Arial" w:hAnsi="Arial" w:cs="Arial"/>
                <w:sz w:val="20"/>
                <w:szCs w:val="20"/>
              </w:rPr>
            </w:pPr>
            <w:r w:rsidRPr="00DF692F">
              <w:rPr>
                <w:rFonts w:ascii="Arial" w:hAnsi="Arial" w:cs="Arial"/>
                <w:sz w:val="20"/>
                <w:szCs w:val="20"/>
              </w:rPr>
              <w:t>Negative control (0.9 mL x 2 vials) containing a barcode label</w:t>
            </w:r>
          </w:p>
          <w:p w:rsidR="00A93B78" w:rsidRPr="00DF692F" w:rsidRDefault="00A93B78" w:rsidP="00A93B78">
            <w:pPr>
              <w:numPr>
                <w:ilvl w:val="0"/>
                <w:numId w:val="10"/>
              </w:numPr>
              <w:spacing w:before="20"/>
              <w:rPr>
                <w:rFonts w:ascii="Arial" w:hAnsi="Arial" w:cs="Arial"/>
                <w:sz w:val="20"/>
                <w:szCs w:val="20"/>
              </w:rPr>
            </w:pPr>
            <w:r w:rsidRPr="00DF692F">
              <w:rPr>
                <w:rFonts w:ascii="Arial" w:hAnsi="Arial" w:cs="Arial"/>
                <w:sz w:val="20"/>
                <w:szCs w:val="20"/>
              </w:rPr>
              <w:t>Positive control (0.9 mL x 2 vials) containing a barcode label</w:t>
            </w:r>
          </w:p>
          <w:p w:rsidR="00A93B78" w:rsidRPr="00DF692F" w:rsidRDefault="00A93B78" w:rsidP="00A93B78">
            <w:pPr>
              <w:numPr>
                <w:ilvl w:val="0"/>
                <w:numId w:val="3"/>
              </w:numPr>
              <w:rPr>
                <w:rFonts w:ascii="Arial" w:hAnsi="Arial" w:cs="Arial"/>
                <w:sz w:val="20"/>
                <w:szCs w:val="20"/>
              </w:rPr>
            </w:pPr>
            <w:r w:rsidRPr="00DF692F">
              <w:rPr>
                <w:rFonts w:ascii="Arial" w:hAnsi="Arial" w:cs="Arial"/>
                <w:sz w:val="20"/>
                <w:szCs w:val="20"/>
              </w:rPr>
              <w:t>Allow controls to reach room temperature prior to use. Return controls to the refrigerator immediately after each use.</w:t>
            </w:r>
          </w:p>
          <w:p w:rsidR="00A93B78" w:rsidRPr="00DF692F" w:rsidRDefault="00A93B78">
            <w:pPr>
              <w:pStyle w:val="Header"/>
              <w:tabs>
                <w:tab w:val="clear" w:pos="4320"/>
                <w:tab w:val="clear" w:pos="8640"/>
              </w:tabs>
              <w:rPr>
                <w:rFonts w:ascii="Arial" w:hAnsi="Arial" w:cs="Arial"/>
                <w:b/>
                <w:bCs/>
                <w:sz w:val="20"/>
                <w:szCs w:val="20"/>
              </w:rPr>
            </w:pPr>
          </w:p>
          <w:p w:rsidR="00A93B78" w:rsidRPr="00DF692F" w:rsidRDefault="00A93B78">
            <w:pPr>
              <w:pStyle w:val="Header"/>
              <w:tabs>
                <w:tab w:val="clear" w:pos="4320"/>
                <w:tab w:val="clear" w:pos="8640"/>
              </w:tabs>
              <w:rPr>
                <w:rFonts w:ascii="Arial" w:hAnsi="Arial" w:cs="Arial"/>
                <w:sz w:val="20"/>
                <w:szCs w:val="20"/>
              </w:rPr>
            </w:pPr>
            <w:r w:rsidRPr="00DF692F">
              <w:rPr>
                <w:rFonts w:ascii="Arial" w:hAnsi="Arial" w:cs="Arial"/>
                <w:b/>
                <w:bCs/>
                <w:sz w:val="20"/>
                <w:szCs w:val="20"/>
              </w:rPr>
              <w:t>Frequency:</w:t>
            </w:r>
            <w:r w:rsidRPr="00DF692F">
              <w:rPr>
                <w:rFonts w:ascii="Arial" w:hAnsi="Arial" w:cs="Arial"/>
                <w:sz w:val="20"/>
                <w:szCs w:val="20"/>
              </w:rPr>
              <w:t xml:space="preserve"> Run 2 levels with each calibration curve. Load the bar-coded control vials into the “</w:t>
            </w:r>
            <w:r w:rsidR="00FD451D" w:rsidRPr="00DF692F">
              <w:rPr>
                <w:rFonts w:ascii="Arial" w:hAnsi="Arial" w:cs="Arial"/>
                <w:sz w:val="20"/>
                <w:szCs w:val="20"/>
              </w:rPr>
              <w:t>T</w:t>
            </w:r>
            <w:r w:rsidRPr="00DF692F">
              <w:rPr>
                <w:rFonts w:ascii="Arial" w:hAnsi="Arial" w:cs="Arial"/>
                <w:sz w:val="20"/>
                <w:szCs w:val="20"/>
              </w:rPr>
              <w:t>” rack on the Liaison</w:t>
            </w:r>
            <w:r w:rsidR="00FD451D" w:rsidRPr="00DF692F">
              <w:rPr>
                <w:rFonts w:ascii="Arial" w:hAnsi="Arial" w:cs="Arial"/>
                <w:sz w:val="20"/>
                <w:szCs w:val="20"/>
              </w:rPr>
              <w:t xml:space="preserve"> XL.</w:t>
            </w:r>
          </w:p>
          <w:p w:rsidR="00A93B78" w:rsidRPr="00DF692F" w:rsidRDefault="00A93B78">
            <w:pPr>
              <w:rPr>
                <w:rFonts w:ascii="Arial" w:hAnsi="Arial" w:cs="Arial"/>
                <w:sz w:val="20"/>
                <w:szCs w:val="20"/>
              </w:rPr>
            </w:pPr>
          </w:p>
          <w:p w:rsidR="00A93B78" w:rsidRPr="00DF692F" w:rsidRDefault="00A93B78">
            <w:pPr>
              <w:autoSpaceDE w:val="0"/>
              <w:autoSpaceDN w:val="0"/>
              <w:adjustRightInd w:val="0"/>
              <w:jc w:val="left"/>
              <w:rPr>
                <w:rFonts w:ascii="Arial" w:hAnsi="Arial" w:cs="Arial"/>
                <w:sz w:val="20"/>
                <w:szCs w:val="20"/>
              </w:rPr>
            </w:pPr>
            <w:r w:rsidRPr="00DF692F">
              <w:rPr>
                <w:rFonts w:ascii="Arial" w:hAnsi="Arial" w:cs="Arial"/>
                <w:b/>
                <w:bCs/>
                <w:sz w:val="20"/>
                <w:szCs w:val="20"/>
              </w:rPr>
              <w:t>Stability:</w:t>
            </w:r>
            <w:r w:rsidRPr="00DF692F">
              <w:rPr>
                <w:rFonts w:ascii="Arial" w:hAnsi="Arial" w:cs="Arial"/>
                <w:sz w:val="20"/>
                <w:szCs w:val="20"/>
              </w:rPr>
              <w:t xml:space="preserve"> </w:t>
            </w:r>
          </w:p>
          <w:p w:rsidR="00A93B78" w:rsidRPr="00DF692F" w:rsidRDefault="00A93B78">
            <w:pPr>
              <w:autoSpaceDE w:val="0"/>
              <w:autoSpaceDN w:val="0"/>
              <w:adjustRightInd w:val="0"/>
              <w:jc w:val="left"/>
              <w:rPr>
                <w:rFonts w:ascii="Arial" w:hAnsi="Arial" w:cs="Arial"/>
                <w:sz w:val="20"/>
                <w:szCs w:val="20"/>
              </w:rPr>
            </w:pPr>
            <w:r w:rsidRPr="00DF692F">
              <w:rPr>
                <w:rFonts w:ascii="Arial" w:hAnsi="Arial" w:cs="Arial"/>
                <w:sz w:val="20"/>
                <w:szCs w:val="20"/>
              </w:rPr>
              <w:t xml:space="preserve">Unopened: Store at 2-8°C. Stable until the date on vial. Do not use past the expiration date </w:t>
            </w:r>
          </w:p>
          <w:p w:rsidR="00A93B78" w:rsidRPr="00DF692F" w:rsidRDefault="00FD451D">
            <w:pPr>
              <w:autoSpaceDE w:val="0"/>
              <w:autoSpaceDN w:val="0"/>
              <w:adjustRightInd w:val="0"/>
              <w:jc w:val="left"/>
              <w:rPr>
                <w:rFonts w:ascii="Arial" w:hAnsi="Arial" w:cs="Arial"/>
                <w:sz w:val="20"/>
                <w:szCs w:val="20"/>
              </w:rPr>
            </w:pPr>
            <w:r w:rsidRPr="00DF692F">
              <w:rPr>
                <w:rFonts w:ascii="Arial" w:hAnsi="Arial" w:cs="Arial"/>
                <w:sz w:val="20"/>
                <w:szCs w:val="20"/>
              </w:rPr>
              <w:t>Opened: 8</w:t>
            </w:r>
            <w:r w:rsidR="00A93B78" w:rsidRPr="00DF692F">
              <w:rPr>
                <w:rFonts w:ascii="Arial" w:hAnsi="Arial" w:cs="Arial"/>
                <w:sz w:val="20"/>
                <w:szCs w:val="20"/>
              </w:rPr>
              <w:t xml:space="preserve"> weeks at 2-8°C between uses. </w:t>
            </w:r>
          </w:p>
          <w:p w:rsidR="00A93B78" w:rsidRPr="00DF692F" w:rsidRDefault="00A93B78">
            <w:pPr>
              <w:rPr>
                <w:rFonts w:ascii="Arial" w:hAnsi="Arial" w:cs="Arial"/>
                <w:sz w:val="20"/>
                <w:szCs w:val="20"/>
              </w:rPr>
            </w:pPr>
          </w:p>
          <w:p w:rsidR="00FD451D" w:rsidRPr="00DF692F" w:rsidRDefault="00FD451D" w:rsidP="00FD451D">
            <w:pPr>
              <w:rPr>
                <w:rFonts w:ascii="Arial" w:hAnsi="Arial" w:cs="Arial"/>
                <w:sz w:val="20"/>
                <w:szCs w:val="20"/>
              </w:rPr>
            </w:pPr>
            <w:r w:rsidRPr="00DF692F">
              <w:rPr>
                <w:rFonts w:ascii="Arial" w:hAnsi="Arial" w:cs="Arial"/>
                <w:b/>
                <w:bCs/>
                <w:sz w:val="20"/>
                <w:szCs w:val="20"/>
              </w:rPr>
              <w:t>Acceptable ranges:</w:t>
            </w:r>
            <w:r w:rsidRPr="00DF692F">
              <w:rPr>
                <w:rFonts w:ascii="Arial" w:hAnsi="Arial" w:cs="Arial"/>
                <w:sz w:val="20"/>
                <w:szCs w:val="20"/>
              </w:rPr>
              <w:t xml:space="preserve"> </w:t>
            </w:r>
          </w:p>
          <w:p w:rsidR="00FD451D" w:rsidRPr="00DF692F" w:rsidRDefault="00FD451D" w:rsidP="00FD451D">
            <w:pPr>
              <w:pStyle w:val="ListParagraph"/>
              <w:numPr>
                <w:ilvl w:val="0"/>
                <w:numId w:val="17"/>
              </w:numPr>
              <w:jc w:val="both"/>
              <w:rPr>
                <w:rFonts w:cs="Arial"/>
                <w:szCs w:val="20"/>
              </w:rPr>
            </w:pPr>
            <w:r w:rsidRPr="00DF692F">
              <w:rPr>
                <w:rFonts w:cs="Arial"/>
                <w:szCs w:val="20"/>
              </w:rPr>
              <w:t xml:space="preserve">Non-Bio-Rad controls will utilize manufacturer ranges and 2 SD Westgard rules.  </w:t>
            </w:r>
          </w:p>
          <w:p w:rsidR="00FD451D" w:rsidRPr="00DF692F" w:rsidRDefault="00FD451D" w:rsidP="00FD451D">
            <w:pPr>
              <w:pStyle w:val="ListParagraph"/>
              <w:numPr>
                <w:ilvl w:val="0"/>
                <w:numId w:val="17"/>
              </w:numPr>
              <w:jc w:val="both"/>
              <w:rPr>
                <w:rFonts w:cs="Arial"/>
                <w:szCs w:val="20"/>
              </w:rPr>
            </w:pPr>
            <w:r w:rsidRPr="00DF692F">
              <w:rPr>
                <w:rFonts w:cs="Arial"/>
                <w:szCs w:val="20"/>
              </w:rPr>
              <w:t xml:space="preserve">New lots of Bio-Rad controls should be run for 20 days in parallel with the current lot whenever possible prior to switching to the new lot.  </w:t>
            </w:r>
          </w:p>
          <w:p w:rsidR="00FD451D" w:rsidRPr="00DF692F" w:rsidRDefault="00FD451D" w:rsidP="00FD451D">
            <w:pPr>
              <w:pStyle w:val="ListParagraph"/>
              <w:numPr>
                <w:ilvl w:val="0"/>
                <w:numId w:val="17"/>
              </w:numPr>
              <w:jc w:val="both"/>
              <w:rPr>
                <w:rFonts w:cs="Arial"/>
                <w:szCs w:val="20"/>
              </w:rPr>
            </w:pPr>
            <w:r w:rsidRPr="00DF692F">
              <w:rPr>
                <w:rFonts w:cs="Arial"/>
                <w:szCs w:val="20"/>
              </w:rPr>
              <w:t xml:space="preserve">Refer to the </w:t>
            </w:r>
            <w:hyperlink r:id="rId8" w:history="1">
              <w:r w:rsidRPr="00DF692F">
                <w:rPr>
                  <w:rStyle w:val="Hyperlink"/>
                  <w:rFonts w:cs="Arial"/>
                  <w:szCs w:val="20"/>
                </w:rPr>
                <w:t>Westgard Rules in Chemistry procedure</w:t>
              </w:r>
            </w:hyperlink>
            <w:r w:rsidRPr="00DF692F">
              <w:rPr>
                <w:rFonts w:cs="Arial"/>
                <w:szCs w:val="20"/>
              </w:rPr>
              <w:t xml:space="preserve"> for current Westgard rules in place for each analyte.  </w:t>
            </w:r>
          </w:p>
          <w:p w:rsidR="00FD451D" w:rsidRPr="00DF692F" w:rsidRDefault="00FD451D" w:rsidP="00FD451D">
            <w:pPr>
              <w:numPr>
                <w:ilvl w:val="0"/>
                <w:numId w:val="17"/>
              </w:numPr>
              <w:autoSpaceDE w:val="0"/>
              <w:autoSpaceDN w:val="0"/>
              <w:adjustRightInd w:val="0"/>
              <w:rPr>
                <w:rFonts w:ascii="Arial" w:hAnsi="Arial" w:cs="Arial"/>
                <w:sz w:val="20"/>
                <w:szCs w:val="20"/>
              </w:rPr>
            </w:pPr>
            <w:r w:rsidRPr="00DF692F">
              <w:rPr>
                <w:rFonts w:ascii="Arial" w:hAnsi="Arial" w:cs="Arial"/>
                <w:b/>
                <w:sz w:val="20"/>
                <w:szCs w:val="20"/>
              </w:rPr>
              <w:t>Acceptable ranges are current in Unity Real Time only.</w:t>
            </w:r>
            <w:r w:rsidRPr="00DF692F">
              <w:rPr>
                <w:rFonts w:ascii="Arial" w:hAnsi="Arial" w:cs="Arial"/>
                <w:sz w:val="20"/>
                <w:szCs w:val="20"/>
              </w:rPr>
              <w:t xml:space="preserve">  Quality Control results must be rejected in Sunquest when the results cross the interface.  </w:t>
            </w:r>
          </w:p>
          <w:p w:rsidR="00FD451D" w:rsidRPr="00DF692F" w:rsidRDefault="00FD451D" w:rsidP="00FD451D">
            <w:pPr>
              <w:numPr>
                <w:ilvl w:val="0"/>
                <w:numId w:val="17"/>
              </w:numPr>
              <w:autoSpaceDE w:val="0"/>
              <w:autoSpaceDN w:val="0"/>
              <w:adjustRightInd w:val="0"/>
              <w:rPr>
                <w:rFonts w:ascii="Arial" w:hAnsi="Arial" w:cs="Arial"/>
                <w:color w:val="000000"/>
                <w:sz w:val="20"/>
                <w:szCs w:val="20"/>
              </w:rPr>
            </w:pPr>
            <w:r w:rsidRPr="00DF692F">
              <w:rPr>
                <w:rFonts w:ascii="Arial" w:hAnsi="Arial" w:cs="Arial"/>
                <w:sz w:val="20"/>
                <w:szCs w:val="20"/>
              </w:rPr>
              <w:t xml:space="preserve">In the event of a QC failure, refer to the </w:t>
            </w:r>
            <w:hyperlink r:id="rId9" w:history="1">
              <w:r w:rsidRPr="00DF692F">
                <w:rPr>
                  <w:rStyle w:val="Hyperlink"/>
                  <w:rFonts w:ascii="Arial" w:hAnsi="Arial" w:cs="Arial"/>
                  <w:sz w:val="20"/>
                  <w:szCs w:val="20"/>
                </w:rPr>
                <w:t>Unity Real Time QC Review, General User</w:t>
              </w:r>
            </w:hyperlink>
            <w:r w:rsidRPr="00DF692F">
              <w:rPr>
                <w:rFonts w:ascii="Arial" w:hAnsi="Arial" w:cs="Arial"/>
                <w:sz w:val="20"/>
                <w:szCs w:val="20"/>
              </w:rPr>
              <w:t xml:space="preserve"> and navigate to the QC Troubleshooting section.</w:t>
            </w:r>
          </w:p>
          <w:p w:rsidR="00FD451D" w:rsidRPr="00DF692F" w:rsidRDefault="00FD451D" w:rsidP="00FD451D">
            <w:pPr>
              <w:numPr>
                <w:ilvl w:val="0"/>
                <w:numId w:val="17"/>
              </w:numPr>
              <w:autoSpaceDE w:val="0"/>
              <w:autoSpaceDN w:val="0"/>
              <w:adjustRightInd w:val="0"/>
              <w:rPr>
                <w:rFonts w:ascii="Arial" w:hAnsi="Arial" w:cs="Arial"/>
                <w:color w:val="000000"/>
                <w:sz w:val="20"/>
                <w:szCs w:val="20"/>
              </w:rPr>
            </w:pPr>
            <w:r w:rsidRPr="00DF692F">
              <w:rPr>
                <w:rFonts w:ascii="Arial" w:hAnsi="Arial" w:cs="Arial"/>
                <w:sz w:val="20"/>
                <w:szCs w:val="20"/>
              </w:rPr>
              <w:t xml:space="preserve">Do not load or release patients until QC is acceptable in Unity Real Time.  </w:t>
            </w:r>
          </w:p>
          <w:p w:rsidR="00FD451D" w:rsidRPr="00DF692F" w:rsidRDefault="00FD451D" w:rsidP="00FD451D">
            <w:pPr>
              <w:autoSpaceDE w:val="0"/>
              <w:autoSpaceDN w:val="0"/>
              <w:adjustRightInd w:val="0"/>
              <w:ind w:left="360"/>
              <w:rPr>
                <w:rFonts w:ascii="Arial" w:hAnsi="Arial" w:cs="Arial"/>
                <w:color w:val="000000"/>
                <w:sz w:val="20"/>
                <w:szCs w:val="20"/>
              </w:rPr>
            </w:pPr>
          </w:p>
          <w:p w:rsidR="00A93B78" w:rsidRPr="00DF692F" w:rsidRDefault="00A93B78" w:rsidP="00FD451D">
            <w:pPr>
              <w:rPr>
                <w:rFonts w:ascii="Arial" w:hAnsi="Arial" w:cs="Arial"/>
                <w:iCs/>
                <w:sz w:val="20"/>
                <w:szCs w:val="20"/>
              </w:rPr>
            </w:pPr>
          </w:p>
        </w:tc>
      </w:tr>
      <w:tr w:rsidR="00A93B78" w:rsidRPr="00DF692F" w:rsidTr="00C101FA">
        <w:trPr>
          <w:gridAfter w:val="2"/>
          <w:wAfter w:w="180" w:type="dxa"/>
          <w:cantSplit/>
          <w:trHeight w:val="4860"/>
        </w:trPr>
        <w:tc>
          <w:tcPr>
            <w:tcW w:w="1798" w:type="dxa"/>
            <w:tcBorders>
              <w:top w:val="nil"/>
              <w:left w:val="nil"/>
              <w:bottom w:val="nil"/>
              <w:right w:val="nil"/>
            </w:tcBorders>
          </w:tcPr>
          <w:p w:rsidR="00A93B78" w:rsidRPr="00DF692F" w:rsidRDefault="00A93B78">
            <w:pPr>
              <w:rPr>
                <w:rFonts w:ascii="Arial" w:hAnsi="Arial" w:cs="Arial"/>
                <w:b/>
                <w:bCs/>
                <w:color w:val="0000FF"/>
                <w:sz w:val="20"/>
                <w:szCs w:val="20"/>
              </w:rPr>
            </w:pPr>
          </w:p>
          <w:p w:rsidR="00A93B78" w:rsidRPr="00DF692F" w:rsidRDefault="00A93B78">
            <w:pPr>
              <w:rPr>
                <w:rFonts w:ascii="Arial" w:hAnsi="Arial" w:cs="Arial"/>
                <w:b/>
                <w:bCs/>
                <w:color w:val="0000FF"/>
                <w:sz w:val="20"/>
                <w:szCs w:val="20"/>
              </w:rPr>
            </w:pPr>
            <w:r w:rsidRPr="00DF692F">
              <w:rPr>
                <w:rFonts w:ascii="Arial" w:hAnsi="Arial" w:cs="Arial"/>
                <w:b/>
                <w:bCs/>
                <w:color w:val="0000FF"/>
                <w:sz w:val="20"/>
                <w:szCs w:val="20"/>
              </w:rPr>
              <w:t>Procedure</w:t>
            </w:r>
          </w:p>
        </w:tc>
        <w:tc>
          <w:tcPr>
            <w:tcW w:w="9182" w:type="dxa"/>
            <w:gridSpan w:val="3"/>
            <w:tcBorders>
              <w:top w:val="single" w:sz="18" w:space="0" w:color="A6A6A6"/>
              <w:left w:val="nil"/>
              <w:bottom w:val="single" w:sz="18" w:space="0" w:color="A6A6A6"/>
              <w:right w:val="nil"/>
            </w:tcBorders>
          </w:tcPr>
          <w:p w:rsidR="00A93B78" w:rsidRPr="00DF692F" w:rsidRDefault="00A93B78">
            <w:pPr>
              <w:autoSpaceDE w:val="0"/>
              <w:autoSpaceDN w:val="0"/>
              <w:adjustRightInd w:val="0"/>
              <w:jc w:val="left"/>
              <w:rPr>
                <w:rFonts w:ascii="Arial" w:hAnsi="Arial" w:cs="Arial"/>
                <w:b/>
                <w:bCs/>
                <w:sz w:val="20"/>
                <w:szCs w:val="20"/>
              </w:rPr>
            </w:pPr>
          </w:p>
          <w:p w:rsidR="00FD451D" w:rsidRPr="00DF692F" w:rsidRDefault="00A93B78" w:rsidP="00FD451D">
            <w:pPr>
              <w:autoSpaceDE w:val="0"/>
              <w:autoSpaceDN w:val="0"/>
              <w:adjustRightInd w:val="0"/>
              <w:jc w:val="left"/>
              <w:rPr>
                <w:rFonts w:ascii="Arial" w:hAnsi="Arial" w:cs="Arial"/>
                <w:sz w:val="20"/>
                <w:szCs w:val="20"/>
              </w:rPr>
            </w:pPr>
            <w:r w:rsidRPr="00DF692F">
              <w:rPr>
                <w:rFonts w:ascii="Arial" w:hAnsi="Arial" w:cs="Arial"/>
                <w:sz w:val="20"/>
                <w:szCs w:val="20"/>
              </w:rPr>
              <w:t>Refer to the instrument Operating procedure.</w:t>
            </w:r>
          </w:p>
          <w:p w:rsidR="00FD451D" w:rsidRPr="00DF692F" w:rsidRDefault="00A93B78" w:rsidP="00FD451D">
            <w:pPr>
              <w:autoSpaceDE w:val="0"/>
              <w:autoSpaceDN w:val="0"/>
              <w:adjustRightInd w:val="0"/>
              <w:jc w:val="left"/>
              <w:rPr>
                <w:rFonts w:ascii="Arial" w:hAnsi="Arial" w:cs="Arial"/>
                <w:color w:val="000000"/>
                <w:sz w:val="20"/>
                <w:szCs w:val="20"/>
              </w:rPr>
            </w:pPr>
            <w:r w:rsidRPr="00DF692F">
              <w:rPr>
                <w:rFonts w:ascii="Arial" w:hAnsi="Arial" w:cs="Arial"/>
                <w:sz w:val="20"/>
                <w:szCs w:val="20"/>
              </w:rPr>
              <w:t xml:space="preserve">Strict adherence to the Operator's Manual ensures proper assay performance. </w:t>
            </w:r>
            <w:r w:rsidR="00FD451D" w:rsidRPr="00DF692F">
              <w:rPr>
                <w:rFonts w:ascii="Arial" w:hAnsi="Arial" w:cs="Arial"/>
                <w:sz w:val="20"/>
                <w:szCs w:val="20"/>
              </w:rPr>
              <w:t xml:space="preserve"> </w:t>
            </w:r>
            <w:r w:rsidR="00FD451D" w:rsidRPr="00DF692F">
              <w:rPr>
                <w:rFonts w:ascii="Arial" w:hAnsi="Arial" w:cs="Arial"/>
                <w:b/>
                <w:bCs/>
                <w:color w:val="000000"/>
                <w:sz w:val="20"/>
                <w:szCs w:val="20"/>
              </w:rPr>
              <w:t>LIAISON</w:t>
            </w:r>
            <w:r w:rsidR="00FD451D" w:rsidRPr="00DF692F">
              <w:rPr>
                <w:rFonts w:ascii="Arial" w:hAnsi="Arial" w:cs="Arial"/>
                <w:color w:val="000000"/>
                <w:sz w:val="20"/>
                <w:szCs w:val="20"/>
              </w:rPr>
              <w:t xml:space="preserve">® </w:t>
            </w:r>
            <w:r w:rsidR="00FD451D" w:rsidRPr="00DF692F">
              <w:rPr>
                <w:rFonts w:ascii="Arial" w:hAnsi="Arial" w:cs="Arial"/>
                <w:b/>
                <w:bCs/>
                <w:color w:val="000000"/>
                <w:sz w:val="20"/>
                <w:szCs w:val="20"/>
              </w:rPr>
              <w:t>XL Analyzer</w:t>
            </w:r>
            <w:r w:rsidR="00FD451D" w:rsidRPr="00DF692F">
              <w:rPr>
                <w:rFonts w:ascii="Arial" w:hAnsi="Arial" w:cs="Arial"/>
                <w:color w:val="000000"/>
                <w:sz w:val="20"/>
                <w:szCs w:val="20"/>
              </w:rPr>
              <w:t>. Each test parameter is identified via information encoded in the reag</w:t>
            </w:r>
            <w:r w:rsidR="0023783F" w:rsidRPr="00DF692F">
              <w:rPr>
                <w:rFonts w:ascii="Arial" w:hAnsi="Arial" w:cs="Arial"/>
                <w:color w:val="000000"/>
                <w:sz w:val="20"/>
                <w:szCs w:val="20"/>
              </w:rPr>
              <w:t>ent integral Radio Fre</w:t>
            </w:r>
            <w:r w:rsidR="0023783F" w:rsidRPr="00DF692F">
              <w:rPr>
                <w:rFonts w:ascii="Arial" w:hAnsi="Arial" w:cs="Arial"/>
                <w:color w:val="000000"/>
                <w:sz w:val="20"/>
                <w:szCs w:val="20"/>
              </w:rPr>
              <w:softHyphen/>
              <w:t>quency Id</w:t>
            </w:r>
            <w:r w:rsidR="00FD451D" w:rsidRPr="00DF692F">
              <w:rPr>
                <w:rFonts w:ascii="Arial" w:hAnsi="Arial" w:cs="Arial"/>
                <w:color w:val="000000"/>
                <w:sz w:val="20"/>
                <w:szCs w:val="20"/>
              </w:rPr>
              <w:t>entification transponder (RFID Tag). In the event that the RFID Tag cannot be read by the analyzer, the integral cannot be used. Do not discard the reagent integral; contact your local DiaSorin technical support for instruction.</w:t>
            </w:r>
          </w:p>
          <w:p w:rsidR="00FD451D" w:rsidRPr="00DF692F" w:rsidRDefault="00FD451D" w:rsidP="00FD451D">
            <w:pPr>
              <w:autoSpaceDE w:val="0"/>
              <w:autoSpaceDN w:val="0"/>
              <w:adjustRightInd w:val="0"/>
              <w:spacing w:before="40"/>
              <w:rPr>
                <w:rFonts w:ascii="Arial" w:hAnsi="Arial" w:cs="Arial"/>
                <w:color w:val="000000"/>
                <w:sz w:val="20"/>
                <w:szCs w:val="20"/>
              </w:rPr>
            </w:pPr>
            <w:r w:rsidRPr="00DF692F">
              <w:rPr>
                <w:rFonts w:ascii="Arial" w:hAnsi="Arial" w:cs="Arial"/>
                <w:color w:val="000000"/>
                <w:sz w:val="20"/>
                <w:szCs w:val="20"/>
              </w:rPr>
              <w:t>The Analyzer operations are as follows:</w:t>
            </w:r>
          </w:p>
          <w:p w:rsidR="00FD451D" w:rsidRPr="00DF692F" w:rsidRDefault="00FD451D" w:rsidP="00FD451D">
            <w:pPr>
              <w:autoSpaceDE w:val="0"/>
              <w:autoSpaceDN w:val="0"/>
              <w:adjustRightInd w:val="0"/>
              <w:ind w:left="340"/>
              <w:rPr>
                <w:rFonts w:ascii="Arial" w:hAnsi="Arial" w:cs="Arial"/>
                <w:color w:val="000000"/>
                <w:sz w:val="20"/>
                <w:szCs w:val="20"/>
              </w:rPr>
            </w:pPr>
            <w:r w:rsidRPr="00DF692F">
              <w:rPr>
                <w:rFonts w:ascii="Arial" w:hAnsi="Arial" w:cs="Arial"/>
                <w:color w:val="000000"/>
                <w:sz w:val="20"/>
                <w:szCs w:val="20"/>
              </w:rPr>
              <w:t>1. Dispense calibrators, controls or specimens into the reaction module.</w:t>
            </w:r>
          </w:p>
          <w:p w:rsidR="00FD451D" w:rsidRPr="00DF692F" w:rsidRDefault="00FD451D" w:rsidP="00FD451D">
            <w:pPr>
              <w:autoSpaceDE w:val="0"/>
              <w:autoSpaceDN w:val="0"/>
              <w:adjustRightInd w:val="0"/>
              <w:ind w:left="340"/>
              <w:rPr>
                <w:rFonts w:ascii="Arial" w:hAnsi="Arial" w:cs="Arial"/>
                <w:color w:val="000000"/>
                <w:sz w:val="20"/>
                <w:szCs w:val="20"/>
              </w:rPr>
            </w:pPr>
            <w:r w:rsidRPr="00DF692F">
              <w:rPr>
                <w:rFonts w:ascii="Arial" w:hAnsi="Arial" w:cs="Arial"/>
                <w:color w:val="000000"/>
                <w:sz w:val="20"/>
                <w:szCs w:val="20"/>
              </w:rPr>
              <w:t>2. Dispense coated magnetic particles.</w:t>
            </w:r>
          </w:p>
          <w:p w:rsidR="00FD451D" w:rsidRPr="00DF692F" w:rsidRDefault="00FD451D" w:rsidP="00FD451D">
            <w:pPr>
              <w:autoSpaceDE w:val="0"/>
              <w:autoSpaceDN w:val="0"/>
              <w:adjustRightInd w:val="0"/>
              <w:ind w:left="340"/>
              <w:rPr>
                <w:rFonts w:ascii="Arial" w:hAnsi="Arial" w:cs="Arial"/>
                <w:color w:val="000000"/>
                <w:sz w:val="20"/>
                <w:szCs w:val="20"/>
              </w:rPr>
            </w:pPr>
            <w:r w:rsidRPr="00DF692F">
              <w:rPr>
                <w:rFonts w:ascii="Arial" w:hAnsi="Arial" w:cs="Arial"/>
                <w:color w:val="000000"/>
                <w:sz w:val="20"/>
                <w:szCs w:val="20"/>
              </w:rPr>
              <w:t>3. Dispense specimen diluent.</w:t>
            </w:r>
          </w:p>
          <w:p w:rsidR="00FD451D" w:rsidRPr="00DF692F" w:rsidRDefault="00FD451D" w:rsidP="00FD451D">
            <w:pPr>
              <w:autoSpaceDE w:val="0"/>
              <w:autoSpaceDN w:val="0"/>
              <w:adjustRightInd w:val="0"/>
              <w:ind w:left="340"/>
              <w:rPr>
                <w:rFonts w:ascii="Arial" w:hAnsi="Arial" w:cs="Arial"/>
                <w:color w:val="000000"/>
                <w:sz w:val="20"/>
                <w:szCs w:val="20"/>
              </w:rPr>
            </w:pPr>
            <w:r w:rsidRPr="00DF692F">
              <w:rPr>
                <w:rFonts w:ascii="Arial" w:hAnsi="Arial" w:cs="Arial"/>
                <w:color w:val="000000"/>
                <w:sz w:val="20"/>
                <w:szCs w:val="20"/>
              </w:rPr>
              <w:t xml:space="preserve">4. Incubate. </w:t>
            </w:r>
          </w:p>
          <w:p w:rsidR="00FD451D" w:rsidRPr="00DF692F" w:rsidRDefault="00FD451D" w:rsidP="00FD451D">
            <w:pPr>
              <w:autoSpaceDE w:val="0"/>
              <w:autoSpaceDN w:val="0"/>
              <w:adjustRightInd w:val="0"/>
              <w:ind w:left="340"/>
              <w:rPr>
                <w:rFonts w:ascii="Arial" w:hAnsi="Arial" w:cs="Arial"/>
                <w:color w:val="000000"/>
                <w:sz w:val="20"/>
                <w:szCs w:val="20"/>
              </w:rPr>
            </w:pPr>
            <w:r w:rsidRPr="00DF692F">
              <w:rPr>
                <w:rFonts w:ascii="Arial" w:hAnsi="Arial" w:cs="Arial"/>
                <w:color w:val="000000"/>
                <w:sz w:val="20"/>
                <w:szCs w:val="20"/>
              </w:rPr>
              <w:t>5. Wash with Wash/System liquid.</w:t>
            </w:r>
          </w:p>
          <w:p w:rsidR="00FD451D" w:rsidRPr="00DF692F" w:rsidRDefault="00FD451D" w:rsidP="00FD451D">
            <w:pPr>
              <w:autoSpaceDE w:val="0"/>
              <w:autoSpaceDN w:val="0"/>
              <w:adjustRightInd w:val="0"/>
              <w:ind w:left="340"/>
              <w:rPr>
                <w:rFonts w:ascii="Arial" w:hAnsi="Arial" w:cs="Arial"/>
                <w:color w:val="000000"/>
                <w:sz w:val="20"/>
                <w:szCs w:val="20"/>
              </w:rPr>
            </w:pPr>
            <w:r w:rsidRPr="00DF692F">
              <w:rPr>
                <w:rFonts w:ascii="Arial" w:hAnsi="Arial" w:cs="Arial"/>
                <w:color w:val="000000"/>
                <w:sz w:val="20"/>
                <w:szCs w:val="20"/>
              </w:rPr>
              <w:t>6. Dispense conjugate into the reaction module.</w:t>
            </w:r>
          </w:p>
          <w:p w:rsidR="00FD451D" w:rsidRPr="00DF692F" w:rsidRDefault="00FD451D" w:rsidP="00FD451D">
            <w:pPr>
              <w:autoSpaceDE w:val="0"/>
              <w:autoSpaceDN w:val="0"/>
              <w:adjustRightInd w:val="0"/>
              <w:ind w:left="340"/>
              <w:rPr>
                <w:rFonts w:ascii="Arial" w:hAnsi="Arial" w:cs="Arial"/>
                <w:color w:val="000000"/>
                <w:sz w:val="20"/>
                <w:szCs w:val="20"/>
              </w:rPr>
            </w:pPr>
            <w:r w:rsidRPr="00DF692F">
              <w:rPr>
                <w:rFonts w:ascii="Arial" w:hAnsi="Arial" w:cs="Arial"/>
                <w:color w:val="000000"/>
                <w:sz w:val="20"/>
                <w:szCs w:val="20"/>
              </w:rPr>
              <w:t xml:space="preserve">7. Incubate. </w:t>
            </w:r>
          </w:p>
          <w:p w:rsidR="00FD451D" w:rsidRPr="00DF692F" w:rsidRDefault="00FD451D" w:rsidP="00FD451D">
            <w:pPr>
              <w:autoSpaceDE w:val="0"/>
              <w:autoSpaceDN w:val="0"/>
              <w:adjustRightInd w:val="0"/>
              <w:ind w:left="340"/>
              <w:rPr>
                <w:rFonts w:ascii="Arial" w:hAnsi="Arial" w:cs="Arial"/>
                <w:color w:val="000000"/>
                <w:sz w:val="20"/>
                <w:szCs w:val="20"/>
              </w:rPr>
            </w:pPr>
            <w:r w:rsidRPr="00DF692F">
              <w:rPr>
                <w:rFonts w:ascii="Arial" w:hAnsi="Arial" w:cs="Arial"/>
                <w:color w:val="000000"/>
                <w:sz w:val="20"/>
                <w:szCs w:val="20"/>
              </w:rPr>
              <w:t>8. Wash with Wash/System liquid.</w:t>
            </w:r>
          </w:p>
          <w:p w:rsidR="00FD451D" w:rsidRPr="00DF692F" w:rsidRDefault="00FD451D" w:rsidP="00FD451D">
            <w:pPr>
              <w:autoSpaceDE w:val="0"/>
              <w:autoSpaceDN w:val="0"/>
              <w:adjustRightInd w:val="0"/>
              <w:ind w:left="340"/>
              <w:rPr>
                <w:rFonts w:ascii="Arial" w:hAnsi="Arial" w:cs="Arial"/>
                <w:color w:val="000000"/>
                <w:sz w:val="20"/>
                <w:szCs w:val="20"/>
              </w:rPr>
            </w:pPr>
            <w:r w:rsidRPr="00DF692F">
              <w:rPr>
                <w:rFonts w:ascii="Arial" w:hAnsi="Arial" w:cs="Arial"/>
                <w:color w:val="000000"/>
                <w:sz w:val="20"/>
                <w:szCs w:val="20"/>
              </w:rPr>
              <w:t>9. Add the Starter Kit and measure the light emitted.</w:t>
            </w:r>
          </w:p>
          <w:p w:rsidR="00FD451D" w:rsidRPr="00DF692F" w:rsidRDefault="00FD451D" w:rsidP="00FD451D">
            <w:pPr>
              <w:autoSpaceDE w:val="0"/>
              <w:autoSpaceDN w:val="0"/>
              <w:adjustRightInd w:val="0"/>
              <w:jc w:val="left"/>
              <w:rPr>
                <w:rFonts w:ascii="Arial" w:hAnsi="Arial" w:cs="Arial"/>
                <w:sz w:val="20"/>
                <w:szCs w:val="20"/>
              </w:rPr>
            </w:pPr>
            <w:r w:rsidRPr="00DF692F">
              <w:rPr>
                <w:rFonts w:ascii="Arial" w:hAnsi="Arial" w:cs="Arial"/>
                <w:color w:val="000000"/>
                <w:sz w:val="20"/>
                <w:szCs w:val="20"/>
              </w:rPr>
              <w:t>Procedural details for the test may be viewed directly from the Analyzer's assay definition displays.</w:t>
            </w:r>
          </w:p>
          <w:p w:rsidR="00A93B78" w:rsidRPr="00DF692F" w:rsidRDefault="00A93B78">
            <w:pPr>
              <w:autoSpaceDE w:val="0"/>
              <w:autoSpaceDN w:val="0"/>
              <w:adjustRightInd w:val="0"/>
              <w:spacing w:after="120"/>
              <w:jc w:val="left"/>
              <w:rPr>
                <w:rFonts w:ascii="Arial" w:hAnsi="Arial" w:cs="Arial"/>
                <w:sz w:val="20"/>
                <w:szCs w:val="20"/>
              </w:rPr>
            </w:pPr>
          </w:p>
        </w:tc>
      </w:tr>
      <w:tr w:rsidR="00A93B78" w:rsidRPr="00DF692F" w:rsidTr="00C101FA">
        <w:trPr>
          <w:cantSplit/>
          <w:trHeight w:val="7640"/>
        </w:trPr>
        <w:tc>
          <w:tcPr>
            <w:tcW w:w="1798" w:type="dxa"/>
            <w:tcBorders>
              <w:top w:val="nil"/>
              <w:left w:val="nil"/>
              <w:bottom w:val="nil"/>
              <w:right w:val="nil"/>
            </w:tcBorders>
          </w:tcPr>
          <w:p w:rsidR="00A93B78" w:rsidRPr="00DF692F" w:rsidRDefault="00A93B78">
            <w:pPr>
              <w:rPr>
                <w:rFonts w:ascii="Arial" w:hAnsi="Arial" w:cs="Arial"/>
                <w:b/>
                <w:bCs/>
                <w:color w:val="0000FF"/>
                <w:sz w:val="20"/>
                <w:szCs w:val="20"/>
              </w:rPr>
            </w:pPr>
            <w:r w:rsidRPr="00DF692F">
              <w:rPr>
                <w:rFonts w:ascii="Arial" w:hAnsi="Arial" w:cs="Arial"/>
                <w:b/>
                <w:bCs/>
                <w:color w:val="0000FF"/>
                <w:sz w:val="20"/>
                <w:szCs w:val="20"/>
              </w:rPr>
              <w:lastRenderedPageBreak/>
              <w:br w:type="page"/>
            </w:r>
          </w:p>
          <w:p w:rsidR="00A93B78" w:rsidRPr="00DF692F" w:rsidRDefault="00A93B78">
            <w:pPr>
              <w:jc w:val="left"/>
              <w:rPr>
                <w:rFonts w:ascii="Arial" w:hAnsi="Arial" w:cs="Arial"/>
                <w:b/>
                <w:bCs/>
                <w:color w:val="0000FF"/>
                <w:sz w:val="20"/>
                <w:szCs w:val="20"/>
              </w:rPr>
            </w:pPr>
            <w:r w:rsidRPr="00DF692F">
              <w:rPr>
                <w:rFonts w:ascii="Arial" w:hAnsi="Arial" w:cs="Arial"/>
                <w:b/>
                <w:bCs/>
                <w:color w:val="0000FF"/>
                <w:sz w:val="20"/>
                <w:szCs w:val="20"/>
              </w:rPr>
              <w:t>Interpretation/</w:t>
            </w:r>
          </w:p>
          <w:p w:rsidR="00A93B78" w:rsidRPr="00DF692F" w:rsidRDefault="00A93B78">
            <w:pPr>
              <w:jc w:val="left"/>
              <w:rPr>
                <w:rFonts w:ascii="Arial" w:hAnsi="Arial" w:cs="Arial"/>
                <w:b/>
                <w:bCs/>
                <w:color w:val="0000FF"/>
                <w:sz w:val="20"/>
                <w:szCs w:val="20"/>
              </w:rPr>
            </w:pPr>
            <w:r w:rsidRPr="00DF692F">
              <w:rPr>
                <w:rFonts w:ascii="Arial" w:hAnsi="Arial" w:cs="Arial"/>
                <w:b/>
                <w:bCs/>
                <w:color w:val="0000FF"/>
                <w:sz w:val="20"/>
                <w:szCs w:val="20"/>
              </w:rPr>
              <w:t>Results/Alert Values</w:t>
            </w:r>
          </w:p>
          <w:p w:rsidR="00A93B78" w:rsidRPr="00DF692F" w:rsidRDefault="00A93B78">
            <w:pPr>
              <w:rPr>
                <w:rFonts w:ascii="Arial" w:hAnsi="Arial" w:cs="Arial"/>
                <w:b/>
                <w:bCs/>
                <w:color w:val="0000FF"/>
                <w:sz w:val="20"/>
                <w:szCs w:val="20"/>
              </w:rPr>
            </w:pPr>
          </w:p>
        </w:tc>
        <w:tc>
          <w:tcPr>
            <w:tcW w:w="9362" w:type="dxa"/>
            <w:gridSpan w:val="5"/>
            <w:tcBorders>
              <w:top w:val="single" w:sz="18" w:space="0" w:color="A6A6A6"/>
              <w:left w:val="nil"/>
              <w:bottom w:val="nil"/>
              <w:right w:val="nil"/>
            </w:tcBorders>
          </w:tcPr>
          <w:p w:rsidR="00A93B78" w:rsidRPr="00DF692F" w:rsidRDefault="00A93B78">
            <w:pPr>
              <w:rPr>
                <w:rFonts w:ascii="Arial" w:hAnsi="Arial" w:cs="Arial"/>
                <w:sz w:val="20"/>
                <w:szCs w:val="20"/>
              </w:rPr>
            </w:pPr>
          </w:p>
          <w:p w:rsidR="00A93B78" w:rsidRPr="00DF692F" w:rsidRDefault="00A93B78">
            <w:pPr>
              <w:autoSpaceDE w:val="0"/>
              <w:autoSpaceDN w:val="0"/>
              <w:adjustRightInd w:val="0"/>
              <w:rPr>
                <w:rFonts w:ascii="Arial" w:hAnsi="Arial" w:cs="Arial"/>
                <w:sz w:val="20"/>
                <w:szCs w:val="20"/>
              </w:rPr>
            </w:pPr>
            <w:r w:rsidRPr="00DF692F">
              <w:rPr>
                <w:rFonts w:ascii="Arial" w:hAnsi="Arial" w:cs="Arial"/>
                <w:sz w:val="20"/>
                <w:szCs w:val="20"/>
              </w:rPr>
              <w:t>The Analyzer automatically calculates EBV EBNA IgG antibody concentrations expressed as U/mL and grades the results.</w:t>
            </w:r>
          </w:p>
          <w:p w:rsidR="00A93B78" w:rsidRPr="00DF692F" w:rsidRDefault="00A93B78">
            <w:pPr>
              <w:autoSpaceDE w:val="0"/>
              <w:autoSpaceDN w:val="0"/>
              <w:adjustRightInd w:val="0"/>
              <w:rPr>
                <w:rFonts w:ascii="Arial" w:hAnsi="Arial" w:cs="Arial"/>
                <w:sz w:val="20"/>
                <w:szCs w:val="20"/>
              </w:rPr>
            </w:pPr>
          </w:p>
          <w:p w:rsidR="00A93B78" w:rsidRPr="00DF692F" w:rsidRDefault="00A93B78">
            <w:pPr>
              <w:autoSpaceDE w:val="0"/>
              <w:autoSpaceDN w:val="0"/>
              <w:adjustRightInd w:val="0"/>
              <w:rPr>
                <w:rFonts w:ascii="Arial" w:hAnsi="Arial" w:cs="Arial"/>
                <w:sz w:val="20"/>
                <w:szCs w:val="20"/>
              </w:rPr>
            </w:pPr>
            <w:r w:rsidRPr="00DF692F">
              <w:rPr>
                <w:rFonts w:ascii="Arial" w:hAnsi="Arial" w:cs="Arial"/>
                <w:sz w:val="20"/>
                <w:szCs w:val="20"/>
              </w:rPr>
              <w:t xml:space="preserve">A </w:t>
            </w:r>
            <w:r w:rsidRPr="00DF692F">
              <w:rPr>
                <w:rFonts w:ascii="Arial" w:hAnsi="Arial" w:cs="Arial"/>
                <w:b/>
                <w:bCs/>
                <w:sz w:val="20"/>
                <w:szCs w:val="20"/>
              </w:rPr>
              <w:t>cutoff of 20 U/mL</w:t>
            </w:r>
            <w:r w:rsidRPr="00DF692F">
              <w:rPr>
                <w:rFonts w:ascii="Arial" w:hAnsi="Arial" w:cs="Arial"/>
                <w:sz w:val="20"/>
                <w:szCs w:val="20"/>
              </w:rPr>
              <w:t xml:space="preserve"> provides the best balance of sensitivity and specificity. </w:t>
            </w:r>
          </w:p>
          <w:p w:rsidR="00A93B78" w:rsidRPr="00DF692F" w:rsidRDefault="00A93B78">
            <w:pPr>
              <w:autoSpaceDE w:val="0"/>
              <w:autoSpaceDN w:val="0"/>
              <w:adjustRightInd w:val="0"/>
              <w:rPr>
                <w:rFonts w:ascii="Arial" w:hAnsi="Arial" w:cs="Arial"/>
                <w:sz w:val="20"/>
                <w:szCs w:val="20"/>
              </w:rPr>
            </w:pPr>
            <w:r w:rsidRPr="00DF692F">
              <w:rPr>
                <w:rFonts w:ascii="Arial" w:hAnsi="Arial" w:cs="Arial"/>
                <w:sz w:val="20"/>
                <w:szCs w:val="20"/>
              </w:rPr>
              <w:t xml:space="preserve">An </w:t>
            </w:r>
            <w:r w:rsidRPr="00DF692F">
              <w:rPr>
                <w:rFonts w:ascii="Arial" w:hAnsi="Arial" w:cs="Arial"/>
                <w:b/>
                <w:bCs/>
                <w:sz w:val="20"/>
                <w:szCs w:val="20"/>
              </w:rPr>
              <w:t>equivocal range of 18.0-21.9 U/mL</w:t>
            </w:r>
            <w:r w:rsidRPr="00DF692F">
              <w:rPr>
                <w:rFonts w:ascii="Arial" w:hAnsi="Arial" w:cs="Arial"/>
                <w:sz w:val="20"/>
                <w:szCs w:val="20"/>
              </w:rPr>
              <w:t xml:space="preserve"> was applied to the assay to account for normal measurement imprecision.</w:t>
            </w:r>
          </w:p>
          <w:p w:rsidR="00A93B78" w:rsidRPr="00DF692F" w:rsidRDefault="00A93B78">
            <w:pPr>
              <w:autoSpaceDE w:val="0"/>
              <w:autoSpaceDN w:val="0"/>
              <w:adjustRightInd w:val="0"/>
              <w:rPr>
                <w:rFonts w:ascii="Arial" w:hAnsi="Arial" w:cs="Arial"/>
                <w:sz w:val="20"/>
                <w:szCs w:val="20"/>
              </w:rPr>
            </w:pPr>
          </w:p>
          <w:p w:rsidR="00A93B78" w:rsidRPr="00DF692F" w:rsidRDefault="00A93B78">
            <w:pPr>
              <w:autoSpaceDE w:val="0"/>
              <w:autoSpaceDN w:val="0"/>
              <w:adjustRightInd w:val="0"/>
              <w:rPr>
                <w:rFonts w:ascii="Arial" w:hAnsi="Arial" w:cs="Arial"/>
                <w:sz w:val="20"/>
                <w:szCs w:val="20"/>
              </w:rPr>
            </w:pPr>
            <w:r w:rsidRPr="00DF692F">
              <w:rPr>
                <w:rFonts w:ascii="Arial" w:hAnsi="Arial" w:cs="Arial"/>
                <w:sz w:val="20"/>
                <w:szCs w:val="20"/>
              </w:rPr>
              <w:t>Results between 18.0 – 21.9 U/mL (</w:t>
            </w:r>
            <w:r w:rsidRPr="00DF692F">
              <w:rPr>
                <w:rFonts w:ascii="Arial" w:hAnsi="Arial" w:cs="Arial"/>
                <w:b/>
                <w:bCs/>
                <w:i/>
                <w:iCs/>
                <w:sz w:val="20"/>
                <w:szCs w:val="20"/>
              </w:rPr>
              <w:t>equivocal)</w:t>
            </w:r>
            <w:r w:rsidRPr="00DF692F">
              <w:rPr>
                <w:rFonts w:ascii="Arial" w:hAnsi="Arial" w:cs="Arial"/>
                <w:sz w:val="20"/>
                <w:szCs w:val="20"/>
              </w:rPr>
              <w:t xml:space="preserve"> should be repeat tested. If the result is the same after repeat testing, a second sample should be collected and tested no less than one or two weeks later.</w:t>
            </w:r>
          </w:p>
          <w:p w:rsidR="00A93B78" w:rsidRPr="00DF692F" w:rsidRDefault="00A93B78">
            <w:pPr>
              <w:autoSpaceDE w:val="0"/>
              <w:autoSpaceDN w:val="0"/>
              <w:adjustRightInd w:val="0"/>
              <w:rPr>
                <w:rFonts w:ascii="Arial" w:hAnsi="Arial" w:cs="Arial"/>
                <w:sz w:val="20"/>
                <w:szCs w:val="20"/>
              </w:rPr>
            </w:pPr>
          </w:p>
          <w:p w:rsidR="00A93B78" w:rsidRPr="00DF692F" w:rsidRDefault="00A93B78">
            <w:pPr>
              <w:autoSpaceDE w:val="0"/>
              <w:autoSpaceDN w:val="0"/>
              <w:adjustRightInd w:val="0"/>
              <w:rPr>
                <w:rFonts w:ascii="Arial" w:hAnsi="Arial" w:cs="Arial"/>
                <w:sz w:val="20"/>
                <w:szCs w:val="20"/>
              </w:rPr>
            </w:pPr>
            <w:r w:rsidRPr="00DF692F">
              <w:rPr>
                <w:rFonts w:ascii="Arial" w:hAnsi="Arial" w:cs="Arial"/>
                <w:b/>
                <w:bCs/>
                <w:sz w:val="20"/>
                <w:szCs w:val="20"/>
              </w:rPr>
              <w:t xml:space="preserve">Warning </w:t>
            </w:r>
            <w:r w:rsidRPr="00DF692F">
              <w:rPr>
                <w:rFonts w:ascii="Arial" w:hAnsi="Arial" w:cs="Arial"/>
                <w:sz w:val="20"/>
                <w:szCs w:val="20"/>
              </w:rPr>
              <w:t xml:space="preserve">- When a sample result displays the exclamation mark </w:t>
            </w:r>
            <w:r w:rsidRPr="00DF692F">
              <w:rPr>
                <w:rFonts w:ascii="Arial" w:hAnsi="Arial" w:cs="Arial"/>
                <w:b/>
                <w:bCs/>
                <w:sz w:val="20"/>
                <w:szCs w:val="20"/>
              </w:rPr>
              <w:t>(!) flag</w:t>
            </w:r>
            <w:r w:rsidRPr="00DF692F">
              <w:rPr>
                <w:rFonts w:ascii="Arial" w:hAnsi="Arial" w:cs="Arial"/>
                <w:sz w:val="20"/>
                <w:szCs w:val="20"/>
              </w:rPr>
              <w:t>, the result obtained lies below the assay's signal range. With Software V2.0, the sample should be retested and graded negative if the result is still below the signal range upon retest. With Software V2.2, the sample result is not reported, and the sample must be retested.</w:t>
            </w:r>
          </w:p>
          <w:p w:rsidR="00A93B78" w:rsidRPr="00DF692F" w:rsidRDefault="00A93B78">
            <w:pPr>
              <w:autoSpaceDE w:val="0"/>
              <w:autoSpaceDN w:val="0"/>
              <w:adjustRightInd w:val="0"/>
              <w:rPr>
                <w:rFonts w:ascii="Arial" w:hAnsi="Arial" w:cs="Arial"/>
                <w:b/>
                <w:bCs/>
                <w:sz w:val="20"/>
                <w:szCs w:val="20"/>
              </w:rPr>
            </w:pPr>
          </w:p>
          <w:p w:rsidR="00A93B78" w:rsidRPr="00DF692F" w:rsidRDefault="00A93B78">
            <w:pPr>
              <w:autoSpaceDE w:val="0"/>
              <w:autoSpaceDN w:val="0"/>
              <w:adjustRightInd w:val="0"/>
              <w:rPr>
                <w:rFonts w:ascii="Arial" w:hAnsi="Arial" w:cs="Arial"/>
                <w:sz w:val="20"/>
                <w:szCs w:val="20"/>
              </w:rPr>
            </w:pPr>
            <w:r w:rsidRPr="00DF692F">
              <w:rPr>
                <w:rFonts w:ascii="Arial" w:hAnsi="Arial" w:cs="Arial"/>
                <w:b/>
                <w:bCs/>
                <w:sz w:val="20"/>
                <w:szCs w:val="20"/>
              </w:rPr>
              <w:t xml:space="preserve">Note </w:t>
            </w:r>
            <w:r w:rsidRPr="00DF692F">
              <w:rPr>
                <w:rFonts w:ascii="Arial" w:hAnsi="Arial" w:cs="Arial"/>
                <w:sz w:val="20"/>
                <w:szCs w:val="20"/>
              </w:rPr>
              <w:t xml:space="preserve">- </w:t>
            </w:r>
            <w:r w:rsidRPr="00DF692F">
              <w:rPr>
                <w:rFonts w:ascii="Arial" w:hAnsi="Arial" w:cs="Arial"/>
                <w:i/>
                <w:iCs/>
                <w:sz w:val="20"/>
                <w:szCs w:val="20"/>
              </w:rPr>
              <w:t>The magnitude of the measured result</w:t>
            </w:r>
            <w:r w:rsidRPr="00DF692F">
              <w:rPr>
                <w:rFonts w:ascii="Arial" w:hAnsi="Arial" w:cs="Arial"/>
                <w:sz w:val="20"/>
                <w:szCs w:val="20"/>
              </w:rPr>
              <w:t xml:space="preserve">, </w:t>
            </w:r>
            <w:r w:rsidRPr="00DF692F">
              <w:rPr>
                <w:rFonts w:ascii="Arial" w:hAnsi="Arial" w:cs="Arial"/>
                <w:i/>
                <w:iCs/>
                <w:sz w:val="20"/>
                <w:szCs w:val="20"/>
              </w:rPr>
              <w:t>above the cutoff, is not indicative of the amount of antibody present</w:t>
            </w:r>
            <w:r w:rsidRPr="00DF692F">
              <w:rPr>
                <w:rFonts w:ascii="Arial" w:hAnsi="Arial" w:cs="Arial"/>
                <w:sz w:val="20"/>
                <w:szCs w:val="20"/>
              </w:rPr>
              <w:t>.</w:t>
            </w:r>
          </w:p>
          <w:p w:rsidR="00A93B78" w:rsidRPr="00DF692F" w:rsidRDefault="00A93B78">
            <w:pPr>
              <w:autoSpaceDE w:val="0"/>
              <w:autoSpaceDN w:val="0"/>
              <w:adjustRightInd w:val="0"/>
              <w:rPr>
                <w:rFonts w:ascii="Arial" w:hAnsi="Arial" w:cs="Arial"/>
                <w:sz w:val="20"/>
                <w:szCs w:val="20"/>
              </w:rPr>
            </w:pPr>
            <w:r w:rsidRPr="00DF692F">
              <w:rPr>
                <w:rFonts w:ascii="Arial" w:hAnsi="Arial" w:cs="Arial"/>
                <w:sz w:val="20"/>
                <w:szCs w:val="20"/>
              </w:rPr>
              <w:t>The accurate distinction of a primary infection from seronegative status or past infection is a key concern of EBV diagnostics. The presence of other EBV serological markers (e.g. VCA IgM, VCA IgG) should be determined to assess the immunological status to infection with EBV. Based on the results of three commonly-used antibody tests (VCA IgG, VCA IgM, EBNA-1 IgG), distinct serological profiles have been described in the medical literature</w:t>
            </w:r>
          </w:p>
          <w:p w:rsidR="00A93B78" w:rsidRPr="00DF692F" w:rsidRDefault="00A93B78">
            <w:pPr>
              <w:rPr>
                <w:rFonts w:ascii="Arial" w:hAnsi="Arial" w:cs="Arial"/>
                <w:sz w:val="20"/>
                <w:szCs w:val="20"/>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9"/>
              <w:gridCol w:w="2329"/>
              <w:gridCol w:w="2330"/>
              <w:gridCol w:w="2330"/>
            </w:tblGrid>
            <w:tr w:rsidR="00A93B78" w:rsidRPr="00DF692F">
              <w:tc>
                <w:tcPr>
                  <w:tcW w:w="2329" w:type="dxa"/>
                </w:tcPr>
                <w:p w:rsidR="00A93B78" w:rsidRPr="00DF692F" w:rsidRDefault="00A93B78">
                  <w:pPr>
                    <w:autoSpaceDE w:val="0"/>
                    <w:autoSpaceDN w:val="0"/>
                    <w:adjustRightInd w:val="0"/>
                    <w:rPr>
                      <w:rFonts w:ascii="Arial" w:hAnsi="Arial" w:cs="Arial"/>
                      <w:sz w:val="20"/>
                      <w:szCs w:val="20"/>
                    </w:rPr>
                  </w:pPr>
                  <w:r w:rsidRPr="00DF692F">
                    <w:rPr>
                      <w:rFonts w:ascii="Arial" w:hAnsi="Arial" w:cs="Arial"/>
                      <w:sz w:val="20"/>
                      <w:szCs w:val="20"/>
                    </w:rPr>
                    <w:t xml:space="preserve">Condition </w:t>
                  </w:r>
                </w:p>
              </w:tc>
              <w:tc>
                <w:tcPr>
                  <w:tcW w:w="2329" w:type="dxa"/>
                  <w:shd w:val="clear" w:color="auto" w:fill="D9D9D9"/>
                </w:tcPr>
                <w:p w:rsidR="00A93B78" w:rsidRPr="00DF692F" w:rsidRDefault="00A93B78">
                  <w:pPr>
                    <w:autoSpaceDE w:val="0"/>
                    <w:autoSpaceDN w:val="0"/>
                    <w:adjustRightInd w:val="0"/>
                    <w:rPr>
                      <w:rFonts w:ascii="Arial" w:hAnsi="Arial" w:cs="Arial"/>
                      <w:sz w:val="20"/>
                      <w:szCs w:val="20"/>
                    </w:rPr>
                  </w:pPr>
                  <w:r w:rsidRPr="00DF692F">
                    <w:rPr>
                      <w:rFonts w:ascii="Arial" w:hAnsi="Arial" w:cs="Arial"/>
                      <w:sz w:val="20"/>
                      <w:szCs w:val="20"/>
                    </w:rPr>
                    <w:t>VCA IgG</w:t>
                  </w:r>
                </w:p>
              </w:tc>
              <w:tc>
                <w:tcPr>
                  <w:tcW w:w="2330" w:type="dxa"/>
                  <w:shd w:val="clear" w:color="auto" w:fill="D9D9D9"/>
                </w:tcPr>
                <w:p w:rsidR="00A93B78" w:rsidRPr="00DF692F" w:rsidRDefault="00A93B78">
                  <w:pPr>
                    <w:autoSpaceDE w:val="0"/>
                    <w:autoSpaceDN w:val="0"/>
                    <w:adjustRightInd w:val="0"/>
                    <w:rPr>
                      <w:rFonts w:ascii="Arial" w:hAnsi="Arial" w:cs="Arial"/>
                      <w:sz w:val="20"/>
                      <w:szCs w:val="20"/>
                    </w:rPr>
                  </w:pPr>
                  <w:r w:rsidRPr="00DF692F">
                    <w:rPr>
                      <w:rFonts w:ascii="Arial" w:hAnsi="Arial" w:cs="Arial"/>
                      <w:sz w:val="20"/>
                      <w:szCs w:val="20"/>
                    </w:rPr>
                    <w:t>VCA IgM</w:t>
                  </w:r>
                </w:p>
              </w:tc>
              <w:tc>
                <w:tcPr>
                  <w:tcW w:w="2330" w:type="dxa"/>
                  <w:shd w:val="clear" w:color="auto" w:fill="D9D9D9"/>
                </w:tcPr>
                <w:p w:rsidR="00A93B78" w:rsidRPr="00DF692F" w:rsidRDefault="00A93B78">
                  <w:pPr>
                    <w:autoSpaceDE w:val="0"/>
                    <w:autoSpaceDN w:val="0"/>
                    <w:adjustRightInd w:val="0"/>
                    <w:rPr>
                      <w:rFonts w:ascii="Arial" w:hAnsi="Arial" w:cs="Arial"/>
                      <w:sz w:val="20"/>
                      <w:szCs w:val="20"/>
                    </w:rPr>
                  </w:pPr>
                  <w:r w:rsidRPr="00DF692F">
                    <w:rPr>
                      <w:rFonts w:ascii="Arial" w:hAnsi="Arial" w:cs="Arial"/>
                      <w:sz w:val="20"/>
                      <w:szCs w:val="20"/>
                    </w:rPr>
                    <w:t>EBNA-1 IgG</w:t>
                  </w:r>
                </w:p>
              </w:tc>
            </w:tr>
            <w:tr w:rsidR="00A93B78" w:rsidRPr="00DF692F">
              <w:tc>
                <w:tcPr>
                  <w:tcW w:w="2329" w:type="dxa"/>
                </w:tcPr>
                <w:p w:rsidR="00A93B78" w:rsidRPr="00DF692F" w:rsidRDefault="00A93B78">
                  <w:pPr>
                    <w:autoSpaceDE w:val="0"/>
                    <w:autoSpaceDN w:val="0"/>
                    <w:adjustRightInd w:val="0"/>
                    <w:rPr>
                      <w:rFonts w:ascii="Arial" w:hAnsi="Arial" w:cs="Arial"/>
                      <w:sz w:val="20"/>
                      <w:szCs w:val="20"/>
                    </w:rPr>
                  </w:pPr>
                  <w:r w:rsidRPr="00DF692F">
                    <w:rPr>
                      <w:rFonts w:ascii="Arial" w:hAnsi="Arial" w:cs="Arial"/>
                      <w:sz w:val="20"/>
                      <w:szCs w:val="20"/>
                    </w:rPr>
                    <w:t>EBV seronegative</w:t>
                  </w:r>
                </w:p>
              </w:tc>
              <w:tc>
                <w:tcPr>
                  <w:tcW w:w="2329" w:type="dxa"/>
                </w:tcPr>
                <w:p w:rsidR="00A93B78" w:rsidRPr="00DF692F" w:rsidRDefault="00A93B78">
                  <w:pPr>
                    <w:autoSpaceDE w:val="0"/>
                    <w:autoSpaceDN w:val="0"/>
                    <w:adjustRightInd w:val="0"/>
                    <w:rPr>
                      <w:rFonts w:ascii="Arial" w:hAnsi="Arial" w:cs="Arial"/>
                      <w:sz w:val="20"/>
                      <w:szCs w:val="20"/>
                    </w:rPr>
                  </w:pPr>
                  <w:r w:rsidRPr="00DF692F">
                    <w:rPr>
                      <w:rFonts w:ascii="Arial" w:hAnsi="Arial" w:cs="Arial"/>
                      <w:sz w:val="20"/>
                      <w:szCs w:val="20"/>
                    </w:rPr>
                    <w:t>-</w:t>
                  </w:r>
                </w:p>
              </w:tc>
              <w:tc>
                <w:tcPr>
                  <w:tcW w:w="2330" w:type="dxa"/>
                </w:tcPr>
                <w:p w:rsidR="00A93B78" w:rsidRPr="00DF692F" w:rsidRDefault="00A93B78">
                  <w:pPr>
                    <w:autoSpaceDE w:val="0"/>
                    <w:autoSpaceDN w:val="0"/>
                    <w:adjustRightInd w:val="0"/>
                    <w:rPr>
                      <w:rFonts w:ascii="Arial" w:hAnsi="Arial" w:cs="Arial"/>
                      <w:sz w:val="20"/>
                      <w:szCs w:val="20"/>
                    </w:rPr>
                  </w:pPr>
                  <w:r w:rsidRPr="00DF692F">
                    <w:rPr>
                      <w:rFonts w:ascii="Arial" w:hAnsi="Arial" w:cs="Arial"/>
                      <w:sz w:val="20"/>
                      <w:szCs w:val="20"/>
                    </w:rPr>
                    <w:t>-</w:t>
                  </w:r>
                </w:p>
              </w:tc>
              <w:tc>
                <w:tcPr>
                  <w:tcW w:w="2330" w:type="dxa"/>
                </w:tcPr>
                <w:p w:rsidR="00A93B78" w:rsidRPr="00DF692F" w:rsidRDefault="00A93B78">
                  <w:pPr>
                    <w:autoSpaceDE w:val="0"/>
                    <w:autoSpaceDN w:val="0"/>
                    <w:adjustRightInd w:val="0"/>
                    <w:rPr>
                      <w:rFonts w:ascii="Arial" w:hAnsi="Arial" w:cs="Arial"/>
                      <w:sz w:val="20"/>
                      <w:szCs w:val="20"/>
                    </w:rPr>
                  </w:pPr>
                  <w:r w:rsidRPr="00DF692F">
                    <w:rPr>
                      <w:rFonts w:ascii="Arial" w:hAnsi="Arial" w:cs="Arial"/>
                      <w:sz w:val="20"/>
                      <w:szCs w:val="20"/>
                    </w:rPr>
                    <w:t>-</w:t>
                  </w:r>
                </w:p>
              </w:tc>
            </w:tr>
            <w:tr w:rsidR="00A93B78" w:rsidRPr="00DF692F">
              <w:tc>
                <w:tcPr>
                  <w:tcW w:w="2329" w:type="dxa"/>
                </w:tcPr>
                <w:p w:rsidR="00A93B78" w:rsidRPr="00DF692F" w:rsidRDefault="00A93B78">
                  <w:pPr>
                    <w:autoSpaceDE w:val="0"/>
                    <w:autoSpaceDN w:val="0"/>
                    <w:adjustRightInd w:val="0"/>
                    <w:rPr>
                      <w:rFonts w:ascii="Arial" w:hAnsi="Arial" w:cs="Arial"/>
                      <w:sz w:val="20"/>
                      <w:szCs w:val="20"/>
                    </w:rPr>
                  </w:pPr>
                  <w:r w:rsidRPr="00DF692F">
                    <w:rPr>
                      <w:rFonts w:ascii="Arial" w:hAnsi="Arial" w:cs="Arial"/>
                      <w:sz w:val="20"/>
                      <w:szCs w:val="20"/>
                    </w:rPr>
                    <w:t>Acute infection</w:t>
                  </w:r>
                </w:p>
              </w:tc>
              <w:tc>
                <w:tcPr>
                  <w:tcW w:w="2329" w:type="dxa"/>
                </w:tcPr>
                <w:p w:rsidR="00A93B78" w:rsidRPr="00DF692F" w:rsidRDefault="00A93B78">
                  <w:pPr>
                    <w:autoSpaceDE w:val="0"/>
                    <w:autoSpaceDN w:val="0"/>
                    <w:adjustRightInd w:val="0"/>
                    <w:rPr>
                      <w:rFonts w:ascii="Arial" w:hAnsi="Arial" w:cs="Arial"/>
                      <w:sz w:val="20"/>
                      <w:szCs w:val="20"/>
                    </w:rPr>
                  </w:pPr>
                  <w:r w:rsidRPr="00DF692F">
                    <w:rPr>
                      <w:rFonts w:ascii="Arial" w:hAnsi="Arial" w:cs="Arial"/>
                      <w:sz w:val="20"/>
                      <w:szCs w:val="20"/>
                    </w:rPr>
                    <w:t>+</w:t>
                  </w:r>
                </w:p>
              </w:tc>
              <w:tc>
                <w:tcPr>
                  <w:tcW w:w="2330" w:type="dxa"/>
                </w:tcPr>
                <w:p w:rsidR="00A93B78" w:rsidRPr="00DF692F" w:rsidRDefault="00A93B78">
                  <w:pPr>
                    <w:autoSpaceDE w:val="0"/>
                    <w:autoSpaceDN w:val="0"/>
                    <w:adjustRightInd w:val="0"/>
                    <w:rPr>
                      <w:rFonts w:ascii="Arial" w:hAnsi="Arial" w:cs="Arial"/>
                      <w:sz w:val="20"/>
                      <w:szCs w:val="20"/>
                    </w:rPr>
                  </w:pPr>
                  <w:r w:rsidRPr="00DF692F">
                    <w:rPr>
                      <w:rFonts w:ascii="Arial" w:hAnsi="Arial" w:cs="Arial"/>
                      <w:sz w:val="20"/>
                      <w:szCs w:val="20"/>
                    </w:rPr>
                    <w:t>+</w:t>
                  </w:r>
                </w:p>
              </w:tc>
              <w:tc>
                <w:tcPr>
                  <w:tcW w:w="2330" w:type="dxa"/>
                </w:tcPr>
                <w:p w:rsidR="00A93B78" w:rsidRPr="00DF692F" w:rsidRDefault="00A93B78">
                  <w:pPr>
                    <w:autoSpaceDE w:val="0"/>
                    <w:autoSpaceDN w:val="0"/>
                    <w:adjustRightInd w:val="0"/>
                    <w:rPr>
                      <w:rFonts w:ascii="Arial" w:hAnsi="Arial" w:cs="Arial"/>
                      <w:sz w:val="20"/>
                      <w:szCs w:val="20"/>
                    </w:rPr>
                  </w:pPr>
                  <w:r w:rsidRPr="00DF692F">
                    <w:rPr>
                      <w:rFonts w:ascii="Arial" w:hAnsi="Arial" w:cs="Arial"/>
                      <w:sz w:val="20"/>
                      <w:szCs w:val="20"/>
                    </w:rPr>
                    <w:t>-</w:t>
                  </w:r>
                </w:p>
              </w:tc>
            </w:tr>
            <w:tr w:rsidR="00A93B78" w:rsidRPr="00DF692F">
              <w:tc>
                <w:tcPr>
                  <w:tcW w:w="2329" w:type="dxa"/>
                  <w:tcBorders>
                    <w:bottom w:val="single" w:sz="4" w:space="0" w:color="auto"/>
                  </w:tcBorders>
                </w:tcPr>
                <w:p w:rsidR="00A93B78" w:rsidRPr="00DF692F" w:rsidRDefault="00A93B78">
                  <w:pPr>
                    <w:autoSpaceDE w:val="0"/>
                    <w:autoSpaceDN w:val="0"/>
                    <w:adjustRightInd w:val="0"/>
                    <w:rPr>
                      <w:rFonts w:ascii="Arial" w:hAnsi="Arial" w:cs="Arial"/>
                      <w:sz w:val="20"/>
                      <w:szCs w:val="20"/>
                    </w:rPr>
                  </w:pPr>
                  <w:r w:rsidRPr="00DF692F">
                    <w:rPr>
                      <w:rFonts w:ascii="Arial" w:hAnsi="Arial" w:cs="Arial"/>
                      <w:sz w:val="20"/>
                      <w:szCs w:val="20"/>
                    </w:rPr>
                    <w:t>Past infection</w:t>
                  </w:r>
                </w:p>
              </w:tc>
              <w:tc>
                <w:tcPr>
                  <w:tcW w:w="2329" w:type="dxa"/>
                  <w:tcBorders>
                    <w:bottom w:val="single" w:sz="4" w:space="0" w:color="auto"/>
                  </w:tcBorders>
                </w:tcPr>
                <w:p w:rsidR="00A93B78" w:rsidRPr="00DF692F" w:rsidRDefault="00A93B78">
                  <w:pPr>
                    <w:autoSpaceDE w:val="0"/>
                    <w:autoSpaceDN w:val="0"/>
                    <w:adjustRightInd w:val="0"/>
                    <w:rPr>
                      <w:rFonts w:ascii="Arial" w:hAnsi="Arial" w:cs="Arial"/>
                      <w:sz w:val="20"/>
                      <w:szCs w:val="20"/>
                    </w:rPr>
                  </w:pPr>
                  <w:r w:rsidRPr="00DF692F">
                    <w:rPr>
                      <w:rFonts w:ascii="Arial" w:hAnsi="Arial" w:cs="Arial"/>
                      <w:sz w:val="20"/>
                      <w:szCs w:val="20"/>
                    </w:rPr>
                    <w:t>+</w:t>
                  </w:r>
                </w:p>
              </w:tc>
              <w:tc>
                <w:tcPr>
                  <w:tcW w:w="2330" w:type="dxa"/>
                  <w:tcBorders>
                    <w:bottom w:val="single" w:sz="4" w:space="0" w:color="auto"/>
                  </w:tcBorders>
                </w:tcPr>
                <w:p w:rsidR="00A93B78" w:rsidRPr="00DF692F" w:rsidRDefault="00A93B78">
                  <w:pPr>
                    <w:autoSpaceDE w:val="0"/>
                    <w:autoSpaceDN w:val="0"/>
                    <w:adjustRightInd w:val="0"/>
                    <w:rPr>
                      <w:rFonts w:ascii="Arial" w:hAnsi="Arial" w:cs="Arial"/>
                      <w:sz w:val="20"/>
                      <w:szCs w:val="20"/>
                    </w:rPr>
                  </w:pPr>
                  <w:r w:rsidRPr="00DF692F">
                    <w:rPr>
                      <w:rFonts w:ascii="Arial" w:hAnsi="Arial" w:cs="Arial"/>
                      <w:sz w:val="20"/>
                      <w:szCs w:val="20"/>
                    </w:rPr>
                    <w:t>-</w:t>
                  </w:r>
                </w:p>
              </w:tc>
              <w:tc>
                <w:tcPr>
                  <w:tcW w:w="2330" w:type="dxa"/>
                  <w:tcBorders>
                    <w:bottom w:val="single" w:sz="4" w:space="0" w:color="auto"/>
                  </w:tcBorders>
                </w:tcPr>
                <w:p w:rsidR="00A93B78" w:rsidRPr="00DF692F" w:rsidRDefault="00A93B78">
                  <w:pPr>
                    <w:autoSpaceDE w:val="0"/>
                    <w:autoSpaceDN w:val="0"/>
                    <w:adjustRightInd w:val="0"/>
                    <w:rPr>
                      <w:rFonts w:ascii="Arial" w:hAnsi="Arial" w:cs="Arial"/>
                      <w:sz w:val="20"/>
                      <w:szCs w:val="20"/>
                    </w:rPr>
                  </w:pPr>
                  <w:r w:rsidRPr="00DF692F">
                    <w:rPr>
                      <w:rFonts w:ascii="Arial" w:hAnsi="Arial" w:cs="Arial"/>
                      <w:sz w:val="20"/>
                      <w:szCs w:val="20"/>
                    </w:rPr>
                    <w:t>+</w:t>
                  </w:r>
                </w:p>
              </w:tc>
            </w:tr>
            <w:tr w:rsidR="00A93B78" w:rsidRPr="00DF692F">
              <w:trPr>
                <w:cantSplit/>
              </w:trPr>
              <w:tc>
                <w:tcPr>
                  <w:tcW w:w="9318" w:type="dxa"/>
                  <w:gridSpan w:val="4"/>
                  <w:shd w:val="clear" w:color="auto" w:fill="D9D9D9"/>
                </w:tcPr>
                <w:p w:rsidR="00A93B78" w:rsidRPr="00DF692F" w:rsidRDefault="00A93B78">
                  <w:pPr>
                    <w:autoSpaceDE w:val="0"/>
                    <w:autoSpaceDN w:val="0"/>
                    <w:adjustRightInd w:val="0"/>
                    <w:rPr>
                      <w:rFonts w:ascii="Arial" w:hAnsi="Arial" w:cs="Arial"/>
                      <w:sz w:val="20"/>
                      <w:szCs w:val="20"/>
                    </w:rPr>
                  </w:pPr>
                  <w:r w:rsidRPr="00DF692F">
                    <w:rPr>
                      <w:rFonts w:ascii="Arial" w:hAnsi="Arial" w:cs="Arial"/>
                      <w:sz w:val="20"/>
                      <w:szCs w:val="20"/>
                    </w:rPr>
                    <w:t>Indeterminate</w:t>
                  </w:r>
                </w:p>
              </w:tc>
            </w:tr>
            <w:tr w:rsidR="00A93B78" w:rsidRPr="00DF692F">
              <w:tc>
                <w:tcPr>
                  <w:tcW w:w="2329" w:type="dxa"/>
                </w:tcPr>
                <w:p w:rsidR="00A93B78" w:rsidRPr="00DF692F" w:rsidRDefault="00A93B78">
                  <w:pPr>
                    <w:autoSpaceDE w:val="0"/>
                    <w:autoSpaceDN w:val="0"/>
                    <w:adjustRightInd w:val="0"/>
                    <w:rPr>
                      <w:rFonts w:ascii="Arial" w:hAnsi="Arial" w:cs="Arial"/>
                      <w:sz w:val="20"/>
                      <w:szCs w:val="20"/>
                    </w:rPr>
                  </w:pPr>
                  <w:r w:rsidRPr="00DF692F">
                    <w:rPr>
                      <w:rFonts w:ascii="Arial" w:hAnsi="Arial" w:cs="Arial"/>
                      <w:sz w:val="20"/>
                      <w:szCs w:val="20"/>
                    </w:rPr>
                    <w:t>VCA IgG only</w:t>
                  </w:r>
                </w:p>
              </w:tc>
              <w:tc>
                <w:tcPr>
                  <w:tcW w:w="2329" w:type="dxa"/>
                </w:tcPr>
                <w:p w:rsidR="00A93B78" w:rsidRPr="00DF692F" w:rsidRDefault="00A93B78">
                  <w:pPr>
                    <w:autoSpaceDE w:val="0"/>
                    <w:autoSpaceDN w:val="0"/>
                    <w:adjustRightInd w:val="0"/>
                    <w:rPr>
                      <w:rFonts w:ascii="Arial" w:hAnsi="Arial" w:cs="Arial"/>
                      <w:sz w:val="20"/>
                      <w:szCs w:val="20"/>
                    </w:rPr>
                  </w:pPr>
                  <w:r w:rsidRPr="00DF692F">
                    <w:rPr>
                      <w:rFonts w:ascii="Arial" w:hAnsi="Arial" w:cs="Arial"/>
                      <w:sz w:val="20"/>
                      <w:szCs w:val="20"/>
                    </w:rPr>
                    <w:t>+</w:t>
                  </w:r>
                </w:p>
              </w:tc>
              <w:tc>
                <w:tcPr>
                  <w:tcW w:w="2330" w:type="dxa"/>
                </w:tcPr>
                <w:p w:rsidR="00A93B78" w:rsidRPr="00DF692F" w:rsidRDefault="00A93B78">
                  <w:pPr>
                    <w:autoSpaceDE w:val="0"/>
                    <w:autoSpaceDN w:val="0"/>
                    <w:adjustRightInd w:val="0"/>
                    <w:rPr>
                      <w:rFonts w:ascii="Arial" w:hAnsi="Arial" w:cs="Arial"/>
                      <w:sz w:val="20"/>
                      <w:szCs w:val="20"/>
                    </w:rPr>
                  </w:pPr>
                  <w:r w:rsidRPr="00DF692F">
                    <w:rPr>
                      <w:rFonts w:ascii="Arial" w:hAnsi="Arial" w:cs="Arial"/>
                      <w:sz w:val="20"/>
                      <w:szCs w:val="20"/>
                    </w:rPr>
                    <w:t>-</w:t>
                  </w:r>
                </w:p>
              </w:tc>
              <w:tc>
                <w:tcPr>
                  <w:tcW w:w="2330" w:type="dxa"/>
                </w:tcPr>
                <w:p w:rsidR="00A93B78" w:rsidRPr="00DF692F" w:rsidRDefault="00E0114B">
                  <w:pPr>
                    <w:autoSpaceDE w:val="0"/>
                    <w:autoSpaceDN w:val="0"/>
                    <w:adjustRightInd w:val="0"/>
                    <w:rPr>
                      <w:rFonts w:ascii="Arial" w:hAnsi="Arial" w:cs="Arial"/>
                      <w:sz w:val="20"/>
                      <w:szCs w:val="20"/>
                    </w:rPr>
                  </w:pPr>
                  <w:r w:rsidRPr="00DF692F">
                    <w:rPr>
                      <w:rFonts w:ascii="Arial" w:hAnsi="Arial" w:cs="Arial"/>
                      <w:sz w:val="20"/>
                      <w:szCs w:val="20"/>
                    </w:rPr>
                    <w:t>-</w:t>
                  </w:r>
                </w:p>
              </w:tc>
            </w:tr>
            <w:tr w:rsidR="00A93B78" w:rsidRPr="00DF692F">
              <w:tc>
                <w:tcPr>
                  <w:tcW w:w="2329" w:type="dxa"/>
                </w:tcPr>
                <w:p w:rsidR="00A93B78" w:rsidRPr="00DF692F" w:rsidRDefault="00A93B78">
                  <w:pPr>
                    <w:autoSpaceDE w:val="0"/>
                    <w:autoSpaceDN w:val="0"/>
                    <w:adjustRightInd w:val="0"/>
                    <w:rPr>
                      <w:rFonts w:ascii="Arial" w:hAnsi="Arial" w:cs="Arial"/>
                      <w:sz w:val="20"/>
                      <w:szCs w:val="20"/>
                    </w:rPr>
                  </w:pPr>
                  <w:r w:rsidRPr="00DF692F">
                    <w:rPr>
                      <w:rFonts w:ascii="Arial" w:hAnsi="Arial" w:cs="Arial"/>
                      <w:sz w:val="20"/>
                      <w:szCs w:val="20"/>
                    </w:rPr>
                    <w:t>VCA IgM only</w:t>
                  </w:r>
                </w:p>
              </w:tc>
              <w:tc>
                <w:tcPr>
                  <w:tcW w:w="2329" w:type="dxa"/>
                </w:tcPr>
                <w:p w:rsidR="00A93B78" w:rsidRPr="00DF692F" w:rsidRDefault="00A93B78">
                  <w:pPr>
                    <w:autoSpaceDE w:val="0"/>
                    <w:autoSpaceDN w:val="0"/>
                    <w:adjustRightInd w:val="0"/>
                    <w:rPr>
                      <w:rFonts w:ascii="Arial" w:hAnsi="Arial" w:cs="Arial"/>
                      <w:sz w:val="20"/>
                      <w:szCs w:val="20"/>
                    </w:rPr>
                  </w:pPr>
                  <w:r w:rsidRPr="00DF692F">
                    <w:rPr>
                      <w:rFonts w:ascii="Arial" w:hAnsi="Arial" w:cs="Arial"/>
                      <w:sz w:val="20"/>
                      <w:szCs w:val="20"/>
                    </w:rPr>
                    <w:t>-</w:t>
                  </w:r>
                </w:p>
              </w:tc>
              <w:tc>
                <w:tcPr>
                  <w:tcW w:w="2330" w:type="dxa"/>
                </w:tcPr>
                <w:p w:rsidR="00A93B78" w:rsidRPr="00DF692F" w:rsidRDefault="00A93B78">
                  <w:pPr>
                    <w:autoSpaceDE w:val="0"/>
                    <w:autoSpaceDN w:val="0"/>
                    <w:adjustRightInd w:val="0"/>
                    <w:rPr>
                      <w:rFonts w:ascii="Arial" w:hAnsi="Arial" w:cs="Arial"/>
                      <w:sz w:val="20"/>
                      <w:szCs w:val="20"/>
                    </w:rPr>
                  </w:pPr>
                  <w:r w:rsidRPr="00DF692F">
                    <w:rPr>
                      <w:rFonts w:ascii="Arial" w:hAnsi="Arial" w:cs="Arial"/>
                      <w:sz w:val="20"/>
                      <w:szCs w:val="20"/>
                    </w:rPr>
                    <w:t>+</w:t>
                  </w:r>
                </w:p>
              </w:tc>
              <w:tc>
                <w:tcPr>
                  <w:tcW w:w="2330" w:type="dxa"/>
                </w:tcPr>
                <w:p w:rsidR="00A93B78" w:rsidRPr="00DF692F" w:rsidRDefault="00A93B78">
                  <w:pPr>
                    <w:autoSpaceDE w:val="0"/>
                    <w:autoSpaceDN w:val="0"/>
                    <w:adjustRightInd w:val="0"/>
                    <w:rPr>
                      <w:rFonts w:ascii="Arial" w:hAnsi="Arial" w:cs="Arial"/>
                      <w:sz w:val="20"/>
                      <w:szCs w:val="20"/>
                    </w:rPr>
                  </w:pPr>
                  <w:r w:rsidRPr="00DF692F">
                    <w:rPr>
                      <w:rFonts w:ascii="Arial" w:hAnsi="Arial" w:cs="Arial"/>
                      <w:sz w:val="20"/>
                      <w:szCs w:val="20"/>
                    </w:rPr>
                    <w:t>-</w:t>
                  </w:r>
                </w:p>
              </w:tc>
            </w:tr>
            <w:tr w:rsidR="00A93B78" w:rsidRPr="00DF692F">
              <w:tc>
                <w:tcPr>
                  <w:tcW w:w="2329" w:type="dxa"/>
                </w:tcPr>
                <w:p w:rsidR="00A93B78" w:rsidRPr="00DF692F" w:rsidRDefault="00A93B78">
                  <w:pPr>
                    <w:autoSpaceDE w:val="0"/>
                    <w:autoSpaceDN w:val="0"/>
                    <w:adjustRightInd w:val="0"/>
                    <w:rPr>
                      <w:rFonts w:ascii="Arial" w:hAnsi="Arial" w:cs="Arial"/>
                      <w:sz w:val="20"/>
                      <w:szCs w:val="20"/>
                    </w:rPr>
                  </w:pPr>
                  <w:r w:rsidRPr="00DF692F">
                    <w:rPr>
                      <w:rFonts w:ascii="Arial" w:hAnsi="Arial" w:cs="Arial"/>
                      <w:sz w:val="20"/>
                      <w:szCs w:val="20"/>
                    </w:rPr>
                    <w:t>EBNA IgG only</w:t>
                  </w:r>
                </w:p>
              </w:tc>
              <w:tc>
                <w:tcPr>
                  <w:tcW w:w="2329" w:type="dxa"/>
                </w:tcPr>
                <w:p w:rsidR="00A93B78" w:rsidRPr="00DF692F" w:rsidRDefault="00A93B78">
                  <w:pPr>
                    <w:autoSpaceDE w:val="0"/>
                    <w:autoSpaceDN w:val="0"/>
                    <w:adjustRightInd w:val="0"/>
                    <w:rPr>
                      <w:rFonts w:ascii="Arial" w:hAnsi="Arial" w:cs="Arial"/>
                      <w:sz w:val="20"/>
                      <w:szCs w:val="20"/>
                    </w:rPr>
                  </w:pPr>
                  <w:r w:rsidRPr="00DF692F">
                    <w:rPr>
                      <w:rFonts w:ascii="Arial" w:hAnsi="Arial" w:cs="Arial"/>
                      <w:sz w:val="20"/>
                      <w:szCs w:val="20"/>
                    </w:rPr>
                    <w:t>-</w:t>
                  </w:r>
                </w:p>
              </w:tc>
              <w:tc>
                <w:tcPr>
                  <w:tcW w:w="2330" w:type="dxa"/>
                </w:tcPr>
                <w:p w:rsidR="00A93B78" w:rsidRPr="00DF692F" w:rsidRDefault="00A93B78">
                  <w:pPr>
                    <w:autoSpaceDE w:val="0"/>
                    <w:autoSpaceDN w:val="0"/>
                    <w:adjustRightInd w:val="0"/>
                    <w:rPr>
                      <w:rFonts w:ascii="Arial" w:hAnsi="Arial" w:cs="Arial"/>
                      <w:sz w:val="20"/>
                      <w:szCs w:val="20"/>
                    </w:rPr>
                  </w:pPr>
                  <w:r w:rsidRPr="00DF692F">
                    <w:rPr>
                      <w:rFonts w:ascii="Arial" w:hAnsi="Arial" w:cs="Arial"/>
                      <w:sz w:val="20"/>
                      <w:szCs w:val="20"/>
                    </w:rPr>
                    <w:t>-</w:t>
                  </w:r>
                </w:p>
              </w:tc>
              <w:tc>
                <w:tcPr>
                  <w:tcW w:w="2330" w:type="dxa"/>
                </w:tcPr>
                <w:p w:rsidR="00A93B78" w:rsidRPr="00DF692F" w:rsidRDefault="00A93B78">
                  <w:pPr>
                    <w:autoSpaceDE w:val="0"/>
                    <w:autoSpaceDN w:val="0"/>
                    <w:adjustRightInd w:val="0"/>
                    <w:rPr>
                      <w:rFonts w:ascii="Arial" w:hAnsi="Arial" w:cs="Arial"/>
                      <w:sz w:val="20"/>
                      <w:szCs w:val="20"/>
                    </w:rPr>
                  </w:pPr>
                  <w:r w:rsidRPr="00DF692F">
                    <w:rPr>
                      <w:rFonts w:ascii="Arial" w:hAnsi="Arial" w:cs="Arial"/>
                      <w:sz w:val="20"/>
                      <w:szCs w:val="20"/>
                    </w:rPr>
                    <w:t>+</w:t>
                  </w:r>
                </w:p>
              </w:tc>
            </w:tr>
            <w:tr w:rsidR="00A93B78" w:rsidRPr="00DF692F">
              <w:tc>
                <w:tcPr>
                  <w:tcW w:w="2329" w:type="dxa"/>
                  <w:tcBorders>
                    <w:bottom w:val="single" w:sz="4" w:space="0" w:color="auto"/>
                  </w:tcBorders>
                </w:tcPr>
                <w:p w:rsidR="00A93B78" w:rsidRPr="00DF692F" w:rsidRDefault="00A93B78">
                  <w:pPr>
                    <w:autoSpaceDE w:val="0"/>
                    <w:autoSpaceDN w:val="0"/>
                    <w:adjustRightInd w:val="0"/>
                    <w:rPr>
                      <w:rFonts w:ascii="Arial" w:hAnsi="Arial" w:cs="Arial"/>
                      <w:sz w:val="20"/>
                      <w:szCs w:val="20"/>
                    </w:rPr>
                  </w:pPr>
                  <w:r w:rsidRPr="00DF692F">
                    <w:rPr>
                      <w:rFonts w:ascii="Arial" w:hAnsi="Arial" w:cs="Arial"/>
                      <w:sz w:val="20"/>
                      <w:szCs w:val="20"/>
                    </w:rPr>
                    <w:t>Convalescent</w:t>
                  </w:r>
                </w:p>
              </w:tc>
              <w:tc>
                <w:tcPr>
                  <w:tcW w:w="2329" w:type="dxa"/>
                  <w:tcBorders>
                    <w:bottom w:val="single" w:sz="4" w:space="0" w:color="auto"/>
                  </w:tcBorders>
                </w:tcPr>
                <w:p w:rsidR="00A93B78" w:rsidRPr="00DF692F" w:rsidRDefault="00A93B78">
                  <w:pPr>
                    <w:autoSpaceDE w:val="0"/>
                    <w:autoSpaceDN w:val="0"/>
                    <w:adjustRightInd w:val="0"/>
                    <w:rPr>
                      <w:rFonts w:ascii="Arial" w:hAnsi="Arial" w:cs="Arial"/>
                      <w:sz w:val="20"/>
                      <w:szCs w:val="20"/>
                    </w:rPr>
                  </w:pPr>
                  <w:r w:rsidRPr="00DF692F">
                    <w:rPr>
                      <w:rFonts w:ascii="Arial" w:hAnsi="Arial" w:cs="Arial"/>
                      <w:sz w:val="20"/>
                      <w:szCs w:val="20"/>
                    </w:rPr>
                    <w:t>+</w:t>
                  </w:r>
                </w:p>
              </w:tc>
              <w:tc>
                <w:tcPr>
                  <w:tcW w:w="2330" w:type="dxa"/>
                  <w:tcBorders>
                    <w:bottom w:val="single" w:sz="4" w:space="0" w:color="auto"/>
                  </w:tcBorders>
                </w:tcPr>
                <w:p w:rsidR="00A93B78" w:rsidRPr="00DF692F" w:rsidRDefault="00A93B78">
                  <w:pPr>
                    <w:autoSpaceDE w:val="0"/>
                    <w:autoSpaceDN w:val="0"/>
                    <w:adjustRightInd w:val="0"/>
                    <w:rPr>
                      <w:rFonts w:ascii="Arial" w:hAnsi="Arial" w:cs="Arial"/>
                      <w:sz w:val="20"/>
                      <w:szCs w:val="20"/>
                    </w:rPr>
                  </w:pPr>
                  <w:r w:rsidRPr="00DF692F">
                    <w:rPr>
                      <w:rFonts w:ascii="Arial" w:hAnsi="Arial" w:cs="Arial"/>
                      <w:sz w:val="20"/>
                      <w:szCs w:val="20"/>
                    </w:rPr>
                    <w:t>+</w:t>
                  </w:r>
                </w:p>
              </w:tc>
              <w:tc>
                <w:tcPr>
                  <w:tcW w:w="2330" w:type="dxa"/>
                  <w:tcBorders>
                    <w:bottom w:val="single" w:sz="4" w:space="0" w:color="auto"/>
                  </w:tcBorders>
                </w:tcPr>
                <w:p w:rsidR="00A93B78" w:rsidRPr="00DF692F" w:rsidRDefault="00A93B78">
                  <w:pPr>
                    <w:autoSpaceDE w:val="0"/>
                    <w:autoSpaceDN w:val="0"/>
                    <w:adjustRightInd w:val="0"/>
                    <w:rPr>
                      <w:rFonts w:ascii="Arial" w:hAnsi="Arial" w:cs="Arial"/>
                      <w:sz w:val="20"/>
                      <w:szCs w:val="20"/>
                    </w:rPr>
                  </w:pPr>
                  <w:r w:rsidRPr="00DF692F">
                    <w:rPr>
                      <w:rFonts w:ascii="Arial" w:hAnsi="Arial" w:cs="Arial"/>
                      <w:sz w:val="20"/>
                      <w:szCs w:val="20"/>
                    </w:rPr>
                    <w:t>+</w:t>
                  </w:r>
                </w:p>
              </w:tc>
            </w:tr>
          </w:tbl>
          <w:p w:rsidR="00A93B78" w:rsidRPr="00DF692F" w:rsidRDefault="00A93B78">
            <w:pPr>
              <w:rPr>
                <w:rFonts w:ascii="Arial" w:hAnsi="Arial" w:cs="Arial"/>
                <w:sz w:val="20"/>
                <w:szCs w:val="20"/>
              </w:rPr>
            </w:pPr>
          </w:p>
        </w:tc>
      </w:tr>
    </w:tbl>
    <w:p w:rsidR="00A93B78" w:rsidRPr="00DF692F" w:rsidRDefault="00A93B78">
      <w:pPr>
        <w:rPr>
          <w:rFonts w:ascii="Arial" w:hAnsi="Arial" w:cs="Arial"/>
          <w:b/>
          <w:bCs/>
          <w:color w:val="0000FF"/>
          <w:sz w:val="20"/>
          <w:szCs w:val="20"/>
        </w:rPr>
        <w:sectPr w:rsidR="00A93B78" w:rsidRPr="00DF692F">
          <w:headerReference w:type="default" r:id="rId10"/>
          <w:footerReference w:type="default" r:id="rId11"/>
          <w:type w:val="continuous"/>
          <w:pgSz w:w="12240" w:h="15840" w:code="1"/>
          <w:pgMar w:top="720" w:right="1800" w:bottom="720" w:left="1800" w:header="432" w:footer="432" w:gutter="0"/>
          <w:cols w:space="720" w:equalWidth="0">
            <w:col w:w="9360"/>
          </w:cols>
          <w:docGrid w:linePitch="360"/>
        </w:sect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9362"/>
      </w:tblGrid>
      <w:tr w:rsidR="00A93B78" w:rsidRPr="00DF692F" w:rsidTr="00C101FA">
        <w:trPr>
          <w:cantSplit/>
        </w:trPr>
        <w:tc>
          <w:tcPr>
            <w:tcW w:w="1798" w:type="dxa"/>
            <w:tcBorders>
              <w:top w:val="nil"/>
              <w:left w:val="nil"/>
              <w:bottom w:val="nil"/>
              <w:right w:val="nil"/>
            </w:tcBorders>
          </w:tcPr>
          <w:p w:rsidR="00A93B78" w:rsidRPr="00DF692F" w:rsidRDefault="00A93B78">
            <w:pPr>
              <w:rPr>
                <w:rFonts w:ascii="Arial" w:hAnsi="Arial" w:cs="Arial"/>
                <w:b/>
                <w:bCs/>
                <w:color w:val="0000FF"/>
                <w:sz w:val="20"/>
                <w:szCs w:val="20"/>
              </w:rPr>
            </w:pPr>
          </w:p>
          <w:p w:rsidR="00A93B78" w:rsidRPr="00DF692F" w:rsidRDefault="00A93B78">
            <w:pPr>
              <w:jc w:val="left"/>
              <w:rPr>
                <w:rFonts w:ascii="Arial" w:hAnsi="Arial" w:cs="Arial"/>
                <w:b/>
                <w:bCs/>
                <w:color w:val="0000FF"/>
                <w:sz w:val="20"/>
                <w:szCs w:val="20"/>
              </w:rPr>
            </w:pPr>
            <w:r w:rsidRPr="00DF692F">
              <w:rPr>
                <w:rFonts w:ascii="Arial" w:hAnsi="Arial" w:cs="Arial"/>
                <w:b/>
                <w:bCs/>
                <w:color w:val="0000FF"/>
                <w:sz w:val="20"/>
                <w:szCs w:val="20"/>
              </w:rPr>
              <w:t>Dilutions</w:t>
            </w:r>
          </w:p>
        </w:tc>
        <w:tc>
          <w:tcPr>
            <w:tcW w:w="9362" w:type="dxa"/>
            <w:tcBorders>
              <w:top w:val="single" w:sz="18" w:space="0" w:color="A6A6A6"/>
              <w:left w:val="nil"/>
              <w:bottom w:val="single" w:sz="18" w:space="0" w:color="A6A6A6"/>
              <w:right w:val="nil"/>
            </w:tcBorders>
          </w:tcPr>
          <w:p w:rsidR="00A93B78" w:rsidRPr="00DF692F" w:rsidRDefault="00A93B78">
            <w:pPr>
              <w:jc w:val="left"/>
              <w:rPr>
                <w:rFonts w:ascii="Arial" w:hAnsi="Arial" w:cs="Arial"/>
                <w:sz w:val="20"/>
                <w:szCs w:val="20"/>
              </w:rPr>
            </w:pPr>
          </w:p>
          <w:p w:rsidR="00A93B78" w:rsidRPr="00DF692F" w:rsidRDefault="00A93B78">
            <w:pPr>
              <w:pStyle w:val="Heading"/>
              <w:jc w:val="left"/>
              <w:rPr>
                <w:rFonts w:ascii="Arial" w:hAnsi="Arial"/>
                <w:b w:val="0"/>
                <w:bCs w:val="0"/>
                <w:iCs/>
                <w:sz w:val="20"/>
                <w:szCs w:val="20"/>
              </w:rPr>
            </w:pPr>
            <w:r w:rsidRPr="00DF692F">
              <w:rPr>
                <w:rFonts w:ascii="Arial" w:hAnsi="Arial"/>
                <w:b w:val="0"/>
                <w:bCs w:val="0"/>
                <w:iCs/>
                <w:sz w:val="20"/>
                <w:szCs w:val="20"/>
              </w:rPr>
              <w:t>Do not dilute. See result Reporting.</w:t>
            </w:r>
          </w:p>
          <w:p w:rsidR="00A93B78" w:rsidRPr="00DF692F" w:rsidRDefault="00A93B78">
            <w:pPr>
              <w:jc w:val="left"/>
              <w:rPr>
                <w:rFonts w:ascii="Arial" w:hAnsi="Arial" w:cs="Arial"/>
                <w:sz w:val="20"/>
                <w:szCs w:val="20"/>
              </w:rPr>
            </w:pPr>
          </w:p>
        </w:tc>
      </w:tr>
      <w:tr w:rsidR="00A93B78" w:rsidRPr="00DF692F" w:rsidTr="00C101FA">
        <w:trPr>
          <w:cantSplit/>
          <w:trHeight w:val="2595"/>
        </w:trPr>
        <w:tc>
          <w:tcPr>
            <w:tcW w:w="1798" w:type="dxa"/>
            <w:tcBorders>
              <w:top w:val="nil"/>
              <w:left w:val="nil"/>
              <w:bottom w:val="nil"/>
              <w:right w:val="nil"/>
            </w:tcBorders>
          </w:tcPr>
          <w:p w:rsidR="00A93B78" w:rsidRPr="00DF692F" w:rsidRDefault="00A93B78">
            <w:pPr>
              <w:rPr>
                <w:rFonts w:ascii="Arial" w:hAnsi="Arial" w:cs="Arial"/>
                <w:b/>
                <w:color w:val="0000FF"/>
                <w:sz w:val="20"/>
                <w:szCs w:val="20"/>
              </w:rPr>
            </w:pPr>
          </w:p>
          <w:p w:rsidR="00A93B78" w:rsidRPr="00DF692F" w:rsidRDefault="00A93B78">
            <w:pPr>
              <w:jc w:val="left"/>
              <w:rPr>
                <w:rFonts w:ascii="Arial" w:hAnsi="Arial" w:cs="Arial"/>
                <w:b/>
                <w:sz w:val="20"/>
                <w:szCs w:val="20"/>
              </w:rPr>
            </w:pPr>
            <w:r w:rsidRPr="00DF692F">
              <w:rPr>
                <w:rFonts w:ascii="Arial" w:hAnsi="Arial" w:cs="Arial"/>
                <w:b/>
                <w:color w:val="0000FF"/>
                <w:sz w:val="20"/>
                <w:szCs w:val="20"/>
              </w:rPr>
              <w:t>Reference Intervals</w:t>
            </w:r>
          </w:p>
        </w:tc>
        <w:tc>
          <w:tcPr>
            <w:tcW w:w="9362" w:type="dxa"/>
            <w:tcBorders>
              <w:top w:val="single" w:sz="18" w:space="0" w:color="A6A6A6"/>
              <w:left w:val="nil"/>
              <w:bottom w:val="single" w:sz="18" w:space="0" w:color="A6A6A6"/>
              <w:right w:val="nil"/>
            </w:tcBorders>
          </w:tcPr>
          <w:p w:rsidR="00A93B78" w:rsidRPr="00DF692F" w:rsidRDefault="00A93B78">
            <w:pPr>
              <w:jc w:val="left"/>
              <w:rPr>
                <w:rFonts w:ascii="Arial" w:hAnsi="Arial" w:cs="Arial"/>
                <w:sz w:val="20"/>
                <w:szCs w:val="20"/>
              </w:rPr>
            </w:pPr>
          </w:p>
          <w:p w:rsidR="00A93B78" w:rsidRPr="00DF692F" w:rsidRDefault="00A93B78">
            <w:pPr>
              <w:autoSpaceDE w:val="0"/>
              <w:autoSpaceDN w:val="0"/>
              <w:adjustRightInd w:val="0"/>
              <w:jc w:val="left"/>
              <w:rPr>
                <w:rFonts w:ascii="Arial" w:hAnsi="Arial" w:cs="Arial"/>
                <w:sz w:val="20"/>
                <w:szCs w:val="20"/>
              </w:rPr>
            </w:pPr>
            <w:r w:rsidRPr="00DF692F">
              <w:rPr>
                <w:rFonts w:ascii="Arial" w:hAnsi="Arial" w:cs="Arial"/>
                <w:sz w:val="20"/>
                <w:szCs w:val="20"/>
              </w:rPr>
              <w:t xml:space="preserve">&lt; 18.0 U/mL = Negative </w:t>
            </w:r>
          </w:p>
          <w:p w:rsidR="00A93B78" w:rsidRPr="00DF692F" w:rsidRDefault="00A93B78">
            <w:pPr>
              <w:autoSpaceDE w:val="0"/>
              <w:autoSpaceDN w:val="0"/>
              <w:adjustRightInd w:val="0"/>
              <w:jc w:val="left"/>
              <w:rPr>
                <w:rFonts w:ascii="Arial" w:hAnsi="Arial" w:cs="Arial"/>
                <w:sz w:val="20"/>
                <w:szCs w:val="20"/>
              </w:rPr>
            </w:pPr>
            <w:r w:rsidRPr="00DF692F">
              <w:rPr>
                <w:rFonts w:ascii="Arial" w:hAnsi="Arial" w:cs="Arial"/>
                <w:sz w:val="20"/>
                <w:szCs w:val="20"/>
              </w:rPr>
              <w:t>Absence of detectable EBNA IgG antibodies. A negative result generally excludes past EBV infection. If exposure to Epstein-Barr virus is suspected despite a negative finding, a second sample should be collected and tested no less than one to two weeks later.</w:t>
            </w:r>
          </w:p>
          <w:p w:rsidR="00A93B78" w:rsidRPr="00DF692F" w:rsidRDefault="00A93B78">
            <w:pPr>
              <w:pStyle w:val="TableText"/>
              <w:autoSpaceDE/>
              <w:autoSpaceDN/>
              <w:rPr>
                <w:rFonts w:ascii="Arial" w:hAnsi="Arial" w:cs="Arial"/>
                <w:szCs w:val="20"/>
              </w:rPr>
            </w:pPr>
          </w:p>
          <w:p w:rsidR="00A93B78" w:rsidRPr="00DF692F" w:rsidRDefault="00A93B78">
            <w:pPr>
              <w:autoSpaceDE w:val="0"/>
              <w:autoSpaceDN w:val="0"/>
              <w:adjustRightInd w:val="0"/>
              <w:jc w:val="left"/>
              <w:rPr>
                <w:rFonts w:ascii="Arial" w:hAnsi="Arial" w:cs="Arial"/>
                <w:sz w:val="20"/>
                <w:szCs w:val="20"/>
              </w:rPr>
            </w:pPr>
            <w:r w:rsidRPr="00DF692F">
              <w:rPr>
                <w:rFonts w:ascii="Arial" w:hAnsi="Arial" w:cs="Arial"/>
                <w:sz w:val="20"/>
                <w:szCs w:val="20"/>
              </w:rPr>
              <w:t xml:space="preserve">18.0 to 21.9 U/mL = Equivocal </w:t>
            </w:r>
          </w:p>
          <w:p w:rsidR="00A93B78" w:rsidRPr="00DF692F" w:rsidRDefault="00A93B78">
            <w:pPr>
              <w:pStyle w:val="TableText"/>
              <w:autoSpaceDE/>
              <w:autoSpaceDN/>
              <w:rPr>
                <w:rFonts w:ascii="Arial" w:hAnsi="Arial" w:cs="Arial"/>
                <w:szCs w:val="20"/>
              </w:rPr>
            </w:pPr>
          </w:p>
          <w:p w:rsidR="00A93B78" w:rsidRPr="00DF692F" w:rsidRDefault="00A93B78">
            <w:pPr>
              <w:autoSpaceDE w:val="0"/>
              <w:autoSpaceDN w:val="0"/>
              <w:adjustRightInd w:val="0"/>
              <w:jc w:val="left"/>
              <w:rPr>
                <w:rFonts w:ascii="Arial" w:eastAsia="SymbolMT" w:hAnsi="Arial" w:cs="Arial"/>
                <w:sz w:val="20"/>
                <w:szCs w:val="20"/>
              </w:rPr>
            </w:pPr>
            <w:r w:rsidRPr="00DF692F">
              <w:rPr>
                <w:rFonts w:ascii="Arial" w:eastAsia="SymbolMT" w:hAnsi="Arial" w:cs="Arial"/>
                <w:sz w:val="20"/>
                <w:szCs w:val="20"/>
              </w:rPr>
              <w:t xml:space="preserve">≥ 22.0 U/mL = Positive </w:t>
            </w:r>
          </w:p>
          <w:p w:rsidR="00A93B78" w:rsidRPr="00DF692F" w:rsidRDefault="00A93B78">
            <w:pPr>
              <w:autoSpaceDE w:val="0"/>
              <w:autoSpaceDN w:val="0"/>
              <w:adjustRightInd w:val="0"/>
              <w:jc w:val="left"/>
              <w:rPr>
                <w:rFonts w:ascii="Arial" w:hAnsi="Arial" w:cs="Arial"/>
                <w:sz w:val="20"/>
                <w:szCs w:val="20"/>
              </w:rPr>
            </w:pPr>
            <w:r w:rsidRPr="00DF692F">
              <w:rPr>
                <w:rFonts w:ascii="Arial" w:eastAsia="SymbolMT" w:hAnsi="Arial" w:cs="Arial"/>
                <w:sz w:val="20"/>
                <w:szCs w:val="20"/>
              </w:rPr>
              <w:t>Presence of detectable EBNA IgG antibodies. A positive result is indicative of past infection.</w:t>
            </w:r>
          </w:p>
          <w:p w:rsidR="00A93B78" w:rsidRPr="00DF692F" w:rsidRDefault="00A93B78">
            <w:pPr>
              <w:pStyle w:val="Heading"/>
              <w:jc w:val="left"/>
              <w:rPr>
                <w:rFonts w:ascii="Arial" w:hAnsi="Arial"/>
                <w:b w:val="0"/>
                <w:bCs w:val="0"/>
                <w:iCs/>
                <w:sz w:val="20"/>
                <w:szCs w:val="20"/>
              </w:rPr>
            </w:pPr>
          </w:p>
        </w:tc>
      </w:tr>
      <w:tr w:rsidR="00A93B78" w:rsidRPr="00DF692F" w:rsidTr="00C101FA">
        <w:trPr>
          <w:cantSplit/>
        </w:trPr>
        <w:tc>
          <w:tcPr>
            <w:tcW w:w="1798" w:type="dxa"/>
            <w:tcBorders>
              <w:top w:val="nil"/>
              <w:left w:val="nil"/>
              <w:bottom w:val="nil"/>
              <w:right w:val="nil"/>
            </w:tcBorders>
          </w:tcPr>
          <w:p w:rsidR="00A93B78" w:rsidRPr="00DF692F" w:rsidRDefault="00A93B78">
            <w:pPr>
              <w:rPr>
                <w:rFonts w:ascii="Arial" w:hAnsi="Arial" w:cs="Arial"/>
                <w:sz w:val="20"/>
                <w:szCs w:val="20"/>
              </w:rPr>
            </w:pPr>
          </w:p>
          <w:p w:rsidR="00A93B78" w:rsidRPr="00DF692F" w:rsidRDefault="00A93B78">
            <w:pPr>
              <w:pStyle w:val="BodyText3"/>
              <w:jc w:val="left"/>
              <w:rPr>
                <w:rFonts w:ascii="Arial" w:hAnsi="Arial" w:cs="Arial"/>
                <w:sz w:val="20"/>
                <w:szCs w:val="20"/>
              </w:rPr>
            </w:pPr>
            <w:r w:rsidRPr="00DF692F">
              <w:rPr>
                <w:rFonts w:ascii="Arial" w:hAnsi="Arial" w:cs="Arial"/>
                <w:sz w:val="20"/>
                <w:szCs w:val="20"/>
              </w:rPr>
              <w:t>Limitations</w:t>
            </w:r>
          </w:p>
          <w:p w:rsidR="00A93B78" w:rsidRPr="00DF692F" w:rsidRDefault="00A93B78">
            <w:pPr>
              <w:rPr>
                <w:rFonts w:ascii="Arial" w:hAnsi="Arial" w:cs="Arial"/>
                <w:sz w:val="20"/>
                <w:szCs w:val="20"/>
              </w:rPr>
            </w:pPr>
          </w:p>
        </w:tc>
        <w:tc>
          <w:tcPr>
            <w:tcW w:w="9362" w:type="dxa"/>
            <w:tcBorders>
              <w:top w:val="single" w:sz="18" w:space="0" w:color="A6A6A6"/>
              <w:left w:val="nil"/>
              <w:bottom w:val="single" w:sz="18" w:space="0" w:color="A6A6A6"/>
              <w:right w:val="nil"/>
            </w:tcBorders>
          </w:tcPr>
          <w:p w:rsidR="00A93B78" w:rsidRPr="00DF692F" w:rsidRDefault="00A93B78">
            <w:pPr>
              <w:autoSpaceDE w:val="0"/>
              <w:autoSpaceDN w:val="0"/>
              <w:adjustRightInd w:val="0"/>
              <w:jc w:val="left"/>
              <w:rPr>
                <w:rFonts w:ascii="Arial" w:hAnsi="Arial" w:cs="Arial"/>
                <w:spacing w:val="-6"/>
                <w:sz w:val="20"/>
                <w:szCs w:val="20"/>
              </w:rPr>
            </w:pPr>
          </w:p>
          <w:p w:rsidR="00A93B78" w:rsidRPr="00DF692F" w:rsidRDefault="00A93B78" w:rsidP="00A93B78">
            <w:pPr>
              <w:numPr>
                <w:ilvl w:val="0"/>
                <w:numId w:val="9"/>
              </w:numPr>
              <w:rPr>
                <w:rFonts w:ascii="Arial" w:hAnsi="Arial" w:cs="Arial"/>
                <w:sz w:val="20"/>
                <w:szCs w:val="20"/>
              </w:rPr>
            </w:pPr>
            <w:r w:rsidRPr="00DF692F">
              <w:rPr>
                <w:rFonts w:ascii="Arial" w:hAnsi="Arial" w:cs="Arial"/>
                <w:sz w:val="20"/>
                <w:szCs w:val="20"/>
              </w:rPr>
              <w:t>Do not heat-inactivate sera.</w:t>
            </w:r>
          </w:p>
          <w:p w:rsidR="00A93B78" w:rsidRPr="00DF692F" w:rsidRDefault="00A93B78" w:rsidP="00A93B78">
            <w:pPr>
              <w:numPr>
                <w:ilvl w:val="0"/>
                <w:numId w:val="9"/>
              </w:numPr>
              <w:rPr>
                <w:rFonts w:ascii="Arial" w:hAnsi="Arial" w:cs="Arial"/>
                <w:sz w:val="20"/>
                <w:szCs w:val="20"/>
              </w:rPr>
            </w:pPr>
            <w:r w:rsidRPr="00DF692F">
              <w:rPr>
                <w:rFonts w:ascii="Arial" w:hAnsi="Arial" w:cs="Arial"/>
                <w:sz w:val="20"/>
                <w:szCs w:val="20"/>
              </w:rPr>
              <w:t>The clinical diagnosis must be interpreted with clinical signs and symptoms of the patient. The results from this kit are not by themselves diagnostic and should be considered in association with other clinical data and patient symptoms.</w:t>
            </w:r>
          </w:p>
          <w:p w:rsidR="00A93B78" w:rsidRPr="00DF692F" w:rsidRDefault="00A93B78" w:rsidP="00A93B78">
            <w:pPr>
              <w:numPr>
                <w:ilvl w:val="0"/>
                <w:numId w:val="9"/>
              </w:numPr>
              <w:rPr>
                <w:rFonts w:ascii="Arial" w:hAnsi="Arial" w:cs="Arial"/>
                <w:sz w:val="20"/>
                <w:szCs w:val="20"/>
              </w:rPr>
            </w:pPr>
            <w:r w:rsidRPr="00DF692F">
              <w:rPr>
                <w:rFonts w:ascii="Arial" w:hAnsi="Arial" w:cs="Arial"/>
                <w:sz w:val="20"/>
                <w:szCs w:val="20"/>
              </w:rPr>
              <w:t>Results from immunosuppressed patients should be interpreted with caution.</w:t>
            </w:r>
            <w:r w:rsidRPr="00DF692F">
              <w:rPr>
                <w:rFonts w:ascii="Arial" w:hAnsi="Arial" w:cs="Arial"/>
                <w:b/>
                <w:bCs/>
                <w:sz w:val="20"/>
                <w:szCs w:val="20"/>
              </w:rPr>
              <w:t xml:space="preserve"> </w:t>
            </w:r>
            <w:r w:rsidRPr="00DF692F">
              <w:rPr>
                <w:rFonts w:ascii="Arial" w:hAnsi="Arial" w:cs="Arial"/>
                <w:sz w:val="20"/>
                <w:szCs w:val="20"/>
              </w:rPr>
              <w:t>Assay performance characteristics have not been established for immunocompromised or immunosuppressed patients, cord blood, neonatal specimens, or infants.</w:t>
            </w:r>
          </w:p>
          <w:p w:rsidR="00A93B78" w:rsidRPr="00DF692F" w:rsidRDefault="00A93B78" w:rsidP="00A93B78">
            <w:pPr>
              <w:numPr>
                <w:ilvl w:val="0"/>
                <w:numId w:val="9"/>
              </w:numPr>
              <w:rPr>
                <w:rFonts w:ascii="Arial" w:hAnsi="Arial" w:cs="Arial"/>
                <w:sz w:val="20"/>
                <w:szCs w:val="20"/>
              </w:rPr>
            </w:pPr>
            <w:r w:rsidRPr="00DF692F">
              <w:rPr>
                <w:rFonts w:ascii="Arial" w:hAnsi="Arial" w:cs="Arial"/>
                <w:sz w:val="20"/>
                <w:szCs w:val="20"/>
              </w:rPr>
              <w:t>Diseases such as cytomegalovirus, toxoplasmosis and hepatitis may cause symptoms similar to infectious mononucleosis and must be excluded before confirmation of diagnosis.</w:t>
            </w:r>
          </w:p>
          <w:p w:rsidR="00A93B78" w:rsidRPr="00DF692F" w:rsidRDefault="00A93B78" w:rsidP="00A93B78">
            <w:pPr>
              <w:numPr>
                <w:ilvl w:val="0"/>
                <w:numId w:val="9"/>
              </w:numPr>
              <w:rPr>
                <w:rFonts w:ascii="Arial" w:hAnsi="Arial" w:cs="Arial"/>
                <w:sz w:val="20"/>
                <w:szCs w:val="20"/>
              </w:rPr>
            </w:pPr>
            <w:r w:rsidRPr="00DF692F">
              <w:rPr>
                <w:rFonts w:ascii="Arial" w:hAnsi="Arial" w:cs="Arial"/>
                <w:sz w:val="20"/>
                <w:szCs w:val="20"/>
              </w:rPr>
              <w:t xml:space="preserve">The combined use of EBV serological markers and clinical data is recommended when the diagnosis of EBV infection is based on a single serum specimen. A single result cannot be used for diagnosis. Accurate interpretation of EBV infection is based on results of </w:t>
            </w:r>
            <w:proofErr w:type="gramStart"/>
            <w:r w:rsidRPr="00DF692F">
              <w:rPr>
                <w:rFonts w:ascii="Arial" w:hAnsi="Arial" w:cs="Arial"/>
                <w:sz w:val="20"/>
                <w:szCs w:val="20"/>
              </w:rPr>
              <w:t>EA(</w:t>
            </w:r>
            <w:proofErr w:type="gramEnd"/>
            <w:r w:rsidRPr="00DF692F">
              <w:rPr>
                <w:rFonts w:ascii="Arial" w:hAnsi="Arial" w:cs="Arial"/>
                <w:sz w:val="20"/>
                <w:szCs w:val="20"/>
              </w:rPr>
              <w:t>D) IgG, VCA IgM, VCA IgG, EBNA IgG, EBNA IgM and heterophile antibodies.</w:t>
            </w:r>
          </w:p>
          <w:p w:rsidR="00A93B78" w:rsidRPr="00DF692F" w:rsidRDefault="00A93B78" w:rsidP="00A93B78">
            <w:pPr>
              <w:numPr>
                <w:ilvl w:val="0"/>
                <w:numId w:val="9"/>
              </w:numPr>
              <w:rPr>
                <w:rFonts w:ascii="Arial" w:hAnsi="Arial" w:cs="Arial"/>
                <w:sz w:val="20"/>
                <w:szCs w:val="20"/>
              </w:rPr>
            </w:pPr>
            <w:r w:rsidRPr="00DF692F">
              <w:rPr>
                <w:rFonts w:ascii="Arial" w:hAnsi="Arial" w:cs="Arial"/>
                <w:sz w:val="20"/>
                <w:szCs w:val="20"/>
              </w:rPr>
              <w:t xml:space="preserve">The performance characteristics have not been established for patients with nasopharyngeal carcinoma, </w:t>
            </w:r>
            <w:proofErr w:type="spellStart"/>
            <w:r w:rsidRPr="00DF692F">
              <w:rPr>
                <w:rFonts w:ascii="Arial" w:hAnsi="Arial" w:cs="Arial"/>
                <w:sz w:val="20"/>
                <w:szCs w:val="20"/>
              </w:rPr>
              <w:t>Burkitt's</w:t>
            </w:r>
            <w:proofErr w:type="spellEnd"/>
            <w:r w:rsidRPr="00DF692F">
              <w:rPr>
                <w:rFonts w:ascii="Arial" w:hAnsi="Arial" w:cs="Arial"/>
                <w:sz w:val="20"/>
                <w:szCs w:val="20"/>
              </w:rPr>
              <w:t xml:space="preserve"> lymphoma, EBV-associated lymphadenopathies and other EBV-associated diseases besides EBV-related mononucleosis. </w:t>
            </w:r>
          </w:p>
          <w:p w:rsidR="00A93B78" w:rsidRPr="00DF692F" w:rsidRDefault="00A93B78" w:rsidP="00A93B78">
            <w:pPr>
              <w:numPr>
                <w:ilvl w:val="0"/>
                <w:numId w:val="9"/>
              </w:numPr>
              <w:rPr>
                <w:rFonts w:ascii="Arial" w:hAnsi="Arial" w:cs="Arial"/>
                <w:sz w:val="20"/>
                <w:szCs w:val="20"/>
              </w:rPr>
            </w:pPr>
            <w:r w:rsidRPr="00DF692F">
              <w:rPr>
                <w:rFonts w:ascii="Arial" w:hAnsi="Arial" w:cs="Arial"/>
                <w:sz w:val="20"/>
                <w:szCs w:val="20"/>
              </w:rPr>
              <w:t xml:space="preserve">Assay performance characteristics have not been established for the diagnosis of nasopharyngeal carcinoma, </w:t>
            </w:r>
            <w:proofErr w:type="spellStart"/>
            <w:r w:rsidRPr="00DF692F">
              <w:rPr>
                <w:rFonts w:ascii="Arial" w:hAnsi="Arial" w:cs="Arial"/>
                <w:sz w:val="20"/>
                <w:szCs w:val="20"/>
              </w:rPr>
              <w:t>Burkitt's</w:t>
            </w:r>
            <w:proofErr w:type="spellEnd"/>
            <w:r w:rsidRPr="00DF692F">
              <w:rPr>
                <w:rFonts w:ascii="Arial" w:hAnsi="Arial" w:cs="Arial"/>
                <w:sz w:val="20"/>
                <w:szCs w:val="20"/>
              </w:rPr>
              <w:t xml:space="preserve"> lymphoma, and other EBV-associated lymphomas.</w:t>
            </w:r>
          </w:p>
          <w:p w:rsidR="00A93B78" w:rsidRPr="00DF692F" w:rsidRDefault="00A93B78" w:rsidP="00A93B78">
            <w:pPr>
              <w:numPr>
                <w:ilvl w:val="0"/>
                <w:numId w:val="9"/>
              </w:numPr>
              <w:rPr>
                <w:rFonts w:ascii="Arial" w:hAnsi="Arial" w:cs="Arial"/>
                <w:sz w:val="20"/>
                <w:szCs w:val="20"/>
              </w:rPr>
            </w:pPr>
            <w:r w:rsidRPr="00DF692F">
              <w:rPr>
                <w:rFonts w:ascii="Arial" w:hAnsi="Arial" w:cs="Arial"/>
                <w:sz w:val="20"/>
                <w:szCs w:val="20"/>
              </w:rPr>
              <w:t>Assay interference due to circulating antibodies against HIV and Hepatitis A, Hepatitis B and Hepatitis C viruses has not been evaluated. The user is responsible for establishing cross-reactivity performance with these infectious agents.</w:t>
            </w:r>
          </w:p>
          <w:p w:rsidR="00A93B78" w:rsidRPr="00DF692F" w:rsidRDefault="00A93B78">
            <w:pPr>
              <w:rPr>
                <w:rFonts w:ascii="Arial" w:hAnsi="Arial" w:cs="Arial"/>
                <w:b/>
                <w:bCs/>
                <w:sz w:val="20"/>
                <w:szCs w:val="20"/>
              </w:rPr>
            </w:pPr>
          </w:p>
          <w:p w:rsidR="00A93B78" w:rsidRPr="00DF692F" w:rsidRDefault="00A93B78">
            <w:pPr>
              <w:rPr>
                <w:rFonts w:ascii="Arial" w:hAnsi="Arial" w:cs="Arial"/>
                <w:sz w:val="20"/>
                <w:szCs w:val="20"/>
              </w:rPr>
            </w:pPr>
            <w:r w:rsidRPr="00DF692F">
              <w:rPr>
                <w:rFonts w:ascii="Arial" w:hAnsi="Arial" w:cs="Arial"/>
                <w:b/>
                <w:bCs/>
                <w:sz w:val="20"/>
                <w:szCs w:val="20"/>
              </w:rPr>
              <w:t xml:space="preserve">Interferences: </w:t>
            </w:r>
            <w:r w:rsidRPr="00DF692F">
              <w:rPr>
                <w:rFonts w:ascii="Arial" w:hAnsi="Arial" w:cs="Arial"/>
                <w:sz w:val="20"/>
                <w:szCs w:val="20"/>
              </w:rPr>
              <w:t xml:space="preserve">assay performance was not affected by </w:t>
            </w:r>
          </w:p>
          <w:p w:rsidR="00A93B78" w:rsidRPr="00DF692F" w:rsidRDefault="00A177AA" w:rsidP="00A93B78">
            <w:pPr>
              <w:numPr>
                <w:ilvl w:val="0"/>
                <w:numId w:val="15"/>
              </w:numPr>
              <w:rPr>
                <w:rFonts w:ascii="Arial" w:hAnsi="Arial" w:cs="Arial"/>
                <w:sz w:val="20"/>
                <w:szCs w:val="20"/>
              </w:rPr>
            </w:pPr>
            <w:r w:rsidRPr="00DF692F">
              <w:rPr>
                <w:rFonts w:ascii="Arial" w:hAnsi="Arial" w:cs="Arial"/>
                <w:sz w:val="20"/>
                <w:szCs w:val="20"/>
              </w:rPr>
              <w:t>H</w:t>
            </w:r>
            <w:r w:rsidR="00A93B78" w:rsidRPr="00DF692F">
              <w:rPr>
                <w:rFonts w:ascii="Arial" w:hAnsi="Arial" w:cs="Arial"/>
                <w:sz w:val="20"/>
                <w:szCs w:val="20"/>
              </w:rPr>
              <w:t>emolysis (at 1000 mg/dL hemoglobin)</w:t>
            </w:r>
          </w:p>
          <w:p w:rsidR="00A93B78" w:rsidRPr="00DF692F" w:rsidRDefault="00A177AA" w:rsidP="00A93B78">
            <w:pPr>
              <w:numPr>
                <w:ilvl w:val="0"/>
                <w:numId w:val="15"/>
              </w:numPr>
              <w:rPr>
                <w:rFonts w:ascii="Arial" w:hAnsi="Arial" w:cs="Arial"/>
                <w:sz w:val="20"/>
                <w:szCs w:val="20"/>
              </w:rPr>
            </w:pPr>
            <w:r w:rsidRPr="00DF692F">
              <w:rPr>
                <w:rFonts w:ascii="Arial" w:hAnsi="Arial" w:cs="Arial"/>
                <w:sz w:val="20"/>
                <w:szCs w:val="20"/>
              </w:rPr>
              <w:t>L</w:t>
            </w:r>
            <w:r w:rsidR="00A93B78" w:rsidRPr="00DF692F">
              <w:rPr>
                <w:rFonts w:ascii="Arial" w:hAnsi="Arial" w:cs="Arial"/>
                <w:sz w:val="20"/>
                <w:szCs w:val="20"/>
              </w:rPr>
              <w:t>ipemia (at 3000 mg/dL triglycerides)</w:t>
            </w:r>
          </w:p>
          <w:p w:rsidR="00A93B78" w:rsidRPr="00DF692F" w:rsidRDefault="00A177AA" w:rsidP="00A93B78">
            <w:pPr>
              <w:numPr>
                <w:ilvl w:val="0"/>
                <w:numId w:val="15"/>
              </w:numPr>
              <w:rPr>
                <w:rFonts w:ascii="Arial" w:hAnsi="Arial" w:cs="Arial"/>
                <w:sz w:val="20"/>
                <w:szCs w:val="20"/>
              </w:rPr>
            </w:pPr>
            <w:r w:rsidRPr="00DF692F">
              <w:rPr>
                <w:rFonts w:ascii="Arial" w:hAnsi="Arial" w:cs="Arial"/>
                <w:sz w:val="20"/>
                <w:szCs w:val="20"/>
              </w:rPr>
              <w:t>I</w:t>
            </w:r>
            <w:r w:rsidR="00A93B78" w:rsidRPr="00DF692F">
              <w:rPr>
                <w:rFonts w:ascii="Arial" w:hAnsi="Arial" w:cs="Arial"/>
                <w:sz w:val="20"/>
                <w:szCs w:val="20"/>
              </w:rPr>
              <w:t>cterus (at 10 mg/dL bilirubin).</w:t>
            </w:r>
          </w:p>
          <w:p w:rsidR="00A93B78" w:rsidRPr="00DF692F" w:rsidRDefault="00A93B78">
            <w:pPr>
              <w:pStyle w:val="Heading"/>
              <w:jc w:val="left"/>
              <w:rPr>
                <w:rFonts w:ascii="Arial" w:hAnsi="Arial"/>
                <w:b w:val="0"/>
                <w:bCs w:val="0"/>
                <w:iCs/>
                <w:sz w:val="20"/>
                <w:szCs w:val="20"/>
              </w:rPr>
            </w:pPr>
          </w:p>
        </w:tc>
      </w:tr>
      <w:tr w:rsidR="00A93B78" w:rsidRPr="00DF692F" w:rsidTr="00C101FA">
        <w:trPr>
          <w:cantSplit/>
          <w:trHeight w:val="3186"/>
        </w:trPr>
        <w:tc>
          <w:tcPr>
            <w:tcW w:w="1798" w:type="dxa"/>
            <w:tcBorders>
              <w:top w:val="nil"/>
              <w:left w:val="nil"/>
              <w:bottom w:val="nil"/>
              <w:right w:val="nil"/>
            </w:tcBorders>
          </w:tcPr>
          <w:p w:rsidR="00A93B78" w:rsidRPr="00DF692F" w:rsidRDefault="00A93B78">
            <w:pPr>
              <w:rPr>
                <w:rFonts w:ascii="Arial" w:hAnsi="Arial" w:cs="Arial"/>
                <w:b/>
                <w:bCs/>
                <w:color w:val="0000FF"/>
                <w:sz w:val="20"/>
                <w:szCs w:val="20"/>
              </w:rPr>
            </w:pPr>
          </w:p>
          <w:p w:rsidR="00A93B78" w:rsidRPr="00DF692F" w:rsidRDefault="00A93B78">
            <w:pPr>
              <w:jc w:val="left"/>
              <w:rPr>
                <w:rFonts w:ascii="Arial" w:hAnsi="Arial" w:cs="Arial"/>
                <w:b/>
                <w:bCs/>
                <w:color w:val="0000FF"/>
                <w:sz w:val="20"/>
                <w:szCs w:val="20"/>
              </w:rPr>
            </w:pPr>
            <w:r w:rsidRPr="00DF692F">
              <w:rPr>
                <w:rFonts w:ascii="Arial" w:hAnsi="Arial" w:cs="Arial"/>
                <w:b/>
                <w:bCs/>
                <w:color w:val="0000FF"/>
                <w:sz w:val="20"/>
                <w:szCs w:val="20"/>
              </w:rPr>
              <w:t>Result Reporting</w:t>
            </w:r>
          </w:p>
          <w:p w:rsidR="00A93B78" w:rsidRPr="00DF692F" w:rsidRDefault="00A93B78">
            <w:pPr>
              <w:rPr>
                <w:rFonts w:ascii="Arial" w:hAnsi="Arial" w:cs="Arial"/>
                <w:b/>
                <w:bCs/>
                <w:sz w:val="20"/>
                <w:szCs w:val="20"/>
              </w:rPr>
            </w:pPr>
          </w:p>
        </w:tc>
        <w:tc>
          <w:tcPr>
            <w:tcW w:w="9362" w:type="dxa"/>
            <w:tcBorders>
              <w:top w:val="single" w:sz="18" w:space="0" w:color="A6A6A6"/>
              <w:left w:val="nil"/>
              <w:bottom w:val="single" w:sz="18" w:space="0" w:color="A6A6A6"/>
              <w:right w:val="nil"/>
            </w:tcBorders>
            <w:vAlign w:val="center"/>
          </w:tcPr>
          <w:p w:rsidR="00A93B78" w:rsidRPr="00DF692F" w:rsidRDefault="00A93B78" w:rsidP="00C101FA">
            <w:pPr>
              <w:pStyle w:val="TableText"/>
              <w:autoSpaceDE/>
              <w:autoSpaceDN/>
              <w:jc w:val="both"/>
              <w:rPr>
                <w:rFonts w:ascii="Arial" w:hAnsi="Arial" w:cs="Arial"/>
                <w:spacing w:val="-6"/>
                <w:szCs w:val="20"/>
              </w:rPr>
            </w:pPr>
            <w:r w:rsidRPr="00DF692F">
              <w:rPr>
                <w:rFonts w:ascii="Arial" w:hAnsi="Arial" w:cs="Arial"/>
                <w:spacing w:val="-6"/>
                <w:szCs w:val="20"/>
              </w:rPr>
              <w:t xml:space="preserve">Review, validate, and tag results and send to Sunquest. </w:t>
            </w:r>
          </w:p>
          <w:p w:rsidR="00A93B78" w:rsidRPr="00DF692F" w:rsidRDefault="00A93B78" w:rsidP="00C101FA">
            <w:pPr>
              <w:pStyle w:val="TableText"/>
              <w:autoSpaceDE/>
              <w:autoSpaceDN/>
              <w:jc w:val="both"/>
              <w:rPr>
                <w:rFonts w:ascii="Arial" w:hAnsi="Arial" w:cs="Arial"/>
                <w:spacing w:val="-6"/>
                <w:szCs w:val="20"/>
              </w:rPr>
            </w:pPr>
            <w:r w:rsidRPr="00DF692F">
              <w:rPr>
                <w:rFonts w:ascii="Arial" w:hAnsi="Arial" w:cs="Arial"/>
                <w:spacing w:val="-6"/>
                <w:szCs w:val="20"/>
              </w:rPr>
              <w:t>Release results in Sunquest following LIS procedures for OEM. Comments are automatically appended when resulting in OEM or MEM using the LIAS worksheet.</w:t>
            </w:r>
          </w:p>
          <w:p w:rsidR="00A93B78" w:rsidRPr="00DF692F" w:rsidRDefault="00A93B78" w:rsidP="00C101FA">
            <w:pPr>
              <w:pStyle w:val="Header"/>
              <w:numPr>
                <w:ilvl w:val="0"/>
                <w:numId w:val="4"/>
              </w:numPr>
              <w:tabs>
                <w:tab w:val="clear" w:pos="4320"/>
                <w:tab w:val="clear" w:pos="8640"/>
              </w:tabs>
              <w:rPr>
                <w:rFonts w:ascii="Arial" w:hAnsi="Arial" w:cs="Arial"/>
                <w:sz w:val="20"/>
                <w:szCs w:val="20"/>
              </w:rPr>
            </w:pPr>
            <w:r w:rsidRPr="00DF692F">
              <w:rPr>
                <w:rFonts w:ascii="Arial" w:hAnsi="Arial" w:cs="Arial"/>
                <w:sz w:val="20"/>
                <w:szCs w:val="20"/>
              </w:rPr>
              <w:t>Results &lt;18.0 U/mL without error messages are reported with the numerical result, and interpreted as Negative. Append the comment “A negative result generally excludes past EBV infection”</w:t>
            </w:r>
          </w:p>
          <w:p w:rsidR="00A93B78" w:rsidRPr="00DF692F" w:rsidRDefault="00A93B78" w:rsidP="00C101FA">
            <w:pPr>
              <w:pStyle w:val="Header"/>
              <w:numPr>
                <w:ilvl w:val="0"/>
                <w:numId w:val="4"/>
              </w:numPr>
              <w:tabs>
                <w:tab w:val="clear" w:pos="4320"/>
                <w:tab w:val="clear" w:pos="8640"/>
              </w:tabs>
              <w:rPr>
                <w:rFonts w:ascii="Arial" w:hAnsi="Arial" w:cs="Arial"/>
                <w:sz w:val="20"/>
                <w:szCs w:val="20"/>
              </w:rPr>
            </w:pPr>
            <w:r w:rsidRPr="00DF692F">
              <w:rPr>
                <w:rFonts w:ascii="Arial" w:hAnsi="Arial" w:cs="Arial"/>
                <w:sz w:val="20"/>
                <w:szCs w:val="20"/>
              </w:rPr>
              <w:t>Results between 18.0 – 21.9 U/mL must be repeated prior to reporting and are reported with the numerical result, and interpreted as Equivocal. Append the comment “a second sample should be collected and tested in one or two weeks”</w:t>
            </w:r>
          </w:p>
          <w:p w:rsidR="00A93B78" w:rsidRPr="00DF692F" w:rsidRDefault="00A93B78" w:rsidP="00C101FA">
            <w:pPr>
              <w:numPr>
                <w:ilvl w:val="0"/>
                <w:numId w:val="4"/>
              </w:numPr>
              <w:rPr>
                <w:rFonts w:ascii="Arial" w:hAnsi="Arial" w:cs="Arial"/>
                <w:iCs/>
                <w:sz w:val="20"/>
                <w:szCs w:val="20"/>
              </w:rPr>
            </w:pPr>
            <w:r w:rsidRPr="00DF692F">
              <w:rPr>
                <w:rFonts w:ascii="Arial" w:hAnsi="Arial" w:cs="Arial"/>
                <w:sz w:val="20"/>
                <w:szCs w:val="20"/>
              </w:rPr>
              <w:t xml:space="preserve">Results &gt; </w:t>
            </w:r>
            <w:r w:rsidRPr="00DF692F">
              <w:rPr>
                <w:rFonts w:ascii="Arial" w:hAnsi="Arial" w:cs="Arial"/>
                <w:spacing w:val="-6"/>
                <w:sz w:val="20"/>
                <w:szCs w:val="20"/>
              </w:rPr>
              <w:t>21.9 U/mL</w:t>
            </w:r>
            <w:r w:rsidRPr="00DF692F">
              <w:rPr>
                <w:rFonts w:ascii="Arial" w:hAnsi="Arial" w:cs="Arial"/>
                <w:sz w:val="20"/>
                <w:szCs w:val="20"/>
              </w:rPr>
              <w:t xml:space="preserve"> without error messages are reported with the numerical result, and interpreted as </w:t>
            </w:r>
            <w:r w:rsidRPr="00DF692F">
              <w:rPr>
                <w:rFonts w:ascii="Arial" w:hAnsi="Arial" w:cs="Arial"/>
                <w:spacing w:val="-6"/>
                <w:sz w:val="20"/>
                <w:szCs w:val="20"/>
              </w:rPr>
              <w:t>Positive. Append the comment “</w:t>
            </w:r>
            <w:r w:rsidRPr="00DF692F">
              <w:rPr>
                <w:rFonts w:ascii="Arial" w:eastAsia="SymbolMT" w:hAnsi="Arial" w:cs="Arial"/>
                <w:sz w:val="20"/>
                <w:szCs w:val="20"/>
              </w:rPr>
              <w:t>Presence of detectable EBNA IgG antibodies. A positive result is indicative of past infection.”</w:t>
            </w:r>
          </w:p>
        </w:tc>
      </w:tr>
      <w:tr w:rsidR="00A93B78" w:rsidRPr="00DF692F" w:rsidTr="00C101FA">
        <w:tblPrEx>
          <w:tblBorders>
            <w:top w:val="none" w:sz="0" w:space="0" w:color="auto"/>
            <w:left w:val="none" w:sz="0" w:space="0" w:color="auto"/>
            <w:right w:val="none" w:sz="0" w:space="0" w:color="auto"/>
            <w:insideH w:val="none" w:sz="0" w:space="0" w:color="auto"/>
            <w:insideV w:val="none" w:sz="0" w:space="0" w:color="auto"/>
          </w:tblBorders>
        </w:tblPrEx>
        <w:trPr>
          <w:trHeight w:val="1386"/>
        </w:trPr>
        <w:tc>
          <w:tcPr>
            <w:tcW w:w="1798" w:type="dxa"/>
            <w:tcBorders>
              <w:top w:val="nil"/>
              <w:left w:val="nil"/>
              <w:bottom w:val="nil"/>
            </w:tcBorders>
          </w:tcPr>
          <w:p w:rsidR="00A93B78" w:rsidRPr="00DF692F" w:rsidRDefault="00A93B78">
            <w:pPr>
              <w:rPr>
                <w:rFonts w:ascii="Arial" w:hAnsi="Arial" w:cs="Arial"/>
                <w:b/>
                <w:color w:val="0000FF"/>
                <w:sz w:val="20"/>
                <w:szCs w:val="20"/>
              </w:rPr>
            </w:pPr>
            <w:r w:rsidRPr="00DF692F">
              <w:rPr>
                <w:rFonts w:ascii="Arial" w:hAnsi="Arial" w:cs="Arial"/>
                <w:b/>
                <w:color w:val="0000FF"/>
                <w:sz w:val="20"/>
                <w:szCs w:val="20"/>
              </w:rPr>
              <w:t>Alternate Methods</w:t>
            </w:r>
          </w:p>
        </w:tc>
        <w:tc>
          <w:tcPr>
            <w:tcW w:w="9362" w:type="dxa"/>
            <w:tcBorders>
              <w:top w:val="single" w:sz="18" w:space="0" w:color="A6A6A6"/>
              <w:bottom w:val="single" w:sz="18" w:space="0" w:color="A6A6A6"/>
              <w:right w:val="nil"/>
            </w:tcBorders>
            <w:vAlign w:val="center"/>
          </w:tcPr>
          <w:p w:rsidR="00A93B78" w:rsidRPr="00DF692F" w:rsidRDefault="00A93B78" w:rsidP="00C101FA">
            <w:pPr>
              <w:numPr>
                <w:ilvl w:val="0"/>
                <w:numId w:val="12"/>
              </w:numPr>
              <w:rPr>
                <w:rFonts w:ascii="Arial" w:hAnsi="Arial" w:cs="Arial"/>
                <w:sz w:val="20"/>
                <w:szCs w:val="20"/>
              </w:rPr>
            </w:pPr>
            <w:r w:rsidRPr="00DF692F">
              <w:rPr>
                <w:rFonts w:ascii="Arial" w:hAnsi="Arial" w:cs="Arial"/>
                <w:sz w:val="20"/>
                <w:szCs w:val="20"/>
              </w:rPr>
              <w:t xml:space="preserve">When test performance does not meet quality standards, consult the technical specialist or Medical Director, and refer testing to Mayo Medical Laboratory. </w:t>
            </w:r>
          </w:p>
          <w:p w:rsidR="00A93B78" w:rsidRPr="00DF692F" w:rsidRDefault="00A93B78" w:rsidP="00C101FA">
            <w:pPr>
              <w:numPr>
                <w:ilvl w:val="0"/>
                <w:numId w:val="12"/>
              </w:numPr>
              <w:rPr>
                <w:rFonts w:ascii="Arial" w:hAnsi="Arial" w:cs="Arial"/>
                <w:sz w:val="20"/>
                <w:szCs w:val="20"/>
              </w:rPr>
            </w:pPr>
            <w:r w:rsidRPr="00DF692F">
              <w:rPr>
                <w:rFonts w:ascii="Arial" w:hAnsi="Arial" w:cs="Arial"/>
                <w:sz w:val="20"/>
                <w:szCs w:val="20"/>
              </w:rPr>
              <w:t xml:space="preserve">Order test </w:t>
            </w:r>
            <w:r w:rsidRPr="00DF692F">
              <w:rPr>
                <w:rFonts w:ascii="Arial" w:hAnsi="Arial" w:cs="Arial"/>
                <w:sz w:val="20"/>
                <w:szCs w:val="20"/>
                <w:lang w:val="en"/>
              </w:rPr>
              <w:t>84421, Epstein Barr virus Antibody Profile, and submit 1.0 mL of serum, 0.6 mL minimum for all three EBV profile tests.</w:t>
            </w:r>
          </w:p>
        </w:tc>
      </w:tr>
      <w:tr w:rsidR="00A93B78" w:rsidRPr="00DF692F" w:rsidTr="00C101FA">
        <w:tblPrEx>
          <w:tblBorders>
            <w:top w:val="none" w:sz="0" w:space="0" w:color="auto"/>
            <w:left w:val="none" w:sz="0" w:space="0" w:color="auto"/>
            <w:right w:val="none" w:sz="0" w:space="0" w:color="auto"/>
            <w:insideH w:val="none" w:sz="0" w:space="0" w:color="auto"/>
            <w:insideV w:val="none" w:sz="0" w:space="0" w:color="auto"/>
          </w:tblBorders>
        </w:tblPrEx>
        <w:trPr>
          <w:trHeight w:val="1134"/>
        </w:trPr>
        <w:tc>
          <w:tcPr>
            <w:tcW w:w="1798" w:type="dxa"/>
            <w:tcBorders>
              <w:left w:val="nil"/>
              <w:bottom w:val="nil"/>
            </w:tcBorders>
          </w:tcPr>
          <w:p w:rsidR="00A93B78" w:rsidRPr="00DF692F" w:rsidRDefault="00A93B78">
            <w:pPr>
              <w:jc w:val="left"/>
              <w:rPr>
                <w:rFonts w:ascii="Arial" w:hAnsi="Arial" w:cs="Arial"/>
                <w:b/>
                <w:bCs/>
                <w:color w:val="0000FF"/>
                <w:sz w:val="20"/>
                <w:szCs w:val="20"/>
              </w:rPr>
            </w:pPr>
            <w:r w:rsidRPr="00DF692F">
              <w:rPr>
                <w:rFonts w:ascii="Arial" w:hAnsi="Arial" w:cs="Arial"/>
                <w:b/>
                <w:bCs/>
                <w:color w:val="0000FF"/>
                <w:sz w:val="20"/>
                <w:szCs w:val="20"/>
              </w:rPr>
              <w:t>References</w:t>
            </w:r>
          </w:p>
        </w:tc>
        <w:tc>
          <w:tcPr>
            <w:tcW w:w="9362" w:type="dxa"/>
            <w:tcBorders>
              <w:top w:val="single" w:sz="18" w:space="0" w:color="A6A6A6"/>
              <w:bottom w:val="single" w:sz="18" w:space="0" w:color="A6A6A6"/>
              <w:right w:val="nil"/>
            </w:tcBorders>
            <w:vAlign w:val="center"/>
          </w:tcPr>
          <w:p w:rsidR="00A93B78" w:rsidRPr="00DF692F" w:rsidRDefault="00A93B78" w:rsidP="00C101FA">
            <w:pPr>
              <w:numPr>
                <w:ilvl w:val="0"/>
                <w:numId w:val="11"/>
              </w:numPr>
              <w:rPr>
                <w:rFonts w:ascii="Arial" w:hAnsi="Arial" w:cs="Arial"/>
                <w:sz w:val="20"/>
                <w:szCs w:val="20"/>
              </w:rPr>
            </w:pPr>
            <w:r w:rsidRPr="00DF692F">
              <w:rPr>
                <w:rFonts w:ascii="Arial" w:hAnsi="Arial" w:cs="Arial"/>
                <w:sz w:val="20"/>
                <w:szCs w:val="20"/>
              </w:rPr>
              <w:t>LIAISON® EBNA IgG (310520)</w:t>
            </w:r>
            <w:r w:rsidRPr="00DF692F">
              <w:rPr>
                <w:rFonts w:ascii="Arial" w:hAnsi="Arial" w:cs="Arial"/>
                <w:iCs/>
                <w:sz w:val="20"/>
                <w:szCs w:val="20"/>
              </w:rPr>
              <w:t xml:space="preserve"> Directions for Use, 10/2012, DiaSorin, </w:t>
            </w:r>
            <w:proofErr w:type="spellStart"/>
            <w:r w:rsidRPr="00DF692F">
              <w:rPr>
                <w:rFonts w:ascii="Arial" w:hAnsi="Arial" w:cs="Arial"/>
                <w:iCs/>
                <w:sz w:val="20"/>
                <w:szCs w:val="20"/>
              </w:rPr>
              <w:t>Inc</w:t>
            </w:r>
            <w:proofErr w:type="spellEnd"/>
            <w:r w:rsidRPr="00DF692F">
              <w:rPr>
                <w:rFonts w:ascii="Arial" w:hAnsi="Arial" w:cs="Arial"/>
                <w:iCs/>
                <w:sz w:val="20"/>
                <w:szCs w:val="20"/>
              </w:rPr>
              <w:t>, Stillwater, MN 55082.</w:t>
            </w:r>
            <w:r w:rsidR="00E0114B" w:rsidRPr="00DF692F">
              <w:rPr>
                <w:rFonts w:ascii="Arial" w:hAnsi="Arial" w:cs="Arial"/>
                <w:iCs/>
                <w:sz w:val="20"/>
                <w:szCs w:val="20"/>
              </w:rPr>
              <w:t xml:space="preserve"> January 2018</w:t>
            </w:r>
          </w:p>
          <w:p w:rsidR="00A93B78" w:rsidRPr="00DF692F" w:rsidRDefault="00A93B78" w:rsidP="00C101FA">
            <w:pPr>
              <w:numPr>
                <w:ilvl w:val="0"/>
                <w:numId w:val="11"/>
              </w:numPr>
              <w:rPr>
                <w:rFonts w:ascii="Arial" w:hAnsi="Arial" w:cs="Arial"/>
                <w:iCs/>
                <w:sz w:val="20"/>
                <w:szCs w:val="20"/>
              </w:rPr>
            </w:pPr>
            <w:r w:rsidRPr="00DF692F">
              <w:rPr>
                <w:rFonts w:ascii="Arial" w:hAnsi="Arial" w:cs="Arial"/>
                <w:sz w:val="20"/>
                <w:szCs w:val="20"/>
              </w:rPr>
              <w:t xml:space="preserve">LIAISON® EBNA IgG Control </w:t>
            </w:r>
            <w:r w:rsidRPr="00DF692F">
              <w:rPr>
                <w:rFonts w:ascii="Arial" w:hAnsi="Arial" w:cs="Arial"/>
                <w:iCs/>
                <w:sz w:val="20"/>
                <w:szCs w:val="20"/>
              </w:rPr>
              <w:t>Directions for Use</w:t>
            </w:r>
            <w:r w:rsidR="00E0114B" w:rsidRPr="00DF692F">
              <w:rPr>
                <w:rFonts w:ascii="Arial" w:hAnsi="Arial" w:cs="Arial"/>
                <w:iCs/>
                <w:sz w:val="20"/>
                <w:szCs w:val="20"/>
              </w:rPr>
              <w:t xml:space="preserve"> (310522)</w:t>
            </w:r>
            <w:r w:rsidRPr="00DF692F">
              <w:rPr>
                <w:rFonts w:ascii="Arial" w:hAnsi="Arial" w:cs="Arial"/>
                <w:sz w:val="20"/>
                <w:szCs w:val="20"/>
              </w:rPr>
              <w:t xml:space="preserve">, EBNA-G-us.fm, 200/007-863, C – </w:t>
            </w:r>
            <w:r w:rsidR="00E0114B" w:rsidRPr="00DF692F">
              <w:rPr>
                <w:rFonts w:ascii="Arial" w:hAnsi="Arial" w:cs="Arial"/>
                <w:sz w:val="20"/>
                <w:szCs w:val="20"/>
              </w:rPr>
              <w:t>01/2018</w:t>
            </w:r>
          </w:p>
          <w:p w:rsidR="00A93B78" w:rsidRPr="00DF692F" w:rsidRDefault="00A93B78" w:rsidP="00C101FA">
            <w:pPr>
              <w:numPr>
                <w:ilvl w:val="0"/>
                <w:numId w:val="11"/>
              </w:numPr>
              <w:rPr>
                <w:rFonts w:ascii="Arial" w:hAnsi="Arial" w:cs="Arial"/>
                <w:iCs/>
                <w:sz w:val="20"/>
                <w:szCs w:val="20"/>
              </w:rPr>
            </w:pPr>
            <w:r w:rsidRPr="00DF692F">
              <w:rPr>
                <w:rFonts w:ascii="Arial" w:hAnsi="Arial" w:cs="Arial"/>
                <w:sz w:val="20"/>
                <w:szCs w:val="20"/>
              </w:rPr>
              <w:t xml:space="preserve">EBV and CMV in Childhood Diseases, Sam </w:t>
            </w:r>
            <w:proofErr w:type="spellStart"/>
            <w:r w:rsidRPr="00DF692F">
              <w:rPr>
                <w:rFonts w:ascii="Arial" w:hAnsi="Arial" w:cs="Arial"/>
                <w:sz w:val="20"/>
                <w:szCs w:val="20"/>
              </w:rPr>
              <w:t>Dunmire</w:t>
            </w:r>
            <w:proofErr w:type="spellEnd"/>
            <w:r w:rsidRPr="00DF692F">
              <w:rPr>
                <w:rFonts w:ascii="Arial" w:hAnsi="Arial" w:cs="Arial"/>
                <w:sz w:val="20"/>
                <w:szCs w:val="20"/>
              </w:rPr>
              <w:t xml:space="preserve"> Presentation, </w:t>
            </w:r>
            <w:proofErr w:type="spellStart"/>
            <w:r w:rsidRPr="00DF692F">
              <w:rPr>
                <w:rFonts w:ascii="Arial" w:hAnsi="Arial" w:cs="Arial"/>
                <w:sz w:val="20"/>
                <w:szCs w:val="20"/>
              </w:rPr>
              <w:t>Hogquist</w:t>
            </w:r>
            <w:proofErr w:type="spellEnd"/>
            <w:r w:rsidRPr="00DF692F">
              <w:rPr>
                <w:rFonts w:ascii="Arial" w:hAnsi="Arial" w:cs="Arial"/>
                <w:sz w:val="20"/>
                <w:szCs w:val="20"/>
              </w:rPr>
              <w:t xml:space="preserve"> Lab, April 2011</w:t>
            </w:r>
          </w:p>
        </w:tc>
      </w:tr>
      <w:tr w:rsidR="00A93B78" w:rsidRPr="00DF692F" w:rsidTr="00C101FA">
        <w:tblPrEx>
          <w:tblBorders>
            <w:top w:val="none" w:sz="0" w:space="0" w:color="auto"/>
            <w:left w:val="none" w:sz="0" w:space="0" w:color="auto"/>
            <w:right w:val="none" w:sz="0" w:space="0" w:color="auto"/>
            <w:insideH w:val="none" w:sz="0" w:space="0" w:color="auto"/>
            <w:insideV w:val="none" w:sz="0" w:space="0" w:color="auto"/>
          </w:tblBorders>
        </w:tblPrEx>
        <w:trPr>
          <w:trHeight w:val="936"/>
        </w:trPr>
        <w:tc>
          <w:tcPr>
            <w:tcW w:w="1798" w:type="dxa"/>
            <w:tcBorders>
              <w:top w:val="nil"/>
              <w:left w:val="nil"/>
              <w:bottom w:val="nil"/>
            </w:tcBorders>
          </w:tcPr>
          <w:p w:rsidR="00A93B78" w:rsidRPr="00DF692F" w:rsidRDefault="00A93B78">
            <w:pPr>
              <w:jc w:val="left"/>
              <w:rPr>
                <w:rFonts w:ascii="Arial" w:hAnsi="Arial" w:cs="Arial"/>
                <w:b/>
                <w:bCs/>
                <w:sz w:val="20"/>
                <w:szCs w:val="20"/>
              </w:rPr>
            </w:pPr>
            <w:r w:rsidRPr="00DF692F">
              <w:rPr>
                <w:rFonts w:ascii="Arial" w:hAnsi="Arial" w:cs="Arial"/>
                <w:b/>
                <w:bCs/>
                <w:color w:val="0000FF"/>
                <w:sz w:val="20"/>
                <w:szCs w:val="20"/>
              </w:rPr>
              <w:t>Appendices</w:t>
            </w:r>
          </w:p>
        </w:tc>
        <w:tc>
          <w:tcPr>
            <w:tcW w:w="9362" w:type="dxa"/>
            <w:tcBorders>
              <w:top w:val="single" w:sz="18" w:space="0" w:color="A6A6A6"/>
              <w:bottom w:val="single" w:sz="18" w:space="0" w:color="A6A6A6"/>
              <w:right w:val="nil"/>
            </w:tcBorders>
            <w:vAlign w:val="center"/>
          </w:tcPr>
          <w:p w:rsidR="00A93B78" w:rsidRPr="00DF692F" w:rsidRDefault="00A93B78" w:rsidP="00C101FA">
            <w:pPr>
              <w:rPr>
                <w:rFonts w:ascii="Arial" w:hAnsi="Arial" w:cs="Arial"/>
                <w:iCs/>
                <w:sz w:val="20"/>
                <w:szCs w:val="20"/>
              </w:rPr>
            </w:pPr>
            <w:r w:rsidRPr="00DF692F">
              <w:rPr>
                <w:rFonts w:ascii="Arial" w:hAnsi="Arial" w:cs="Arial"/>
                <w:sz w:val="20"/>
                <w:szCs w:val="20"/>
              </w:rPr>
              <w:t>Refer to LIAISON® EBNA IgG (310520)</w:t>
            </w:r>
            <w:r w:rsidRPr="00DF692F">
              <w:rPr>
                <w:rFonts w:ascii="Arial" w:hAnsi="Arial" w:cs="Arial"/>
                <w:iCs/>
                <w:sz w:val="20"/>
                <w:szCs w:val="20"/>
              </w:rPr>
              <w:t xml:space="preserve"> Directions for Use</w:t>
            </w:r>
            <w:r w:rsidRPr="00DF692F">
              <w:rPr>
                <w:rFonts w:ascii="Arial" w:hAnsi="Arial" w:cs="Arial"/>
                <w:sz w:val="20"/>
                <w:szCs w:val="20"/>
              </w:rPr>
              <w:t xml:space="preserve"> for specific performance characteristics</w:t>
            </w:r>
          </w:p>
        </w:tc>
      </w:tr>
    </w:tbl>
    <w:p w:rsidR="00C101FA" w:rsidRPr="00DF692F" w:rsidRDefault="00C101FA">
      <w:pPr>
        <w:rPr>
          <w:rFonts w:ascii="Arial" w:hAnsi="Arial" w:cs="Arial"/>
          <w:sz w:val="20"/>
          <w:szCs w:val="20"/>
        </w:rPr>
      </w:pPr>
      <w:r w:rsidRPr="00DF692F">
        <w:rPr>
          <w:rFonts w:ascii="Arial" w:hAnsi="Arial" w:cs="Arial"/>
          <w:sz w:val="20"/>
          <w:szCs w:val="20"/>
        </w:rPr>
        <w:br w:type="page"/>
      </w:r>
    </w:p>
    <w:tbl>
      <w:tblPr>
        <w:tblW w:w="11160" w:type="dxa"/>
        <w:tblInd w:w="-1152" w:type="dxa"/>
        <w:tblBorders>
          <w:bottom w:val="single" w:sz="4" w:space="0" w:color="auto"/>
        </w:tblBorders>
        <w:tblLayout w:type="fixed"/>
        <w:tblLook w:val="0000" w:firstRow="0" w:lastRow="0" w:firstColumn="0" w:lastColumn="0" w:noHBand="0" w:noVBand="0"/>
      </w:tblPr>
      <w:tblGrid>
        <w:gridCol w:w="1798"/>
        <w:gridCol w:w="1434"/>
        <w:gridCol w:w="2528"/>
        <w:gridCol w:w="2031"/>
        <w:gridCol w:w="3369"/>
      </w:tblGrid>
      <w:tr w:rsidR="00A93B78" w:rsidRPr="00DF692F" w:rsidTr="00C101FA">
        <w:trPr>
          <w:trHeight w:val="197"/>
        </w:trPr>
        <w:tc>
          <w:tcPr>
            <w:tcW w:w="1798" w:type="dxa"/>
            <w:tcBorders>
              <w:top w:val="nil"/>
              <w:left w:val="nil"/>
              <w:bottom w:val="nil"/>
            </w:tcBorders>
          </w:tcPr>
          <w:p w:rsidR="00A93B78" w:rsidRPr="00DF692F" w:rsidRDefault="00A93B78">
            <w:pPr>
              <w:rPr>
                <w:rFonts w:ascii="Arial" w:hAnsi="Arial" w:cs="Arial"/>
                <w:b/>
                <w:bCs/>
                <w:color w:val="0000FF"/>
                <w:sz w:val="20"/>
                <w:szCs w:val="20"/>
              </w:rPr>
            </w:pPr>
          </w:p>
        </w:tc>
        <w:tc>
          <w:tcPr>
            <w:tcW w:w="9362" w:type="dxa"/>
            <w:gridSpan w:val="4"/>
            <w:tcBorders>
              <w:top w:val="single" w:sz="18" w:space="0" w:color="A6A6A6"/>
              <w:bottom w:val="single" w:sz="4" w:space="0" w:color="auto"/>
              <w:right w:val="nil"/>
            </w:tcBorders>
          </w:tcPr>
          <w:p w:rsidR="00A93B78" w:rsidRPr="00DF692F" w:rsidRDefault="00A93B78">
            <w:pPr>
              <w:jc w:val="left"/>
              <w:rPr>
                <w:rFonts w:ascii="Arial" w:hAnsi="Arial" w:cs="Arial"/>
                <w:sz w:val="20"/>
                <w:szCs w:val="20"/>
              </w:rPr>
            </w:pPr>
          </w:p>
        </w:tc>
      </w:tr>
      <w:tr w:rsidR="00A93B78" w:rsidRPr="00DF692F">
        <w:trPr>
          <w:cantSplit/>
          <w:trHeight w:val="225"/>
        </w:trPr>
        <w:tc>
          <w:tcPr>
            <w:tcW w:w="1798" w:type="dxa"/>
            <w:vMerge w:val="restart"/>
            <w:tcBorders>
              <w:left w:val="nil"/>
              <w:bottom w:val="nil"/>
              <w:right w:val="single" w:sz="4" w:space="0" w:color="auto"/>
            </w:tcBorders>
          </w:tcPr>
          <w:p w:rsidR="00A93B78" w:rsidRPr="00DF692F" w:rsidRDefault="00A93B78">
            <w:pPr>
              <w:jc w:val="left"/>
              <w:rPr>
                <w:rFonts w:ascii="Arial" w:hAnsi="Arial" w:cs="Arial"/>
                <w:b/>
                <w:bCs/>
                <w:color w:val="3366FF"/>
                <w:sz w:val="20"/>
                <w:szCs w:val="20"/>
              </w:rPr>
            </w:pPr>
            <w:r w:rsidRPr="00DF692F">
              <w:rPr>
                <w:rFonts w:ascii="Arial" w:hAnsi="Arial" w:cs="Arial"/>
                <w:b/>
                <w:bCs/>
                <w:color w:val="0000FF"/>
                <w:sz w:val="20"/>
                <w:szCs w:val="20"/>
              </w:rPr>
              <w:t>Historical Record</w:t>
            </w:r>
          </w:p>
        </w:tc>
        <w:tc>
          <w:tcPr>
            <w:tcW w:w="1434" w:type="dxa"/>
            <w:tcBorders>
              <w:top w:val="single" w:sz="4" w:space="0" w:color="auto"/>
              <w:left w:val="single" w:sz="4" w:space="0" w:color="auto"/>
              <w:bottom w:val="single" w:sz="4" w:space="0" w:color="auto"/>
              <w:right w:val="single" w:sz="4" w:space="0" w:color="auto"/>
            </w:tcBorders>
          </w:tcPr>
          <w:p w:rsidR="00A93B78" w:rsidRPr="00DF692F" w:rsidRDefault="00A93B78">
            <w:pPr>
              <w:jc w:val="left"/>
              <w:rPr>
                <w:rFonts w:ascii="Arial" w:hAnsi="Arial" w:cs="Arial"/>
                <w:b/>
                <w:bCs/>
                <w:sz w:val="20"/>
                <w:szCs w:val="20"/>
              </w:rPr>
            </w:pPr>
            <w:r w:rsidRPr="00DF692F">
              <w:rPr>
                <w:rFonts w:ascii="Arial" w:hAnsi="Arial" w:cs="Arial"/>
                <w:b/>
                <w:bCs/>
                <w:sz w:val="20"/>
                <w:szCs w:val="20"/>
              </w:rPr>
              <w:t>Version</w:t>
            </w:r>
          </w:p>
        </w:tc>
        <w:tc>
          <w:tcPr>
            <w:tcW w:w="2528" w:type="dxa"/>
            <w:tcBorders>
              <w:top w:val="single" w:sz="4" w:space="0" w:color="auto"/>
              <w:left w:val="single" w:sz="4" w:space="0" w:color="auto"/>
              <w:bottom w:val="single" w:sz="4" w:space="0" w:color="auto"/>
              <w:right w:val="single" w:sz="4" w:space="0" w:color="auto"/>
            </w:tcBorders>
          </w:tcPr>
          <w:p w:rsidR="00A93B78" w:rsidRPr="00DF692F" w:rsidRDefault="00A93B78">
            <w:pPr>
              <w:rPr>
                <w:rFonts w:ascii="Arial" w:hAnsi="Arial" w:cs="Arial"/>
                <w:b/>
                <w:bCs/>
                <w:iCs/>
                <w:sz w:val="20"/>
                <w:szCs w:val="20"/>
              </w:rPr>
            </w:pPr>
            <w:r w:rsidRPr="00DF692F">
              <w:rPr>
                <w:rFonts w:ascii="Arial" w:hAnsi="Arial" w:cs="Arial"/>
                <w:b/>
                <w:bCs/>
                <w:iCs/>
                <w:sz w:val="20"/>
                <w:szCs w:val="20"/>
              </w:rPr>
              <w:t>Written/Revised by:</w:t>
            </w:r>
          </w:p>
        </w:tc>
        <w:tc>
          <w:tcPr>
            <w:tcW w:w="2031" w:type="dxa"/>
            <w:tcBorders>
              <w:top w:val="single" w:sz="4" w:space="0" w:color="auto"/>
              <w:left w:val="single" w:sz="4" w:space="0" w:color="auto"/>
              <w:bottom w:val="single" w:sz="4" w:space="0" w:color="auto"/>
              <w:right w:val="single" w:sz="4" w:space="0" w:color="auto"/>
            </w:tcBorders>
          </w:tcPr>
          <w:p w:rsidR="00A93B78" w:rsidRPr="00DF692F" w:rsidRDefault="00A93B78">
            <w:pPr>
              <w:jc w:val="left"/>
              <w:rPr>
                <w:rFonts w:ascii="Arial" w:hAnsi="Arial" w:cs="Arial"/>
                <w:b/>
                <w:bCs/>
                <w:iCs/>
                <w:sz w:val="20"/>
                <w:szCs w:val="20"/>
              </w:rPr>
            </w:pPr>
            <w:r w:rsidRPr="00DF692F">
              <w:rPr>
                <w:rFonts w:ascii="Arial" w:hAnsi="Arial" w:cs="Arial"/>
                <w:b/>
                <w:bCs/>
                <w:iCs/>
                <w:sz w:val="20"/>
                <w:szCs w:val="20"/>
              </w:rPr>
              <w:t>Effective Date:</w:t>
            </w:r>
          </w:p>
        </w:tc>
        <w:tc>
          <w:tcPr>
            <w:tcW w:w="3369" w:type="dxa"/>
            <w:tcBorders>
              <w:top w:val="single" w:sz="4" w:space="0" w:color="auto"/>
              <w:left w:val="single" w:sz="4" w:space="0" w:color="auto"/>
              <w:bottom w:val="single" w:sz="4" w:space="0" w:color="auto"/>
              <w:right w:val="single" w:sz="4" w:space="0" w:color="auto"/>
            </w:tcBorders>
          </w:tcPr>
          <w:p w:rsidR="00A93B78" w:rsidRPr="00DF692F" w:rsidRDefault="00A93B78">
            <w:pPr>
              <w:jc w:val="left"/>
              <w:rPr>
                <w:rFonts w:ascii="Arial" w:hAnsi="Arial" w:cs="Arial"/>
                <w:b/>
                <w:bCs/>
                <w:iCs/>
                <w:sz w:val="20"/>
                <w:szCs w:val="20"/>
              </w:rPr>
            </w:pPr>
            <w:r w:rsidRPr="00DF692F">
              <w:rPr>
                <w:rFonts w:ascii="Arial" w:hAnsi="Arial" w:cs="Arial"/>
                <w:b/>
                <w:bCs/>
                <w:iCs/>
                <w:sz w:val="20"/>
                <w:szCs w:val="20"/>
              </w:rPr>
              <w:t>Summary of Revisions</w:t>
            </w:r>
          </w:p>
        </w:tc>
      </w:tr>
      <w:tr w:rsidR="00A93B78" w:rsidRPr="00DF692F">
        <w:trPr>
          <w:cantSplit/>
          <w:trHeight w:val="135"/>
        </w:trPr>
        <w:tc>
          <w:tcPr>
            <w:tcW w:w="1798" w:type="dxa"/>
            <w:vMerge/>
            <w:tcBorders>
              <w:left w:val="nil"/>
              <w:bottom w:val="nil"/>
              <w:right w:val="single" w:sz="4" w:space="0" w:color="auto"/>
            </w:tcBorders>
          </w:tcPr>
          <w:p w:rsidR="00A93B78" w:rsidRPr="00DF692F" w:rsidRDefault="00A93B78">
            <w:pPr>
              <w:rPr>
                <w:rFonts w:ascii="Arial" w:hAnsi="Arial" w:cs="Arial"/>
                <w:b/>
                <w:bCs/>
                <w:color w:val="3366FF"/>
                <w:sz w:val="20"/>
                <w:szCs w:val="20"/>
              </w:rPr>
            </w:pPr>
          </w:p>
        </w:tc>
        <w:tc>
          <w:tcPr>
            <w:tcW w:w="1434" w:type="dxa"/>
            <w:tcBorders>
              <w:top w:val="single" w:sz="4" w:space="0" w:color="auto"/>
              <w:left w:val="single" w:sz="4" w:space="0" w:color="auto"/>
              <w:bottom w:val="single" w:sz="4" w:space="0" w:color="auto"/>
              <w:right w:val="single" w:sz="4" w:space="0" w:color="auto"/>
            </w:tcBorders>
          </w:tcPr>
          <w:p w:rsidR="00A93B78" w:rsidRPr="00DF692F" w:rsidRDefault="00A93B78" w:rsidP="00A93B78">
            <w:pPr>
              <w:numPr>
                <w:ilvl w:val="0"/>
                <w:numId w:val="13"/>
              </w:numPr>
              <w:jc w:val="left"/>
              <w:rPr>
                <w:rFonts w:ascii="Arial" w:hAnsi="Arial" w:cs="Arial"/>
                <w:sz w:val="20"/>
                <w:szCs w:val="20"/>
              </w:rPr>
            </w:pPr>
          </w:p>
        </w:tc>
        <w:tc>
          <w:tcPr>
            <w:tcW w:w="2528" w:type="dxa"/>
            <w:tcBorders>
              <w:top w:val="single" w:sz="4" w:space="0" w:color="auto"/>
              <w:left w:val="single" w:sz="4" w:space="0" w:color="auto"/>
              <w:bottom w:val="single" w:sz="4" w:space="0" w:color="auto"/>
              <w:right w:val="single" w:sz="4" w:space="0" w:color="auto"/>
            </w:tcBorders>
          </w:tcPr>
          <w:p w:rsidR="00A93B78" w:rsidRPr="00DF692F" w:rsidRDefault="00A93B78">
            <w:pPr>
              <w:jc w:val="left"/>
              <w:rPr>
                <w:rFonts w:ascii="Arial" w:hAnsi="Arial" w:cs="Arial"/>
                <w:iCs/>
                <w:sz w:val="20"/>
                <w:szCs w:val="20"/>
              </w:rPr>
            </w:pPr>
            <w:r w:rsidRPr="00DF692F">
              <w:rPr>
                <w:rFonts w:ascii="Arial" w:hAnsi="Arial" w:cs="Arial"/>
                <w:iCs/>
                <w:sz w:val="20"/>
                <w:szCs w:val="20"/>
              </w:rPr>
              <w:t>Linda Lichty</w:t>
            </w:r>
          </w:p>
        </w:tc>
        <w:tc>
          <w:tcPr>
            <w:tcW w:w="2031" w:type="dxa"/>
            <w:tcBorders>
              <w:top w:val="single" w:sz="4" w:space="0" w:color="auto"/>
              <w:left w:val="single" w:sz="4" w:space="0" w:color="auto"/>
              <w:bottom w:val="single" w:sz="4" w:space="0" w:color="auto"/>
              <w:right w:val="single" w:sz="4" w:space="0" w:color="auto"/>
            </w:tcBorders>
          </w:tcPr>
          <w:p w:rsidR="00A93B78" w:rsidRPr="00DF692F" w:rsidRDefault="00A93B78">
            <w:pPr>
              <w:jc w:val="left"/>
              <w:rPr>
                <w:rFonts w:ascii="Arial" w:hAnsi="Arial" w:cs="Arial"/>
                <w:iCs/>
                <w:sz w:val="20"/>
                <w:szCs w:val="20"/>
              </w:rPr>
            </w:pPr>
            <w:r w:rsidRPr="00DF692F">
              <w:rPr>
                <w:rFonts w:ascii="Arial" w:hAnsi="Arial" w:cs="Arial"/>
                <w:iCs/>
                <w:sz w:val="20"/>
                <w:szCs w:val="20"/>
              </w:rPr>
              <w:t>August 15, 2011</w:t>
            </w:r>
          </w:p>
        </w:tc>
        <w:tc>
          <w:tcPr>
            <w:tcW w:w="3369" w:type="dxa"/>
            <w:tcBorders>
              <w:top w:val="single" w:sz="4" w:space="0" w:color="auto"/>
              <w:left w:val="single" w:sz="4" w:space="0" w:color="auto"/>
              <w:bottom w:val="single" w:sz="4" w:space="0" w:color="auto"/>
              <w:right w:val="single" w:sz="4" w:space="0" w:color="auto"/>
            </w:tcBorders>
          </w:tcPr>
          <w:p w:rsidR="00A93B78" w:rsidRPr="00DF692F" w:rsidRDefault="00A93B78">
            <w:pPr>
              <w:jc w:val="left"/>
              <w:rPr>
                <w:rFonts w:ascii="Arial" w:hAnsi="Arial" w:cs="Arial"/>
                <w:iCs/>
                <w:sz w:val="20"/>
                <w:szCs w:val="20"/>
              </w:rPr>
            </w:pPr>
            <w:r w:rsidRPr="00DF692F">
              <w:rPr>
                <w:rFonts w:ascii="Arial" w:hAnsi="Arial" w:cs="Arial"/>
                <w:iCs/>
                <w:sz w:val="20"/>
                <w:szCs w:val="20"/>
              </w:rPr>
              <w:t>Initial Version</w:t>
            </w:r>
          </w:p>
        </w:tc>
      </w:tr>
      <w:tr w:rsidR="00A93B78" w:rsidRPr="00DF692F">
        <w:trPr>
          <w:cantSplit/>
          <w:trHeight w:val="143"/>
        </w:trPr>
        <w:tc>
          <w:tcPr>
            <w:tcW w:w="1798" w:type="dxa"/>
            <w:vMerge/>
            <w:tcBorders>
              <w:left w:val="nil"/>
              <w:bottom w:val="nil"/>
              <w:right w:val="single" w:sz="4" w:space="0" w:color="auto"/>
            </w:tcBorders>
          </w:tcPr>
          <w:p w:rsidR="00A93B78" w:rsidRPr="00DF692F" w:rsidRDefault="00A93B78">
            <w:pPr>
              <w:rPr>
                <w:rFonts w:ascii="Arial" w:hAnsi="Arial" w:cs="Arial"/>
                <w:b/>
                <w:bCs/>
                <w:color w:val="3366FF"/>
                <w:sz w:val="20"/>
                <w:szCs w:val="20"/>
              </w:rPr>
            </w:pPr>
          </w:p>
        </w:tc>
        <w:tc>
          <w:tcPr>
            <w:tcW w:w="1434" w:type="dxa"/>
            <w:tcBorders>
              <w:top w:val="single" w:sz="4" w:space="0" w:color="auto"/>
              <w:left w:val="single" w:sz="4" w:space="0" w:color="auto"/>
              <w:bottom w:val="single" w:sz="4" w:space="0" w:color="auto"/>
              <w:right w:val="single" w:sz="4" w:space="0" w:color="auto"/>
            </w:tcBorders>
          </w:tcPr>
          <w:p w:rsidR="00A93B78" w:rsidRPr="00DF692F" w:rsidRDefault="00A93B78" w:rsidP="00A93B78">
            <w:pPr>
              <w:numPr>
                <w:ilvl w:val="0"/>
                <w:numId w:val="13"/>
              </w:numPr>
              <w:jc w:val="left"/>
              <w:rPr>
                <w:rFonts w:ascii="Arial" w:hAnsi="Arial" w:cs="Arial"/>
                <w:iCs/>
                <w:sz w:val="20"/>
                <w:szCs w:val="20"/>
              </w:rPr>
            </w:pPr>
          </w:p>
        </w:tc>
        <w:tc>
          <w:tcPr>
            <w:tcW w:w="2528" w:type="dxa"/>
            <w:tcBorders>
              <w:top w:val="single" w:sz="4" w:space="0" w:color="auto"/>
              <w:left w:val="single" w:sz="4" w:space="0" w:color="auto"/>
              <w:bottom w:val="single" w:sz="4" w:space="0" w:color="auto"/>
              <w:right w:val="single" w:sz="4" w:space="0" w:color="auto"/>
            </w:tcBorders>
          </w:tcPr>
          <w:p w:rsidR="00A93B78" w:rsidRPr="00DF692F" w:rsidRDefault="00A93B78">
            <w:pPr>
              <w:jc w:val="left"/>
              <w:rPr>
                <w:rFonts w:ascii="Arial" w:hAnsi="Arial" w:cs="Arial"/>
                <w:iCs/>
                <w:sz w:val="20"/>
                <w:szCs w:val="20"/>
              </w:rPr>
            </w:pPr>
            <w:r w:rsidRPr="00DF692F">
              <w:rPr>
                <w:rFonts w:ascii="Arial" w:hAnsi="Arial" w:cs="Arial"/>
                <w:iCs/>
                <w:sz w:val="20"/>
                <w:szCs w:val="20"/>
              </w:rPr>
              <w:t>Linda Lichty</w:t>
            </w:r>
          </w:p>
        </w:tc>
        <w:tc>
          <w:tcPr>
            <w:tcW w:w="2031" w:type="dxa"/>
            <w:tcBorders>
              <w:top w:val="single" w:sz="4" w:space="0" w:color="auto"/>
              <w:left w:val="single" w:sz="4" w:space="0" w:color="auto"/>
              <w:bottom w:val="single" w:sz="4" w:space="0" w:color="auto"/>
              <w:right w:val="single" w:sz="4" w:space="0" w:color="auto"/>
            </w:tcBorders>
          </w:tcPr>
          <w:p w:rsidR="00A93B78" w:rsidRPr="00DF692F" w:rsidRDefault="00A93B78">
            <w:pPr>
              <w:jc w:val="left"/>
              <w:rPr>
                <w:rFonts w:ascii="Arial" w:hAnsi="Arial" w:cs="Arial"/>
                <w:iCs/>
                <w:sz w:val="20"/>
                <w:szCs w:val="20"/>
              </w:rPr>
            </w:pPr>
            <w:r w:rsidRPr="00DF692F">
              <w:rPr>
                <w:rFonts w:ascii="Arial" w:hAnsi="Arial" w:cs="Arial"/>
                <w:iCs/>
                <w:sz w:val="20"/>
                <w:szCs w:val="20"/>
              </w:rPr>
              <w:t>August 22, 2011</w:t>
            </w:r>
          </w:p>
        </w:tc>
        <w:tc>
          <w:tcPr>
            <w:tcW w:w="3369" w:type="dxa"/>
            <w:tcBorders>
              <w:top w:val="single" w:sz="4" w:space="0" w:color="auto"/>
              <w:left w:val="single" w:sz="4" w:space="0" w:color="auto"/>
              <w:bottom w:val="single" w:sz="4" w:space="0" w:color="auto"/>
              <w:right w:val="single" w:sz="4" w:space="0" w:color="auto"/>
            </w:tcBorders>
          </w:tcPr>
          <w:p w:rsidR="00A93B78" w:rsidRPr="00DF692F" w:rsidRDefault="00A93B78">
            <w:pPr>
              <w:jc w:val="left"/>
              <w:rPr>
                <w:rFonts w:ascii="Arial" w:hAnsi="Arial" w:cs="Arial"/>
                <w:iCs/>
                <w:sz w:val="20"/>
                <w:szCs w:val="20"/>
              </w:rPr>
            </w:pPr>
            <w:r w:rsidRPr="00DF692F">
              <w:rPr>
                <w:rFonts w:ascii="Arial" w:hAnsi="Arial" w:cs="Arial"/>
                <w:iCs/>
                <w:sz w:val="20"/>
                <w:szCs w:val="20"/>
              </w:rPr>
              <w:t>Added statements for clarification of reporting, and QC handling</w:t>
            </w:r>
          </w:p>
        </w:tc>
      </w:tr>
      <w:tr w:rsidR="00A93B78" w:rsidRPr="00DF692F">
        <w:trPr>
          <w:cantSplit/>
          <w:trHeight w:val="143"/>
        </w:trPr>
        <w:tc>
          <w:tcPr>
            <w:tcW w:w="1798" w:type="dxa"/>
            <w:vMerge/>
            <w:tcBorders>
              <w:left w:val="nil"/>
              <w:bottom w:val="nil"/>
              <w:right w:val="single" w:sz="4" w:space="0" w:color="auto"/>
            </w:tcBorders>
          </w:tcPr>
          <w:p w:rsidR="00A93B78" w:rsidRPr="00DF692F" w:rsidRDefault="00A93B78">
            <w:pPr>
              <w:rPr>
                <w:rFonts w:ascii="Arial" w:hAnsi="Arial" w:cs="Arial"/>
                <w:b/>
                <w:bCs/>
                <w:color w:val="3366FF"/>
                <w:sz w:val="20"/>
                <w:szCs w:val="20"/>
              </w:rPr>
            </w:pPr>
          </w:p>
        </w:tc>
        <w:tc>
          <w:tcPr>
            <w:tcW w:w="1434" w:type="dxa"/>
            <w:tcBorders>
              <w:top w:val="single" w:sz="4" w:space="0" w:color="auto"/>
              <w:left w:val="single" w:sz="4" w:space="0" w:color="auto"/>
              <w:bottom w:val="single" w:sz="4" w:space="0" w:color="auto"/>
              <w:right w:val="single" w:sz="4" w:space="0" w:color="auto"/>
            </w:tcBorders>
          </w:tcPr>
          <w:p w:rsidR="00A93B78" w:rsidRPr="00DF692F" w:rsidRDefault="00A93B78" w:rsidP="00A93B78">
            <w:pPr>
              <w:numPr>
                <w:ilvl w:val="0"/>
                <w:numId w:val="13"/>
              </w:numPr>
              <w:jc w:val="left"/>
              <w:rPr>
                <w:rFonts w:ascii="Arial" w:hAnsi="Arial" w:cs="Arial"/>
                <w:iCs/>
                <w:sz w:val="20"/>
                <w:szCs w:val="20"/>
              </w:rPr>
            </w:pPr>
          </w:p>
        </w:tc>
        <w:tc>
          <w:tcPr>
            <w:tcW w:w="2528" w:type="dxa"/>
            <w:tcBorders>
              <w:top w:val="single" w:sz="4" w:space="0" w:color="auto"/>
              <w:left w:val="single" w:sz="4" w:space="0" w:color="auto"/>
              <w:bottom w:val="single" w:sz="4" w:space="0" w:color="auto"/>
              <w:right w:val="single" w:sz="4" w:space="0" w:color="auto"/>
            </w:tcBorders>
          </w:tcPr>
          <w:p w:rsidR="00A93B78" w:rsidRPr="00DF692F" w:rsidRDefault="00A93B78">
            <w:pPr>
              <w:jc w:val="left"/>
              <w:rPr>
                <w:rFonts w:ascii="Arial" w:hAnsi="Arial" w:cs="Arial"/>
                <w:iCs/>
                <w:sz w:val="20"/>
                <w:szCs w:val="20"/>
              </w:rPr>
            </w:pPr>
            <w:r w:rsidRPr="00DF692F">
              <w:rPr>
                <w:rFonts w:ascii="Arial" w:hAnsi="Arial" w:cs="Arial"/>
                <w:iCs/>
                <w:sz w:val="20"/>
                <w:szCs w:val="20"/>
              </w:rPr>
              <w:t>Linda Lichty</w:t>
            </w:r>
          </w:p>
        </w:tc>
        <w:tc>
          <w:tcPr>
            <w:tcW w:w="2031" w:type="dxa"/>
            <w:tcBorders>
              <w:top w:val="single" w:sz="4" w:space="0" w:color="auto"/>
              <w:left w:val="single" w:sz="4" w:space="0" w:color="auto"/>
              <w:bottom w:val="single" w:sz="4" w:space="0" w:color="auto"/>
              <w:right w:val="single" w:sz="4" w:space="0" w:color="auto"/>
            </w:tcBorders>
          </w:tcPr>
          <w:p w:rsidR="00A93B78" w:rsidRPr="00DF692F" w:rsidRDefault="00A93B78">
            <w:pPr>
              <w:jc w:val="left"/>
              <w:rPr>
                <w:rFonts w:ascii="Arial" w:hAnsi="Arial" w:cs="Arial"/>
                <w:iCs/>
                <w:sz w:val="20"/>
                <w:szCs w:val="20"/>
              </w:rPr>
            </w:pPr>
            <w:r w:rsidRPr="00DF692F">
              <w:rPr>
                <w:rFonts w:ascii="Arial" w:hAnsi="Arial" w:cs="Arial"/>
                <w:iCs/>
                <w:sz w:val="20"/>
                <w:szCs w:val="20"/>
              </w:rPr>
              <w:t>April 22, 2013</w:t>
            </w:r>
          </w:p>
        </w:tc>
        <w:tc>
          <w:tcPr>
            <w:tcW w:w="3369" w:type="dxa"/>
            <w:tcBorders>
              <w:top w:val="single" w:sz="4" w:space="0" w:color="auto"/>
              <w:left w:val="single" w:sz="4" w:space="0" w:color="auto"/>
              <w:bottom w:val="single" w:sz="4" w:space="0" w:color="auto"/>
              <w:right w:val="single" w:sz="4" w:space="0" w:color="auto"/>
            </w:tcBorders>
          </w:tcPr>
          <w:p w:rsidR="00A93B78" w:rsidRPr="00DF692F" w:rsidRDefault="00A93B78">
            <w:pPr>
              <w:jc w:val="left"/>
              <w:rPr>
                <w:rFonts w:ascii="Arial" w:hAnsi="Arial" w:cs="Arial"/>
                <w:iCs/>
                <w:sz w:val="20"/>
                <w:szCs w:val="20"/>
              </w:rPr>
            </w:pPr>
            <w:r w:rsidRPr="00DF692F">
              <w:rPr>
                <w:rFonts w:ascii="Arial" w:hAnsi="Arial" w:cs="Arial"/>
                <w:iCs/>
                <w:sz w:val="20"/>
                <w:szCs w:val="20"/>
              </w:rPr>
              <w:t>Update package insert</w:t>
            </w:r>
          </w:p>
        </w:tc>
      </w:tr>
      <w:tr w:rsidR="00C101FA" w:rsidRPr="00DF692F">
        <w:trPr>
          <w:cantSplit/>
          <w:trHeight w:val="143"/>
        </w:trPr>
        <w:tc>
          <w:tcPr>
            <w:tcW w:w="1798" w:type="dxa"/>
            <w:vMerge/>
            <w:tcBorders>
              <w:left w:val="nil"/>
              <w:bottom w:val="nil"/>
              <w:right w:val="single" w:sz="4" w:space="0" w:color="auto"/>
            </w:tcBorders>
          </w:tcPr>
          <w:p w:rsidR="00C101FA" w:rsidRPr="00DF692F" w:rsidRDefault="00C101FA">
            <w:pPr>
              <w:rPr>
                <w:rFonts w:ascii="Arial" w:hAnsi="Arial" w:cs="Arial"/>
                <w:b/>
                <w:bCs/>
                <w:color w:val="3366FF"/>
                <w:sz w:val="20"/>
                <w:szCs w:val="20"/>
              </w:rPr>
            </w:pPr>
          </w:p>
        </w:tc>
        <w:tc>
          <w:tcPr>
            <w:tcW w:w="1434" w:type="dxa"/>
            <w:tcBorders>
              <w:top w:val="single" w:sz="4" w:space="0" w:color="auto"/>
              <w:left w:val="single" w:sz="4" w:space="0" w:color="auto"/>
              <w:bottom w:val="single" w:sz="4" w:space="0" w:color="auto"/>
              <w:right w:val="single" w:sz="4" w:space="0" w:color="auto"/>
            </w:tcBorders>
          </w:tcPr>
          <w:p w:rsidR="00C101FA" w:rsidRPr="00DF692F" w:rsidRDefault="00C101FA" w:rsidP="00A93B78">
            <w:pPr>
              <w:numPr>
                <w:ilvl w:val="0"/>
                <w:numId w:val="13"/>
              </w:numPr>
              <w:jc w:val="left"/>
              <w:rPr>
                <w:rFonts w:ascii="Arial" w:hAnsi="Arial" w:cs="Arial"/>
                <w:iCs/>
                <w:sz w:val="20"/>
                <w:szCs w:val="20"/>
              </w:rPr>
            </w:pPr>
          </w:p>
        </w:tc>
        <w:tc>
          <w:tcPr>
            <w:tcW w:w="2528" w:type="dxa"/>
            <w:tcBorders>
              <w:top w:val="single" w:sz="4" w:space="0" w:color="auto"/>
              <w:left w:val="single" w:sz="4" w:space="0" w:color="auto"/>
              <w:bottom w:val="single" w:sz="4" w:space="0" w:color="auto"/>
              <w:right w:val="single" w:sz="4" w:space="0" w:color="auto"/>
            </w:tcBorders>
          </w:tcPr>
          <w:p w:rsidR="00C101FA" w:rsidRPr="00DF692F" w:rsidRDefault="00C101FA">
            <w:pPr>
              <w:jc w:val="left"/>
              <w:rPr>
                <w:rFonts w:ascii="Arial" w:hAnsi="Arial" w:cs="Arial"/>
                <w:iCs/>
                <w:sz w:val="20"/>
                <w:szCs w:val="20"/>
              </w:rPr>
            </w:pPr>
            <w:r w:rsidRPr="00DF692F">
              <w:rPr>
                <w:rFonts w:ascii="Arial" w:hAnsi="Arial" w:cs="Arial"/>
                <w:iCs/>
                <w:sz w:val="20"/>
                <w:szCs w:val="20"/>
              </w:rPr>
              <w:t>Linda Lichty</w:t>
            </w:r>
          </w:p>
        </w:tc>
        <w:tc>
          <w:tcPr>
            <w:tcW w:w="2031" w:type="dxa"/>
            <w:tcBorders>
              <w:top w:val="single" w:sz="4" w:space="0" w:color="auto"/>
              <w:left w:val="single" w:sz="4" w:space="0" w:color="auto"/>
              <w:bottom w:val="single" w:sz="4" w:space="0" w:color="auto"/>
              <w:right w:val="single" w:sz="4" w:space="0" w:color="auto"/>
            </w:tcBorders>
          </w:tcPr>
          <w:p w:rsidR="00C101FA" w:rsidRPr="00DF692F" w:rsidRDefault="00C101FA">
            <w:pPr>
              <w:jc w:val="left"/>
              <w:rPr>
                <w:rFonts w:ascii="Arial" w:hAnsi="Arial" w:cs="Arial"/>
                <w:iCs/>
                <w:sz w:val="20"/>
                <w:szCs w:val="20"/>
              </w:rPr>
            </w:pPr>
            <w:r w:rsidRPr="00DF692F">
              <w:rPr>
                <w:rFonts w:ascii="Arial" w:hAnsi="Arial" w:cs="Arial"/>
                <w:iCs/>
                <w:sz w:val="20"/>
                <w:szCs w:val="20"/>
              </w:rPr>
              <w:t>October 21, 2016</w:t>
            </w:r>
          </w:p>
        </w:tc>
        <w:tc>
          <w:tcPr>
            <w:tcW w:w="3369" w:type="dxa"/>
            <w:tcBorders>
              <w:top w:val="single" w:sz="4" w:space="0" w:color="auto"/>
              <w:left w:val="single" w:sz="4" w:space="0" w:color="auto"/>
              <w:bottom w:val="single" w:sz="4" w:space="0" w:color="auto"/>
              <w:right w:val="single" w:sz="4" w:space="0" w:color="auto"/>
            </w:tcBorders>
          </w:tcPr>
          <w:p w:rsidR="00C101FA" w:rsidRPr="00DF692F" w:rsidRDefault="00C101FA">
            <w:pPr>
              <w:jc w:val="left"/>
              <w:rPr>
                <w:rFonts w:ascii="Arial" w:hAnsi="Arial" w:cs="Arial"/>
                <w:iCs/>
                <w:sz w:val="20"/>
                <w:szCs w:val="20"/>
              </w:rPr>
            </w:pPr>
            <w:r w:rsidRPr="00DF692F">
              <w:rPr>
                <w:rFonts w:ascii="Arial" w:hAnsi="Arial" w:cs="Arial"/>
                <w:iCs/>
                <w:sz w:val="20"/>
                <w:szCs w:val="20"/>
              </w:rPr>
              <w:t>Revised Sample stability</w:t>
            </w:r>
          </w:p>
        </w:tc>
      </w:tr>
      <w:tr w:rsidR="00E0114B" w:rsidRPr="00DF692F">
        <w:trPr>
          <w:cantSplit/>
          <w:trHeight w:val="143"/>
        </w:trPr>
        <w:tc>
          <w:tcPr>
            <w:tcW w:w="1798" w:type="dxa"/>
            <w:vMerge/>
            <w:tcBorders>
              <w:left w:val="nil"/>
              <w:bottom w:val="nil"/>
              <w:right w:val="single" w:sz="4" w:space="0" w:color="auto"/>
            </w:tcBorders>
          </w:tcPr>
          <w:p w:rsidR="00E0114B" w:rsidRPr="00DF692F" w:rsidRDefault="00E0114B">
            <w:pPr>
              <w:rPr>
                <w:rFonts w:ascii="Arial" w:hAnsi="Arial" w:cs="Arial"/>
                <w:b/>
                <w:bCs/>
                <w:color w:val="3366FF"/>
                <w:sz w:val="20"/>
                <w:szCs w:val="20"/>
              </w:rPr>
            </w:pPr>
          </w:p>
        </w:tc>
        <w:tc>
          <w:tcPr>
            <w:tcW w:w="1434" w:type="dxa"/>
            <w:tcBorders>
              <w:top w:val="single" w:sz="4" w:space="0" w:color="auto"/>
              <w:left w:val="single" w:sz="4" w:space="0" w:color="auto"/>
              <w:bottom w:val="single" w:sz="4" w:space="0" w:color="auto"/>
              <w:right w:val="single" w:sz="4" w:space="0" w:color="auto"/>
            </w:tcBorders>
          </w:tcPr>
          <w:p w:rsidR="00E0114B" w:rsidRPr="00DF692F" w:rsidRDefault="00E0114B" w:rsidP="00A93B78">
            <w:pPr>
              <w:numPr>
                <w:ilvl w:val="0"/>
                <w:numId w:val="13"/>
              </w:numPr>
              <w:jc w:val="left"/>
              <w:rPr>
                <w:rFonts w:ascii="Arial" w:hAnsi="Arial" w:cs="Arial"/>
                <w:iCs/>
                <w:sz w:val="20"/>
                <w:szCs w:val="20"/>
              </w:rPr>
            </w:pPr>
          </w:p>
        </w:tc>
        <w:tc>
          <w:tcPr>
            <w:tcW w:w="2528" w:type="dxa"/>
            <w:tcBorders>
              <w:top w:val="single" w:sz="4" w:space="0" w:color="auto"/>
              <w:left w:val="single" w:sz="4" w:space="0" w:color="auto"/>
              <w:bottom w:val="single" w:sz="4" w:space="0" w:color="auto"/>
              <w:right w:val="single" w:sz="4" w:space="0" w:color="auto"/>
            </w:tcBorders>
          </w:tcPr>
          <w:p w:rsidR="00E0114B" w:rsidRPr="00DF692F" w:rsidRDefault="00E0114B">
            <w:pPr>
              <w:jc w:val="left"/>
              <w:rPr>
                <w:rFonts w:ascii="Arial" w:hAnsi="Arial" w:cs="Arial"/>
                <w:iCs/>
                <w:sz w:val="20"/>
                <w:szCs w:val="20"/>
              </w:rPr>
            </w:pPr>
            <w:r w:rsidRPr="00DF692F">
              <w:rPr>
                <w:rFonts w:ascii="Arial" w:hAnsi="Arial" w:cs="Arial"/>
                <w:iCs/>
                <w:sz w:val="20"/>
                <w:szCs w:val="20"/>
              </w:rPr>
              <w:t>Stephen Gripentrog</w:t>
            </w:r>
            <w:r w:rsidR="007E4011" w:rsidRPr="00DF692F">
              <w:rPr>
                <w:rFonts w:ascii="Arial" w:hAnsi="Arial" w:cs="Arial"/>
                <w:iCs/>
                <w:sz w:val="20"/>
                <w:szCs w:val="20"/>
              </w:rPr>
              <w:t>/ K. Brown</w:t>
            </w:r>
            <w:r w:rsidR="00A177AA" w:rsidRPr="00DF692F">
              <w:rPr>
                <w:rFonts w:ascii="Arial" w:hAnsi="Arial" w:cs="Arial"/>
                <w:iCs/>
                <w:sz w:val="20"/>
                <w:szCs w:val="20"/>
              </w:rPr>
              <w:t>/ Erin Bartos</w:t>
            </w:r>
          </w:p>
        </w:tc>
        <w:tc>
          <w:tcPr>
            <w:tcW w:w="2031" w:type="dxa"/>
            <w:tcBorders>
              <w:top w:val="single" w:sz="4" w:space="0" w:color="auto"/>
              <w:left w:val="single" w:sz="4" w:space="0" w:color="auto"/>
              <w:bottom w:val="single" w:sz="4" w:space="0" w:color="auto"/>
              <w:right w:val="single" w:sz="4" w:space="0" w:color="auto"/>
            </w:tcBorders>
          </w:tcPr>
          <w:p w:rsidR="00E0114B" w:rsidRPr="00DF692F" w:rsidRDefault="007E4011">
            <w:pPr>
              <w:jc w:val="left"/>
              <w:rPr>
                <w:rFonts w:ascii="Arial" w:hAnsi="Arial" w:cs="Arial"/>
                <w:iCs/>
                <w:sz w:val="20"/>
                <w:szCs w:val="20"/>
              </w:rPr>
            </w:pPr>
            <w:r w:rsidRPr="00DF692F">
              <w:rPr>
                <w:rFonts w:ascii="Arial" w:hAnsi="Arial" w:cs="Arial"/>
                <w:iCs/>
                <w:sz w:val="20"/>
                <w:szCs w:val="20"/>
              </w:rPr>
              <w:t>August 13, 2019</w:t>
            </w:r>
          </w:p>
        </w:tc>
        <w:tc>
          <w:tcPr>
            <w:tcW w:w="3369" w:type="dxa"/>
            <w:tcBorders>
              <w:top w:val="single" w:sz="4" w:space="0" w:color="auto"/>
              <w:left w:val="single" w:sz="4" w:space="0" w:color="auto"/>
              <w:bottom w:val="single" w:sz="4" w:space="0" w:color="auto"/>
              <w:right w:val="single" w:sz="4" w:space="0" w:color="auto"/>
            </w:tcBorders>
          </w:tcPr>
          <w:p w:rsidR="00E0114B" w:rsidRPr="00DF692F" w:rsidRDefault="00E0114B">
            <w:pPr>
              <w:jc w:val="left"/>
              <w:rPr>
                <w:rFonts w:ascii="Arial" w:hAnsi="Arial" w:cs="Arial"/>
                <w:iCs/>
                <w:sz w:val="20"/>
                <w:szCs w:val="20"/>
              </w:rPr>
            </w:pPr>
            <w:r w:rsidRPr="00DF692F">
              <w:rPr>
                <w:rFonts w:ascii="Arial" w:hAnsi="Arial" w:cs="Arial"/>
                <w:iCs/>
                <w:sz w:val="20"/>
                <w:szCs w:val="20"/>
              </w:rPr>
              <w:t xml:space="preserve">Updated procedure to </w:t>
            </w:r>
            <w:r w:rsidR="00A177AA" w:rsidRPr="00DF692F">
              <w:rPr>
                <w:rFonts w:ascii="Arial" w:hAnsi="Arial" w:cs="Arial"/>
                <w:iCs/>
                <w:sz w:val="20"/>
                <w:szCs w:val="20"/>
              </w:rPr>
              <w:t>DiaSorin</w:t>
            </w:r>
            <w:r w:rsidRPr="00DF692F">
              <w:rPr>
                <w:rFonts w:ascii="Arial" w:hAnsi="Arial" w:cs="Arial"/>
                <w:iCs/>
                <w:sz w:val="20"/>
                <w:szCs w:val="20"/>
              </w:rPr>
              <w:t xml:space="preserve"> Liaison XL from </w:t>
            </w:r>
            <w:r w:rsidR="00A177AA" w:rsidRPr="00DF692F">
              <w:rPr>
                <w:rFonts w:ascii="Arial" w:hAnsi="Arial" w:cs="Arial"/>
                <w:iCs/>
                <w:sz w:val="20"/>
                <w:szCs w:val="20"/>
              </w:rPr>
              <w:t>DiaSorin</w:t>
            </w:r>
            <w:r w:rsidRPr="00DF692F">
              <w:rPr>
                <w:rFonts w:ascii="Arial" w:hAnsi="Arial" w:cs="Arial"/>
                <w:iCs/>
                <w:sz w:val="20"/>
                <w:szCs w:val="20"/>
              </w:rPr>
              <w:t xml:space="preserve"> Liaison. </w:t>
            </w:r>
            <w:r w:rsidR="0023783F" w:rsidRPr="00DF692F">
              <w:rPr>
                <w:rFonts w:ascii="Arial" w:hAnsi="Arial" w:cs="Arial"/>
                <w:iCs/>
                <w:sz w:val="20"/>
                <w:szCs w:val="20"/>
              </w:rPr>
              <w:t>Updated QC reporting for Unity Real Time.</w:t>
            </w:r>
          </w:p>
        </w:tc>
      </w:tr>
      <w:tr w:rsidR="00A93B78" w:rsidRPr="00DF692F" w:rsidTr="00C101FA">
        <w:trPr>
          <w:cantSplit/>
          <w:trHeight w:val="165"/>
        </w:trPr>
        <w:tc>
          <w:tcPr>
            <w:tcW w:w="1798" w:type="dxa"/>
            <w:vMerge/>
            <w:tcBorders>
              <w:left w:val="nil"/>
              <w:bottom w:val="nil"/>
              <w:right w:val="nil"/>
            </w:tcBorders>
          </w:tcPr>
          <w:p w:rsidR="00A93B78" w:rsidRPr="00DF692F" w:rsidRDefault="00A93B78">
            <w:pPr>
              <w:rPr>
                <w:rFonts w:ascii="Arial" w:hAnsi="Arial" w:cs="Arial"/>
                <w:b/>
                <w:bCs/>
                <w:color w:val="3366FF"/>
                <w:sz w:val="20"/>
                <w:szCs w:val="20"/>
              </w:rPr>
            </w:pPr>
          </w:p>
        </w:tc>
        <w:tc>
          <w:tcPr>
            <w:tcW w:w="9362" w:type="dxa"/>
            <w:gridSpan w:val="4"/>
            <w:tcBorders>
              <w:top w:val="single" w:sz="4" w:space="0" w:color="auto"/>
              <w:left w:val="nil"/>
              <w:bottom w:val="single" w:sz="18" w:space="0" w:color="A6A6A6"/>
              <w:right w:val="nil"/>
            </w:tcBorders>
          </w:tcPr>
          <w:p w:rsidR="00A93B78" w:rsidRPr="00DF692F" w:rsidRDefault="00A93B78">
            <w:pPr>
              <w:jc w:val="left"/>
              <w:rPr>
                <w:rFonts w:ascii="Arial" w:hAnsi="Arial" w:cs="Arial"/>
                <w:b/>
                <w:bCs/>
                <w:iCs/>
                <w:sz w:val="20"/>
                <w:szCs w:val="20"/>
              </w:rPr>
            </w:pPr>
          </w:p>
        </w:tc>
      </w:tr>
    </w:tbl>
    <w:p w:rsidR="00A93B78" w:rsidRPr="00DF692F" w:rsidRDefault="00A93B78">
      <w:pPr>
        <w:rPr>
          <w:rFonts w:ascii="Arial" w:hAnsi="Arial" w:cs="Arial"/>
          <w:sz w:val="20"/>
          <w:szCs w:val="20"/>
        </w:rPr>
      </w:pPr>
    </w:p>
    <w:sectPr w:rsidR="00A93B78" w:rsidRPr="00DF692F">
      <w:type w:val="continuous"/>
      <w:pgSz w:w="12240" w:h="15840" w:code="1"/>
      <w:pgMar w:top="576" w:right="1800" w:bottom="576"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F45" w:rsidRDefault="00EE1F45">
      <w:r>
        <w:separator/>
      </w:r>
    </w:p>
  </w:endnote>
  <w:endnote w:type="continuationSeparator" w:id="0">
    <w:p w:rsidR="00EE1F45" w:rsidRDefault="00EE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Arial"/>
    <w:panose1 w:val="00000000000000000000"/>
    <w:charset w:val="00"/>
    <w:family w:val="swiss"/>
    <w:notTrueType/>
    <w:pitch w:val="default"/>
    <w:sig w:usb0="00000083" w:usb1="00000000" w:usb2="00000000" w:usb3="00000000" w:csb0="00000009"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VD Arial">
    <w:altName w:val="IVD Arial"/>
    <w:panose1 w:val="00000000000000000000"/>
    <w:charset w:val="00"/>
    <w:family w:val="swiss"/>
    <w:notTrueType/>
    <w:pitch w:val="default"/>
    <w:sig w:usb0="00000003" w:usb1="00000000" w:usb2="00000000" w:usb3="00000000" w:csb0="00000001" w:csb1="00000000"/>
  </w:font>
  <w:font w:name="Symbo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B78" w:rsidRDefault="00A93B78" w:rsidP="00C101FA">
    <w:pPr>
      <w:ind w:left="-1260" w:right="-1260"/>
      <w:rPr>
        <w:rFonts w:ascii="Arial" w:hAnsi="Arial" w:cs="Arial"/>
        <w:sz w:val="16"/>
      </w:rPr>
    </w:pPr>
    <w:r>
      <w:rPr>
        <w:rFonts w:ascii="Arial" w:hAnsi="Arial" w:cs="Arial"/>
        <w:sz w:val="16"/>
      </w:rPr>
      <w:t>Laboratory, Children’s Hospitals and Clinics of Minn</w:t>
    </w:r>
    <w:r w:rsidR="00C101FA">
      <w:rPr>
        <w:rFonts w:ascii="Arial" w:hAnsi="Arial" w:cs="Arial"/>
        <w:sz w:val="16"/>
      </w:rPr>
      <w:t>esota, Minneapolis/St. Paul, MN</w:t>
    </w:r>
    <w:r w:rsidR="00C101FA">
      <w:rPr>
        <w:rFonts w:ascii="Arial" w:hAnsi="Arial" w:cs="Arial"/>
        <w:sz w:val="16"/>
      </w:rPr>
      <w:tab/>
    </w:r>
    <w:r w:rsidR="00C101FA">
      <w:rPr>
        <w:rFonts w:ascii="Arial" w:hAnsi="Arial" w:cs="Arial"/>
        <w:sz w:val="16"/>
      </w:rPr>
      <w:tab/>
    </w:r>
    <w:r w:rsidR="00C101FA">
      <w:rPr>
        <w:rFonts w:ascii="Arial" w:hAnsi="Arial" w:cs="Arial"/>
        <w:sz w:val="16"/>
      </w:rPr>
      <w:tab/>
    </w:r>
    <w:r w:rsidR="00C101FA">
      <w:rPr>
        <w:rFonts w:ascii="Arial" w:hAnsi="Arial" w:cs="Arial"/>
        <w:sz w:val="16"/>
      </w:rPr>
      <w:tab/>
    </w:r>
    <w:r w:rsidR="00C101FA">
      <w:rPr>
        <w:rFonts w:ascii="Arial" w:hAnsi="Arial" w:cs="Arial"/>
        <w:sz w:val="16"/>
      </w:rPr>
      <w:tab/>
    </w:r>
    <w:r w:rsidR="00C101FA">
      <w:rPr>
        <w:rFonts w:ascii="Arial" w:hAnsi="Arial" w:cs="Arial"/>
        <w:sz w:val="16"/>
      </w:rPr>
      <w:tab/>
    </w: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3025E2">
      <w:rPr>
        <w:rFonts w:ascii="Arial" w:hAnsi="Arial" w:cs="Arial"/>
        <w:noProof/>
        <w:sz w:val="16"/>
      </w:rPr>
      <w:t>3</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3025E2">
      <w:rPr>
        <w:rFonts w:ascii="Arial" w:hAnsi="Arial" w:cs="Arial"/>
        <w:noProof/>
        <w:sz w:val="16"/>
      </w:rPr>
      <w:t>8</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F45" w:rsidRDefault="00EE1F45">
      <w:r>
        <w:separator/>
      </w:r>
    </w:p>
  </w:footnote>
  <w:footnote w:type="continuationSeparator" w:id="0">
    <w:p w:rsidR="00EE1F45" w:rsidRDefault="00EE1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B78" w:rsidRDefault="00A93B78">
    <w:pPr>
      <w:ind w:left="-1260" w:right="-1260"/>
      <w:rPr>
        <w:rFonts w:ascii="Arial" w:hAnsi="Arial" w:cs="Arial"/>
        <w:sz w:val="18"/>
      </w:rPr>
    </w:pPr>
    <w:r>
      <w:rPr>
        <w:rFonts w:ascii="Arial" w:hAnsi="Arial" w:cs="Arial"/>
        <w:sz w:val="18"/>
      </w:rPr>
      <w:t xml:space="preserve">CH 6.100 EBNA IgG </w:t>
    </w:r>
  </w:p>
  <w:p w:rsidR="00A93B78" w:rsidRDefault="00A177AA">
    <w:pPr>
      <w:ind w:left="-1260" w:right="-1260"/>
      <w:rPr>
        <w:rFonts w:ascii="Arial" w:hAnsi="Arial" w:cs="Arial"/>
        <w:sz w:val="18"/>
      </w:rPr>
    </w:pPr>
    <w:r>
      <w:rPr>
        <w:rFonts w:ascii="Arial" w:hAnsi="Arial" w:cs="Arial"/>
        <w:noProof/>
        <w:sz w:val="18"/>
      </w:rPr>
      <w:drawing>
        <wp:anchor distT="0" distB="0" distL="114300" distR="114300" simplePos="0" relativeHeight="251657728" behindDoc="0" locked="0" layoutInCell="1" allowOverlap="1">
          <wp:simplePos x="0" y="0"/>
          <wp:positionH relativeFrom="column">
            <wp:posOffset>5165725</wp:posOffset>
          </wp:positionH>
          <wp:positionV relativeFrom="paragraph">
            <wp:posOffset>-131445</wp:posOffset>
          </wp:positionV>
          <wp:extent cx="1078865" cy="348615"/>
          <wp:effectExtent l="0" t="0" r="6985" b="0"/>
          <wp:wrapNone/>
          <wp:docPr id="5" name="Picture 5"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348615"/>
                  </a:xfrm>
                  <a:prstGeom prst="rect">
                    <a:avLst/>
                  </a:prstGeom>
                  <a:noFill/>
                </pic:spPr>
              </pic:pic>
            </a:graphicData>
          </a:graphic>
          <wp14:sizeRelH relativeFrom="page">
            <wp14:pctWidth>0</wp14:pctWidth>
          </wp14:sizeRelH>
          <wp14:sizeRelV relativeFrom="page">
            <wp14:pctHeight>0</wp14:pctHeight>
          </wp14:sizeRelV>
        </wp:anchor>
      </w:drawing>
    </w:r>
    <w:r w:rsidR="00682B02">
      <w:rPr>
        <w:rFonts w:ascii="Arial" w:hAnsi="Arial" w:cs="Arial"/>
        <w:sz w:val="18"/>
      </w:rPr>
      <w:t>Version 5</w:t>
    </w:r>
  </w:p>
  <w:p w:rsidR="00A93B78" w:rsidRDefault="00A93B78">
    <w:pPr>
      <w:ind w:left="-1260" w:right="-1260"/>
      <w:rPr>
        <w:rFonts w:ascii="Arial" w:hAnsi="Arial" w:cs="Arial"/>
        <w:sz w:val="18"/>
      </w:rPr>
    </w:pPr>
    <w:r>
      <w:rPr>
        <w:rFonts w:ascii="Arial" w:hAnsi="Arial" w:cs="Arial"/>
        <w:sz w:val="18"/>
      </w:rPr>
      <w:t xml:space="preserve">Effective Date: </w:t>
    </w:r>
    <w:r w:rsidR="007E4011">
      <w:rPr>
        <w:rFonts w:ascii="Arial" w:hAnsi="Arial" w:cs="Arial"/>
        <w:sz w:val="18"/>
      </w:rPr>
      <w:t>August 13, 2019</w:t>
    </w:r>
  </w:p>
  <w:p w:rsidR="00A93B78" w:rsidRDefault="00A93B78">
    <w:pPr>
      <w:pStyle w:val="Header"/>
      <w:tabs>
        <w:tab w:val="clear" w:pos="8640"/>
        <w:tab w:val="right" w:pos="9900"/>
      </w:tabs>
      <w:ind w:left="-1260"/>
      <w:jc w:val="center"/>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2A103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F039F2"/>
    <w:multiLevelType w:val="hybridMultilevel"/>
    <w:tmpl w:val="74DA3B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022049"/>
    <w:multiLevelType w:val="hybridMultilevel"/>
    <w:tmpl w:val="750CC91A"/>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6259E1"/>
    <w:multiLevelType w:val="hybridMultilevel"/>
    <w:tmpl w:val="A760C0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1B30387C"/>
    <w:multiLevelType w:val="hybridMultilevel"/>
    <w:tmpl w:val="4F8C1D74"/>
    <w:lvl w:ilvl="0" w:tplc="DA02FA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303A32"/>
    <w:multiLevelType w:val="hybridMultilevel"/>
    <w:tmpl w:val="B7D882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2374E5"/>
    <w:multiLevelType w:val="hybridMultilevel"/>
    <w:tmpl w:val="A0A0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3463FB"/>
    <w:multiLevelType w:val="hybridMultilevel"/>
    <w:tmpl w:val="E11C6C5C"/>
    <w:lvl w:ilvl="0" w:tplc="DA02FA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3C7288"/>
    <w:multiLevelType w:val="hybridMultilevel"/>
    <w:tmpl w:val="4D8ED74C"/>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190622"/>
    <w:multiLevelType w:val="hybridMultilevel"/>
    <w:tmpl w:val="16E263A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A1D337A"/>
    <w:multiLevelType w:val="hybridMultilevel"/>
    <w:tmpl w:val="0C5C8166"/>
    <w:lvl w:ilvl="0" w:tplc="ECCAA20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2D793D"/>
    <w:multiLevelType w:val="hybridMultilevel"/>
    <w:tmpl w:val="F806B412"/>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905C4D"/>
    <w:multiLevelType w:val="hybridMultilevel"/>
    <w:tmpl w:val="6D68C010"/>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8271AB"/>
    <w:multiLevelType w:val="hybridMultilevel"/>
    <w:tmpl w:val="F934DC00"/>
    <w:lvl w:ilvl="0" w:tplc="04090005">
      <w:start w:val="1"/>
      <w:numFmt w:val="bullet"/>
      <w:lvlText w:val=""/>
      <w:lvlJc w:val="left"/>
      <w:pPr>
        <w:tabs>
          <w:tab w:val="num" w:pos="720"/>
        </w:tabs>
        <w:ind w:left="720" w:hanging="360"/>
      </w:pPr>
      <w:rPr>
        <w:rFonts w:ascii="Wingdings" w:hAnsi="Wingdings" w:hint="default"/>
      </w:rPr>
    </w:lvl>
    <w:lvl w:ilvl="1" w:tplc="3620C63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F3380C"/>
    <w:multiLevelType w:val="hybridMultilevel"/>
    <w:tmpl w:val="E3A02CA6"/>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B34B49"/>
    <w:multiLevelType w:val="hybridMultilevel"/>
    <w:tmpl w:val="0ECE5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4"/>
  </w:num>
  <w:num w:numId="4">
    <w:abstractNumId w:val="9"/>
  </w:num>
  <w:num w:numId="5">
    <w:abstractNumId w:val="8"/>
  </w:num>
  <w:num w:numId="6">
    <w:abstractNumId w:val="3"/>
  </w:num>
  <w:num w:numId="7">
    <w:abstractNumId w:val="13"/>
  </w:num>
  <w:num w:numId="8">
    <w:abstractNumId w:val="15"/>
  </w:num>
  <w:num w:numId="9">
    <w:abstractNumId w:val="5"/>
  </w:num>
  <w:num w:numId="10">
    <w:abstractNumId w:val="6"/>
  </w:num>
  <w:num w:numId="11">
    <w:abstractNumId w:val="4"/>
  </w:num>
  <w:num w:numId="12">
    <w:abstractNumId w:val="12"/>
  </w:num>
  <w:num w:numId="13">
    <w:abstractNumId w:val="2"/>
  </w:num>
  <w:num w:numId="14">
    <w:abstractNumId w:val="11"/>
  </w:num>
  <w:num w:numId="15">
    <w:abstractNumId w:val="7"/>
  </w:num>
  <w:num w:numId="16">
    <w:abstractNumId w:val="16"/>
  </w:num>
  <w:num w:numId="17">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1"/>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E8A"/>
    <w:rsid w:val="00036E34"/>
    <w:rsid w:val="00062D11"/>
    <w:rsid w:val="00072DC9"/>
    <w:rsid w:val="00163F1A"/>
    <w:rsid w:val="00235697"/>
    <w:rsid w:val="0023783F"/>
    <w:rsid w:val="002B5CA4"/>
    <w:rsid w:val="002E063B"/>
    <w:rsid w:val="003025E2"/>
    <w:rsid w:val="0047575A"/>
    <w:rsid w:val="00522A7D"/>
    <w:rsid w:val="00547D0C"/>
    <w:rsid w:val="00682B02"/>
    <w:rsid w:val="007855ED"/>
    <w:rsid w:val="007E4011"/>
    <w:rsid w:val="00A177AA"/>
    <w:rsid w:val="00A85F90"/>
    <w:rsid w:val="00A93B78"/>
    <w:rsid w:val="00BE1235"/>
    <w:rsid w:val="00C101FA"/>
    <w:rsid w:val="00C44B6A"/>
    <w:rsid w:val="00DE7E8A"/>
    <w:rsid w:val="00DF692F"/>
    <w:rsid w:val="00E0114B"/>
    <w:rsid w:val="00EE1F45"/>
    <w:rsid w:val="00F60EA0"/>
    <w:rsid w:val="00FD4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1F930D41-F869-457D-9FD6-FD338FE92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styleId="BodyTextIndent">
    <w:name w:val="Body Text Indent"/>
    <w:basedOn w:val="Normal"/>
    <w:semiHidden/>
    <w:pPr>
      <w:tabs>
        <w:tab w:val="left" w:pos="3348"/>
        <w:tab w:val="left" w:pos="9918"/>
      </w:tabs>
      <w:ind w:left="378"/>
    </w:pPr>
    <w:rPr>
      <w:rFonts w:ascii="Arial" w:hAnsi="Arial" w:cs="Arial"/>
      <w:sz w:val="18"/>
    </w:rPr>
  </w:style>
  <w:style w:type="paragraph" w:customStyle="1" w:styleId="Pa19">
    <w:name w:val="Pa19"/>
    <w:basedOn w:val="Normal"/>
    <w:next w:val="Normal"/>
    <w:pPr>
      <w:autoSpaceDE w:val="0"/>
      <w:autoSpaceDN w:val="0"/>
      <w:adjustRightInd w:val="0"/>
      <w:spacing w:line="151" w:lineRule="atLeast"/>
      <w:jc w:val="left"/>
    </w:pPr>
    <w:rPr>
      <w:rFonts w:ascii="Helen Pro Cond" w:hAnsi="Helen Pro Cond"/>
      <w:sz w:val="24"/>
    </w:rPr>
  </w:style>
  <w:style w:type="paragraph" w:customStyle="1" w:styleId="IndentedSubheading">
    <w:name w:val="Indented Subheading"/>
    <w:basedOn w:val="Normal"/>
    <w:pPr>
      <w:overflowPunct w:val="0"/>
      <w:autoSpaceDE w:val="0"/>
      <w:autoSpaceDN w:val="0"/>
      <w:adjustRightInd w:val="0"/>
      <w:spacing w:before="160" w:line="240" w:lineRule="atLeast"/>
      <w:ind w:left="160"/>
      <w:jc w:val="left"/>
      <w:textAlignment w:val="baseline"/>
    </w:pPr>
    <w:rPr>
      <w:rFonts w:ascii="Bookman" w:hAnsi="Bookman"/>
      <w:b/>
      <w:sz w:val="24"/>
      <w:szCs w:val="20"/>
    </w:rPr>
  </w:style>
  <w:style w:type="character" w:styleId="Strong">
    <w:name w:val="Strong"/>
    <w:qFormat/>
    <w:rPr>
      <w:b/>
      <w:bCs/>
    </w:rPr>
  </w:style>
  <w:style w:type="paragraph" w:customStyle="1" w:styleId="SP168227">
    <w:name w:val="SP168227"/>
    <w:basedOn w:val="Normal"/>
    <w:next w:val="Normal"/>
    <w:pPr>
      <w:autoSpaceDE w:val="0"/>
      <w:autoSpaceDN w:val="0"/>
      <w:adjustRightInd w:val="0"/>
      <w:jc w:val="left"/>
    </w:pPr>
    <w:rPr>
      <w:rFonts w:ascii="Arial" w:hAnsi="Arial"/>
      <w:sz w:val="24"/>
    </w:rPr>
  </w:style>
  <w:style w:type="character" w:customStyle="1" w:styleId="SC1607">
    <w:name w:val="SC1607"/>
    <w:rPr>
      <w:rFonts w:cs="Arial"/>
      <w:color w:val="000000"/>
      <w:sz w:val="18"/>
      <w:szCs w:val="18"/>
    </w:rPr>
  </w:style>
  <w:style w:type="paragraph" w:customStyle="1" w:styleId="SP168240">
    <w:name w:val="SP168240"/>
    <w:basedOn w:val="Normal"/>
    <w:next w:val="Normal"/>
    <w:pPr>
      <w:autoSpaceDE w:val="0"/>
      <w:autoSpaceDN w:val="0"/>
      <w:adjustRightInd w:val="0"/>
      <w:jc w:val="left"/>
    </w:pPr>
    <w:rPr>
      <w:rFonts w:ascii="Arial" w:hAnsi="Arial"/>
      <w:sz w:val="24"/>
    </w:rPr>
  </w:style>
  <w:style w:type="paragraph" w:customStyle="1" w:styleId="SP168291">
    <w:name w:val="SP168291"/>
    <w:basedOn w:val="Normal"/>
    <w:next w:val="Normal"/>
    <w:pPr>
      <w:autoSpaceDE w:val="0"/>
      <w:autoSpaceDN w:val="0"/>
      <w:adjustRightInd w:val="0"/>
      <w:jc w:val="left"/>
    </w:pPr>
    <w:rPr>
      <w:rFonts w:ascii="Arial" w:hAnsi="Arial"/>
      <w:sz w:val="24"/>
    </w:rPr>
  </w:style>
  <w:style w:type="character" w:customStyle="1" w:styleId="SC1658">
    <w:name w:val="SC1658"/>
    <w:uiPriority w:val="99"/>
    <w:rPr>
      <w:rFonts w:cs="Arial"/>
      <w:color w:val="000000"/>
      <w:sz w:val="18"/>
      <w:szCs w:val="18"/>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DE7E8A"/>
    <w:rPr>
      <w:rFonts w:ascii="Tahoma" w:hAnsi="Tahoma" w:cs="Tahoma"/>
      <w:sz w:val="16"/>
      <w:szCs w:val="16"/>
    </w:rPr>
  </w:style>
  <w:style w:type="character" w:customStyle="1" w:styleId="BalloonTextChar">
    <w:name w:val="Balloon Text Char"/>
    <w:link w:val="BalloonText"/>
    <w:uiPriority w:val="99"/>
    <w:semiHidden/>
    <w:rsid w:val="00DE7E8A"/>
    <w:rPr>
      <w:rFonts w:ascii="Tahoma" w:hAnsi="Tahoma" w:cs="Tahoma"/>
      <w:sz w:val="16"/>
      <w:szCs w:val="16"/>
    </w:rPr>
  </w:style>
  <w:style w:type="character" w:customStyle="1" w:styleId="SC1647">
    <w:name w:val="SC1647"/>
    <w:uiPriority w:val="99"/>
    <w:rsid w:val="00682B02"/>
    <w:rPr>
      <w:b/>
      <w:bCs/>
      <w:color w:val="000000"/>
      <w:sz w:val="18"/>
      <w:szCs w:val="18"/>
    </w:rPr>
  </w:style>
  <w:style w:type="character" w:customStyle="1" w:styleId="SC1652">
    <w:name w:val="SC1652"/>
    <w:uiPriority w:val="99"/>
    <w:rsid w:val="00682B02"/>
    <w:rPr>
      <w:color w:val="000000"/>
      <w:sz w:val="10"/>
      <w:szCs w:val="10"/>
    </w:rPr>
  </w:style>
  <w:style w:type="character" w:customStyle="1" w:styleId="SC1644">
    <w:name w:val="SC1644"/>
    <w:uiPriority w:val="99"/>
    <w:rsid w:val="00682B02"/>
    <w:rPr>
      <w:rFonts w:ascii="IVD Arial" w:hAnsi="IVD Arial" w:cs="IVD Arial"/>
      <w:color w:val="000000"/>
      <w:sz w:val="18"/>
      <w:szCs w:val="18"/>
    </w:rPr>
  </w:style>
  <w:style w:type="paragraph" w:styleId="ListParagraph">
    <w:name w:val="List Paragraph"/>
    <w:basedOn w:val="Normal"/>
    <w:uiPriority w:val="34"/>
    <w:qFormat/>
    <w:rsid w:val="00FD451D"/>
    <w:pPr>
      <w:ind w:left="720"/>
      <w:contextualSpacing/>
      <w:jc w:val="left"/>
    </w:pPr>
    <w:rPr>
      <w:rFonts w:ascii="Arial" w:hAnsi="Arial"/>
      <w:sz w:val="20"/>
    </w:rPr>
  </w:style>
  <w:style w:type="character" w:styleId="Hyperlink">
    <w:name w:val="Hyperlink"/>
    <w:uiPriority w:val="99"/>
    <w:unhideWhenUsed/>
    <w:rsid w:val="00FD451D"/>
    <w:rPr>
      <w:color w:val="0000FF"/>
      <w:u w:val="single"/>
    </w:rPr>
  </w:style>
  <w:style w:type="paragraph" w:customStyle="1" w:styleId="SP278818">
    <w:name w:val="SP278818"/>
    <w:basedOn w:val="Default"/>
    <w:next w:val="Default"/>
    <w:uiPriority w:val="99"/>
    <w:rsid w:val="00FD451D"/>
    <w:rPr>
      <w:color w:val="auto"/>
    </w:rPr>
  </w:style>
  <w:style w:type="paragraph" w:customStyle="1" w:styleId="SP278823">
    <w:name w:val="SP278823"/>
    <w:basedOn w:val="Default"/>
    <w:next w:val="Default"/>
    <w:uiPriority w:val="99"/>
    <w:rsid w:val="00FD451D"/>
    <w:rPr>
      <w:color w:val="auto"/>
    </w:rPr>
  </w:style>
  <w:style w:type="paragraph" w:customStyle="1" w:styleId="SP278885">
    <w:name w:val="SP278885"/>
    <w:basedOn w:val="Default"/>
    <w:next w:val="Default"/>
    <w:uiPriority w:val="99"/>
    <w:rsid w:val="00FD451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rnet.childrenshc.org/References/labsop/chem/quality/ch-2.18-westgard-rules-in-chemistry.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rnet.childrenshc.org/References/labsop/chem/quality/ch-2.17-unity-real-time-qc-review-general-us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ED044-9DD9-442C-9EA3-B91C4B4D4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2740</Words>
  <Characters>15768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EBNA</vt:lpstr>
    </vt:vector>
  </TitlesOfParts>
  <Company>Children's Hospitals and Clinics of MN</Company>
  <LinksUpToDate>false</LinksUpToDate>
  <CharactersWithSpaces>18472</CharactersWithSpaces>
  <SharedDoc>false</SharedDoc>
  <HLinks>
    <vt:vector size="12" baseType="variant">
      <vt:variant>
        <vt:i4>720974</vt:i4>
      </vt:variant>
      <vt:variant>
        <vt:i4>3</vt:i4>
      </vt:variant>
      <vt:variant>
        <vt:i4>0</vt:i4>
      </vt:variant>
      <vt:variant>
        <vt:i4>5</vt:i4>
      </vt:variant>
      <vt:variant>
        <vt:lpwstr>https://starnet.childrenshc.org/References/labsop/chem/quality/ch-2.17-unity-real-time-qc-review-general-user.pdf</vt:lpwstr>
      </vt:variant>
      <vt:variant>
        <vt:lpwstr/>
      </vt:variant>
      <vt:variant>
        <vt:i4>2228261</vt:i4>
      </vt:variant>
      <vt:variant>
        <vt:i4>0</vt:i4>
      </vt:variant>
      <vt:variant>
        <vt:i4>0</vt:i4>
      </vt:variant>
      <vt:variant>
        <vt:i4>5</vt:i4>
      </vt:variant>
      <vt:variant>
        <vt:lpwstr>https://starnet.childrenshc.org/References/labsop/chem/quality/ch-2.18-westgard-rules-in-chemistry.pdf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EBNA</dc:title>
  <dc:subject/>
  <dc:creator>CE080372</dc:creator>
  <cp:keywords/>
  <cp:lastModifiedBy>Erin Bartos</cp:lastModifiedBy>
  <cp:revision>4</cp:revision>
  <cp:lastPrinted>2011-08-22T20:05:00Z</cp:lastPrinted>
  <dcterms:created xsi:type="dcterms:W3CDTF">2019-08-09T11:57:00Z</dcterms:created>
  <dcterms:modified xsi:type="dcterms:W3CDTF">2019-08-12T17:02:00Z</dcterms:modified>
</cp:coreProperties>
</file>