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182"/>
        <w:gridCol w:w="360"/>
      </w:tblGrid>
      <w:tr w:rsidR="00F075B2" w:rsidRPr="0069083B" w:rsidTr="006A09D9">
        <w:tblPrEx>
          <w:tblCellMar>
            <w:top w:w="0" w:type="dxa"/>
            <w:bottom w:w="0" w:type="dxa"/>
          </w:tblCellMar>
        </w:tblPrEx>
        <w:trPr>
          <w:gridAfter w:val="1"/>
          <w:wAfter w:w="360" w:type="dxa"/>
          <w:cantSplit/>
        </w:trPr>
        <w:tc>
          <w:tcPr>
            <w:tcW w:w="10980" w:type="dxa"/>
            <w:gridSpan w:val="2"/>
            <w:tcBorders>
              <w:top w:val="nil"/>
              <w:left w:val="nil"/>
              <w:bottom w:val="nil"/>
              <w:right w:val="nil"/>
            </w:tcBorders>
          </w:tcPr>
          <w:p w:rsidR="00F075B2" w:rsidRPr="0069083B" w:rsidRDefault="00F075B2">
            <w:pPr>
              <w:rPr>
                <w:rFonts w:ascii="Arial" w:hAnsi="Arial" w:cs="Arial"/>
                <w:b/>
                <w:bCs/>
                <w:color w:val="0000FF"/>
                <w:sz w:val="40"/>
                <w:szCs w:val="40"/>
              </w:rPr>
            </w:pPr>
            <w:r w:rsidRPr="0069083B">
              <w:rPr>
                <w:rFonts w:ascii="Arial" w:hAnsi="Arial" w:cs="Arial"/>
                <w:b/>
                <w:bCs/>
                <w:color w:val="0000FF"/>
                <w:sz w:val="40"/>
                <w:szCs w:val="40"/>
              </w:rPr>
              <w:t xml:space="preserve">VZV IgG </w:t>
            </w:r>
          </w:p>
          <w:p w:rsidR="00F075B2" w:rsidRPr="0069083B" w:rsidRDefault="00F075B2">
            <w:pPr>
              <w:pStyle w:val="BodyText"/>
              <w:rPr>
                <w:rFonts w:ascii="Arial" w:hAnsi="Arial" w:cs="Arial"/>
                <w:sz w:val="20"/>
                <w:szCs w:val="20"/>
              </w:rPr>
            </w:pPr>
          </w:p>
        </w:tc>
      </w:tr>
      <w:tr w:rsidR="00F075B2" w:rsidRPr="0069083B" w:rsidTr="00F80030">
        <w:tblPrEx>
          <w:tblCellMar>
            <w:top w:w="0" w:type="dxa"/>
            <w:bottom w:w="0" w:type="dxa"/>
          </w:tblCellMar>
        </w:tblPrEx>
        <w:trPr>
          <w:gridAfter w:val="1"/>
          <w:wAfter w:w="360" w:type="dxa"/>
          <w:cantSplit/>
          <w:trHeight w:val="647"/>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Purpose</w:t>
            </w:r>
          </w:p>
        </w:tc>
        <w:tc>
          <w:tcPr>
            <w:tcW w:w="9182" w:type="dxa"/>
            <w:tcBorders>
              <w:top w:val="single" w:sz="18" w:space="0" w:color="BFBFBF"/>
              <w:left w:val="nil"/>
              <w:bottom w:val="single" w:sz="18" w:space="0" w:color="BFBFBF"/>
              <w:right w:val="nil"/>
            </w:tcBorders>
          </w:tcPr>
          <w:p w:rsidR="00F075B2" w:rsidRPr="0069083B" w:rsidRDefault="00F075B2">
            <w:pPr>
              <w:rPr>
                <w:rFonts w:ascii="Arial" w:hAnsi="Arial" w:cs="Arial"/>
                <w:sz w:val="20"/>
                <w:szCs w:val="20"/>
              </w:rPr>
            </w:pPr>
          </w:p>
          <w:p w:rsidR="00F075B2" w:rsidRPr="0069083B" w:rsidRDefault="00F075B2">
            <w:pPr>
              <w:rPr>
                <w:rFonts w:ascii="Arial" w:hAnsi="Arial" w:cs="Arial"/>
                <w:sz w:val="20"/>
                <w:szCs w:val="20"/>
              </w:rPr>
            </w:pPr>
            <w:r w:rsidRPr="0069083B">
              <w:rPr>
                <w:rFonts w:ascii="Arial" w:hAnsi="Arial" w:cs="Arial"/>
                <w:sz w:val="20"/>
                <w:szCs w:val="20"/>
              </w:rPr>
              <w:t xml:space="preserve">This procedure provides instructions for performing VZV IgG on the DIASORIN </w:t>
            </w:r>
            <w:r w:rsidR="00E744E4" w:rsidRPr="0069083B">
              <w:rPr>
                <w:rFonts w:ascii="Arial" w:hAnsi="Arial" w:cs="Arial"/>
                <w:sz w:val="20"/>
                <w:szCs w:val="20"/>
              </w:rPr>
              <w:t>LIAISON XL</w:t>
            </w:r>
            <w:r w:rsidRPr="0069083B">
              <w:rPr>
                <w:rFonts w:ascii="Arial" w:hAnsi="Arial" w:cs="Arial"/>
                <w:sz w:val="20"/>
                <w:szCs w:val="20"/>
              </w:rPr>
              <w:t>.</w:t>
            </w:r>
          </w:p>
        </w:tc>
      </w:tr>
      <w:tr w:rsidR="00F075B2" w:rsidRPr="0069083B" w:rsidTr="00F80030">
        <w:tblPrEx>
          <w:tblCellMar>
            <w:top w:w="0" w:type="dxa"/>
            <w:bottom w:w="0" w:type="dxa"/>
          </w:tblCellMar>
        </w:tblPrEx>
        <w:trPr>
          <w:gridAfter w:val="1"/>
          <w:wAfter w:w="360" w:type="dxa"/>
          <w:cantSplit/>
          <w:trHeight w:val="330"/>
        </w:trPr>
        <w:tc>
          <w:tcPr>
            <w:tcW w:w="1798" w:type="dxa"/>
            <w:tcBorders>
              <w:top w:val="nil"/>
              <w:left w:val="nil"/>
              <w:bottom w:val="nil"/>
              <w:right w:val="nil"/>
            </w:tcBorders>
          </w:tcPr>
          <w:p w:rsidR="00F075B2" w:rsidRPr="0069083B" w:rsidRDefault="00F075B2">
            <w:pPr>
              <w:jc w:val="left"/>
              <w:rPr>
                <w:rFonts w:ascii="Arial" w:hAnsi="Arial" w:cs="Arial"/>
                <w:b/>
                <w:bCs/>
                <w:color w:val="0000FF"/>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Policy Statements</w:t>
            </w:r>
          </w:p>
        </w:tc>
        <w:tc>
          <w:tcPr>
            <w:tcW w:w="9182" w:type="dxa"/>
            <w:tcBorders>
              <w:top w:val="single" w:sz="18" w:space="0" w:color="BFBFBF"/>
              <w:left w:val="nil"/>
              <w:bottom w:val="single" w:sz="18" w:space="0" w:color="BFBFBF"/>
              <w:right w:val="nil"/>
            </w:tcBorders>
          </w:tcPr>
          <w:p w:rsidR="00F075B2" w:rsidRPr="0069083B" w:rsidRDefault="00F075B2">
            <w:pPr>
              <w:rPr>
                <w:rFonts w:ascii="Arial" w:hAnsi="Arial" w:cs="Arial"/>
                <w:iCs/>
                <w:sz w:val="20"/>
                <w:szCs w:val="20"/>
              </w:rPr>
            </w:pPr>
          </w:p>
          <w:p w:rsidR="00F075B2" w:rsidRPr="0069083B" w:rsidRDefault="00F075B2">
            <w:pPr>
              <w:rPr>
                <w:rFonts w:ascii="Arial" w:hAnsi="Arial" w:cs="Arial"/>
                <w:iCs/>
                <w:sz w:val="20"/>
                <w:szCs w:val="20"/>
              </w:rPr>
            </w:pPr>
            <w:r w:rsidRPr="0069083B">
              <w:rPr>
                <w:rFonts w:ascii="Arial" w:hAnsi="Arial" w:cs="Arial"/>
                <w:sz w:val="20"/>
                <w:szCs w:val="20"/>
              </w:rPr>
              <w:t xml:space="preserve">This procedure applies to all laboratory technical staff responsible for performing VZV IgG testing on the DiaSorin </w:t>
            </w:r>
            <w:r w:rsidR="00E744E4" w:rsidRPr="0069083B">
              <w:rPr>
                <w:rFonts w:ascii="Arial" w:hAnsi="Arial" w:cs="Arial"/>
                <w:sz w:val="20"/>
                <w:szCs w:val="20"/>
              </w:rPr>
              <w:t>Liaison XL</w:t>
            </w:r>
            <w:r w:rsidRPr="0069083B">
              <w:rPr>
                <w:rFonts w:ascii="Arial" w:hAnsi="Arial" w:cs="Arial"/>
                <w:sz w:val="20"/>
                <w:szCs w:val="20"/>
              </w:rPr>
              <w:t>.</w:t>
            </w:r>
          </w:p>
          <w:p w:rsidR="00F075B2" w:rsidRPr="0069083B" w:rsidRDefault="00F075B2">
            <w:pPr>
              <w:rPr>
                <w:rFonts w:ascii="Arial" w:hAnsi="Arial" w:cs="Arial"/>
                <w:iCs/>
                <w:sz w:val="20"/>
                <w:szCs w:val="20"/>
              </w:rPr>
            </w:pPr>
          </w:p>
        </w:tc>
      </w:tr>
      <w:tr w:rsidR="00F075B2" w:rsidRPr="0069083B" w:rsidTr="00F80030">
        <w:tblPrEx>
          <w:tblCellMar>
            <w:top w:w="0" w:type="dxa"/>
            <w:bottom w:w="0" w:type="dxa"/>
          </w:tblCellMar>
        </w:tblPrEx>
        <w:trPr>
          <w:gridAfter w:val="1"/>
          <w:wAfter w:w="360" w:type="dxa"/>
          <w:cantSplit/>
          <w:trHeight w:val="1025"/>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rPr>
                <w:rFonts w:ascii="Arial" w:hAnsi="Arial" w:cs="Arial"/>
                <w:b/>
                <w:bCs/>
                <w:color w:val="0000FF"/>
                <w:sz w:val="20"/>
                <w:szCs w:val="20"/>
              </w:rPr>
            </w:pPr>
            <w:r w:rsidRPr="0069083B">
              <w:rPr>
                <w:rFonts w:ascii="Arial" w:hAnsi="Arial" w:cs="Arial"/>
                <w:b/>
                <w:bCs/>
                <w:color w:val="0000FF"/>
                <w:sz w:val="20"/>
                <w:szCs w:val="20"/>
              </w:rPr>
              <w:t>Principle</w:t>
            </w:r>
          </w:p>
          <w:p w:rsidR="00F075B2" w:rsidRPr="0069083B" w:rsidRDefault="00F075B2">
            <w:pPr>
              <w:rPr>
                <w:rFonts w:ascii="Arial" w:hAnsi="Arial" w:cs="Arial"/>
                <w:b/>
                <w:bCs/>
                <w:color w:val="0000FF"/>
                <w:sz w:val="20"/>
                <w:szCs w:val="20"/>
              </w:rPr>
            </w:pPr>
          </w:p>
        </w:tc>
        <w:tc>
          <w:tcPr>
            <w:tcW w:w="9182" w:type="dxa"/>
            <w:tcBorders>
              <w:top w:val="single" w:sz="18" w:space="0" w:color="BFBFBF"/>
              <w:left w:val="nil"/>
              <w:bottom w:val="single" w:sz="18" w:space="0" w:color="BFBFBF"/>
              <w:right w:val="nil"/>
            </w:tcBorders>
          </w:tcPr>
          <w:p w:rsidR="00F075B2" w:rsidRPr="0069083B" w:rsidRDefault="00F075B2">
            <w:pPr>
              <w:autoSpaceDE w:val="0"/>
              <w:autoSpaceDN w:val="0"/>
              <w:adjustRightInd w:val="0"/>
              <w:rPr>
                <w:rFonts w:ascii="Arial" w:hAnsi="Arial" w:cs="Arial"/>
                <w:sz w:val="20"/>
                <w:szCs w:val="20"/>
              </w:rPr>
            </w:pPr>
          </w:p>
          <w:p w:rsidR="00F075B2" w:rsidRPr="0069083B" w:rsidRDefault="00F075B2">
            <w:pPr>
              <w:autoSpaceDE w:val="0"/>
              <w:autoSpaceDN w:val="0"/>
              <w:adjustRightInd w:val="0"/>
              <w:rPr>
                <w:rFonts w:ascii="Arial" w:hAnsi="Arial" w:cs="Arial"/>
                <w:iCs/>
                <w:sz w:val="20"/>
                <w:szCs w:val="20"/>
              </w:rPr>
            </w:pPr>
            <w:r w:rsidRPr="0069083B">
              <w:rPr>
                <w:rFonts w:ascii="Arial" w:hAnsi="Arial" w:cs="Arial"/>
                <w:sz w:val="20"/>
                <w:szCs w:val="20"/>
              </w:rPr>
              <w:t xml:space="preserve">The DiaSorin LIAISON® VZV IgG uses chemiluminescence immunoassay (CLIA) technology on the </w:t>
            </w:r>
            <w:r w:rsidR="00E744E4" w:rsidRPr="0069083B">
              <w:rPr>
                <w:rFonts w:ascii="Arial" w:hAnsi="Arial" w:cs="Arial"/>
                <w:sz w:val="20"/>
                <w:szCs w:val="20"/>
              </w:rPr>
              <w:t>LIAISON XL</w:t>
            </w:r>
            <w:r w:rsidRPr="0069083B">
              <w:rPr>
                <w:rFonts w:ascii="Arial" w:hAnsi="Arial" w:cs="Arial"/>
                <w:sz w:val="20"/>
                <w:szCs w:val="20"/>
              </w:rPr>
              <w:t xml:space="preserve">® Analyzer for the qualitative detection of specific IgG antibodies to varicella-zoster virus (VZV) in human serum. </w:t>
            </w:r>
            <w:r w:rsidR="0096526D" w:rsidRPr="0069083B">
              <w:rPr>
                <w:rFonts w:ascii="Arial" w:hAnsi="Arial" w:cs="Arial"/>
                <w:sz w:val="20"/>
                <w:szCs w:val="20"/>
              </w:rPr>
              <w:t xml:space="preserve"> </w:t>
            </w:r>
            <w:r w:rsidRPr="0069083B">
              <w:rPr>
                <w:rFonts w:ascii="Arial" w:hAnsi="Arial" w:cs="Arial"/>
                <w:sz w:val="20"/>
                <w:szCs w:val="20"/>
              </w:rPr>
              <w:t>This assay can be used as an aid in the determination of previous infection of varicella-zoster virus.</w:t>
            </w:r>
          </w:p>
          <w:p w:rsidR="00F075B2" w:rsidRPr="0069083B" w:rsidRDefault="00F075B2">
            <w:pPr>
              <w:rPr>
                <w:rFonts w:ascii="Arial" w:hAnsi="Arial" w:cs="Arial"/>
                <w:b/>
                <w:bCs/>
                <w:sz w:val="20"/>
                <w:szCs w:val="20"/>
              </w:rPr>
            </w:pPr>
          </w:p>
          <w:p w:rsidR="00F075B2" w:rsidRPr="0069083B" w:rsidRDefault="00F075B2">
            <w:pPr>
              <w:autoSpaceDE w:val="0"/>
              <w:autoSpaceDN w:val="0"/>
              <w:adjustRightInd w:val="0"/>
              <w:rPr>
                <w:rFonts w:ascii="Arial" w:hAnsi="Arial" w:cs="Arial"/>
                <w:b/>
                <w:bCs/>
                <w:sz w:val="20"/>
                <w:szCs w:val="20"/>
              </w:rPr>
            </w:pPr>
            <w:r w:rsidRPr="0069083B">
              <w:rPr>
                <w:rFonts w:ascii="Arial" w:hAnsi="Arial" w:cs="Arial"/>
                <w:sz w:val="20"/>
                <w:szCs w:val="20"/>
              </w:rPr>
              <w:t xml:space="preserve">The method for the qualitative determination of specific IgG to varicella-zoster virus is an indirect chemiluminescence immunoassay (CLIA). </w:t>
            </w:r>
            <w:r w:rsidR="0096526D" w:rsidRPr="0069083B">
              <w:rPr>
                <w:rFonts w:ascii="Arial" w:hAnsi="Arial" w:cs="Arial"/>
                <w:sz w:val="20"/>
                <w:szCs w:val="20"/>
              </w:rPr>
              <w:t xml:space="preserve"> </w:t>
            </w:r>
            <w:r w:rsidRPr="0069083B">
              <w:rPr>
                <w:rFonts w:ascii="Arial" w:hAnsi="Arial" w:cs="Arial"/>
                <w:sz w:val="20"/>
                <w:szCs w:val="20"/>
              </w:rPr>
              <w:t>All assay steps and incubations are performed by the LIAISON® Analyzer</w:t>
            </w:r>
            <w:r w:rsidR="002B0613" w:rsidRPr="0069083B">
              <w:rPr>
                <w:rFonts w:ascii="Arial" w:hAnsi="Arial" w:cs="Arial"/>
                <w:sz w:val="20"/>
                <w:szCs w:val="20"/>
              </w:rPr>
              <w:t xml:space="preserve"> family</w:t>
            </w:r>
            <w:r w:rsidRPr="0069083B">
              <w:rPr>
                <w:rFonts w:ascii="Arial" w:hAnsi="Arial" w:cs="Arial"/>
                <w:sz w:val="20"/>
                <w:szCs w:val="20"/>
              </w:rPr>
              <w:t xml:space="preserve">. </w:t>
            </w:r>
            <w:r w:rsidR="0096526D" w:rsidRPr="0069083B">
              <w:rPr>
                <w:rFonts w:ascii="Arial" w:hAnsi="Arial" w:cs="Arial"/>
                <w:sz w:val="20"/>
                <w:szCs w:val="20"/>
              </w:rPr>
              <w:t xml:space="preserve"> </w:t>
            </w:r>
            <w:r w:rsidRPr="0069083B">
              <w:rPr>
                <w:rFonts w:ascii="Arial" w:hAnsi="Arial" w:cs="Arial"/>
                <w:sz w:val="20"/>
                <w:szCs w:val="20"/>
              </w:rPr>
              <w:t xml:space="preserve">Varicella-zoster virus antigen is used for coating magnetic particles (solid phase) and a mouse monoclonal antibody to human IgG is linked to an isoluminol derivative (isoluminol-antibody conjugate). </w:t>
            </w:r>
            <w:r w:rsidR="0096526D" w:rsidRPr="0069083B">
              <w:rPr>
                <w:rFonts w:ascii="Arial" w:hAnsi="Arial" w:cs="Arial"/>
                <w:sz w:val="20"/>
                <w:szCs w:val="20"/>
              </w:rPr>
              <w:t xml:space="preserve"> </w:t>
            </w:r>
            <w:r w:rsidRPr="0069083B">
              <w:rPr>
                <w:rFonts w:ascii="Arial" w:hAnsi="Arial" w:cs="Arial"/>
                <w:sz w:val="20"/>
                <w:szCs w:val="20"/>
              </w:rPr>
              <w:t>During the first incubation, anti-VZV IgG antibodies, present in calibrators, samples or controls, bind to the sol</w:t>
            </w:r>
            <w:r w:rsidR="002B0613" w:rsidRPr="0069083B">
              <w:rPr>
                <w:rFonts w:ascii="Arial" w:hAnsi="Arial" w:cs="Arial"/>
                <w:sz w:val="20"/>
                <w:szCs w:val="20"/>
              </w:rPr>
              <w:t>id phase. After incubation,</w:t>
            </w:r>
            <w:r w:rsidRPr="0069083B">
              <w:rPr>
                <w:rFonts w:ascii="Arial" w:hAnsi="Arial" w:cs="Arial"/>
                <w:sz w:val="20"/>
                <w:szCs w:val="20"/>
              </w:rPr>
              <w:t xml:space="preserve"> the unbound material is removed with a wash cycle. </w:t>
            </w:r>
            <w:r w:rsidR="0096526D" w:rsidRPr="0069083B">
              <w:rPr>
                <w:rFonts w:ascii="Arial" w:hAnsi="Arial" w:cs="Arial"/>
                <w:sz w:val="20"/>
                <w:szCs w:val="20"/>
              </w:rPr>
              <w:t xml:space="preserve"> </w:t>
            </w:r>
            <w:r w:rsidRPr="0069083B">
              <w:rPr>
                <w:rFonts w:ascii="Arial" w:hAnsi="Arial" w:cs="Arial"/>
                <w:sz w:val="20"/>
                <w:szCs w:val="20"/>
              </w:rPr>
              <w:t xml:space="preserve">During the second incubation, the antibody conjugate reacts with anti-VZV IgG already bound to the solid phase. Subsequently, the starter reagents are added and a flash chemiluminescence reaction is induced. </w:t>
            </w:r>
            <w:r w:rsidR="0096526D" w:rsidRPr="0069083B">
              <w:rPr>
                <w:rFonts w:ascii="Arial" w:hAnsi="Arial" w:cs="Arial"/>
                <w:sz w:val="20"/>
                <w:szCs w:val="20"/>
              </w:rPr>
              <w:t xml:space="preserve"> </w:t>
            </w:r>
            <w:r w:rsidRPr="0069083B">
              <w:rPr>
                <w:rFonts w:ascii="Arial" w:hAnsi="Arial" w:cs="Arial"/>
                <w:sz w:val="20"/>
                <w:szCs w:val="20"/>
              </w:rPr>
              <w:t>The light signal, and the amount to isoluminol-antibody conjugate, is measured by a photomultiplier as relative light units (RLU) and is indicative of the presence of anti-VZV IgG concentration present in calibrators, samples or controls.</w:t>
            </w:r>
          </w:p>
          <w:p w:rsidR="00F075B2" w:rsidRPr="0069083B" w:rsidRDefault="00F075B2">
            <w:pPr>
              <w:autoSpaceDE w:val="0"/>
              <w:autoSpaceDN w:val="0"/>
              <w:adjustRightInd w:val="0"/>
              <w:rPr>
                <w:rFonts w:ascii="Arial" w:hAnsi="Arial" w:cs="Arial"/>
                <w:iCs/>
                <w:sz w:val="20"/>
                <w:szCs w:val="20"/>
              </w:rPr>
            </w:pPr>
          </w:p>
        </w:tc>
      </w:tr>
      <w:tr w:rsidR="00F075B2" w:rsidRPr="0069083B" w:rsidTr="00F80030">
        <w:tblPrEx>
          <w:tblCellMar>
            <w:top w:w="0" w:type="dxa"/>
            <w:bottom w:w="0" w:type="dxa"/>
          </w:tblCellMar>
        </w:tblPrEx>
        <w:trPr>
          <w:gridAfter w:val="1"/>
          <w:wAfter w:w="360" w:type="dxa"/>
          <w:cantSplit/>
          <w:trHeight w:val="1025"/>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rPr>
                <w:rFonts w:ascii="Arial" w:hAnsi="Arial" w:cs="Arial"/>
                <w:b/>
                <w:bCs/>
                <w:color w:val="0000FF"/>
                <w:sz w:val="20"/>
                <w:szCs w:val="20"/>
              </w:rPr>
            </w:pPr>
            <w:r w:rsidRPr="0069083B">
              <w:rPr>
                <w:rFonts w:ascii="Arial" w:hAnsi="Arial" w:cs="Arial"/>
                <w:b/>
                <w:bCs/>
                <w:color w:val="0000FF"/>
                <w:sz w:val="20"/>
                <w:szCs w:val="20"/>
              </w:rPr>
              <w:t>Clinical Significance</w:t>
            </w:r>
          </w:p>
          <w:p w:rsidR="00F075B2" w:rsidRPr="0069083B" w:rsidRDefault="00F075B2">
            <w:pPr>
              <w:rPr>
                <w:rFonts w:ascii="Arial" w:hAnsi="Arial" w:cs="Arial"/>
                <w:b/>
                <w:bCs/>
                <w:color w:val="0000FF"/>
                <w:sz w:val="20"/>
                <w:szCs w:val="20"/>
              </w:rPr>
            </w:pPr>
          </w:p>
        </w:tc>
        <w:tc>
          <w:tcPr>
            <w:tcW w:w="9182" w:type="dxa"/>
            <w:tcBorders>
              <w:top w:val="single" w:sz="18" w:space="0" w:color="BFBFBF"/>
              <w:left w:val="nil"/>
              <w:bottom w:val="single" w:sz="18" w:space="0" w:color="BFBFBF"/>
              <w:right w:val="nil"/>
            </w:tcBorders>
          </w:tcPr>
          <w:p w:rsidR="00F075B2" w:rsidRPr="0069083B" w:rsidRDefault="00F075B2">
            <w:pPr>
              <w:rPr>
                <w:rFonts w:ascii="Arial" w:hAnsi="Arial" w:cs="Arial"/>
                <w:iCs/>
                <w:sz w:val="20"/>
                <w:szCs w:val="20"/>
              </w:rPr>
            </w:pPr>
          </w:p>
          <w:p w:rsidR="00F075B2" w:rsidRPr="0069083B" w:rsidRDefault="00F075B2">
            <w:pPr>
              <w:autoSpaceDE w:val="0"/>
              <w:autoSpaceDN w:val="0"/>
              <w:adjustRightInd w:val="0"/>
              <w:rPr>
                <w:rFonts w:ascii="Arial" w:hAnsi="Arial" w:cs="Arial"/>
                <w:sz w:val="20"/>
                <w:szCs w:val="20"/>
              </w:rPr>
            </w:pPr>
            <w:r w:rsidRPr="0069083B">
              <w:rPr>
                <w:rFonts w:ascii="Arial" w:hAnsi="Arial" w:cs="Arial"/>
                <w:sz w:val="20"/>
                <w:szCs w:val="20"/>
              </w:rPr>
              <w:t xml:space="preserve">Varicella (chicken pox) is an acute, highly contagious viral disease with worldwide distribution, seasonal prevalence in winter and spring, characterized by generalized vesicular exanthema often accompanied by fever. While mostly a mild disorder in childhood, varicella tends to be more severe in adults and it may be fatal, especially in neonates and in immunocompromised subjects. </w:t>
            </w:r>
          </w:p>
          <w:p w:rsidR="00F075B2" w:rsidRPr="0069083B" w:rsidRDefault="00F075B2">
            <w:pPr>
              <w:autoSpaceDE w:val="0"/>
              <w:autoSpaceDN w:val="0"/>
              <w:adjustRightInd w:val="0"/>
              <w:rPr>
                <w:rFonts w:ascii="Arial" w:hAnsi="Arial" w:cs="Arial"/>
                <w:sz w:val="20"/>
                <w:szCs w:val="20"/>
              </w:rPr>
            </w:pPr>
          </w:p>
          <w:p w:rsidR="00F075B2" w:rsidRPr="0069083B" w:rsidRDefault="00F075B2">
            <w:pPr>
              <w:autoSpaceDE w:val="0"/>
              <w:autoSpaceDN w:val="0"/>
              <w:adjustRightInd w:val="0"/>
              <w:rPr>
                <w:rFonts w:ascii="Arial" w:hAnsi="Arial" w:cs="Arial"/>
                <w:sz w:val="20"/>
                <w:szCs w:val="20"/>
              </w:rPr>
            </w:pPr>
            <w:r w:rsidRPr="0069083B">
              <w:rPr>
                <w:rFonts w:ascii="Arial" w:hAnsi="Arial" w:cs="Arial"/>
                <w:sz w:val="20"/>
                <w:szCs w:val="20"/>
              </w:rPr>
              <w:t xml:space="preserve">Varicella-zoster virus (VZV), a </w:t>
            </w:r>
            <w:r w:rsidRPr="0069083B">
              <w:rPr>
                <w:rFonts w:ascii="Arial" w:hAnsi="Arial" w:cs="Arial"/>
                <w:i/>
                <w:iCs/>
                <w:sz w:val="20"/>
                <w:szCs w:val="20"/>
              </w:rPr>
              <w:t>Herpesviridae</w:t>
            </w:r>
            <w:r w:rsidRPr="0069083B">
              <w:rPr>
                <w:rFonts w:ascii="Arial" w:hAnsi="Arial" w:cs="Arial"/>
                <w:sz w:val="20"/>
                <w:szCs w:val="20"/>
              </w:rPr>
              <w:t xml:space="preserve">, is the causative agent of the disease that shows little genetic variation (only one serotype is known). </w:t>
            </w:r>
            <w:r w:rsidR="0096526D" w:rsidRPr="0069083B">
              <w:rPr>
                <w:rFonts w:ascii="Arial" w:hAnsi="Arial" w:cs="Arial"/>
                <w:sz w:val="20"/>
                <w:szCs w:val="20"/>
              </w:rPr>
              <w:t xml:space="preserve"> </w:t>
            </w:r>
            <w:r w:rsidRPr="0069083B">
              <w:rPr>
                <w:rFonts w:ascii="Arial" w:hAnsi="Arial" w:cs="Arial"/>
                <w:sz w:val="20"/>
                <w:szCs w:val="20"/>
              </w:rPr>
              <w:t xml:space="preserve">Following primary infection, the virus remains latent in neural ganglia, and upon subsequent reactivation VZV may cause zoster (shingles), a disease mainly affecting the elderly and immunocompromised persons, that consists in painful, circumscribed eruption of vesicular lesions with inflammation of associated dorsal root or cranial nerve sensory ganglia. </w:t>
            </w:r>
            <w:r w:rsidR="0096526D" w:rsidRPr="0069083B">
              <w:rPr>
                <w:rFonts w:ascii="Arial" w:hAnsi="Arial" w:cs="Arial"/>
                <w:sz w:val="20"/>
                <w:szCs w:val="20"/>
              </w:rPr>
              <w:t xml:space="preserve"> </w:t>
            </w:r>
            <w:r w:rsidRPr="0069083B">
              <w:rPr>
                <w:rFonts w:ascii="Arial" w:hAnsi="Arial" w:cs="Arial"/>
                <w:sz w:val="20"/>
                <w:szCs w:val="20"/>
              </w:rPr>
              <w:t xml:space="preserve">IgM antibodies to varicella-zoster virus may be detected during primary and reactivated infection. </w:t>
            </w:r>
            <w:r w:rsidR="0096526D" w:rsidRPr="0069083B">
              <w:rPr>
                <w:rFonts w:ascii="Arial" w:hAnsi="Arial" w:cs="Arial"/>
                <w:sz w:val="20"/>
                <w:szCs w:val="20"/>
              </w:rPr>
              <w:t xml:space="preserve"> </w:t>
            </w:r>
            <w:r w:rsidRPr="0069083B">
              <w:rPr>
                <w:rFonts w:ascii="Arial" w:hAnsi="Arial" w:cs="Arial"/>
                <w:sz w:val="20"/>
                <w:szCs w:val="20"/>
              </w:rPr>
              <w:t xml:space="preserve">Evaluation of specific immune status for VZV may guide management of immunosuppressed patients and administration of antiviral agents. </w:t>
            </w:r>
          </w:p>
          <w:p w:rsidR="00F075B2" w:rsidRPr="0069083B" w:rsidRDefault="00F075B2">
            <w:pPr>
              <w:autoSpaceDE w:val="0"/>
              <w:autoSpaceDN w:val="0"/>
              <w:adjustRightInd w:val="0"/>
              <w:rPr>
                <w:rFonts w:ascii="Arial" w:hAnsi="Arial" w:cs="Arial"/>
                <w:sz w:val="20"/>
                <w:szCs w:val="20"/>
              </w:rPr>
            </w:pPr>
          </w:p>
          <w:p w:rsidR="00F075B2" w:rsidRPr="0069083B" w:rsidRDefault="00F075B2">
            <w:pPr>
              <w:autoSpaceDE w:val="0"/>
              <w:autoSpaceDN w:val="0"/>
              <w:adjustRightInd w:val="0"/>
              <w:rPr>
                <w:rFonts w:ascii="Arial" w:hAnsi="Arial" w:cs="Arial"/>
                <w:sz w:val="20"/>
                <w:szCs w:val="20"/>
              </w:rPr>
            </w:pPr>
            <w:r w:rsidRPr="0069083B">
              <w:rPr>
                <w:rFonts w:ascii="Arial" w:hAnsi="Arial" w:cs="Arial"/>
                <w:sz w:val="20"/>
                <w:szCs w:val="20"/>
              </w:rPr>
              <w:t>Varicella infection occurring in susceptible pregnant women can lead to severe, and even fatal, disease of the newborns.</w:t>
            </w:r>
            <w:r w:rsidR="0096526D" w:rsidRPr="0069083B">
              <w:rPr>
                <w:rFonts w:ascii="Arial" w:hAnsi="Arial" w:cs="Arial"/>
                <w:sz w:val="20"/>
                <w:szCs w:val="20"/>
              </w:rPr>
              <w:t xml:space="preserve"> </w:t>
            </w:r>
            <w:r w:rsidRPr="0069083B">
              <w:rPr>
                <w:rFonts w:ascii="Arial" w:hAnsi="Arial" w:cs="Arial"/>
                <w:sz w:val="20"/>
                <w:szCs w:val="20"/>
              </w:rPr>
              <w:t xml:space="preserve"> Infection occurring in the first four months of pregnancy can lead to child deformity, while infection at the time of delivery may cause life-threatening infection in newborns.</w:t>
            </w:r>
            <w:r w:rsidR="0096526D" w:rsidRPr="0069083B">
              <w:rPr>
                <w:rFonts w:ascii="Arial" w:hAnsi="Arial" w:cs="Arial"/>
                <w:sz w:val="20"/>
                <w:szCs w:val="20"/>
              </w:rPr>
              <w:t xml:space="preserve"> </w:t>
            </w:r>
            <w:r w:rsidRPr="0069083B">
              <w:rPr>
                <w:rFonts w:ascii="Arial" w:hAnsi="Arial" w:cs="Arial"/>
                <w:sz w:val="20"/>
                <w:szCs w:val="20"/>
              </w:rPr>
              <w:t xml:space="preserve"> Although individual cases may be prevented or modified by VZV immunoglobulin administration or treated with antiviral drugs, varicella can be controlled only by vaccination. </w:t>
            </w:r>
          </w:p>
          <w:p w:rsidR="00F075B2" w:rsidRPr="0069083B" w:rsidRDefault="00F075B2">
            <w:pPr>
              <w:rPr>
                <w:rFonts w:ascii="Arial" w:hAnsi="Arial" w:cs="Arial"/>
                <w:iCs/>
                <w:sz w:val="20"/>
                <w:szCs w:val="20"/>
              </w:rPr>
            </w:pPr>
          </w:p>
        </w:tc>
      </w:tr>
      <w:tr w:rsidR="00F075B2" w:rsidRPr="0069083B" w:rsidTr="002818D9">
        <w:tblPrEx>
          <w:tblCellMar>
            <w:top w:w="0" w:type="dxa"/>
            <w:bottom w:w="0" w:type="dxa"/>
          </w:tblCellMar>
        </w:tblPrEx>
        <w:trPr>
          <w:gridAfter w:val="1"/>
          <w:wAfter w:w="360" w:type="dxa"/>
          <w:cantSplit/>
          <w:trHeight w:val="863"/>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7653AF">
            <w:pPr>
              <w:rPr>
                <w:rFonts w:ascii="Arial" w:hAnsi="Arial" w:cs="Arial"/>
                <w:b/>
                <w:bCs/>
                <w:color w:val="0000FF"/>
                <w:sz w:val="20"/>
                <w:szCs w:val="20"/>
              </w:rPr>
            </w:pPr>
            <w:r w:rsidRPr="0069083B">
              <w:rPr>
                <w:rFonts w:ascii="Arial" w:hAnsi="Arial" w:cs="Arial"/>
                <w:b/>
                <w:bCs/>
                <w:color w:val="0000FF"/>
                <w:sz w:val="20"/>
                <w:szCs w:val="20"/>
              </w:rPr>
              <w:t>Analyzer</w:t>
            </w:r>
          </w:p>
          <w:p w:rsidR="00F075B2" w:rsidRPr="0069083B" w:rsidRDefault="00F075B2">
            <w:pPr>
              <w:rPr>
                <w:rFonts w:ascii="Arial" w:hAnsi="Arial" w:cs="Arial"/>
                <w:b/>
                <w:bCs/>
                <w:color w:val="0000FF"/>
                <w:sz w:val="20"/>
                <w:szCs w:val="20"/>
              </w:rPr>
            </w:pPr>
          </w:p>
        </w:tc>
        <w:tc>
          <w:tcPr>
            <w:tcW w:w="9182" w:type="dxa"/>
            <w:tcBorders>
              <w:top w:val="single" w:sz="18" w:space="0" w:color="BFBFBF"/>
              <w:left w:val="nil"/>
              <w:bottom w:val="single" w:sz="18" w:space="0" w:color="BFBFBF"/>
              <w:right w:val="nil"/>
            </w:tcBorders>
          </w:tcPr>
          <w:p w:rsidR="00F075B2" w:rsidRPr="0069083B" w:rsidRDefault="00F075B2">
            <w:pPr>
              <w:jc w:val="left"/>
              <w:rPr>
                <w:rFonts w:ascii="Arial" w:hAnsi="Arial" w:cs="Arial"/>
                <w:iCs/>
                <w:sz w:val="20"/>
                <w:szCs w:val="20"/>
              </w:rPr>
            </w:pPr>
          </w:p>
          <w:p w:rsidR="00E744E4" w:rsidRPr="0069083B" w:rsidRDefault="00F075B2" w:rsidP="00E744E4">
            <w:pPr>
              <w:jc w:val="left"/>
              <w:rPr>
                <w:rFonts w:ascii="Arial" w:hAnsi="Arial" w:cs="Arial"/>
                <w:iCs/>
                <w:sz w:val="20"/>
                <w:szCs w:val="20"/>
              </w:rPr>
            </w:pPr>
            <w:r w:rsidRPr="0069083B">
              <w:rPr>
                <w:rFonts w:ascii="Arial" w:hAnsi="Arial" w:cs="Arial"/>
                <w:iCs/>
                <w:sz w:val="20"/>
                <w:szCs w:val="20"/>
              </w:rPr>
              <w:t xml:space="preserve">DiaSorin </w:t>
            </w:r>
            <w:r w:rsidR="00E744E4" w:rsidRPr="0069083B">
              <w:rPr>
                <w:rFonts w:ascii="Arial" w:hAnsi="Arial" w:cs="Arial"/>
                <w:iCs/>
                <w:sz w:val="20"/>
                <w:szCs w:val="20"/>
              </w:rPr>
              <w:t>LIAISON</w:t>
            </w:r>
            <w:r w:rsidR="0096526D" w:rsidRPr="0069083B">
              <w:rPr>
                <w:rFonts w:ascii="Arial" w:hAnsi="Arial" w:cs="Arial"/>
                <w:iCs/>
                <w:sz w:val="20"/>
                <w:szCs w:val="20"/>
              </w:rPr>
              <w:sym w:font="Symbol" w:char="F0D2"/>
            </w:r>
            <w:r w:rsidR="00E744E4" w:rsidRPr="0069083B">
              <w:rPr>
                <w:rFonts w:ascii="Arial" w:hAnsi="Arial" w:cs="Arial"/>
                <w:iCs/>
                <w:sz w:val="20"/>
                <w:szCs w:val="20"/>
              </w:rPr>
              <w:t xml:space="preserve"> XL.</w:t>
            </w:r>
          </w:p>
          <w:p w:rsidR="00F075B2" w:rsidRPr="0069083B" w:rsidRDefault="00F075B2" w:rsidP="00FA5B84">
            <w:pPr>
              <w:jc w:val="left"/>
              <w:rPr>
                <w:rFonts w:ascii="Arial" w:hAnsi="Arial" w:cs="Arial"/>
                <w:iCs/>
                <w:sz w:val="20"/>
                <w:szCs w:val="20"/>
              </w:rPr>
            </w:pPr>
            <w:r w:rsidRPr="0069083B">
              <w:rPr>
                <w:rFonts w:ascii="Arial" w:hAnsi="Arial" w:cs="Arial"/>
                <w:iCs/>
                <w:sz w:val="20"/>
                <w:szCs w:val="20"/>
              </w:rPr>
              <w:t xml:space="preserve">Sunquest Method Code: </w:t>
            </w:r>
            <w:r w:rsidR="00FA5B84" w:rsidRPr="0069083B">
              <w:rPr>
                <w:rFonts w:ascii="Arial" w:hAnsi="Arial" w:cs="Arial"/>
                <w:b/>
                <w:bCs/>
                <w:iCs/>
                <w:sz w:val="20"/>
                <w:szCs w:val="20"/>
              </w:rPr>
              <w:t>XL</w:t>
            </w:r>
          </w:p>
        </w:tc>
      </w:tr>
      <w:tr w:rsidR="00F80030" w:rsidRPr="0069083B" w:rsidTr="002818D9">
        <w:tblPrEx>
          <w:tblCellMar>
            <w:top w:w="0" w:type="dxa"/>
            <w:bottom w:w="0" w:type="dxa"/>
          </w:tblCellMar>
        </w:tblPrEx>
        <w:trPr>
          <w:gridAfter w:val="1"/>
          <w:wAfter w:w="360" w:type="dxa"/>
          <w:trHeight w:val="720"/>
          <w:tblHeader/>
        </w:trPr>
        <w:tc>
          <w:tcPr>
            <w:tcW w:w="1798" w:type="dxa"/>
            <w:tcBorders>
              <w:top w:val="nil"/>
              <w:left w:val="nil"/>
              <w:bottom w:val="nil"/>
              <w:right w:val="nil"/>
            </w:tcBorders>
          </w:tcPr>
          <w:p w:rsidR="00F80030" w:rsidRPr="0069083B" w:rsidRDefault="00F80030">
            <w:pPr>
              <w:jc w:val="left"/>
              <w:rPr>
                <w:rFonts w:ascii="Arial" w:hAnsi="Arial" w:cs="Arial"/>
                <w:b/>
                <w:bCs/>
                <w:color w:val="0000FF"/>
                <w:sz w:val="20"/>
                <w:szCs w:val="20"/>
              </w:rPr>
            </w:pPr>
          </w:p>
          <w:p w:rsidR="00F80030" w:rsidRPr="0069083B" w:rsidRDefault="00F80030">
            <w:pPr>
              <w:jc w:val="left"/>
              <w:rPr>
                <w:rFonts w:ascii="Arial" w:hAnsi="Arial" w:cs="Arial"/>
                <w:b/>
                <w:bCs/>
                <w:color w:val="0000FF"/>
                <w:sz w:val="20"/>
                <w:szCs w:val="20"/>
              </w:rPr>
            </w:pPr>
            <w:r w:rsidRPr="0069083B">
              <w:rPr>
                <w:rFonts w:ascii="Arial" w:hAnsi="Arial" w:cs="Arial"/>
                <w:b/>
                <w:bCs/>
                <w:color w:val="0000FF"/>
                <w:sz w:val="20"/>
                <w:szCs w:val="20"/>
              </w:rPr>
              <w:t>Sunquest Test Code</w:t>
            </w:r>
          </w:p>
        </w:tc>
        <w:tc>
          <w:tcPr>
            <w:tcW w:w="9182" w:type="dxa"/>
            <w:tcBorders>
              <w:top w:val="single" w:sz="18" w:space="0" w:color="BFBFBF"/>
              <w:left w:val="nil"/>
              <w:bottom w:val="single" w:sz="18" w:space="0" w:color="BFBFBF"/>
              <w:right w:val="nil"/>
            </w:tcBorders>
          </w:tcPr>
          <w:p w:rsidR="00F80030" w:rsidRPr="0069083B" w:rsidRDefault="00F80030">
            <w:pPr>
              <w:rPr>
                <w:rFonts w:ascii="Arial" w:hAnsi="Arial" w:cs="Arial"/>
                <w:sz w:val="20"/>
                <w:szCs w:val="20"/>
              </w:rPr>
            </w:pPr>
          </w:p>
          <w:p w:rsidR="00F80030" w:rsidRPr="0069083B" w:rsidRDefault="00F80030" w:rsidP="002B0613">
            <w:pPr>
              <w:rPr>
                <w:rFonts w:ascii="Arial" w:hAnsi="Arial" w:cs="Arial"/>
                <w:sz w:val="20"/>
                <w:szCs w:val="20"/>
              </w:rPr>
            </w:pPr>
            <w:r w:rsidRPr="0069083B">
              <w:rPr>
                <w:rFonts w:ascii="Arial" w:hAnsi="Arial" w:cs="Arial"/>
                <w:b/>
                <w:bCs/>
                <w:sz w:val="20"/>
                <w:szCs w:val="20"/>
              </w:rPr>
              <w:t>VZG</w:t>
            </w:r>
            <w:r w:rsidRPr="0069083B">
              <w:rPr>
                <w:rFonts w:ascii="Arial" w:hAnsi="Arial" w:cs="Arial"/>
                <w:sz w:val="20"/>
                <w:szCs w:val="20"/>
              </w:rPr>
              <w:t>: Varicella-zoster virus, IgG</w:t>
            </w:r>
          </w:p>
        </w:tc>
      </w:tr>
      <w:tr w:rsidR="00F80030" w:rsidRPr="0069083B" w:rsidTr="002818D9">
        <w:tblPrEx>
          <w:tblCellMar>
            <w:top w:w="0" w:type="dxa"/>
            <w:bottom w:w="0" w:type="dxa"/>
          </w:tblCellMar>
        </w:tblPrEx>
        <w:trPr>
          <w:gridAfter w:val="1"/>
          <w:wAfter w:w="360" w:type="dxa"/>
          <w:trHeight w:val="15"/>
          <w:tblHeader/>
        </w:trPr>
        <w:tc>
          <w:tcPr>
            <w:tcW w:w="1798" w:type="dxa"/>
            <w:tcBorders>
              <w:top w:val="nil"/>
              <w:left w:val="nil"/>
              <w:bottom w:val="nil"/>
              <w:right w:val="nil"/>
            </w:tcBorders>
          </w:tcPr>
          <w:p w:rsidR="00F80030" w:rsidRPr="0069083B" w:rsidRDefault="00F80030" w:rsidP="00F80030">
            <w:pPr>
              <w:jc w:val="left"/>
              <w:rPr>
                <w:rFonts w:ascii="Arial" w:hAnsi="Arial" w:cs="Arial"/>
                <w:b/>
                <w:bCs/>
                <w:color w:val="0000FF"/>
                <w:sz w:val="20"/>
                <w:szCs w:val="20"/>
              </w:rPr>
            </w:pPr>
          </w:p>
        </w:tc>
        <w:tc>
          <w:tcPr>
            <w:tcW w:w="9182" w:type="dxa"/>
            <w:tcBorders>
              <w:top w:val="single" w:sz="18" w:space="0" w:color="BFBFBF"/>
              <w:left w:val="nil"/>
              <w:bottom w:val="nil"/>
              <w:right w:val="nil"/>
            </w:tcBorders>
          </w:tcPr>
          <w:p w:rsidR="00F80030" w:rsidRPr="0069083B" w:rsidRDefault="00F80030" w:rsidP="00F80030">
            <w:pPr>
              <w:rPr>
                <w:rFonts w:ascii="Arial" w:hAnsi="Arial" w:cs="Arial"/>
                <w:sz w:val="20"/>
                <w:szCs w:val="20"/>
              </w:rPr>
            </w:pPr>
          </w:p>
        </w:tc>
      </w:tr>
      <w:tr w:rsidR="007653AF" w:rsidRPr="0069083B" w:rsidTr="002818D9">
        <w:tblPrEx>
          <w:tblCellMar>
            <w:top w:w="0" w:type="dxa"/>
            <w:bottom w:w="0" w:type="dxa"/>
          </w:tblCellMar>
        </w:tblPrEx>
        <w:trPr>
          <w:cantSplit/>
          <w:trHeight w:val="6074"/>
        </w:trPr>
        <w:tc>
          <w:tcPr>
            <w:tcW w:w="1798" w:type="dxa"/>
            <w:tcBorders>
              <w:top w:val="nil"/>
              <w:left w:val="nil"/>
              <w:bottom w:val="nil"/>
              <w:right w:val="nil"/>
            </w:tcBorders>
          </w:tcPr>
          <w:p w:rsidR="007653AF" w:rsidRPr="0069083B" w:rsidRDefault="007653AF" w:rsidP="00013BC5">
            <w:pPr>
              <w:jc w:val="left"/>
              <w:rPr>
                <w:rFonts w:ascii="Arial" w:hAnsi="Arial" w:cs="Arial"/>
                <w:b/>
                <w:bCs/>
                <w:color w:val="0000FF"/>
                <w:sz w:val="20"/>
                <w:szCs w:val="20"/>
              </w:rPr>
            </w:pPr>
          </w:p>
          <w:p w:rsidR="007653AF" w:rsidRPr="0069083B" w:rsidRDefault="007653AF" w:rsidP="00013BC5">
            <w:pPr>
              <w:jc w:val="left"/>
              <w:rPr>
                <w:rFonts w:ascii="Arial" w:hAnsi="Arial" w:cs="Arial"/>
                <w:b/>
                <w:bCs/>
                <w:color w:val="0000FF"/>
                <w:sz w:val="20"/>
                <w:szCs w:val="20"/>
              </w:rPr>
            </w:pPr>
            <w:r w:rsidRPr="0069083B">
              <w:rPr>
                <w:rFonts w:ascii="Arial" w:hAnsi="Arial" w:cs="Arial"/>
                <w:b/>
                <w:bCs/>
                <w:color w:val="0000FF"/>
                <w:sz w:val="20"/>
                <w:szCs w:val="20"/>
              </w:rPr>
              <w:t>Sample</w:t>
            </w:r>
          </w:p>
        </w:tc>
        <w:tc>
          <w:tcPr>
            <w:tcW w:w="9542" w:type="dxa"/>
            <w:gridSpan w:val="2"/>
            <w:tcBorders>
              <w:top w:val="single" w:sz="18" w:space="0" w:color="BFBFBF"/>
              <w:left w:val="nil"/>
              <w:bottom w:val="single" w:sz="18" w:space="0" w:color="BFBFBF"/>
              <w:right w:val="nil"/>
            </w:tcBorders>
            <w:vAlign w:val="center"/>
          </w:tcPr>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Cs w:val="0"/>
                <w:sz w:val="20"/>
                <w:szCs w:val="20"/>
              </w:rPr>
              <w:t>Serum</w:t>
            </w:r>
            <w:r w:rsidRPr="0069083B">
              <w:rPr>
                <w:rFonts w:ascii="Arial" w:hAnsi="Arial"/>
                <w:b w:val="0"/>
                <w:sz w:val="20"/>
                <w:szCs w:val="20"/>
              </w:rPr>
              <w:t xml:space="preserve"> is the only acceptable specimen for this assay collected aseptically by venipuncture. </w:t>
            </w:r>
            <w:r w:rsidR="0096526D" w:rsidRPr="0069083B">
              <w:rPr>
                <w:rFonts w:ascii="Arial" w:hAnsi="Arial"/>
                <w:b w:val="0"/>
                <w:sz w:val="20"/>
                <w:szCs w:val="20"/>
              </w:rPr>
              <w:t xml:space="preserve"> </w:t>
            </w:r>
            <w:r w:rsidRPr="0069083B">
              <w:rPr>
                <w:rFonts w:ascii="Arial" w:hAnsi="Arial"/>
                <w:b w:val="0"/>
                <w:sz w:val="20"/>
                <w:szCs w:val="20"/>
              </w:rPr>
              <w:t>Refer to specimen collection procedures.</w:t>
            </w:r>
          </w:p>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 w:val="0"/>
                <w:sz w:val="20"/>
                <w:szCs w:val="20"/>
              </w:rPr>
              <w:t>Grossly hemolyzed, lipemic or particulate samples are not recommended</w:t>
            </w:r>
          </w:p>
          <w:p w:rsidR="007653AF" w:rsidRPr="0069083B" w:rsidRDefault="007653AF" w:rsidP="00E24573">
            <w:pPr>
              <w:pStyle w:val="Heading2"/>
              <w:numPr>
                <w:ilvl w:val="0"/>
                <w:numId w:val="0"/>
              </w:numPr>
              <w:jc w:val="left"/>
              <w:rPr>
                <w:rFonts w:ascii="Arial" w:hAnsi="Arial"/>
                <w:b w:val="0"/>
                <w:sz w:val="20"/>
                <w:szCs w:val="20"/>
              </w:rPr>
            </w:pPr>
          </w:p>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Cs w:val="0"/>
                <w:sz w:val="20"/>
                <w:szCs w:val="20"/>
              </w:rPr>
              <w:t xml:space="preserve">Minimum </w:t>
            </w:r>
            <w:r w:rsidR="0096526D" w:rsidRPr="0069083B">
              <w:rPr>
                <w:rFonts w:ascii="Arial" w:hAnsi="Arial"/>
                <w:bCs w:val="0"/>
                <w:sz w:val="20"/>
                <w:szCs w:val="20"/>
              </w:rPr>
              <w:t xml:space="preserve">sample </w:t>
            </w:r>
            <w:r w:rsidRPr="0069083B">
              <w:rPr>
                <w:rFonts w:ascii="Arial" w:hAnsi="Arial"/>
                <w:bCs w:val="0"/>
                <w:sz w:val="20"/>
                <w:szCs w:val="20"/>
              </w:rPr>
              <w:t>volume</w:t>
            </w:r>
            <w:r w:rsidR="0056799D" w:rsidRPr="0069083B">
              <w:rPr>
                <w:rFonts w:ascii="Arial" w:hAnsi="Arial"/>
                <w:b w:val="0"/>
                <w:sz w:val="20"/>
                <w:szCs w:val="20"/>
              </w:rPr>
              <w:t>: 200</w:t>
            </w:r>
            <w:r w:rsidRPr="0069083B">
              <w:rPr>
                <w:rFonts w:ascii="Arial" w:hAnsi="Arial"/>
                <w:b w:val="0"/>
                <w:sz w:val="20"/>
                <w:szCs w:val="20"/>
              </w:rPr>
              <w:t xml:space="preserve"> </w:t>
            </w:r>
            <w:r w:rsidRPr="0069083B">
              <w:rPr>
                <w:rFonts w:ascii="Arial" w:hAnsi="Arial"/>
                <w:b w:val="0"/>
                <w:sz w:val="20"/>
                <w:szCs w:val="20"/>
              </w:rPr>
              <w:sym w:font="Symbol" w:char="F06D"/>
            </w:r>
            <w:r w:rsidRPr="0069083B">
              <w:rPr>
                <w:rFonts w:ascii="Arial" w:hAnsi="Arial"/>
                <w:b w:val="0"/>
                <w:sz w:val="20"/>
                <w:szCs w:val="20"/>
              </w:rPr>
              <w:t xml:space="preserve">L, actual test sample volume, 20 </w:t>
            </w:r>
            <w:r w:rsidRPr="0069083B">
              <w:rPr>
                <w:rFonts w:ascii="Arial" w:hAnsi="Arial"/>
                <w:b w:val="0"/>
                <w:sz w:val="20"/>
                <w:szCs w:val="20"/>
              </w:rPr>
              <w:sym w:font="Symbol" w:char="F06D"/>
            </w:r>
            <w:r w:rsidRPr="0069083B">
              <w:rPr>
                <w:rFonts w:ascii="Arial" w:hAnsi="Arial"/>
                <w:b w:val="0"/>
                <w:sz w:val="20"/>
                <w:szCs w:val="20"/>
              </w:rPr>
              <w:t>L</w:t>
            </w:r>
          </w:p>
          <w:p w:rsidR="007653AF" w:rsidRPr="0069083B" w:rsidRDefault="007653AF" w:rsidP="00E24573">
            <w:pPr>
              <w:pStyle w:val="Heading2"/>
              <w:numPr>
                <w:ilvl w:val="0"/>
                <w:numId w:val="0"/>
              </w:numPr>
              <w:jc w:val="left"/>
              <w:rPr>
                <w:rFonts w:ascii="Arial" w:hAnsi="Arial"/>
                <w:b w:val="0"/>
                <w:sz w:val="20"/>
                <w:szCs w:val="20"/>
              </w:rPr>
            </w:pPr>
          </w:p>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Cs w:val="0"/>
                <w:sz w:val="20"/>
                <w:szCs w:val="20"/>
              </w:rPr>
              <w:t>Stability</w:t>
            </w:r>
            <w:r w:rsidRPr="0069083B">
              <w:rPr>
                <w:rFonts w:ascii="Arial" w:hAnsi="Arial"/>
                <w:b w:val="0"/>
                <w:sz w:val="20"/>
                <w:szCs w:val="20"/>
              </w:rPr>
              <w:t xml:space="preserve">: 2-8 </w:t>
            </w:r>
            <w:r w:rsidRPr="0069083B">
              <w:rPr>
                <w:rFonts w:ascii="Arial" w:hAnsi="Arial"/>
                <w:b w:val="0"/>
                <w:sz w:val="20"/>
                <w:szCs w:val="20"/>
              </w:rPr>
              <w:sym w:font="Symbol" w:char="F0B0"/>
            </w:r>
            <w:r w:rsidRPr="0069083B">
              <w:rPr>
                <w:rFonts w:ascii="Arial" w:hAnsi="Arial"/>
                <w:b w:val="0"/>
                <w:sz w:val="20"/>
                <w:szCs w:val="20"/>
              </w:rPr>
              <w:t xml:space="preserve">C / 7 days, </w:t>
            </w:r>
            <w:r w:rsidR="0056799D" w:rsidRPr="0069083B">
              <w:rPr>
                <w:rFonts w:ascii="Arial" w:hAnsi="Arial"/>
                <w:b w:val="0"/>
                <w:sz w:val="20"/>
                <w:szCs w:val="20"/>
              </w:rPr>
              <w:t>30</w:t>
            </w:r>
            <w:r w:rsidRPr="0069083B">
              <w:rPr>
                <w:rFonts w:ascii="Arial" w:hAnsi="Arial"/>
                <w:b w:val="0"/>
                <w:sz w:val="20"/>
                <w:szCs w:val="20"/>
              </w:rPr>
              <w:t xml:space="preserve"> days at -20 ºC or colder</w:t>
            </w:r>
          </w:p>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 w:val="0"/>
                <w:sz w:val="20"/>
                <w:szCs w:val="20"/>
              </w:rPr>
              <w:t>Do not store in self-defrosting freezer.</w:t>
            </w:r>
          </w:p>
          <w:p w:rsidR="007653AF" w:rsidRPr="0069083B" w:rsidRDefault="007653AF" w:rsidP="00E24573">
            <w:pPr>
              <w:jc w:val="left"/>
              <w:rPr>
                <w:rFonts w:ascii="Arial" w:hAnsi="Arial" w:cs="Arial"/>
                <w:sz w:val="20"/>
                <w:szCs w:val="20"/>
              </w:rPr>
            </w:pPr>
            <w:r w:rsidRPr="0069083B">
              <w:rPr>
                <w:rFonts w:ascii="Arial" w:hAnsi="Arial" w:cs="Arial"/>
                <w:sz w:val="20"/>
                <w:szCs w:val="20"/>
              </w:rPr>
              <w:t>Avoid repeated freeze thaw cycles, however</w:t>
            </w:r>
            <w:r w:rsidR="0096526D" w:rsidRPr="0069083B">
              <w:rPr>
                <w:rFonts w:ascii="Arial" w:hAnsi="Arial" w:cs="Arial"/>
                <w:sz w:val="20"/>
                <w:szCs w:val="20"/>
              </w:rPr>
              <w:t>,</w:t>
            </w:r>
            <w:r w:rsidRPr="0069083B">
              <w:rPr>
                <w:rFonts w:ascii="Arial" w:hAnsi="Arial" w:cs="Arial"/>
                <w:sz w:val="20"/>
                <w:szCs w:val="20"/>
              </w:rPr>
              <w:t xml:space="preserve"> samples demonstrate no significant difference with up to five freeze-thaw cycles.</w:t>
            </w:r>
          </w:p>
          <w:p w:rsidR="007653AF" w:rsidRPr="0069083B" w:rsidRDefault="007653AF" w:rsidP="00E24573">
            <w:pPr>
              <w:jc w:val="left"/>
              <w:rPr>
                <w:rFonts w:ascii="Arial" w:hAnsi="Arial" w:cs="Arial"/>
                <w:sz w:val="20"/>
                <w:szCs w:val="20"/>
              </w:rPr>
            </w:pPr>
            <w:r w:rsidRPr="0069083B">
              <w:rPr>
                <w:rFonts w:ascii="Arial" w:hAnsi="Arial" w:cs="Arial"/>
                <w:sz w:val="20"/>
                <w:szCs w:val="20"/>
              </w:rPr>
              <w:t>Mix thawed samples prior to testing</w:t>
            </w:r>
            <w:r w:rsidR="0096526D" w:rsidRPr="0069083B">
              <w:rPr>
                <w:rFonts w:ascii="Arial" w:hAnsi="Arial" w:cs="Arial"/>
                <w:sz w:val="20"/>
                <w:szCs w:val="20"/>
              </w:rPr>
              <w:t>.</w:t>
            </w:r>
          </w:p>
          <w:p w:rsidR="007653AF" w:rsidRPr="0069083B" w:rsidRDefault="007653AF" w:rsidP="00E24573">
            <w:pPr>
              <w:pStyle w:val="Heading2"/>
              <w:numPr>
                <w:ilvl w:val="0"/>
                <w:numId w:val="0"/>
              </w:numPr>
              <w:jc w:val="left"/>
              <w:rPr>
                <w:rFonts w:ascii="Arial" w:hAnsi="Arial"/>
                <w:b w:val="0"/>
                <w:sz w:val="20"/>
                <w:szCs w:val="20"/>
              </w:rPr>
            </w:pPr>
          </w:p>
          <w:p w:rsidR="007653AF" w:rsidRPr="0069083B" w:rsidRDefault="007653AF" w:rsidP="00E24573">
            <w:pPr>
              <w:pStyle w:val="Heading2"/>
              <w:numPr>
                <w:ilvl w:val="0"/>
                <w:numId w:val="0"/>
              </w:numPr>
              <w:jc w:val="left"/>
              <w:rPr>
                <w:rFonts w:ascii="Arial" w:hAnsi="Arial"/>
                <w:b w:val="0"/>
                <w:sz w:val="20"/>
                <w:szCs w:val="20"/>
              </w:rPr>
            </w:pPr>
            <w:r w:rsidRPr="0069083B">
              <w:rPr>
                <w:rFonts w:ascii="Arial" w:hAnsi="Arial"/>
                <w:bCs w:val="0"/>
                <w:sz w:val="20"/>
                <w:szCs w:val="20"/>
              </w:rPr>
              <w:t>Rejection criteria</w:t>
            </w:r>
            <w:r w:rsidRPr="0069083B">
              <w:rPr>
                <w:rFonts w:ascii="Arial" w:hAnsi="Arial"/>
                <w:b w:val="0"/>
                <w:sz w:val="20"/>
                <w:szCs w:val="20"/>
              </w:rPr>
              <w:t>: Unlabeled tube</w:t>
            </w:r>
          </w:p>
          <w:p w:rsidR="007653AF" w:rsidRPr="0069083B" w:rsidRDefault="007653AF" w:rsidP="00E24573">
            <w:pPr>
              <w:pStyle w:val="Heading2"/>
              <w:numPr>
                <w:ilvl w:val="0"/>
                <w:numId w:val="0"/>
              </w:numPr>
              <w:jc w:val="left"/>
              <w:rPr>
                <w:rFonts w:ascii="Arial" w:hAnsi="Arial"/>
                <w:b w:val="0"/>
                <w:sz w:val="20"/>
                <w:szCs w:val="20"/>
              </w:rPr>
            </w:pPr>
          </w:p>
          <w:p w:rsidR="007653AF" w:rsidRPr="0069083B" w:rsidRDefault="007653AF" w:rsidP="00E24573">
            <w:pPr>
              <w:pStyle w:val="Heading2"/>
              <w:numPr>
                <w:ilvl w:val="0"/>
                <w:numId w:val="0"/>
              </w:numPr>
              <w:jc w:val="left"/>
              <w:rPr>
                <w:rFonts w:ascii="Arial" w:hAnsi="Arial"/>
                <w:bCs w:val="0"/>
                <w:sz w:val="20"/>
                <w:szCs w:val="20"/>
              </w:rPr>
            </w:pPr>
            <w:r w:rsidRPr="0069083B">
              <w:rPr>
                <w:rFonts w:ascii="Arial" w:hAnsi="Arial"/>
                <w:bCs w:val="0"/>
                <w:sz w:val="20"/>
                <w:szCs w:val="20"/>
              </w:rPr>
              <w:t>Preparation:</w:t>
            </w:r>
          </w:p>
          <w:p w:rsidR="007653AF" w:rsidRPr="0069083B" w:rsidRDefault="007653AF" w:rsidP="00E24573">
            <w:pPr>
              <w:pStyle w:val="Default"/>
              <w:numPr>
                <w:ilvl w:val="0"/>
                <w:numId w:val="18"/>
              </w:numPr>
              <w:rPr>
                <w:sz w:val="20"/>
                <w:szCs w:val="20"/>
              </w:rPr>
            </w:pPr>
            <w:r w:rsidRPr="0069083B">
              <w:rPr>
                <w:sz w:val="20"/>
                <w:szCs w:val="20"/>
              </w:rPr>
              <w:t xml:space="preserve">Whole blood specimens should be centrifuged following complete clot formation, according to Specimen Processing procedures. </w:t>
            </w:r>
          </w:p>
          <w:p w:rsidR="007653AF" w:rsidRPr="0069083B" w:rsidRDefault="007653AF" w:rsidP="00E24573">
            <w:pPr>
              <w:pStyle w:val="Default"/>
              <w:numPr>
                <w:ilvl w:val="0"/>
                <w:numId w:val="18"/>
              </w:numPr>
              <w:rPr>
                <w:sz w:val="20"/>
                <w:szCs w:val="20"/>
              </w:rPr>
            </w:pPr>
            <w:r w:rsidRPr="0069083B">
              <w:rPr>
                <w:sz w:val="20"/>
                <w:szCs w:val="20"/>
              </w:rPr>
              <w:t xml:space="preserve">Serum or plasma should be physically separated from cells as soon as possible with a maximum limit of two hours from the time of collection. </w:t>
            </w:r>
          </w:p>
          <w:p w:rsidR="007653AF" w:rsidRPr="0069083B" w:rsidRDefault="007653AF" w:rsidP="00E24573">
            <w:pPr>
              <w:pStyle w:val="Default"/>
              <w:numPr>
                <w:ilvl w:val="0"/>
                <w:numId w:val="18"/>
              </w:numPr>
              <w:rPr>
                <w:sz w:val="20"/>
                <w:szCs w:val="20"/>
              </w:rPr>
            </w:pPr>
            <w:r w:rsidRPr="0069083B">
              <w:rPr>
                <w:sz w:val="20"/>
                <w:szCs w:val="20"/>
              </w:rPr>
              <w:t xml:space="preserve">Lipemic samples should be ultrafuged. </w:t>
            </w:r>
          </w:p>
          <w:p w:rsidR="007653AF" w:rsidRPr="0069083B" w:rsidRDefault="007653AF" w:rsidP="00E24573">
            <w:pPr>
              <w:pStyle w:val="Default"/>
              <w:numPr>
                <w:ilvl w:val="0"/>
                <w:numId w:val="18"/>
              </w:numPr>
              <w:rPr>
                <w:sz w:val="20"/>
                <w:szCs w:val="20"/>
              </w:rPr>
            </w:pPr>
            <w:r w:rsidRPr="0069083B">
              <w:rPr>
                <w:sz w:val="20"/>
                <w:szCs w:val="20"/>
              </w:rPr>
              <w:t xml:space="preserve">Specimens should be free of particulate matter. </w:t>
            </w:r>
          </w:p>
          <w:p w:rsidR="007653AF" w:rsidRPr="0069083B" w:rsidRDefault="007653AF" w:rsidP="00E24573">
            <w:pPr>
              <w:pStyle w:val="Default"/>
              <w:numPr>
                <w:ilvl w:val="0"/>
                <w:numId w:val="18"/>
              </w:numPr>
              <w:rPr>
                <w:sz w:val="20"/>
                <w:szCs w:val="20"/>
              </w:rPr>
            </w:pPr>
            <w:r w:rsidRPr="0069083B">
              <w:rPr>
                <w:sz w:val="20"/>
                <w:szCs w:val="20"/>
              </w:rPr>
              <w:t xml:space="preserve">Transfer serum/ plasma or prepared urine to a properly labeled aliquot tube. Minimum labeling includes sample accession ID, and/ or patient name, medical record number, collection date and time. </w:t>
            </w:r>
          </w:p>
        </w:tc>
      </w:tr>
      <w:tr w:rsidR="00E24573" w:rsidRPr="0069083B" w:rsidTr="002818D9">
        <w:tblPrEx>
          <w:tblCellMar>
            <w:top w:w="0" w:type="dxa"/>
            <w:bottom w:w="0" w:type="dxa"/>
          </w:tblCellMar>
        </w:tblPrEx>
        <w:trPr>
          <w:cantSplit/>
          <w:trHeight w:val="7335"/>
        </w:trPr>
        <w:tc>
          <w:tcPr>
            <w:tcW w:w="1798" w:type="dxa"/>
            <w:tcBorders>
              <w:top w:val="nil"/>
              <w:left w:val="nil"/>
              <w:bottom w:val="nil"/>
              <w:right w:val="nil"/>
            </w:tcBorders>
          </w:tcPr>
          <w:p w:rsidR="00E24573" w:rsidRPr="0069083B" w:rsidRDefault="00E24573" w:rsidP="00013BC5">
            <w:pPr>
              <w:jc w:val="left"/>
              <w:rPr>
                <w:rFonts w:ascii="Arial" w:hAnsi="Arial" w:cs="Arial"/>
                <w:b/>
                <w:bCs/>
                <w:color w:val="0000FF"/>
                <w:sz w:val="20"/>
                <w:szCs w:val="20"/>
              </w:rPr>
            </w:pPr>
          </w:p>
          <w:p w:rsidR="00E24573" w:rsidRPr="0069083B" w:rsidRDefault="00E24573" w:rsidP="00013BC5">
            <w:pPr>
              <w:jc w:val="left"/>
              <w:rPr>
                <w:rFonts w:ascii="Arial" w:hAnsi="Arial" w:cs="Arial"/>
                <w:b/>
                <w:bCs/>
                <w:color w:val="0000FF"/>
                <w:sz w:val="20"/>
                <w:szCs w:val="20"/>
              </w:rPr>
            </w:pPr>
            <w:r w:rsidRPr="0069083B">
              <w:rPr>
                <w:rFonts w:ascii="Arial" w:hAnsi="Arial" w:cs="Arial"/>
                <w:b/>
                <w:bCs/>
                <w:color w:val="0000FF"/>
                <w:sz w:val="20"/>
                <w:szCs w:val="20"/>
              </w:rPr>
              <w:t>Reagents</w:t>
            </w:r>
          </w:p>
        </w:tc>
        <w:tc>
          <w:tcPr>
            <w:tcW w:w="9542" w:type="dxa"/>
            <w:gridSpan w:val="2"/>
            <w:tcBorders>
              <w:top w:val="single" w:sz="18" w:space="0" w:color="BFBFBF"/>
              <w:left w:val="nil"/>
              <w:bottom w:val="single" w:sz="18" w:space="0" w:color="BFBFBF"/>
              <w:right w:val="nil"/>
            </w:tcBorders>
            <w:vAlign w:val="center"/>
          </w:tcPr>
          <w:p w:rsidR="00E24573" w:rsidRPr="0069083B" w:rsidRDefault="00E24573" w:rsidP="00E24573">
            <w:pPr>
              <w:pStyle w:val="Heading2"/>
              <w:numPr>
                <w:ilvl w:val="0"/>
                <w:numId w:val="0"/>
              </w:numPr>
              <w:jc w:val="left"/>
              <w:rPr>
                <w:rFonts w:ascii="Arial" w:hAnsi="Arial"/>
                <w:b w:val="0"/>
                <w:bCs w:val="0"/>
                <w:sz w:val="20"/>
                <w:szCs w:val="20"/>
              </w:rPr>
            </w:pPr>
            <w:r w:rsidRPr="0069083B">
              <w:rPr>
                <w:rFonts w:ascii="Arial" w:hAnsi="Arial"/>
                <w:bCs w:val="0"/>
                <w:sz w:val="20"/>
                <w:szCs w:val="20"/>
              </w:rPr>
              <w:t>LIAISON</w:t>
            </w:r>
            <w:r w:rsidRPr="0069083B">
              <w:rPr>
                <w:rFonts w:ascii="Arial" w:hAnsi="Arial"/>
                <w:sz w:val="20"/>
                <w:szCs w:val="20"/>
              </w:rPr>
              <w:t xml:space="preserve">® </w:t>
            </w:r>
            <w:r w:rsidRPr="0069083B">
              <w:rPr>
                <w:rFonts w:ascii="Arial" w:hAnsi="Arial"/>
                <w:bCs w:val="0"/>
                <w:sz w:val="20"/>
                <w:szCs w:val="20"/>
              </w:rPr>
              <w:t>VZV IgG (310495) Integral</w:t>
            </w:r>
            <w:r w:rsidRPr="0069083B">
              <w:rPr>
                <w:rFonts w:ascii="Arial" w:hAnsi="Arial"/>
                <w:b w:val="0"/>
                <w:bCs w:val="0"/>
                <w:sz w:val="20"/>
                <w:szCs w:val="20"/>
              </w:rPr>
              <w:t>, (100 tests) supplied ready to use</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260"/>
              <w:gridCol w:w="6205"/>
            </w:tblGrid>
            <w:tr w:rsidR="00E24573" w:rsidRPr="0069083B" w:rsidTr="00E24573">
              <w:trPr>
                <w:trHeight w:val="827"/>
              </w:trPr>
              <w:tc>
                <w:tcPr>
                  <w:tcW w:w="1874"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Magnetic particles</w:t>
                  </w:r>
                </w:p>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(2.5 mL)</w:t>
                  </w:r>
                </w:p>
                <w:p w:rsidR="00E24573" w:rsidRPr="0069083B" w:rsidRDefault="00E24573" w:rsidP="0056799D">
                  <w:pPr>
                    <w:pStyle w:val="Heading2"/>
                    <w:numPr>
                      <w:ilvl w:val="0"/>
                      <w:numId w:val="0"/>
                    </w:numPr>
                    <w:jc w:val="left"/>
                    <w:rPr>
                      <w:rFonts w:ascii="Arial" w:hAnsi="Arial"/>
                      <w:b w:val="0"/>
                      <w:sz w:val="20"/>
                      <w:szCs w:val="20"/>
                    </w:rPr>
                  </w:pPr>
                </w:p>
              </w:tc>
              <w:tc>
                <w:tcPr>
                  <w:tcW w:w="1260"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[SORB]</w:t>
                  </w:r>
                </w:p>
              </w:tc>
              <w:tc>
                <w:tcPr>
                  <w:tcW w:w="6205" w:type="dxa"/>
                  <w:vAlign w:val="center"/>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 xml:space="preserve">Magnetic particles coated with varicella-zoster virus antigen (partially purified extract of infected cell cultures, ROD strain), BSA, PBS buffer, </w:t>
                  </w:r>
                  <w:proofErr w:type="spellStart"/>
                  <w:r w:rsidRPr="0069083B">
                    <w:rPr>
                      <w:rFonts w:ascii="Arial" w:hAnsi="Arial"/>
                      <w:b w:val="0"/>
                      <w:sz w:val="20"/>
                      <w:szCs w:val="20"/>
                    </w:rPr>
                    <w:t>methylthiazolone</w:t>
                  </w:r>
                  <w:proofErr w:type="spellEnd"/>
                  <w:r w:rsidRPr="0069083B">
                    <w:rPr>
                      <w:rFonts w:ascii="Arial" w:hAnsi="Arial"/>
                      <w:b w:val="0"/>
                      <w:sz w:val="20"/>
                      <w:szCs w:val="20"/>
                    </w:rPr>
                    <w:t xml:space="preserve"> and </w:t>
                  </w:r>
                  <w:proofErr w:type="spellStart"/>
                  <w:r w:rsidRPr="0069083B">
                    <w:rPr>
                      <w:rFonts w:ascii="Arial" w:hAnsi="Arial"/>
                      <w:b w:val="0"/>
                      <w:sz w:val="20"/>
                      <w:szCs w:val="20"/>
                    </w:rPr>
                    <w:t>bromonitro-dioxane</w:t>
                  </w:r>
                  <w:proofErr w:type="spellEnd"/>
                  <w:r w:rsidRPr="0069083B">
                    <w:rPr>
                      <w:rFonts w:ascii="Arial" w:hAnsi="Arial"/>
                      <w:b w:val="0"/>
                      <w:sz w:val="20"/>
                      <w:szCs w:val="20"/>
                    </w:rPr>
                    <w:t>.</w:t>
                  </w:r>
                </w:p>
              </w:tc>
            </w:tr>
            <w:tr w:rsidR="00E24573" w:rsidRPr="0069083B" w:rsidTr="00E24573">
              <w:trPr>
                <w:trHeight w:val="980"/>
              </w:trPr>
              <w:tc>
                <w:tcPr>
                  <w:tcW w:w="1874"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Calibrator 1</w:t>
                  </w:r>
                </w:p>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(2.7 mL)</w:t>
                  </w:r>
                </w:p>
                <w:p w:rsidR="00E24573" w:rsidRPr="0069083B" w:rsidRDefault="00E24573" w:rsidP="0056799D">
                  <w:pPr>
                    <w:pStyle w:val="Heading2"/>
                    <w:numPr>
                      <w:ilvl w:val="0"/>
                      <w:numId w:val="0"/>
                    </w:numPr>
                    <w:jc w:val="left"/>
                    <w:rPr>
                      <w:rFonts w:ascii="Arial" w:hAnsi="Arial"/>
                      <w:b w:val="0"/>
                      <w:sz w:val="20"/>
                      <w:szCs w:val="20"/>
                    </w:rPr>
                  </w:pPr>
                </w:p>
              </w:tc>
              <w:tc>
                <w:tcPr>
                  <w:tcW w:w="1260"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[CAL|1]</w:t>
                  </w:r>
                </w:p>
              </w:tc>
              <w:tc>
                <w:tcPr>
                  <w:tcW w:w="6205" w:type="dxa"/>
                  <w:vAlign w:val="center"/>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 xml:space="preserve">Human serum or </w:t>
                  </w:r>
                  <w:proofErr w:type="spellStart"/>
                  <w:r w:rsidRPr="0069083B">
                    <w:rPr>
                      <w:rFonts w:ascii="Arial" w:hAnsi="Arial"/>
                      <w:b w:val="0"/>
                      <w:sz w:val="20"/>
                      <w:szCs w:val="20"/>
                    </w:rPr>
                    <w:t>defibrinated</w:t>
                  </w:r>
                  <w:proofErr w:type="spellEnd"/>
                  <w:r w:rsidRPr="0069083B">
                    <w:rPr>
                      <w:rFonts w:ascii="Arial" w:hAnsi="Arial"/>
                      <w:b w:val="0"/>
                      <w:sz w:val="20"/>
                      <w:szCs w:val="20"/>
                    </w:rPr>
                    <w:t xml:space="preserve"> plasma containing low varicella-zoster virus IgG levels, BSA, phosphate buffer, ProClin® 300 as a preservative, and an inert yellow dye. The calibrator concentration (Index) is referenced to the WHO 1st International Standard Preparation, 1987 (W1044).</w:t>
                  </w:r>
                </w:p>
              </w:tc>
            </w:tr>
            <w:tr w:rsidR="00E24573" w:rsidRPr="0069083B" w:rsidTr="00E24573">
              <w:trPr>
                <w:trHeight w:val="980"/>
              </w:trPr>
              <w:tc>
                <w:tcPr>
                  <w:tcW w:w="1874"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Calibrator 2</w:t>
                  </w:r>
                </w:p>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(2.7 mL)</w:t>
                  </w:r>
                </w:p>
                <w:p w:rsidR="00E24573" w:rsidRPr="0069083B" w:rsidRDefault="00E24573" w:rsidP="0056799D">
                  <w:pPr>
                    <w:pStyle w:val="Heading2"/>
                    <w:numPr>
                      <w:ilvl w:val="0"/>
                      <w:numId w:val="0"/>
                    </w:numPr>
                    <w:jc w:val="left"/>
                    <w:rPr>
                      <w:rFonts w:ascii="Arial" w:hAnsi="Arial"/>
                      <w:b w:val="0"/>
                      <w:sz w:val="20"/>
                      <w:szCs w:val="20"/>
                    </w:rPr>
                  </w:pPr>
                </w:p>
              </w:tc>
              <w:tc>
                <w:tcPr>
                  <w:tcW w:w="1260"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[CAL|2]</w:t>
                  </w:r>
                </w:p>
              </w:tc>
              <w:tc>
                <w:tcPr>
                  <w:tcW w:w="6205" w:type="dxa"/>
                  <w:vAlign w:val="center"/>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 xml:space="preserve">Human serum or </w:t>
                  </w:r>
                  <w:proofErr w:type="spellStart"/>
                  <w:r w:rsidRPr="0069083B">
                    <w:rPr>
                      <w:rFonts w:ascii="Arial" w:hAnsi="Arial"/>
                      <w:b w:val="0"/>
                      <w:sz w:val="20"/>
                      <w:szCs w:val="20"/>
                    </w:rPr>
                    <w:t>defibrinated</w:t>
                  </w:r>
                  <w:proofErr w:type="spellEnd"/>
                  <w:r w:rsidRPr="0069083B">
                    <w:rPr>
                      <w:rFonts w:ascii="Arial" w:hAnsi="Arial"/>
                      <w:b w:val="0"/>
                      <w:sz w:val="20"/>
                      <w:szCs w:val="20"/>
                    </w:rPr>
                    <w:t xml:space="preserve"> plasma containing low varicella-zoster virus IgG levels, BSA, phosphate buffer, ProClin® 300 as a preservative, and an inert yellow dye. The calibrator concentration (Index) is referenced to the WHO 1st International Standard Preparation, 1987 (W1044).</w:t>
                  </w:r>
                </w:p>
              </w:tc>
            </w:tr>
            <w:tr w:rsidR="00E24573" w:rsidRPr="0069083B" w:rsidTr="00E24573">
              <w:tc>
                <w:tcPr>
                  <w:tcW w:w="1874"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Specimen diluent</w:t>
                  </w:r>
                </w:p>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(28 mL)</w:t>
                  </w:r>
                </w:p>
                <w:p w:rsidR="00E24573" w:rsidRPr="0069083B" w:rsidRDefault="00E24573" w:rsidP="0056799D">
                  <w:pPr>
                    <w:pStyle w:val="Heading2"/>
                    <w:numPr>
                      <w:ilvl w:val="0"/>
                      <w:numId w:val="0"/>
                    </w:numPr>
                    <w:jc w:val="left"/>
                    <w:rPr>
                      <w:rFonts w:ascii="Arial" w:hAnsi="Arial"/>
                      <w:b w:val="0"/>
                      <w:sz w:val="20"/>
                      <w:szCs w:val="20"/>
                    </w:rPr>
                  </w:pPr>
                </w:p>
              </w:tc>
              <w:tc>
                <w:tcPr>
                  <w:tcW w:w="1260"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[DIL|SPE]</w:t>
                  </w:r>
                </w:p>
              </w:tc>
              <w:tc>
                <w:tcPr>
                  <w:tcW w:w="6205" w:type="dxa"/>
                  <w:vAlign w:val="center"/>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BSA, phosphate buffer, ProClin® 300 as a preservative, and an inert yellow dye.</w:t>
                  </w:r>
                </w:p>
              </w:tc>
            </w:tr>
            <w:tr w:rsidR="00E24573" w:rsidRPr="0069083B" w:rsidTr="00E24573">
              <w:trPr>
                <w:trHeight w:val="845"/>
              </w:trPr>
              <w:tc>
                <w:tcPr>
                  <w:tcW w:w="1874"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Conjugate</w:t>
                  </w:r>
                </w:p>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(23 mL)</w:t>
                  </w:r>
                </w:p>
                <w:p w:rsidR="00E24573" w:rsidRPr="0069083B" w:rsidRDefault="00E24573" w:rsidP="0056799D">
                  <w:pPr>
                    <w:pStyle w:val="Heading2"/>
                    <w:numPr>
                      <w:ilvl w:val="0"/>
                      <w:numId w:val="0"/>
                    </w:numPr>
                    <w:jc w:val="left"/>
                    <w:rPr>
                      <w:rFonts w:ascii="Arial" w:hAnsi="Arial"/>
                      <w:b w:val="0"/>
                      <w:sz w:val="20"/>
                      <w:szCs w:val="20"/>
                    </w:rPr>
                  </w:pPr>
                </w:p>
              </w:tc>
              <w:tc>
                <w:tcPr>
                  <w:tcW w:w="1260" w:type="dxa"/>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[CONJ]</w:t>
                  </w:r>
                </w:p>
              </w:tc>
              <w:tc>
                <w:tcPr>
                  <w:tcW w:w="6205" w:type="dxa"/>
                  <w:vAlign w:val="center"/>
                </w:tcPr>
                <w:p w:rsidR="00E24573" w:rsidRPr="0069083B" w:rsidRDefault="00E24573" w:rsidP="0056799D">
                  <w:pPr>
                    <w:pStyle w:val="Heading2"/>
                    <w:numPr>
                      <w:ilvl w:val="0"/>
                      <w:numId w:val="0"/>
                    </w:numPr>
                    <w:jc w:val="left"/>
                    <w:rPr>
                      <w:rFonts w:ascii="Arial" w:hAnsi="Arial"/>
                      <w:b w:val="0"/>
                      <w:sz w:val="20"/>
                      <w:szCs w:val="20"/>
                    </w:rPr>
                  </w:pPr>
                  <w:r w:rsidRPr="0069083B">
                    <w:rPr>
                      <w:rFonts w:ascii="Arial" w:hAnsi="Arial"/>
                      <w:b w:val="0"/>
                      <w:sz w:val="20"/>
                      <w:szCs w:val="20"/>
                    </w:rPr>
                    <w:t xml:space="preserve">Mouse monoclonal antibodies to human IgG conjugated to an isoluminol derivative, BSA, PBS buffer, ProClin® 300 and gentamicin </w:t>
                  </w:r>
                  <w:proofErr w:type="spellStart"/>
                  <w:r w:rsidRPr="0069083B">
                    <w:rPr>
                      <w:rFonts w:ascii="Arial" w:hAnsi="Arial"/>
                      <w:b w:val="0"/>
                      <w:sz w:val="20"/>
                      <w:szCs w:val="20"/>
                    </w:rPr>
                    <w:t>sulphate</w:t>
                  </w:r>
                  <w:proofErr w:type="spellEnd"/>
                  <w:r w:rsidRPr="0069083B">
                    <w:rPr>
                      <w:rFonts w:ascii="Arial" w:hAnsi="Arial"/>
                      <w:b w:val="0"/>
                      <w:sz w:val="20"/>
                      <w:szCs w:val="20"/>
                    </w:rPr>
                    <w:t xml:space="preserve"> as preservatives.</w:t>
                  </w:r>
                </w:p>
              </w:tc>
            </w:tr>
            <w:tr w:rsidR="00E24573" w:rsidRPr="0069083B" w:rsidTr="00E24573">
              <w:trPr>
                <w:trHeight w:val="2213"/>
              </w:trPr>
              <w:tc>
                <w:tcPr>
                  <w:tcW w:w="9339" w:type="dxa"/>
                  <w:gridSpan w:val="3"/>
                  <w:vAlign w:val="center"/>
                </w:tcPr>
                <w:p w:rsidR="00E24573" w:rsidRPr="0069083B" w:rsidRDefault="00E24573" w:rsidP="00E24573">
                  <w:pPr>
                    <w:pStyle w:val="Heading2"/>
                    <w:numPr>
                      <w:ilvl w:val="0"/>
                      <w:numId w:val="0"/>
                    </w:numPr>
                    <w:jc w:val="left"/>
                    <w:rPr>
                      <w:rFonts w:ascii="Arial" w:hAnsi="Arial"/>
                      <w:bCs w:val="0"/>
                      <w:sz w:val="20"/>
                      <w:szCs w:val="20"/>
                    </w:rPr>
                  </w:pPr>
                  <w:r w:rsidRPr="0069083B">
                    <w:rPr>
                      <w:rFonts w:ascii="Arial" w:hAnsi="Arial"/>
                      <w:bCs w:val="0"/>
                      <w:sz w:val="20"/>
                      <w:szCs w:val="20"/>
                    </w:rPr>
                    <w:t>Reagent Integral Storage and Stability:</w:t>
                  </w:r>
                </w:p>
                <w:p w:rsidR="00E24573" w:rsidRPr="0069083B" w:rsidRDefault="0096526D" w:rsidP="00E24573">
                  <w:pPr>
                    <w:pStyle w:val="Heading2"/>
                    <w:numPr>
                      <w:ilvl w:val="0"/>
                      <w:numId w:val="6"/>
                    </w:numPr>
                    <w:jc w:val="left"/>
                    <w:rPr>
                      <w:rFonts w:ascii="Arial" w:hAnsi="Arial"/>
                      <w:b w:val="0"/>
                      <w:sz w:val="20"/>
                      <w:szCs w:val="20"/>
                    </w:rPr>
                  </w:pPr>
                  <w:r w:rsidRPr="0069083B">
                    <w:rPr>
                      <w:rFonts w:ascii="Arial" w:hAnsi="Arial"/>
                      <w:b w:val="0"/>
                      <w:sz w:val="20"/>
                      <w:szCs w:val="20"/>
                    </w:rPr>
                    <w:t>Upon receipt, the reagent i</w:t>
                  </w:r>
                  <w:r w:rsidR="00E24573" w:rsidRPr="0069083B">
                    <w:rPr>
                      <w:rFonts w:ascii="Arial" w:hAnsi="Arial"/>
                      <w:b w:val="0"/>
                      <w:sz w:val="20"/>
                      <w:szCs w:val="20"/>
                    </w:rPr>
                    <w:t xml:space="preserve">ntegral must be stored in an upright position to facilitate resuspension of magnetic particles. </w:t>
                  </w:r>
                </w:p>
                <w:p w:rsidR="00E24573" w:rsidRPr="0069083B" w:rsidRDefault="00E24573" w:rsidP="00E24573">
                  <w:pPr>
                    <w:pStyle w:val="Heading2"/>
                    <w:numPr>
                      <w:ilvl w:val="0"/>
                      <w:numId w:val="6"/>
                    </w:numPr>
                    <w:jc w:val="left"/>
                    <w:rPr>
                      <w:rFonts w:ascii="Arial" w:hAnsi="Arial"/>
                      <w:b w:val="0"/>
                      <w:sz w:val="20"/>
                      <w:szCs w:val="20"/>
                    </w:rPr>
                  </w:pPr>
                  <w:r w:rsidRPr="0069083B">
                    <w:rPr>
                      <w:rFonts w:ascii="Arial" w:hAnsi="Arial"/>
                      <w:b w:val="0"/>
                      <w:sz w:val="20"/>
                      <w:szCs w:val="20"/>
                    </w:rPr>
                    <w:t xml:space="preserve">Stored sealed, the reagents are stable at 2-8°C up to the expiration date. </w:t>
                  </w:r>
                </w:p>
                <w:p w:rsidR="00E24573" w:rsidRPr="0069083B" w:rsidRDefault="0096526D" w:rsidP="00E24573">
                  <w:pPr>
                    <w:pStyle w:val="Heading2"/>
                    <w:numPr>
                      <w:ilvl w:val="0"/>
                      <w:numId w:val="6"/>
                    </w:numPr>
                    <w:jc w:val="left"/>
                    <w:rPr>
                      <w:rFonts w:ascii="Arial" w:hAnsi="Arial"/>
                      <w:b w:val="0"/>
                      <w:sz w:val="20"/>
                      <w:szCs w:val="20"/>
                    </w:rPr>
                  </w:pPr>
                  <w:r w:rsidRPr="0069083B">
                    <w:rPr>
                      <w:rFonts w:ascii="Arial" w:hAnsi="Arial"/>
                      <w:b w:val="0"/>
                      <w:sz w:val="20"/>
                      <w:szCs w:val="20"/>
                    </w:rPr>
                    <w:t>After removing the seals, the reagent i</w:t>
                  </w:r>
                  <w:r w:rsidR="00E24573" w:rsidRPr="0069083B">
                    <w:rPr>
                      <w:rFonts w:ascii="Arial" w:hAnsi="Arial"/>
                      <w:b w:val="0"/>
                      <w:sz w:val="20"/>
                      <w:szCs w:val="20"/>
                    </w:rPr>
                    <w:t xml:space="preserve">ntegral is stable for eight weeks when stored at 2-8°C or on board the </w:t>
                  </w:r>
                  <w:r w:rsidR="00E744E4" w:rsidRPr="0069083B">
                    <w:rPr>
                      <w:rFonts w:ascii="Arial" w:hAnsi="Arial"/>
                      <w:b w:val="0"/>
                      <w:sz w:val="20"/>
                      <w:szCs w:val="20"/>
                    </w:rPr>
                    <w:t>LIAISON XL</w:t>
                  </w:r>
                  <w:r w:rsidR="00E24573" w:rsidRPr="0069083B">
                    <w:rPr>
                      <w:rFonts w:ascii="Arial" w:hAnsi="Arial"/>
                      <w:b w:val="0"/>
                      <w:sz w:val="20"/>
                      <w:szCs w:val="20"/>
                    </w:rPr>
                    <w:t xml:space="preserve">® Analyzer. </w:t>
                  </w:r>
                  <w:r w:rsidRPr="0069083B">
                    <w:rPr>
                      <w:rFonts w:ascii="Arial" w:hAnsi="Arial"/>
                      <w:b w:val="0"/>
                      <w:sz w:val="20"/>
                      <w:szCs w:val="20"/>
                    </w:rPr>
                    <w:t xml:space="preserve"> </w:t>
                  </w:r>
                  <w:r w:rsidR="00E24573" w:rsidRPr="0069083B">
                    <w:rPr>
                      <w:rFonts w:ascii="Arial" w:hAnsi="Arial"/>
                      <w:b w:val="0"/>
                      <w:sz w:val="20"/>
                      <w:szCs w:val="20"/>
                    </w:rPr>
                    <w:t>Record new expiration date</w:t>
                  </w:r>
                  <w:r w:rsidRPr="0069083B">
                    <w:rPr>
                      <w:rFonts w:ascii="Arial" w:hAnsi="Arial"/>
                      <w:b w:val="0"/>
                      <w:sz w:val="20"/>
                      <w:szCs w:val="20"/>
                    </w:rPr>
                    <w:t xml:space="preserve"> and initials</w:t>
                  </w:r>
                  <w:r w:rsidR="00E24573" w:rsidRPr="0069083B">
                    <w:rPr>
                      <w:rFonts w:ascii="Arial" w:hAnsi="Arial"/>
                      <w:b w:val="0"/>
                      <w:sz w:val="20"/>
                      <w:szCs w:val="20"/>
                    </w:rPr>
                    <w:t xml:space="preserve"> on the integral.</w:t>
                  </w:r>
                </w:p>
                <w:p w:rsidR="00E24573" w:rsidRPr="0069083B" w:rsidRDefault="00E24573" w:rsidP="00E24573">
                  <w:pPr>
                    <w:pStyle w:val="Heading2"/>
                    <w:numPr>
                      <w:ilvl w:val="0"/>
                      <w:numId w:val="6"/>
                    </w:numPr>
                    <w:jc w:val="left"/>
                    <w:rPr>
                      <w:rFonts w:ascii="Arial" w:hAnsi="Arial"/>
                      <w:b w:val="0"/>
                      <w:sz w:val="20"/>
                      <w:szCs w:val="20"/>
                    </w:rPr>
                  </w:pPr>
                  <w:r w:rsidRPr="0069083B">
                    <w:rPr>
                      <w:rFonts w:ascii="Arial" w:hAnsi="Arial"/>
                      <w:b w:val="0"/>
                      <w:sz w:val="20"/>
                      <w:szCs w:val="20"/>
                    </w:rPr>
                    <w:t xml:space="preserve">Do not freeze. </w:t>
                  </w:r>
                </w:p>
                <w:p w:rsidR="00E24573" w:rsidRPr="0069083B" w:rsidRDefault="0096526D" w:rsidP="00E24573">
                  <w:pPr>
                    <w:pStyle w:val="Heading2"/>
                    <w:numPr>
                      <w:ilvl w:val="0"/>
                      <w:numId w:val="6"/>
                    </w:numPr>
                    <w:jc w:val="left"/>
                    <w:rPr>
                      <w:rFonts w:ascii="Arial" w:hAnsi="Arial"/>
                      <w:b w:val="0"/>
                      <w:sz w:val="20"/>
                      <w:szCs w:val="20"/>
                    </w:rPr>
                  </w:pPr>
                  <w:r w:rsidRPr="0069083B">
                    <w:rPr>
                      <w:rFonts w:ascii="Arial" w:hAnsi="Arial"/>
                      <w:b w:val="0"/>
                      <w:sz w:val="20"/>
                      <w:szCs w:val="20"/>
                    </w:rPr>
                    <w:t>The reagent i</w:t>
                  </w:r>
                  <w:r w:rsidR="00E24573" w:rsidRPr="0069083B">
                    <w:rPr>
                      <w:rFonts w:ascii="Arial" w:hAnsi="Arial"/>
                      <w:b w:val="0"/>
                      <w:sz w:val="20"/>
                      <w:szCs w:val="20"/>
                    </w:rPr>
                    <w:t xml:space="preserve">ntegral must not be used past the expiration date indicated on the kit and reagent integral labels. </w:t>
                  </w:r>
                </w:p>
              </w:tc>
            </w:tr>
          </w:tbl>
          <w:p w:rsidR="00E24573" w:rsidRPr="0069083B" w:rsidRDefault="00E24573" w:rsidP="00E24573">
            <w:pPr>
              <w:rPr>
                <w:rFonts w:ascii="Arial" w:hAnsi="Arial" w:cs="Arial"/>
                <w:sz w:val="20"/>
                <w:szCs w:val="20"/>
              </w:rPr>
            </w:pPr>
          </w:p>
        </w:tc>
      </w:tr>
      <w:tr w:rsidR="00F63F99" w:rsidRPr="0069083B" w:rsidTr="002818D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5444"/>
        </w:trPr>
        <w:tc>
          <w:tcPr>
            <w:tcW w:w="1798" w:type="dxa"/>
            <w:tcBorders>
              <w:top w:val="nil"/>
              <w:left w:val="nil"/>
              <w:bottom w:val="nil"/>
            </w:tcBorders>
          </w:tcPr>
          <w:p w:rsidR="00F63F99" w:rsidRPr="0069083B" w:rsidRDefault="00F63F99" w:rsidP="00F63F99">
            <w:pPr>
              <w:rPr>
                <w:rFonts w:ascii="Arial" w:hAnsi="Arial" w:cs="Arial"/>
                <w:b/>
                <w:bCs/>
                <w:color w:val="0000FF"/>
                <w:sz w:val="20"/>
                <w:szCs w:val="20"/>
              </w:rPr>
            </w:pPr>
          </w:p>
          <w:p w:rsidR="00F63F99" w:rsidRPr="0069083B" w:rsidRDefault="00013BC5" w:rsidP="00F63F99">
            <w:pPr>
              <w:jc w:val="left"/>
              <w:rPr>
                <w:rFonts w:ascii="Arial" w:hAnsi="Arial" w:cs="Arial"/>
                <w:b/>
                <w:bCs/>
                <w:color w:val="0000FF"/>
                <w:sz w:val="20"/>
                <w:szCs w:val="20"/>
              </w:rPr>
            </w:pPr>
            <w:r w:rsidRPr="0069083B">
              <w:rPr>
                <w:rFonts w:ascii="Arial" w:hAnsi="Arial" w:cs="Arial"/>
                <w:b/>
                <w:bCs/>
                <w:color w:val="0000FF"/>
                <w:sz w:val="20"/>
                <w:szCs w:val="20"/>
              </w:rPr>
              <w:t>Risk and Safety</w:t>
            </w:r>
          </w:p>
          <w:p w:rsidR="00F63F99" w:rsidRPr="0069083B" w:rsidRDefault="00F63F99" w:rsidP="00F63F99">
            <w:pPr>
              <w:rPr>
                <w:rFonts w:ascii="Arial" w:hAnsi="Arial" w:cs="Arial"/>
                <w:b/>
                <w:bCs/>
                <w:color w:val="0000FF"/>
                <w:sz w:val="20"/>
                <w:szCs w:val="20"/>
              </w:rPr>
            </w:pPr>
          </w:p>
        </w:tc>
        <w:tc>
          <w:tcPr>
            <w:tcW w:w="9542" w:type="dxa"/>
            <w:gridSpan w:val="2"/>
            <w:tcBorders>
              <w:top w:val="single" w:sz="18" w:space="0" w:color="BFBFBF"/>
              <w:bottom w:val="single" w:sz="18" w:space="0" w:color="BFBFBF"/>
              <w:right w:val="nil"/>
            </w:tcBorders>
            <w:vAlign w:val="center"/>
          </w:tcPr>
          <w:p w:rsidR="002117AF" w:rsidRPr="0069083B" w:rsidRDefault="002117AF" w:rsidP="00E24573">
            <w:pPr>
              <w:numPr>
                <w:ilvl w:val="0"/>
                <w:numId w:val="17"/>
              </w:numPr>
              <w:autoSpaceDE w:val="0"/>
              <w:autoSpaceDN w:val="0"/>
              <w:adjustRightInd w:val="0"/>
              <w:rPr>
                <w:rFonts w:ascii="Arial" w:hAnsi="Arial" w:cs="Arial"/>
                <w:sz w:val="20"/>
                <w:szCs w:val="20"/>
              </w:rPr>
            </w:pPr>
            <w:r w:rsidRPr="0069083B">
              <w:rPr>
                <w:rFonts w:ascii="Arial" w:hAnsi="Arial" w:cs="Arial"/>
                <w:sz w:val="20"/>
                <w:szCs w:val="20"/>
              </w:rPr>
              <w:t>Reagents in this kit are classified in accordance with the US OSHA Hazard Communication Standard; for additional information see Safety Data Sheet available on www.diasorin.com</w:t>
            </w:r>
          </w:p>
          <w:p w:rsidR="002117AF" w:rsidRPr="0069083B" w:rsidRDefault="002117AF" w:rsidP="00E24573">
            <w:pPr>
              <w:numPr>
                <w:ilvl w:val="1"/>
                <w:numId w:val="17"/>
              </w:numPr>
              <w:autoSpaceDE w:val="0"/>
              <w:autoSpaceDN w:val="0"/>
              <w:adjustRightInd w:val="0"/>
              <w:rPr>
                <w:rFonts w:ascii="Arial" w:hAnsi="Arial" w:cs="Arial"/>
                <w:sz w:val="20"/>
                <w:szCs w:val="20"/>
              </w:rPr>
            </w:pPr>
            <w:r w:rsidRPr="0069083B">
              <w:rPr>
                <w:rFonts w:ascii="Arial" w:hAnsi="Arial" w:cs="Arial"/>
                <w:b/>
                <w:bCs/>
                <w:sz w:val="20"/>
                <w:szCs w:val="20"/>
              </w:rPr>
              <w:t xml:space="preserve">Reagents: </w:t>
            </w:r>
            <w:r w:rsidRPr="0069083B">
              <w:rPr>
                <w:rFonts w:ascii="Arial" w:hAnsi="Arial" w:cs="Arial"/>
                <w:sz w:val="20"/>
                <w:szCs w:val="20"/>
              </w:rPr>
              <w:t xml:space="preserve">Cal 1, Cal 2, </w:t>
            </w:r>
            <w:proofErr w:type="spellStart"/>
            <w:r w:rsidRPr="0069083B">
              <w:rPr>
                <w:rFonts w:ascii="Arial" w:hAnsi="Arial" w:cs="Arial"/>
                <w:sz w:val="20"/>
                <w:szCs w:val="20"/>
              </w:rPr>
              <w:t>Dil</w:t>
            </w:r>
            <w:proofErr w:type="spellEnd"/>
            <w:r w:rsidRPr="0069083B">
              <w:rPr>
                <w:rFonts w:ascii="Arial" w:hAnsi="Arial" w:cs="Arial"/>
                <w:sz w:val="20"/>
                <w:szCs w:val="20"/>
              </w:rPr>
              <w:t>/</w:t>
            </w:r>
            <w:proofErr w:type="spellStart"/>
            <w:r w:rsidRPr="0069083B">
              <w:rPr>
                <w:rFonts w:ascii="Arial" w:hAnsi="Arial" w:cs="Arial"/>
                <w:sz w:val="20"/>
                <w:szCs w:val="20"/>
              </w:rPr>
              <w:t>Spe</w:t>
            </w:r>
            <w:proofErr w:type="spellEnd"/>
            <w:r w:rsidRPr="0069083B">
              <w:rPr>
                <w:rFonts w:ascii="Arial" w:hAnsi="Arial" w:cs="Arial"/>
                <w:sz w:val="20"/>
                <w:szCs w:val="20"/>
              </w:rPr>
              <w:t>, may cause an allergic skin reaction.</w:t>
            </w:r>
          </w:p>
          <w:p w:rsidR="002117AF" w:rsidRPr="0069083B" w:rsidRDefault="002117AF" w:rsidP="00E24573">
            <w:pPr>
              <w:numPr>
                <w:ilvl w:val="2"/>
                <w:numId w:val="17"/>
              </w:numPr>
              <w:autoSpaceDE w:val="0"/>
              <w:autoSpaceDN w:val="0"/>
              <w:adjustRightInd w:val="0"/>
              <w:rPr>
                <w:rFonts w:ascii="Arial" w:hAnsi="Arial" w:cs="Arial"/>
                <w:sz w:val="20"/>
                <w:szCs w:val="20"/>
              </w:rPr>
            </w:pPr>
            <w:r w:rsidRPr="0069083B">
              <w:rPr>
                <w:rFonts w:ascii="Arial" w:hAnsi="Arial" w:cs="Arial"/>
                <w:sz w:val="20"/>
                <w:szCs w:val="20"/>
              </w:rPr>
              <w:t>Avoid breathing dust/fume/gas/mist/vapo</w:t>
            </w:r>
            <w:r w:rsidR="0077658E" w:rsidRPr="0069083B">
              <w:rPr>
                <w:rFonts w:ascii="Arial" w:hAnsi="Arial" w:cs="Arial"/>
                <w:sz w:val="20"/>
                <w:szCs w:val="20"/>
              </w:rPr>
              <w:t>rs/spray</w:t>
            </w:r>
          </w:p>
          <w:p w:rsidR="002117AF" w:rsidRPr="0069083B" w:rsidRDefault="002117AF" w:rsidP="00E24573">
            <w:pPr>
              <w:numPr>
                <w:ilvl w:val="2"/>
                <w:numId w:val="17"/>
              </w:numPr>
              <w:autoSpaceDE w:val="0"/>
              <w:autoSpaceDN w:val="0"/>
              <w:adjustRightInd w:val="0"/>
              <w:rPr>
                <w:rFonts w:ascii="Arial" w:hAnsi="Arial" w:cs="Arial"/>
                <w:sz w:val="20"/>
                <w:szCs w:val="20"/>
              </w:rPr>
            </w:pPr>
            <w:r w:rsidRPr="0069083B">
              <w:rPr>
                <w:rFonts w:ascii="Arial" w:hAnsi="Arial" w:cs="Arial"/>
                <w:sz w:val="20"/>
                <w:szCs w:val="20"/>
              </w:rPr>
              <w:t>Wear protective gloves/protective clothing</w:t>
            </w:r>
            <w:r w:rsidR="0077658E" w:rsidRPr="0069083B">
              <w:rPr>
                <w:rFonts w:ascii="Arial" w:hAnsi="Arial" w:cs="Arial"/>
                <w:sz w:val="20"/>
                <w:szCs w:val="20"/>
              </w:rPr>
              <w:t>/eye protection/face protection</w:t>
            </w:r>
          </w:p>
          <w:p w:rsidR="002117AF" w:rsidRPr="0069083B" w:rsidRDefault="002117AF" w:rsidP="00E24573">
            <w:pPr>
              <w:pStyle w:val="Heading2"/>
              <w:numPr>
                <w:ilvl w:val="2"/>
                <w:numId w:val="17"/>
              </w:numPr>
              <w:rPr>
                <w:rFonts w:ascii="Arial" w:hAnsi="Arial"/>
                <w:b w:val="0"/>
                <w:sz w:val="20"/>
                <w:szCs w:val="20"/>
              </w:rPr>
            </w:pPr>
            <w:r w:rsidRPr="0069083B">
              <w:rPr>
                <w:rFonts w:ascii="Arial" w:hAnsi="Arial"/>
                <w:b w:val="0"/>
                <w:sz w:val="20"/>
                <w:szCs w:val="20"/>
              </w:rPr>
              <w:t>Wash contaminated clothing bef</w:t>
            </w:r>
            <w:r w:rsidR="0077658E" w:rsidRPr="0069083B">
              <w:rPr>
                <w:rFonts w:ascii="Arial" w:hAnsi="Arial"/>
                <w:b w:val="0"/>
                <w:sz w:val="20"/>
                <w:szCs w:val="20"/>
              </w:rPr>
              <w:t>ore reuse</w:t>
            </w:r>
          </w:p>
          <w:p w:rsidR="00F63F99" w:rsidRPr="0069083B" w:rsidRDefault="00F63F99" w:rsidP="00E24573">
            <w:pPr>
              <w:pStyle w:val="Heading2"/>
              <w:numPr>
                <w:ilvl w:val="0"/>
                <w:numId w:val="17"/>
              </w:numPr>
              <w:rPr>
                <w:rFonts w:ascii="Arial" w:hAnsi="Arial"/>
                <w:b w:val="0"/>
                <w:sz w:val="20"/>
                <w:szCs w:val="20"/>
              </w:rPr>
            </w:pPr>
            <w:r w:rsidRPr="0069083B">
              <w:rPr>
                <w:rFonts w:ascii="Arial" w:hAnsi="Arial"/>
                <w:b w:val="0"/>
                <w:sz w:val="20"/>
                <w:szCs w:val="20"/>
              </w:rPr>
              <w:t>All samples, biological reagents and materials used in the assay must be considered potentially able to transmit infectious agents.</w:t>
            </w:r>
          </w:p>
          <w:p w:rsidR="00B76D0D" w:rsidRPr="0069083B" w:rsidRDefault="00B76D0D" w:rsidP="00E24573">
            <w:pPr>
              <w:pStyle w:val="Heading2"/>
              <w:numPr>
                <w:ilvl w:val="0"/>
                <w:numId w:val="17"/>
              </w:numPr>
              <w:rPr>
                <w:rFonts w:ascii="Arial" w:hAnsi="Arial"/>
                <w:b w:val="0"/>
                <w:sz w:val="20"/>
                <w:szCs w:val="20"/>
              </w:rPr>
            </w:pPr>
            <w:r w:rsidRPr="0069083B">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F63F99" w:rsidRPr="0069083B" w:rsidRDefault="00F63F99" w:rsidP="00E24573">
            <w:pPr>
              <w:pStyle w:val="Heading2"/>
              <w:numPr>
                <w:ilvl w:val="0"/>
                <w:numId w:val="17"/>
              </w:numPr>
              <w:rPr>
                <w:rFonts w:ascii="Arial" w:hAnsi="Arial"/>
                <w:b w:val="0"/>
                <w:sz w:val="20"/>
                <w:szCs w:val="20"/>
              </w:rPr>
            </w:pPr>
            <w:r w:rsidRPr="0069083B">
              <w:rPr>
                <w:rFonts w:ascii="Arial" w:hAnsi="Arial"/>
                <w:b w:val="0"/>
                <w:sz w:val="20"/>
                <w:szCs w:val="20"/>
              </w:rPr>
              <w:t>Specimens should be handled at the BSL 2 level recommended for any potentially infectiou</w:t>
            </w:r>
            <w:r w:rsidR="00B76D0D" w:rsidRPr="0069083B">
              <w:rPr>
                <w:rFonts w:ascii="Arial" w:hAnsi="Arial"/>
                <w:b w:val="0"/>
                <w:sz w:val="20"/>
                <w:szCs w:val="20"/>
              </w:rPr>
              <w:t>s human serum or blood specimen</w:t>
            </w:r>
          </w:p>
          <w:p w:rsidR="00BB36EC" w:rsidRPr="0069083B" w:rsidRDefault="00BB36EC" w:rsidP="00E24573">
            <w:pPr>
              <w:numPr>
                <w:ilvl w:val="0"/>
                <w:numId w:val="17"/>
              </w:numPr>
              <w:rPr>
                <w:rFonts w:ascii="Arial" w:hAnsi="Arial" w:cs="Arial"/>
                <w:sz w:val="20"/>
                <w:szCs w:val="20"/>
              </w:rPr>
            </w:pPr>
            <w:r w:rsidRPr="0069083B">
              <w:rPr>
                <w:rFonts w:ascii="Arial" w:hAnsi="Arial" w:cs="Arial"/>
                <w:sz w:val="20"/>
                <w:szCs w:val="20"/>
              </w:rPr>
              <w:t>Do not eat, drink, smoke, or apply co</w:t>
            </w:r>
            <w:r w:rsidR="00B76D0D" w:rsidRPr="0069083B">
              <w:rPr>
                <w:rFonts w:ascii="Arial" w:hAnsi="Arial" w:cs="Arial"/>
                <w:sz w:val="20"/>
                <w:szCs w:val="20"/>
              </w:rPr>
              <w:t>smetics in the assay laboratory</w:t>
            </w:r>
          </w:p>
          <w:p w:rsidR="00BB36EC" w:rsidRPr="0069083B" w:rsidRDefault="00BB36EC" w:rsidP="00E24573">
            <w:pPr>
              <w:numPr>
                <w:ilvl w:val="0"/>
                <w:numId w:val="17"/>
              </w:numPr>
              <w:rPr>
                <w:rFonts w:ascii="Arial" w:hAnsi="Arial" w:cs="Arial"/>
                <w:sz w:val="20"/>
                <w:szCs w:val="20"/>
              </w:rPr>
            </w:pPr>
            <w:r w:rsidRPr="0069083B">
              <w:rPr>
                <w:rFonts w:ascii="Arial" w:hAnsi="Arial" w:cs="Arial"/>
                <w:sz w:val="20"/>
                <w:szCs w:val="20"/>
              </w:rPr>
              <w:t>Do not pipette by mouth</w:t>
            </w:r>
          </w:p>
          <w:p w:rsidR="00F63F99" w:rsidRPr="0069083B" w:rsidRDefault="00F63F99" w:rsidP="00E24573">
            <w:pPr>
              <w:pStyle w:val="Heading2"/>
              <w:numPr>
                <w:ilvl w:val="0"/>
                <w:numId w:val="17"/>
              </w:numPr>
              <w:rPr>
                <w:rFonts w:ascii="Arial" w:hAnsi="Arial"/>
                <w:b w:val="0"/>
                <w:sz w:val="20"/>
                <w:szCs w:val="20"/>
                <w:lang w:val="en-GB"/>
              </w:rPr>
            </w:pPr>
            <w:r w:rsidRPr="0069083B">
              <w:rPr>
                <w:rFonts w:ascii="Arial" w:hAnsi="Arial"/>
                <w:b w:val="0"/>
                <w:sz w:val="20"/>
                <w:szCs w:val="20"/>
                <w:lang w:val="en-GB"/>
              </w:rPr>
              <w:t>Some reagents contain sodium azide as a preservative. Flush drains thoroughly with water after d</w:t>
            </w:r>
            <w:r w:rsidR="00B76D0D" w:rsidRPr="0069083B">
              <w:rPr>
                <w:rFonts w:ascii="Arial" w:hAnsi="Arial"/>
                <w:b w:val="0"/>
                <w:sz w:val="20"/>
                <w:szCs w:val="20"/>
                <w:lang w:val="en-GB"/>
              </w:rPr>
              <w:t>isposal</w:t>
            </w:r>
          </w:p>
          <w:p w:rsidR="00F63F99" w:rsidRPr="0069083B" w:rsidRDefault="00F63F99" w:rsidP="00E24573">
            <w:pPr>
              <w:numPr>
                <w:ilvl w:val="0"/>
                <w:numId w:val="17"/>
              </w:numPr>
              <w:autoSpaceDE w:val="0"/>
              <w:autoSpaceDN w:val="0"/>
              <w:adjustRightInd w:val="0"/>
              <w:rPr>
                <w:rFonts w:ascii="Arial" w:hAnsi="Arial" w:cs="Arial"/>
                <w:sz w:val="20"/>
                <w:szCs w:val="20"/>
                <w:lang w:val="en-GB"/>
              </w:rPr>
            </w:pPr>
            <w:r w:rsidRPr="0069083B">
              <w:rPr>
                <w:rFonts w:ascii="Arial" w:hAnsi="Arial" w:cs="Arial"/>
                <w:sz w:val="20"/>
                <w:szCs w:val="20"/>
              </w:rPr>
              <w:t>Avoid splashing or forming an aerosol. Any reagent spills should be washed with a 5% sodium hypochlorite solution and disposed of a</w:t>
            </w:r>
            <w:r w:rsidR="00B76D0D" w:rsidRPr="0069083B">
              <w:rPr>
                <w:rFonts w:ascii="Arial" w:hAnsi="Arial" w:cs="Arial"/>
                <w:sz w:val="20"/>
                <w:szCs w:val="20"/>
              </w:rPr>
              <w:t>s though potentially infectious</w:t>
            </w:r>
          </w:p>
          <w:p w:rsidR="008F5F6A" w:rsidRPr="0069083B" w:rsidRDefault="00F63F99" w:rsidP="00E24573">
            <w:pPr>
              <w:pStyle w:val="Heading2"/>
              <w:numPr>
                <w:ilvl w:val="0"/>
                <w:numId w:val="17"/>
              </w:numPr>
              <w:rPr>
                <w:rFonts w:ascii="Arial" w:hAnsi="Arial"/>
                <w:b w:val="0"/>
                <w:sz w:val="20"/>
                <w:szCs w:val="20"/>
              </w:rPr>
            </w:pPr>
            <w:r w:rsidRPr="0069083B">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69083B">
              <w:rPr>
                <w:rFonts w:ascii="Arial" w:hAnsi="Arial"/>
                <w:b w:val="0"/>
                <w:i/>
                <w:sz w:val="20"/>
                <w:szCs w:val="20"/>
              </w:rPr>
              <w:t xml:space="preserve">overkill </w:t>
            </w:r>
            <w:r w:rsidRPr="0069083B">
              <w:rPr>
                <w:rFonts w:ascii="Arial" w:hAnsi="Arial"/>
                <w:b w:val="0"/>
                <w:sz w:val="20"/>
                <w:szCs w:val="20"/>
              </w:rPr>
              <w:t>approach.</w:t>
            </w:r>
          </w:p>
        </w:tc>
      </w:tr>
      <w:tr w:rsidR="00F075B2" w:rsidRPr="0069083B" w:rsidTr="002818D9">
        <w:tblPrEx>
          <w:tblCellMar>
            <w:top w:w="0" w:type="dxa"/>
            <w:bottom w:w="0" w:type="dxa"/>
          </w:tblCellMar>
        </w:tblPrEx>
        <w:trPr>
          <w:cantSplit/>
          <w:trHeight w:val="278"/>
        </w:trPr>
        <w:tc>
          <w:tcPr>
            <w:tcW w:w="1798" w:type="dxa"/>
            <w:vMerge w:val="restart"/>
            <w:tcBorders>
              <w:top w:val="nil"/>
              <w:left w:val="nil"/>
              <w:bottom w:val="nil"/>
              <w:right w:val="nil"/>
            </w:tcBorders>
          </w:tcPr>
          <w:p w:rsidR="00F075B2" w:rsidRPr="0069083B" w:rsidRDefault="00E744E4">
            <w:pPr>
              <w:jc w:val="left"/>
              <w:rPr>
                <w:rFonts w:ascii="Arial" w:hAnsi="Arial" w:cs="Arial"/>
                <w:b/>
                <w:bCs/>
                <w:color w:val="0000FF"/>
                <w:sz w:val="20"/>
                <w:szCs w:val="20"/>
              </w:rPr>
            </w:pPr>
            <w:r w:rsidRPr="0069083B">
              <w:rPr>
                <w:rFonts w:ascii="Arial" w:hAnsi="Arial" w:cs="Arial"/>
                <w:b/>
                <w:bCs/>
                <w:color w:val="0000FF"/>
                <w:sz w:val="20"/>
                <w:szCs w:val="20"/>
              </w:rPr>
              <w:t>Reagent Integral Preparation</w:t>
            </w:r>
          </w:p>
          <w:p w:rsidR="00F075B2" w:rsidRPr="0069083B" w:rsidRDefault="00F075B2">
            <w:pPr>
              <w:jc w:val="left"/>
              <w:rPr>
                <w:rFonts w:ascii="Arial" w:hAnsi="Arial" w:cs="Arial"/>
                <w:b/>
                <w:bCs/>
                <w:color w:val="0000FF"/>
                <w:sz w:val="20"/>
                <w:szCs w:val="20"/>
              </w:rPr>
            </w:pPr>
          </w:p>
        </w:tc>
        <w:tc>
          <w:tcPr>
            <w:tcW w:w="9542" w:type="dxa"/>
            <w:gridSpan w:val="2"/>
            <w:tcBorders>
              <w:top w:val="single" w:sz="18" w:space="0" w:color="BFBFBF"/>
              <w:left w:val="nil"/>
              <w:bottom w:val="single" w:sz="4" w:space="0" w:color="auto"/>
              <w:right w:val="nil"/>
            </w:tcBorders>
          </w:tcPr>
          <w:p w:rsidR="0096526D" w:rsidRPr="0069083B" w:rsidRDefault="0096526D" w:rsidP="0096526D">
            <w:pPr>
              <w:jc w:val="left"/>
              <w:rPr>
                <w:rFonts w:ascii="Arial" w:hAnsi="Arial" w:cs="Arial"/>
                <w:b/>
                <w:sz w:val="20"/>
                <w:szCs w:val="20"/>
              </w:rPr>
            </w:pPr>
            <w:r w:rsidRPr="0069083B">
              <w:rPr>
                <w:rFonts w:ascii="Arial" w:hAnsi="Arial" w:cs="Arial"/>
                <w:b/>
                <w:sz w:val="20"/>
                <w:szCs w:val="20"/>
              </w:rPr>
              <w:t>How to prepare and load new reagent integrals</w:t>
            </w:r>
          </w:p>
          <w:p w:rsidR="0096526D" w:rsidRPr="0069083B" w:rsidRDefault="0096526D" w:rsidP="0096526D">
            <w:pPr>
              <w:pStyle w:val="Default"/>
              <w:numPr>
                <w:ilvl w:val="0"/>
                <w:numId w:val="20"/>
              </w:numPr>
              <w:rPr>
                <w:sz w:val="20"/>
                <w:szCs w:val="20"/>
              </w:rPr>
            </w:pPr>
            <w:r w:rsidRPr="0069083B">
              <w:rPr>
                <w:sz w:val="20"/>
                <w:szCs w:val="20"/>
              </w:rPr>
              <w:t xml:space="preserve">Remove from refrigerated storage, maintaining upright orientation </w:t>
            </w:r>
          </w:p>
          <w:p w:rsidR="0096526D" w:rsidRPr="0069083B" w:rsidRDefault="0096526D" w:rsidP="0096526D">
            <w:pPr>
              <w:pStyle w:val="Default"/>
              <w:numPr>
                <w:ilvl w:val="0"/>
                <w:numId w:val="20"/>
              </w:numPr>
              <w:rPr>
                <w:sz w:val="20"/>
                <w:szCs w:val="20"/>
              </w:rPr>
            </w:pPr>
            <w:r w:rsidRPr="0069083B">
              <w:rPr>
                <w:sz w:val="20"/>
                <w:szCs w:val="20"/>
              </w:rPr>
              <w:t xml:space="preserve">Inspect integral for leakage. </w:t>
            </w:r>
          </w:p>
          <w:p w:rsidR="0096526D" w:rsidRPr="0069083B" w:rsidRDefault="0096526D" w:rsidP="0096526D">
            <w:pPr>
              <w:pStyle w:val="Default"/>
              <w:numPr>
                <w:ilvl w:val="0"/>
                <w:numId w:val="20"/>
              </w:numPr>
              <w:rPr>
                <w:sz w:val="20"/>
                <w:szCs w:val="20"/>
              </w:rPr>
            </w:pPr>
            <w:r w:rsidRPr="0069083B">
              <w:rPr>
                <w:sz w:val="20"/>
                <w:szCs w:val="20"/>
              </w:rPr>
              <w:t>Mix magnetic particle for 30 seconds.</w:t>
            </w:r>
          </w:p>
          <w:p w:rsidR="0096526D" w:rsidRPr="0069083B" w:rsidRDefault="0096526D" w:rsidP="0096526D">
            <w:pPr>
              <w:pStyle w:val="Default"/>
              <w:numPr>
                <w:ilvl w:val="0"/>
                <w:numId w:val="20"/>
              </w:numPr>
              <w:rPr>
                <w:sz w:val="20"/>
                <w:szCs w:val="20"/>
              </w:rPr>
            </w:pPr>
            <w:r w:rsidRPr="0069083B">
              <w:rPr>
                <w:sz w:val="20"/>
                <w:szCs w:val="20"/>
              </w:rPr>
              <w:t xml:space="preserve">Seat test integral in Xcelerator for 30 seconds. </w:t>
            </w:r>
          </w:p>
          <w:p w:rsidR="0096526D" w:rsidRPr="0069083B" w:rsidRDefault="0096526D" w:rsidP="0096526D">
            <w:pPr>
              <w:pStyle w:val="Default"/>
              <w:numPr>
                <w:ilvl w:val="0"/>
                <w:numId w:val="20"/>
              </w:numPr>
              <w:rPr>
                <w:sz w:val="20"/>
                <w:szCs w:val="20"/>
              </w:rPr>
            </w:pPr>
            <w:r w:rsidRPr="0069083B">
              <w:rPr>
                <w:sz w:val="20"/>
                <w:szCs w:val="20"/>
              </w:rPr>
              <w:t>Gently rotate the magnetic particle vial for 30 seconds.</w:t>
            </w:r>
          </w:p>
          <w:p w:rsidR="0096526D" w:rsidRPr="0069083B" w:rsidRDefault="0096526D" w:rsidP="0096526D">
            <w:pPr>
              <w:pStyle w:val="Default"/>
              <w:numPr>
                <w:ilvl w:val="0"/>
                <w:numId w:val="20"/>
              </w:numPr>
              <w:rPr>
                <w:sz w:val="20"/>
                <w:szCs w:val="20"/>
              </w:rPr>
            </w:pPr>
            <w:r w:rsidRPr="0069083B">
              <w:rPr>
                <w:sz w:val="20"/>
                <w:szCs w:val="20"/>
              </w:rPr>
              <w:t>Remove new integral sealing flaps slowly.</w:t>
            </w:r>
          </w:p>
          <w:p w:rsidR="0096526D" w:rsidRPr="0069083B" w:rsidRDefault="0096526D" w:rsidP="0096526D">
            <w:pPr>
              <w:pStyle w:val="Default"/>
              <w:numPr>
                <w:ilvl w:val="0"/>
                <w:numId w:val="20"/>
              </w:numPr>
              <w:rPr>
                <w:sz w:val="20"/>
                <w:szCs w:val="20"/>
              </w:rPr>
            </w:pPr>
            <w:r w:rsidRPr="0069083B">
              <w:rPr>
                <w:sz w:val="20"/>
                <w:szCs w:val="20"/>
              </w:rPr>
              <w:t>Remove all liquid from the surfaces of the membranes to prevent cross-contamination of the reagent vials by blotting using a kim wipe folded in half lengthwise.</w:t>
            </w:r>
          </w:p>
          <w:p w:rsidR="0096526D" w:rsidRPr="0069083B" w:rsidRDefault="0096526D" w:rsidP="0096526D">
            <w:pPr>
              <w:pStyle w:val="Default"/>
              <w:numPr>
                <w:ilvl w:val="0"/>
                <w:numId w:val="20"/>
              </w:numPr>
              <w:rPr>
                <w:sz w:val="20"/>
                <w:szCs w:val="20"/>
              </w:rPr>
            </w:pPr>
            <w:r w:rsidRPr="0069083B">
              <w:rPr>
                <w:sz w:val="20"/>
                <w:szCs w:val="20"/>
              </w:rPr>
              <w:t>Open the reagent bay on the analyzer.</w:t>
            </w:r>
          </w:p>
          <w:p w:rsidR="0096526D" w:rsidRPr="0069083B" w:rsidRDefault="0096526D" w:rsidP="0096526D">
            <w:pPr>
              <w:pStyle w:val="Default"/>
              <w:numPr>
                <w:ilvl w:val="0"/>
                <w:numId w:val="20"/>
              </w:numPr>
              <w:rPr>
                <w:sz w:val="20"/>
                <w:szCs w:val="20"/>
              </w:rPr>
            </w:pPr>
            <w:r w:rsidRPr="0069083B">
              <w:rPr>
                <w:sz w:val="20"/>
                <w:szCs w:val="20"/>
              </w:rPr>
              <w:t xml:space="preserve">Using a smooth motion, insert the integral into an unoccupied lane in the reagent area until it rests firmly against the docking pins at the rear. </w:t>
            </w:r>
          </w:p>
          <w:p w:rsidR="00F075B2" w:rsidRPr="0069083B" w:rsidRDefault="0096526D" w:rsidP="0096526D">
            <w:pPr>
              <w:pStyle w:val="Heading2"/>
              <w:numPr>
                <w:ilvl w:val="0"/>
                <w:numId w:val="0"/>
              </w:numPr>
              <w:rPr>
                <w:rFonts w:ascii="Arial" w:hAnsi="Arial"/>
                <w:b w:val="0"/>
                <w:sz w:val="20"/>
                <w:szCs w:val="20"/>
              </w:rPr>
            </w:pPr>
            <w:r w:rsidRPr="0069083B">
              <w:rPr>
                <w:rFonts w:ascii="Arial" w:hAnsi="Arial"/>
                <w:sz w:val="20"/>
                <w:szCs w:val="20"/>
              </w:rPr>
              <w:t xml:space="preserve">Note: </w:t>
            </w:r>
            <w:r w:rsidRPr="0069083B">
              <w:rPr>
                <w:rFonts w:ascii="Arial" w:hAnsi="Arial"/>
                <w:color w:val="000000"/>
                <w:sz w:val="20"/>
                <w:szCs w:val="20"/>
              </w:rPr>
              <w:t>if m</w:t>
            </w:r>
            <w:r w:rsidRPr="0069083B">
              <w:rPr>
                <w:rFonts w:ascii="Arial" w:hAnsi="Arial"/>
                <w:sz w:val="20"/>
                <w:szCs w:val="20"/>
              </w:rPr>
              <w:t>ore than one integral of the same reagent is loaded place the newest integral to the right of the old integral.  The analyzer will sample from the left integral until empty, then move right.</w:t>
            </w:r>
          </w:p>
        </w:tc>
      </w:tr>
      <w:tr w:rsidR="00F075B2" w:rsidRPr="0069083B" w:rsidTr="002818D9">
        <w:tblPrEx>
          <w:tblCellMar>
            <w:top w:w="0" w:type="dxa"/>
            <w:bottom w:w="0" w:type="dxa"/>
          </w:tblCellMar>
        </w:tblPrEx>
        <w:trPr>
          <w:cantSplit/>
          <w:trHeight w:val="368"/>
        </w:trPr>
        <w:tc>
          <w:tcPr>
            <w:tcW w:w="1798" w:type="dxa"/>
            <w:vMerge/>
            <w:tcBorders>
              <w:top w:val="single" w:sz="18" w:space="0" w:color="BFBFBF"/>
              <w:left w:val="nil"/>
              <w:bottom w:val="nil"/>
              <w:right w:val="nil"/>
            </w:tcBorders>
          </w:tcPr>
          <w:p w:rsidR="00F075B2" w:rsidRPr="0069083B" w:rsidRDefault="00F075B2">
            <w:pPr>
              <w:jc w:val="left"/>
              <w:rPr>
                <w:rFonts w:ascii="Arial" w:hAnsi="Arial" w:cs="Arial"/>
                <w:b/>
                <w:bCs/>
                <w:color w:val="0000FF"/>
                <w:sz w:val="20"/>
                <w:szCs w:val="20"/>
              </w:rPr>
            </w:pPr>
          </w:p>
        </w:tc>
        <w:tc>
          <w:tcPr>
            <w:tcW w:w="9542" w:type="dxa"/>
            <w:gridSpan w:val="2"/>
            <w:tcBorders>
              <w:top w:val="single" w:sz="4" w:space="0" w:color="auto"/>
              <w:left w:val="nil"/>
              <w:bottom w:val="single" w:sz="18" w:space="0" w:color="BFBFBF"/>
              <w:right w:val="nil"/>
            </w:tcBorders>
          </w:tcPr>
          <w:p w:rsidR="00F075B2" w:rsidRPr="0069083B" w:rsidRDefault="00F075B2">
            <w:pPr>
              <w:pStyle w:val="Heading2"/>
              <w:numPr>
                <w:ilvl w:val="0"/>
                <w:numId w:val="0"/>
              </w:numPr>
              <w:rPr>
                <w:rFonts w:ascii="Arial" w:hAnsi="Arial"/>
                <w:b w:val="0"/>
                <w:sz w:val="20"/>
                <w:szCs w:val="20"/>
              </w:rPr>
            </w:pPr>
          </w:p>
        </w:tc>
      </w:tr>
      <w:tr w:rsidR="00F075B2" w:rsidRPr="0069083B" w:rsidTr="002818D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798" w:type="dxa"/>
            <w:tcBorders>
              <w:top w:val="nil"/>
              <w:left w:val="nil"/>
              <w:bottom w:val="nil"/>
            </w:tcBorders>
          </w:tcPr>
          <w:p w:rsidR="00F075B2" w:rsidRPr="0069083B" w:rsidRDefault="00F075B2">
            <w:pPr>
              <w:rPr>
                <w:rFonts w:ascii="Arial" w:hAnsi="Arial" w:cs="Arial"/>
                <w:b/>
                <w:bCs/>
                <w:color w:val="0000FF"/>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Calibration</w:t>
            </w:r>
          </w:p>
        </w:tc>
        <w:tc>
          <w:tcPr>
            <w:tcW w:w="9542" w:type="dxa"/>
            <w:gridSpan w:val="2"/>
            <w:tcBorders>
              <w:top w:val="single" w:sz="18" w:space="0" w:color="BFBFBF"/>
              <w:bottom w:val="single" w:sz="18" w:space="0" w:color="BFBFBF"/>
              <w:right w:val="nil"/>
            </w:tcBorders>
          </w:tcPr>
          <w:p w:rsidR="00F075B2" w:rsidRPr="0069083B" w:rsidRDefault="00F075B2">
            <w:pPr>
              <w:spacing w:before="40" w:after="40"/>
              <w:rPr>
                <w:rFonts w:ascii="Arial" w:hAnsi="Arial" w:cs="Arial"/>
                <w:sz w:val="20"/>
                <w:szCs w:val="20"/>
              </w:rPr>
            </w:pPr>
          </w:p>
          <w:p w:rsidR="00F075B2" w:rsidRPr="0069083B" w:rsidRDefault="00F075B2">
            <w:pPr>
              <w:spacing w:before="40" w:after="40"/>
              <w:rPr>
                <w:rFonts w:ascii="Arial" w:hAnsi="Arial" w:cs="Arial"/>
                <w:sz w:val="20"/>
                <w:szCs w:val="20"/>
              </w:rPr>
            </w:pPr>
            <w:r w:rsidRPr="0069083B">
              <w:rPr>
                <w:rStyle w:val="SC1607"/>
                <w:rFonts w:ascii="Arial" w:hAnsi="Arial"/>
                <w:sz w:val="20"/>
                <w:szCs w:val="20"/>
              </w:rPr>
              <w:t>Test of assay specific calibrators allows the detected relative light unit (RLU) values to adjust the assigned master curve. Each calibration solution allows four calibrations to be performed</w:t>
            </w:r>
            <w:r w:rsidRPr="0069083B">
              <w:rPr>
                <w:rFonts w:ascii="Arial" w:hAnsi="Arial" w:cs="Arial"/>
                <w:sz w:val="20"/>
                <w:szCs w:val="20"/>
              </w:rPr>
              <w:t>.</w:t>
            </w:r>
            <w:r w:rsidR="0096526D" w:rsidRPr="0069083B">
              <w:rPr>
                <w:rFonts w:ascii="Arial" w:hAnsi="Arial" w:cs="Arial"/>
                <w:sz w:val="20"/>
                <w:szCs w:val="20"/>
              </w:rPr>
              <w:t xml:space="preserve">  </w:t>
            </w:r>
            <w:r w:rsidR="0096526D" w:rsidRPr="0069083B">
              <w:rPr>
                <w:rFonts w:ascii="Arial" w:hAnsi="Arial" w:cs="Arial"/>
                <w:iCs/>
                <w:sz w:val="20"/>
                <w:szCs w:val="20"/>
              </w:rPr>
              <w:t>Calibrator values are stored in the Radio Frequency IDentification transponder (RFID Tag)</w:t>
            </w:r>
            <w:r w:rsidR="0096526D" w:rsidRPr="0069083B">
              <w:rPr>
                <w:rFonts w:ascii="Arial" w:hAnsi="Arial" w:cs="Arial"/>
                <w:iCs/>
                <w:sz w:val="20"/>
                <w:szCs w:val="20"/>
              </w:rPr>
              <w:t>.</w:t>
            </w:r>
            <w:r w:rsidRPr="0069083B">
              <w:rPr>
                <w:rFonts w:ascii="Arial" w:hAnsi="Arial" w:cs="Arial"/>
                <w:sz w:val="20"/>
                <w:szCs w:val="20"/>
              </w:rPr>
              <w:t xml:space="preserve"> </w:t>
            </w:r>
            <w:r w:rsidR="0096526D" w:rsidRPr="0069083B">
              <w:rPr>
                <w:rFonts w:ascii="Arial" w:hAnsi="Arial" w:cs="Arial"/>
                <w:sz w:val="20"/>
                <w:szCs w:val="20"/>
              </w:rPr>
              <w:t xml:space="preserve"> </w:t>
            </w:r>
            <w:r w:rsidRPr="0069083B">
              <w:rPr>
                <w:rFonts w:ascii="Arial" w:hAnsi="Arial" w:cs="Arial"/>
                <w:sz w:val="20"/>
                <w:szCs w:val="20"/>
              </w:rPr>
              <w:t xml:space="preserve">Refer to the Operator's Manual or </w:t>
            </w:r>
            <w:r w:rsidR="00E744E4" w:rsidRPr="0069083B">
              <w:rPr>
                <w:rFonts w:ascii="Arial" w:hAnsi="Arial" w:cs="Arial"/>
                <w:sz w:val="20"/>
                <w:szCs w:val="20"/>
              </w:rPr>
              <w:t>LIAISON XL</w:t>
            </w:r>
            <w:r w:rsidRPr="0069083B">
              <w:rPr>
                <w:rFonts w:ascii="Arial" w:hAnsi="Arial" w:cs="Arial"/>
                <w:sz w:val="20"/>
                <w:szCs w:val="20"/>
              </w:rPr>
              <w:t>® Quick Guide for calibration instructions.</w:t>
            </w:r>
          </w:p>
          <w:p w:rsidR="00F075B2" w:rsidRPr="0069083B" w:rsidRDefault="0096526D">
            <w:pPr>
              <w:spacing w:before="40" w:after="40"/>
              <w:rPr>
                <w:rFonts w:ascii="Arial" w:hAnsi="Arial" w:cs="Arial"/>
                <w:sz w:val="20"/>
                <w:szCs w:val="20"/>
              </w:rPr>
            </w:pPr>
            <w:r w:rsidRPr="0069083B">
              <w:rPr>
                <w:rFonts w:ascii="Arial" w:hAnsi="Arial" w:cs="Arial"/>
                <w:sz w:val="20"/>
                <w:szCs w:val="20"/>
              </w:rPr>
              <w:t>Recalibration</w:t>
            </w:r>
            <w:r w:rsidR="00F075B2" w:rsidRPr="0069083B">
              <w:rPr>
                <w:rFonts w:ascii="Arial" w:hAnsi="Arial" w:cs="Arial"/>
                <w:sz w:val="20"/>
                <w:szCs w:val="20"/>
              </w:rPr>
              <w:t xml:space="preserve"> is required:</w:t>
            </w:r>
          </w:p>
          <w:p w:rsidR="00F075B2" w:rsidRPr="0069083B" w:rsidRDefault="00F075B2" w:rsidP="00F075B2">
            <w:pPr>
              <w:numPr>
                <w:ilvl w:val="0"/>
                <w:numId w:val="2"/>
              </w:numPr>
              <w:tabs>
                <w:tab w:val="num" w:pos="1080"/>
              </w:tabs>
              <w:ind w:left="1080"/>
              <w:rPr>
                <w:rFonts w:ascii="Arial" w:hAnsi="Arial" w:cs="Arial"/>
                <w:sz w:val="20"/>
                <w:szCs w:val="20"/>
              </w:rPr>
            </w:pPr>
            <w:r w:rsidRPr="0069083B">
              <w:rPr>
                <w:rFonts w:ascii="Arial" w:hAnsi="Arial" w:cs="Arial"/>
                <w:sz w:val="20"/>
                <w:szCs w:val="20"/>
              </w:rPr>
              <w:t>With eac</w:t>
            </w:r>
            <w:r w:rsidR="0069083B" w:rsidRPr="0069083B">
              <w:rPr>
                <w:rFonts w:ascii="Arial" w:hAnsi="Arial" w:cs="Arial"/>
                <w:sz w:val="20"/>
                <w:szCs w:val="20"/>
              </w:rPr>
              <w:t>h new lot of reagents (reagent integral or Starter r</w:t>
            </w:r>
            <w:r w:rsidRPr="0069083B">
              <w:rPr>
                <w:rFonts w:ascii="Arial" w:hAnsi="Arial" w:cs="Arial"/>
                <w:sz w:val="20"/>
                <w:szCs w:val="20"/>
              </w:rPr>
              <w:t>eagents).</w:t>
            </w:r>
          </w:p>
          <w:p w:rsidR="00F075B2" w:rsidRPr="0069083B" w:rsidRDefault="00F075B2" w:rsidP="00F075B2">
            <w:pPr>
              <w:numPr>
                <w:ilvl w:val="0"/>
                <w:numId w:val="2"/>
              </w:numPr>
              <w:tabs>
                <w:tab w:val="num" w:pos="1080"/>
              </w:tabs>
              <w:ind w:left="1080"/>
              <w:rPr>
                <w:rFonts w:ascii="Arial" w:hAnsi="Arial" w:cs="Arial"/>
                <w:sz w:val="20"/>
                <w:szCs w:val="20"/>
              </w:rPr>
            </w:pPr>
            <w:r w:rsidRPr="0069083B">
              <w:rPr>
                <w:rFonts w:ascii="Arial" w:hAnsi="Arial" w:cs="Arial"/>
                <w:sz w:val="20"/>
                <w:szCs w:val="20"/>
              </w:rPr>
              <w:t xml:space="preserve">Every </w:t>
            </w:r>
            <w:r w:rsidR="00D161B1" w:rsidRPr="0069083B">
              <w:rPr>
                <w:rFonts w:ascii="Arial" w:hAnsi="Arial" w:cs="Arial"/>
                <w:sz w:val="20"/>
                <w:szCs w:val="20"/>
              </w:rPr>
              <w:t>8 weeks</w:t>
            </w:r>
          </w:p>
          <w:p w:rsidR="00F075B2" w:rsidRPr="0069083B" w:rsidRDefault="00F075B2" w:rsidP="00F075B2">
            <w:pPr>
              <w:numPr>
                <w:ilvl w:val="0"/>
                <w:numId w:val="2"/>
              </w:numPr>
              <w:tabs>
                <w:tab w:val="num" w:pos="1080"/>
              </w:tabs>
              <w:ind w:left="1080"/>
              <w:rPr>
                <w:rFonts w:ascii="Arial" w:hAnsi="Arial" w:cs="Arial"/>
                <w:sz w:val="20"/>
                <w:szCs w:val="20"/>
              </w:rPr>
            </w:pPr>
            <w:r w:rsidRPr="0069083B">
              <w:rPr>
                <w:rFonts w:ascii="Arial" w:hAnsi="Arial" w:cs="Arial"/>
                <w:sz w:val="20"/>
                <w:szCs w:val="20"/>
              </w:rPr>
              <w:t xml:space="preserve">After servicing the </w:t>
            </w:r>
            <w:r w:rsidR="00E744E4" w:rsidRPr="0069083B">
              <w:rPr>
                <w:rFonts w:ascii="Arial" w:hAnsi="Arial" w:cs="Arial"/>
                <w:sz w:val="20"/>
                <w:szCs w:val="20"/>
              </w:rPr>
              <w:t>LIAISON XL</w:t>
            </w:r>
            <w:r w:rsidRPr="0069083B">
              <w:rPr>
                <w:rFonts w:ascii="Arial" w:hAnsi="Arial" w:cs="Arial"/>
                <w:sz w:val="20"/>
                <w:szCs w:val="20"/>
                <w:vertAlign w:val="superscript"/>
              </w:rPr>
              <w:t>®</w:t>
            </w:r>
            <w:r w:rsidRPr="0069083B">
              <w:rPr>
                <w:rFonts w:ascii="Arial" w:hAnsi="Arial" w:cs="Arial"/>
                <w:sz w:val="20"/>
                <w:szCs w:val="20"/>
              </w:rPr>
              <w:t xml:space="preserve"> Analyzer.</w:t>
            </w:r>
          </w:p>
          <w:p w:rsidR="00F075B2" w:rsidRPr="0069083B" w:rsidRDefault="00F075B2" w:rsidP="0096526D">
            <w:pPr>
              <w:numPr>
                <w:ilvl w:val="0"/>
                <w:numId w:val="2"/>
              </w:numPr>
              <w:tabs>
                <w:tab w:val="num" w:pos="1080"/>
              </w:tabs>
              <w:ind w:left="1080"/>
              <w:rPr>
                <w:rFonts w:ascii="Arial" w:hAnsi="Arial" w:cs="Arial"/>
                <w:sz w:val="20"/>
                <w:szCs w:val="20"/>
              </w:rPr>
            </w:pPr>
            <w:r w:rsidRPr="0069083B">
              <w:rPr>
                <w:rFonts w:ascii="Arial" w:hAnsi="Arial" w:cs="Arial"/>
                <w:sz w:val="20"/>
                <w:szCs w:val="20"/>
              </w:rPr>
              <w:t>If quality controls are out of acceptable range</w:t>
            </w:r>
            <w:r w:rsidR="00D161B1" w:rsidRPr="0069083B">
              <w:rPr>
                <w:rFonts w:ascii="Arial" w:hAnsi="Arial" w:cs="Arial"/>
                <w:sz w:val="20"/>
                <w:szCs w:val="20"/>
              </w:rPr>
              <w:t>s</w:t>
            </w:r>
          </w:p>
          <w:p w:rsidR="0096526D" w:rsidRPr="0069083B" w:rsidRDefault="0096526D" w:rsidP="0096526D">
            <w:pPr>
              <w:numPr>
                <w:ilvl w:val="0"/>
                <w:numId w:val="2"/>
              </w:numPr>
              <w:tabs>
                <w:tab w:val="num" w:pos="1080"/>
              </w:tabs>
              <w:ind w:left="1080"/>
              <w:rPr>
                <w:rFonts w:ascii="Arial" w:hAnsi="Arial" w:cs="Arial"/>
                <w:sz w:val="20"/>
                <w:szCs w:val="20"/>
              </w:rPr>
            </w:pPr>
          </w:p>
          <w:p w:rsidR="00F075B2" w:rsidRPr="0069083B" w:rsidRDefault="00F075B2" w:rsidP="0096526D">
            <w:pPr>
              <w:spacing w:before="40"/>
              <w:rPr>
                <w:rFonts w:ascii="Arial" w:hAnsi="Arial" w:cs="Arial"/>
                <w:sz w:val="20"/>
                <w:szCs w:val="20"/>
              </w:rPr>
            </w:pPr>
            <w:r w:rsidRPr="0069083B">
              <w:rPr>
                <w:rFonts w:ascii="Arial" w:hAnsi="Arial" w:cs="Arial"/>
                <w:sz w:val="20"/>
                <w:szCs w:val="20"/>
              </w:rPr>
              <w:t>Comparable results verify the new reagent lot. Discrepant results must be resolved before the reagent can be used for patient testing.</w:t>
            </w:r>
          </w:p>
          <w:p w:rsidR="0096526D" w:rsidRPr="0069083B" w:rsidRDefault="0096526D" w:rsidP="0096526D">
            <w:pPr>
              <w:spacing w:before="40"/>
              <w:rPr>
                <w:rFonts w:ascii="Arial" w:hAnsi="Arial" w:cs="Arial"/>
                <w:sz w:val="20"/>
                <w:szCs w:val="20"/>
              </w:rPr>
            </w:pPr>
          </w:p>
        </w:tc>
      </w:tr>
      <w:tr w:rsidR="00F075B2" w:rsidRPr="0069083B" w:rsidTr="002818D9">
        <w:tblPrEx>
          <w:tblCellMar>
            <w:top w:w="0" w:type="dxa"/>
            <w:bottom w:w="0" w:type="dxa"/>
          </w:tblCellMar>
        </w:tblPrEx>
        <w:trPr>
          <w:cantSplit/>
          <w:trHeight w:val="1020"/>
          <w:tblHeader/>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rPr>
                <w:rFonts w:ascii="Arial" w:hAnsi="Arial" w:cs="Arial"/>
                <w:b/>
                <w:bCs/>
                <w:color w:val="0000FF"/>
                <w:sz w:val="20"/>
                <w:szCs w:val="20"/>
              </w:rPr>
            </w:pPr>
            <w:r w:rsidRPr="0069083B">
              <w:rPr>
                <w:rFonts w:ascii="Arial" w:hAnsi="Arial" w:cs="Arial"/>
                <w:b/>
                <w:bCs/>
                <w:color w:val="0000FF"/>
                <w:sz w:val="20"/>
                <w:szCs w:val="20"/>
              </w:rPr>
              <w:t>Analytical Measuring Range (AMR)</w:t>
            </w:r>
          </w:p>
        </w:tc>
        <w:tc>
          <w:tcPr>
            <w:tcW w:w="9542" w:type="dxa"/>
            <w:gridSpan w:val="2"/>
            <w:tcBorders>
              <w:top w:val="single" w:sz="18" w:space="0" w:color="BFBFBF"/>
              <w:left w:val="nil"/>
              <w:bottom w:val="single" w:sz="18" w:space="0" w:color="BFBFBF"/>
              <w:right w:val="nil"/>
            </w:tcBorders>
            <w:vAlign w:val="center"/>
          </w:tcPr>
          <w:p w:rsidR="00F075B2" w:rsidRPr="0069083B" w:rsidRDefault="00F075B2" w:rsidP="0066461C">
            <w:pPr>
              <w:jc w:val="left"/>
              <w:rPr>
                <w:rFonts w:ascii="Arial" w:hAnsi="Arial" w:cs="Arial"/>
                <w:sz w:val="20"/>
                <w:szCs w:val="20"/>
              </w:rPr>
            </w:pPr>
            <w:r w:rsidRPr="0069083B">
              <w:rPr>
                <w:rFonts w:ascii="Arial" w:hAnsi="Arial" w:cs="Arial"/>
                <w:sz w:val="20"/>
                <w:szCs w:val="20"/>
              </w:rPr>
              <w:t xml:space="preserve">VZV IgG </w:t>
            </w:r>
            <w:r w:rsidR="00CB2605" w:rsidRPr="0069083B">
              <w:rPr>
                <w:rFonts w:ascii="Arial" w:hAnsi="Arial" w:cs="Arial"/>
                <w:sz w:val="20"/>
                <w:szCs w:val="20"/>
              </w:rPr>
              <w:t xml:space="preserve">is an FDA-cleared/approved </w:t>
            </w:r>
            <w:r w:rsidR="00CB2605" w:rsidRPr="0069083B">
              <w:rPr>
                <w:rFonts w:ascii="Arial" w:hAnsi="Arial" w:cs="Arial"/>
                <w:iCs/>
                <w:sz w:val="20"/>
                <w:szCs w:val="20"/>
              </w:rPr>
              <w:t>in vitro</w:t>
            </w:r>
            <w:r w:rsidR="00CB2605" w:rsidRPr="0069083B">
              <w:rPr>
                <w:rFonts w:ascii="Arial" w:hAnsi="Arial" w:cs="Arial"/>
                <w:sz w:val="20"/>
                <w:szCs w:val="20"/>
              </w:rPr>
              <w:t xml:space="preserve"> diagnostic assay that reports the qualitative result based on a predefined cut-off value. Verification of AMR or the cut-off value is not required by CAP or CLIA.</w:t>
            </w:r>
            <w:r w:rsidR="0096526D" w:rsidRPr="0069083B">
              <w:rPr>
                <w:rFonts w:ascii="Arial" w:hAnsi="Arial" w:cs="Arial"/>
                <w:sz w:val="20"/>
                <w:szCs w:val="20"/>
              </w:rPr>
              <w:t xml:space="preserve">  The DiaSorin stated AMR is 10.00-4000.00 Index.  </w:t>
            </w:r>
          </w:p>
        </w:tc>
      </w:tr>
      <w:tr w:rsidR="007D1D18" w:rsidRPr="0069083B" w:rsidTr="002818D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7050"/>
        </w:trPr>
        <w:tc>
          <w:tcPr>
            <w:tcW w:w="1798" w:type="dxa"/>
            <w:tcBorders>
              <w:top w:val="nil"/>
              <w:left w:val="nil"/>
              <w:bottom w:val="nil"/>
            </w:tcBorders>
          </w:tcPr>
          <w:p w:rsidR="007D1D18" w:rsidRPr="0069083B" w:rsidRDefault="007D1D18">
            <w:pPr>
              <w:rPr>
                <w:rFonts w:ascii="Arial" w:hAnsi="Arial" w:cs="Arial"/>
                <w:b/>
                <w:bCs/>
                <w:color w:val="0000FF"/>
                <w:sz w:val="20"/>
                <w:szCs w:val="20"/>
              </w:rPr>
            </w:pPr>
          </w:p>
          <w:p w:rsidR="007D1D18" w:rsidRPr="0069083B" w:rsidRDefault="007D1D18">
            <w:pPr>
              <w:jc w:val="left"/>
              <w:rPr>
                <w:rFonts w:ascii="Arial" w:hAnsi="Arial" w:cs="Arial"/>
                <w:b/>
                <w:bCs/>
                <w:color w:val="0000FF"/>
                <w:sz w:val="20"/>
                <w:szCs w:val="20"/>
              </w:rPr>
            </w:pPr>
            <w:r w:rsidRPr="0069083B">
              <w:rPr>
                <w:rFonts w:ascii="Arial" w:hAnsi="Arial" w:cs="Arial"/>
                <w:b/>
                <w:bCs/>
                <w:color w:val="0000FF"/>
                <w:sz w:val="20"/>
                <w:szCs w:val="20"/>
              </w:rPr>
              <w:t xml:space="preserve">Quality Control </w:t>
            </w:r>
          </w:p>
          <w:p w:rsidR="007D1D18" w:rsidRPr="0069083B" w:rsidRDefault="007D1D18">
            <w:pPr>
              <w:rPr>
                <w:rFonts w:ascii="Arial" w:hAnsi="Arial" w:cs="Arial"/>
                <w:b/>
                <w:bCs/>
                <w:color w:val="0000FF"/>
                <w:sz w:val="20"/>
                <w:szCs w:val="20"/>
              </w:rPr>
            </w:pPr>
            <w:r w:rsidRPr="0069083B">
              <w:rPr>
                <w:rFonts w:ascii="Arial" w:hAnsi="Arial" w:cs="Arial"/>
                <w:b/>
                <w:bCs/>
                <w:color w:val="0000FF"/>
                <w:sz w:val="20"/>
                <w:szCs w:val="20"/>
              </w:rPr>
              <w:t>(Daily)</w:t>
            </w:r>
          </w:p>
        </w:tc>
        <w:tc>
          <w:tcPr>
            <w:tcW w:w="9542" w:type="dxa"/>
            <w:gridSpan w:val="2"/>
            <w:tcBorders>
              <w:top w:val="single" w:sz="18" w:space="0" w:color="BFBFBF"/>
              <w:bottom w:val="single" w:sz="18" w:space="0" w:color="BFBFBF"/>
              <w:right w:val="nil"/>
            </w:tcBorders>
          </w:tcPr>
          <w:p w:rsidR="007D1D18" w:rsidRPr="0069083B" w:rsidRDefault="007D1D18">
            <w:pPr>
              <w:rPr>
                <w:rFonts w:ascii="Arial" w:hAnsi="Arial" w:cs="Arial"/>
                <w:sz w:val="20"/>
                <w:szCs w:val="20"/>
              </w:rPr>
            </w:pPr>
          </w:p>
          <w:p w:rsidR="007D1D18" w:rsidRPr="0069083B" w:rsidRDefault="007D1D18">
            <w:pPr>
              <w:rPr>
                <w:rFonts w:ascii="Arial" w:hAnsi="Arial" w:cs="Arial"/>
                <w:sz w:val="20"/>
                <w:szCs w:val="20"/>
              </w:rPr>
            </w:pPr>
            <w:r w:rsidRPr="0069083B">
              <w:rPr>
                <w:rFonts w:ascii="Arial" w:hAnsi="Arial" w:cs="Arial"/>
                <w:b/>
                <w:bCs/>
                <w:sz w:val="20"/>
                <w:szCs w:val="20"/>
              </w:rPr>
              <w:t>LIAISON</w:t>
            </w:r>
            <w:r w:rsidRPr="0069083B">
              <w:rPr>
                <w:rFonts w:ascii="Arial" w:hAnsi="Arial" w:cs="Arial"/>
                <w:sz w:val="20"/>
                <w:szCs w:val="20"/>
              </w:rPr>
              <w:t xml:space="preserve">® </w:t>
            </w:r>
            <w:r w:rsidRPr="0069083B">
              <w:rPr>
                <w:rFonts w:ascii="Arial" w:hAnsi="Arial" w:cs="Arial"/>
                <w:b/>
                <w:bCs/>
                <w:sz w:val="20"/>
                <w:szCs w:val="20"/>
              </w:rPr>
              <w:t xml:space="preserve">VZV IgG Controls (310496): </w:t>
            </w:r>
            <w:r w:rsidRPr="0069083B">
              <w:rPr>
                <w:rFonts w:ascii="Arial" w:hAnsi="Arial" w:cs="Arial"/>
                <w:sz w:val="20"/>
                <w:szCs w:val="20"/>
              </w:rPr>
              <w:t xml:space="preserve">intended for use as assayed quality control to monitor the performance of the DiaSorin Liaison VZV IgG assay on the </w:t>
            </w:r>
            <w:r w:rsidR="00E744E4" w:rsidRPr="0069083B">
              <w:rPr>
                <w:rFonts w:ascii="Arial" w:hAnsi="Arial" w:cs="Arial"/>
                <w:sz w:val="20"/>
                <w:szCs w:val="20"/>
              </w:rPr>
              <w:t>Liaison XL</w:t>
            </w:r>
            <w:r w:rsidRPr="0069083B">
              <w:rPr>
                <w:rFonts w:ascii="Arial" w:hAnsi="Arial" w:cs="Arial"/>
                <w:sz w:val="20"/>
                <w:szCs w:val="20"/>
              </w:rPr>
              <w:t xml:space="preserve"> Analyzer.</w:t>
            </w:r>
          </w:p>
          <w:p w:rsidR="007D1D18" w:rsidRPr="0069083B" w:rsidRDefault="007D1D18">
            <w:pPr>
              <w:rPr>
                <w:rFonts w:ascii="Arial" w:hAnsi="Arial" w:cs="Arial"/>
                <w:sz w:val="20"/>
                <w:szCs w:val="20"/>
              </w:rPr>
            </w:pPr>
          </w:p>
          <w:p w:rsidR="007D1D18" w:rsidRPr="0069083B" w:rsidRDefault="007D1D18" w:rsidP="00F075B2">
            <w:pPr>
              <w:numPr>
                <w:ilvl w:val="0"/>
                <w:numId w:val="10"/>
              </w:numPr>
              <w:autoSpaceDE w:val="0"/>
              <w:autoSpaceDN w:val="0"/>
              <w:adjustRightInd w:val="0"/>
              <w:jc w:val="left"/>
              <w:rPr>
                <w:rFonts w:ascii="Arial" w:hAnsi="Arial" w:cs="Arial"/>
                <w:sz w:val="20"/>
                <w:szCs w:val="20"/>
              </w:rPr>
            </w:pPr>
            <w:r w:rsidRPr="0069083B">
              <w:rPr>
                <w:rFonts w:ascii="Arial" w:hAnsi="Arial" w:cs="Arial"/>
                <w:sz w:val="20"/>
                <w:szCs w:val="20"/>
              </w:rPr>
              <w:t>Negative control (0.7 mL x 2 vials) human serum/plasma non-reactive for VZV IgG</w:t>
            </w:r>
          </w:p>
          <w:p w:rsidR="007D1D18" w:rsidRPr="0069083B" w:rsidRDefault="007D1D18" w:rsidP="00F075B2">
            <w:pPr>
              <w:numPr>
                <w:ilvl w:val="0"/>
                <w:numId w:val="10"/>
              </w:numPr>
              <w:spacing w:before="20"/>
              <w:rPr>
                <w:rFonts w:ascii="Arial" w:hAnsi="Arial" w:cs="Arial"/>
                <w:sz w:val="20"/>
                <w:szCs w:val="20"/>
              </w:rPr>
            </w:pPr>
            <w:r w:rsidRPr="0069083B">
              <w:rPr>
                <w:rFonts w:ascii="Arial" w:hAnsi="Arial" w:cs="Arial"/>
                <w:sz w:val="20"/>
                <w:szCs w:val="20"/>
              </w:rPr>
              <w:t>Positive control (0.7 mL x 2 vials) human serum/plasma reactive for VZV IgG</w:t>
            </w:r>
          </w:p>
          <w:p w:rsidR="007D1D18" w:rsidRPr="0069083B" w:rsidRDefault="007D1D18" w:rsidP="00F075B2">
            <w:pPr>
              <w:numPr>
                <w:ilvl w:val="0"/>
                <w:numId w:val="3"/>
              </w:numPr>
              <w:rPr>
                <w:rFonts w:ascii="Arial" w:hAnsi="Arial" w:cs="Arial"/>
                <w:sz w:val="20"/>
                <w:szCs w:val="20"/>
              </w:rPr>
            </w:pPr>
            <w:r w:rsidRPr="0069083B">
              <w:rPr>
                <w:rFonts w:ascii="Arial" w:hAnsi="Arial" w:cs="Arial"/>
                <w:sz w:val="20"/>
                <w:szCs w:val="20"/>
              </w:rPr>
              <w:t xml:space="preserve">Allow controls to reach room temperature prior to use. </w:t>
            </w:r>
          </w:p>
          <w:p w:rsidR="007D1D18" w:rsidRPr="0069083B" w:rsidRDefault="007D1D18" w:rsidP="009B3185">
            <w:pPr>
              <w:numPr>
                <w:ilvl w:val="0"/>
                <w:numId w:val="3"/>
              </w:numPr>
              <w:rPr>
                <w:rFonts w:ascii="Arial" w:hAnsi="Arial" w:cs="Arial"/>
                <w:sz w:val="20"/>
                <w:szCs w:val="20"/>
              </w:rPr>
            </w:pPr>
            <w:r w:rsidRPr="0069083B">
              <w:rPr>
                <w:rFonts w:ascii="Arial" w:hAnsi="Arial" w:cs="Arial"/>
                <w:sz w:val="20"/>
                <w:szCs w:val="20"/>
              </w:rPr>
              <w:t>Return controls to the refrigerator immediately after each use.</w:t>
            </w:r>
          </w:p>
          <w:p w:rsidR="007D1D18" w:rsidRPr="0069083B" w:rsidRDefault="007D1D18" w:rsidP="00832AA7">
            <w:pPr>
              <w:numPr>
                <w:ilvl w:val="0"/>
                <w:numId w:val="3"/>
              </w:numPr>
              <w:rPr>
                <w:rFonts w:ascii="Arial" w:hAnsi="Arial" w:cs="Arial"/>
                <w:b/>
                <w:bCs/>
                <w:sz w:val="20"/>
                <w:szCs w:val="20"/>
              </w:rPr>
            </w:pPr>
            <w:r w:rsidRPr="0069083B">
              <w:rPr>
                <w:rFonts w:ascii="Arial" w:hAnsi="Arial" w:cs="Arial"/>
                <w:sz w:val="20"/>
                <w:szCs w:val="20"/>
              </w:rPr>
              <w:t>Controls are not kit lot specific and may be interchanged with different reagent kits</w:t>
            </w:r>
          </w:p>
          <w:p w:rsidR="007D1D18" w:rsidRPr="0069083B" w:rsidRDefault="007D1D18">
            <w:pPr>
              <w:pStyle w:val="Header"/>
              <w:tabs>
                <w:tab w:val="clear" w:pos="4320"/>
                <w:tab w:val="clear" w:pos="8640"/>
              </w:tabs>
              <w:rPr>
                <w:rFonts w:ascii="Arial" w:hAnsi="Arial" w:cs="Arial"/>
                <w:b/>
                <w:bCs/>
                <w:sz w:val="20"/>
                <w:szCs w:val="20"/>
              </w:rPr>
            </w:pPr>
          </w:p>
          <w:p w:rsidR="007D1D18" w:rsidRPr="0069083B" w:rsidRDefault="007D1D18">
            <w:pPr>
              <w:pStyle w:val="Header"/>
              <w:tabs>
                <w:tab w:val="clear" w:pos="4320"/>
                <w:tab w:val="clear" w:pos="8640"/>
              </w:tabs>
              <w:rPr>
                <w:rFonts w:ascii="Arial" w:hAnsi="Arial" w:cs="Arial"/>
                <w:sz w:val="20"/>
                <w:szCs w:val="20"/>
              </w:rPr>
            </w:pPr>
            <w:r w:rsidRPr="0069083B">
              <w:rPr>
                <w:rFonts w:ascii="Arial" w:hAnsi="Arial" w:cs="Arial"/>
                <w:b/>
                <w:bCs/>
                <w:sz w:val="20"/>
                <w:szCs w:val="20"/>
              </w:rPr>
              <w:t>Frequency:</w:t>
            </w:r>
            <w:r w:rsidRPr="0069083B">
              <w:rPr>
                <w:rFonts w:ascii="Arial" w:hAnsi="Arial" w:cs="Arial"/>
                <w:sz w:val="20"/>
                <w:szCs w:val="20"/>
              </w:rPr>
              <w:t xml:space="preserve"> Run 2 levels each day of use. </w:t>
            </w:r>
            <w:r w:rsidR="0069083B">
              <w:rPr>
                <w:rFonts w:ascii="Arial" w:hAnsi="Arial" w:cs="Arial"/>
                <w:sz w:val="20"/>
                <w:szCs w:val="20"/>
              </w:rPr>
              <w:t xml:space="preserve"> </w:t>
            </w:r>
            <w:r w:rsidRPr="0069083B">
              <w:rPr>
                <w:rFonts w:ascii="Arial" w:hAnsi="Arial" w:cs="Arial"/>
                <w:sz w:val="20"/>
                <w:szCs w:val="20"/>
              </w:rPr>
              <w:t>Remove caps and load the bar</w:t>
            </w:r>
            <w:r w:rsidR="009B3185" w:rsidRPr="0069083B">
              <w:rPr>
                <w:rFonts w:ascii="Arial" w:hAnsi="Arial" w:cs="Arial"/>
                <w:sz w:val="20"/>
                <w:szCs w:val="20"/>
              </w:rPr>
              <w:t>-coded control vials into the “T</w:t>
            </w:r>
            <w:r w:rsidRPr="0069083B">
              <w:rPr>
                <w:rFonts w:ascii="Arial" w:hAnsi="Arial" w:cs="Arial"/>
                <w:sz w:val="20"/>
                <w:szCs w:val="20"/>
              </w:rPr>
              <w:t xml:space="preserve">” rack on the </w:t>
            </w:r>
            <w:r w:rsidR="00E744E4" w:rsidRPr="0069083B">
              <w:rPr>
                <w:rFonts w:ascii="Arial" w:hAnsi="Arial" w:cs="Arial"/>
                <w:sz w:val="20"/>
                <w:szCs w:val="20"/>
              </w:rPr>
              <w:t>Liaison XL</w:t>
            </w:r>
            <w:r w:rsidRPr="0069083B">
              <w:rPr>
                <w:rFonts w:ascii="Arial" w:hAnsi="Arial" w:cs="Arial"/>
                <w:sz w:val="20"/>
                <w:szCs w:val="20"/>
              </w:rPr>
              <w:t xml:space="preserve"> with the barcode facing out</w:t>
            </w:r>
          </w:p>
          <w:p w:rsidR="007D1D18" w:rsidRPr="0069083B" w:rsidRDefault="007D1D18">
            <w:pPr>
              <w:rPr>
                <w:rFonts w:ascii="Arial" w:hAnsi="Arial" w:cs="Arial"/>
                <w:sz w:val="20"/>
                <w:szCs w:val="20"/>
              </w:rPr>
            </w:pPr>
          </w:p>
          <w:p w:rsidR="007D1D18" w:rsidRPr="0069083B" w:rsidRDefault="007D1D18">
            <w:pPr>
              <w:autoSpaceDE w:val="0"/>
              <w:autoSpaceDN w:val="0"/>
              <w:adjustRightInd w:val="0"/>
              <w:jc w:val="left"/>
              <w:rPr>
                <w:rFonts w:ascii="Arial" w:hAnsi="Arial" w:cs="Arial"/>
                <w:sz w:val="20"/>
                <w:szCs w:val="20"/>
              </w:rPr>
            </w:pPr>
            <w:r w:rsidRPr="0069083B">
              <w:rPr>
                <w:rFonts w:ascii="Arial" w:hAnsi="Arial" w:cs="Arial"/>
                <w:b/>
                <w:bCs/>
                <w:sz w:val="20"/>
                <w:szCs w:val="20"/>
              </w:rPr>
              <w:t>Stability:</w:t>
            </w:r>
            <w:r w:rsidRPr="0069083B">
              <w:rPr>
                <w:rFonts w:ascii="Arial" w:hAnsi="Arial" w:cs="Arial"/>
                <w:sz w:val="20"/>
                <w:szCs w:val="20"/>
              </w:rPr>
              <w:t xml:space="preserve"> </w:t>
            </w:r>
          </w:p>
          <w:p w:rsidR="007D1D18" w:rsidRPr="0069083B" w:rsidRDefault="007D1D18">
            <w:pPr>
              <w:autoSpaceDE w:val="0"/>
              <w:autoSpaceDN w:val="0"/>
              <w:adjustRightInd w:val="0"/>
              <w:jc w:val="left"/>
              <w:rPr>
                <w:rFonts w:ascii="Arial" w:hAnsi="Arial" w:cs="Arial"/>
                <w:sz w:val="20"/>
                <w:szCs w:val="20"/>
              </w:rPr>
            </w:pPr>
            <w:r w:rsidRPr="0069083B">
              <w:rPr>
                <w:rFonts w:ascii="Arial" w:hAnsi="Arial" w:cs="Arial"/>
                <w:sz w:val="20"/>
                <w:szCs w:val="20"/>
              </w:rPr>
              <w:t xml:space="preserve">Unopened: Store at 2-8°C. </w:t>
            </w:r>
            <w:r w:rsidR="0069083B">
              <w:rPr>
                <w:rFonts w:ascii="Arial" w:hAnsi="Arial" w:cs="Arial"/>
                <w:sz w:val="20"/>
                <w:szCs w:val="20"/>
              </w:rPr>
              <w:t xml:space="preserve"> </w:t>
            </w:r>
            <w:r w:rsidRPr="0069083B">
              <w:rPr>
                <w:rFonts w:ascii="Arial" w:hAnsi="Arial" w:cs="Arial"/>
                <w:sz w:val="20"/>
                <w:szCs w:val="20"/>
              </w:rPr>
              <w:t xml:space="preserve">Stable until the date on vial. </w:t>
            </w:r>
            <w:r w:rsidR="0069083B">
              <w:rPr>
                <w:rFonts w:ascii="Arial" w:hAnsi="Arial" w:cs="Arial"/>
                <w:sz w:val="20"/>
                <w:szCs w:val="20"/>
              </w:rPr>
              <w:t xml:space="preserve"> </w:t>
            </w:r>
            <w:r w:rsidRPr="0069083B">
              <w:rPr>
                <w:rFonts w:ascii="Arial" w:hAnsi="Arial" w:cs="Arial"/>
                <w:sz w:val="20"/>
                <w:szCs w:val="20"/>
              </w:rPr>
              <w:t xml:space="preserve">Do not use past the expiration date </w:t>
            </w:r>
          </w:p>
          <w:p w:rsidR="007D1D18" w:rsidRPr="0069083B" w:rsidRDefault="007D1D18">
            <w:pPr>
              <w:autoSpaceDE w:val="0"/>
              <w:autoSpaceDN w:val="0"/>
              <w:adjustRightInd w:val="0"/>
              <w:jc w:val="left"/>
              <w:rPr>
                <w:rFonts w:ascii="Arial" w:hAnsi="Arial" w:cs="Arial"/>
                <w:sz w:val="20"/>
                <w:szCs w:val="20"/>
              </w:rPr>
            </w:pPr>
            <w:r w:rsidRPr="0069083B">
              <w:rPr>
                <w:rFonts w:ascii="Arial" w:hAnsi="Arial" w:cs="Arial"/>
                <w:sz w:val="20"/>
                <w:szCs w:val="20"/>
              </w:rPr>
              <w:t xml:space="preserve">Opened: 8 weeks at 2-8°C between uses. </w:t>
            </w:r>
          </w:p>
          <w:p w:rsidR="007D1D18" w:rsidRPr="0069083B" w:rsidRDefault="007D1D18">
            <w:pPr>
              <w:rPr>
                <w:rFonts w:ascii="Arial" w:hAnsi="Arial" w:cs="Arial"/>
                <w:sz w:val="20"/>
                <w:szCs w:val="20"/>
              </w:rPr>
            </w:pPr>
          </w:p>
          <w:p w:rsidR="00E744E4" w:rsidRPr="0069083B" w:rsidRDefault="00E744E4" w:rsidP="00E744E4">
            <w:pPr>
              <w:rPr>
                <w:rFonts w:ascii="Arial" w:hAnsi="Arial" w:cs="Arial"/>
                <w:sz w:val="20"/>
                <w:szCs w:val="20"/>
              </w:rPr>
            </w:pPr>
            <w:r w:rsidRPr="0069083B">
              <w:rPr>
                <w:rFonts w:ascii="Arial" w:hAnsi="Arial" w:cs="Arial"/>
                <w:b/>
                <w:bCs/>
                <w:sz w:val="20"/>
                <w:szCs w:val="20"/>
              </w:rPr>
              <w:t>Acceptable ranges:</w:t>
            </w:r>
            <w:r w:rsidRPr="0069083B">
              <w:rPr>
                <w:rFonts w:ascii="Arial" w:hAnsi="Arial" w:cs="Arial"/>
                <w:sz w:val="20"/>
                <w:szCs w:val="20"/>
              </w:rPr>
              <w:t xml:space="preserve"> </w:t>
            </w:r>
          </w:p>
          <w:p w:rsidR="00E744E4" w:rsidRPr="0069083B" w:rsidRDefault="00E744E4" w:rsidP="00E744E4">
            <w:pPr>
              <w:pStyle w:val="ListParagraph"/>
              <w:numPr>
                <w:ilvl w:val="0"/>
                <w:numId w:val="21"/>
              </w:numPr>
              <w:jc w:val="both"/>
              <w:rPr>
                <w:rFonts w:cs="Arial"/>
                <w:szCs w:val="20"/>
              </w:rPr>
            </w:pPr>
            <w:r w:rsidRPr="0069083B">
              <w:rPr>
                <w:rFonts w:cs="Arial"/>
                <w:szCs w:val="20"/>
              </w:rPr>
              <w:t xml:space="preserve">Non-Bio-Rad controls will utilize manufacturer ranges and 2 SD Westgard rules.  </w:t>
            </w:r>
          </w:p>
          <w:p w:rsidR="00E744E4" w:rsidRPr="0069083B" w:rsidRDefault="00E744E4" w:rsidP="00E744E4">
            <w:pPr>
              <w:pStyle w:val="ListParagraph"/>
              <w:numPr>
                <w:ilvl w:val="0"/>
                <w:numId w:val="21"/>
              </w:numPr>
              <w:jc w:val="both"/>
              <w:rPr>
                <w:rFonts w:cs="Arial"/>
                <w:szCs w:val="20"/>
              </w:rPr>
            </w:pPr>
            <w:r w:rsidRPr="0069083B">
              <w:rPr>
                <w:rFonts w:cs="Arial"/>
                <w:szCs w:val="20"/>
              </w:rPr>
              <w:t xml:space="preserve">New lots of Bio-Rad controls should be run for 20 days in parallel with the current lot whenever possible prior to switching to the new lot.  </w:t>
            </w:r>
          </w:p>
          <w:p w:rsidR="00E744E4" w:rsidRPr="0069083B" w:rsidRDefault="00E744E4" w:rsidP="00E744E4">
            <w:pPr>
              <w:pStyle w:val="ListParagraph"/>
              <w:numPr>
                <w:ilvl w:val="0"/>
                <w:numId w:val="21"/>
              </w:numPr>
              <w:jc w:val="both"/>
              <w:rPr>
                <w:rFonts w:cs="Arial"/>
                <w:szCs w:val="20"/>
              </w:rPr>
            </w:pPr>
            <w:r w:rsidRPr="0069083B">
              <w:rPr>
                <w:rFonts w:cs="Arial"/>
                <w:szCs w:val="20"/>
              </w:rPr>
              <w:t xml:space="preserve">Refer to the </w:t>
            </w:r>
            <w:hyperlink r:id="rId8" w:history="1">
              <w:r w:rsidRPr="0069083B">
                <w:rPr>
                  <w:rStyle w:val="Hyperlink"/>
                  <w:rFonts w:cs="Arial"/>
                  <w:szCs w:val="20"/>
                </w:rPr>
                <w:t>Westgard Rules in Chemistry procedure</w:t>
              </w:r>
            </w:hyperlink>
            <w:r w:rsidRPr="0069083B">
              <w:rPr>
                <w:rFonts w:cs="Arial"/>
                <w:szCs w:val="20"/>
              </w:rPr>
              <w:t xml:space="preserve"> for current Westgard rules in place for each analyte.  </w:t>
            </w:r>
          </w:p>
          <w:p w:rsidR="00E744E4" w:rsidRPr="0069083B" w:rsidRDefault="00E744E4" w:rsidP="00E744E4">
            <w:pPr>
              <w:numPr>
                <w:ilvl w:val="0"/>
                <w:numId w:val="21"/>
              </w:numPr>
              <w:autoSpaceDE w:val="0"/>
              <w:autoSpaceDN w:val="0"/>
              <w:adjustRightInd w:val="0"/>
              <w:rPr>
                <w:rFonts w:ascii="Arial" w:hAnsi="Arial" w:cs="Arial"/>
                <w:sz w:val="20"/>
                <w:szCs w:val="20"/>
              </w:rPr>
            </w:pPr>
            <w:r w:rsidRPr="0069083B">
              <w:rPr>
                <w:rFonts w:ascii="Arial" w:hAnsi="Arial" w:cs="Arial"/>
                <w:b/>
                <w:sz w:val="20"/>
                <w:szCs w:val="20"/>
              </w:rPr>
              <w:t>Acceptable ranges are current in Unity Real Time only.</w:t>
            </w:r>
            <w:r w:rsidRPr="0069083B">
              <w:rPr>
                <w:rFonts w:ascii="Arial" w:hAnsi="Arial" w:cs="Arial"/>
                <w:sz w:val="20"/>
                <w:szCs w:val="20"/>
              </w:rPr>
              <w:t xml:space="preserve">  Quality Control results must be rejected in Sunquest when the results cross the interface.  </w:t>
            </w:r>
          </w:p>
          <w:p w:rsidR="00E744E4" w:rsidRPr="0069083B" w:rsidRDefault="00E744E4" w:rsidP="00E744E4">
            <w:pPr>
              <w:numPr>
                <w:ilvl w:val="0"/>
                <w:numId w:val="21"/>
              </w:numPr>
              <w:autoSpaceDE w:val="0"/>
              <w:autoSpaceDN w:val="0"/>
              <w:adjustRightInd w:val="0"/>
              <w:rPr>
                <w:rFonts w:ascii="Arial" w:hAnsi="Arial" w:cs="Arial"/>
                <w:color w:val="000000"/>
                <w:sz w:val="20"/>
                <w:szCs w:val="20"/>
              </w:rPr>
            </w:pPr>
            <w:r w:rsidRPr="0069083B">
              <w:rPr>
                <w:rFonts w:ascii="Arial" w:hAnsi="Arial" w:cs="Arial"/>
                <w:sz w:val="20"/>
                <w:szCs w:val="20"/>
              </w:rPr>
              <w:t xml:space="preserve">In the event of a QC failure, refer to the </w:t>
            </w:r>
            <w:hyperlink r:id="rId9" w:history="1">
              <w:r w:rsidRPr="0069083B">
                <w:rPr>
                  <w:rStyle w:val="Hyperlink"/>
                  <w:rFonts w:ascii="Arial" w:hAnsi="Arial" w:cs="Arial"/>
                  <w:sz w:val="20"/>
                  <w:szCs w:val="20"/>
                </w:rPr>
                <w:t>Unity Real Time QC Review, General User</w:t>
              </w:r>
            </w:hyperlink>
            <w:r w:rsidRPr="0069083B">
              <w:rPr>
                <w:rFonts w:ascii="Arial" w:hAnsi="Arial" w:cs="Arial"/>
                <w:sz w:val="20"/>
                <w:szCs w:val="20"/>
              </w:rPr>
              <w:t xml:space="preserve"> and navigate to the QC Troubleshooting section.</w:t>
            </w:r>
          </w:p>
          <w:p w:rsidR="00E744E4" w:rsidRPr="0069083B" w:rsidRDefault="00E744E4" w:rsidP="00E744E4">
            <w:pPr>
              <w:numPr>
                <w:ilvl w:val="0"/>
                <w:numId w:val="21"/>
              </w:numPr>
              <w:autoSpaceDE w:val="0"/>
              <w:autoSpaceDN w:val="0"/>
              <w:adjustRightInd w:val="0"/>
              <w:rPr>
                <w:rFonts w:ascii="Arial" w:hAnsi="Arial" w:cs="Arial"/>
                <w:color w:val="000000"/>
                <w:sz w:val="20"/>
                <w:szCs w:val="20"/>
              </w:rPr>
            </w:pPr>
            <w:r w:rsidRPr="0069083B">
              <w:rPr>
                <w:rFonts w:ascii="Arial" w:hAnsi="Arial" w:cs="Arial"/>
                <w:sz w:val="20"/>
                <w:szCs w:val="20"/>
              </w:rPr>
              <w:t xml:space="preserve">Do not load or release patients until QC is acceptable in Unity Real Time.  </w:t>
            </w:r>
          </w:p>
          <w:p w:rsidR="007D1D18" w:rsidRPr="0069083B" w:rsidRDefault="007D1D18" w:rsidP="00E744E4">
            <w:pPr>
              <w:rPr>
                <w:rFonts w:ascii="Arial" w:hAnsi="Arial" w:cs="Arial"/>
                <w:iCs/>
                <w:sz w:val="20"/>
                <w:szCs w:val="20"/>
              </w:rPr>
            </w:pPr>
          </w:p>
        </w:tc>
      </w:tr>
      <w:tr w:rsidR="00F075B2" w:rsidRPr="0069083B" w:rsidTr="00F80030">
        <w:tblPrEx>
          <w:tblCellMar>
            <w:top w:w="0" w:type="dxa"/>
            <w:bottom w:w="0" w:type="dxa"/>
          </w:tblCellMar>
        </w:tblPrEx>
        <w:trPr>
          <w:cantSplit/>
          <w:trHeight w:val="5174"/>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rPr>
                <w:rFonts w:ascii="Arial" w:hAnsi="Arial" w:cs="Arial"/>
                <w:b/>
                <w:bCs/>
                <w:color w:val="0000FF"/>
                <w:sz w:val="20"/>
                <w:szCs w:val="20"/>
              </w:rPr>
            </w:pPr>
            <w:r w:rsidRPr="0069083B">
              <w:rPr>
                <w:rFonts w:ascii="Arial" w:hAnsi="Arial" w:cs="Arial"/>
                <w:b/>
                <w:bCs/>
                <w:color w:val="0000FF"/>
                <w:sz w:val="20"/>
                <w:szCs w:val="20"/>
              </w:rPr>
              <w:t>Procedure</w:t>
            </w:r>
          </w:p>
        </w:tc>
        <w:tc>
          <w:tcPr>
            <w:tcW w:w="9542" w:type="dxa"/>
            <w:gridSpan w:val="2"/>
            <w:tcBorders>
              <w:top w:val="single" w:sz="18" w:space="0" w:color="BFBFBF"/>
              <w:left w:val="nil"/>
              <w:bottom w:val="single" w:sz="18" w:space="0" w:color="BFBFBF"/>
              <w:right w:val="nil"/>
            </w:tcBorders>
            <w:vAlign w:val="center"/>
          </w:tcPr>
          <w:p w:rsidR="00F075B2" w:rsidRPr="0069083B" w:rsidRDefault="00F075B2" w:rsidP="0069083B">
            <w:pPr>
              <w:autoSpaceDE w:val="0"/>
              <w:autoSpaceDN w:val="0"/>
              <w:adjustRightInd w:val="0"/>
              <w:rPr>
                <w:rFonts w:ascii="Arial" w:hAnsi="Arial" w:cs="Arial"/>
                <w:sz w:val="20"/>
                <w:szCs w:val="20"/>
              </w:rPr>
            </w:pPr>
            <w:r w:rsidRPr="0069083B">
              <w:rPr>
                <w:rFonts w:ascii="Arial" w:hAnsi="Arial" w:cs="Arial"/>
                <w:sz w:val="20"/>
                <w:szCs w:val="20"/>
              </w:rPr>
              <w:t xml:space="preserve">Refer to the </w:t>
            </w:r>
            <w:r w:rsidR="0069083B">
              <w:rPr>
                <w:rFonts w:ascii="Arial" w:hAnsi="Arial" w:cs="Arial"/>
                <w:sz w:val="20"/>
                <w:szCs w:val="20"/>
              </w:rPr>
              <w:t xml:space="preserve">instrument </w:t>
            </w:r>
            <w:r w:rsidR="0069083B" w:rsidRPr="0069083B">
              <w:rPr>
                <w:rFonts w:ascii="Arial" w:hAnsi="Arial" w:cs="Arial"/>
                <w:sz w:val="20"/>
                <w:szCs w:val="20"/>
              </w:rPr>
              <w:t>LIAISON® XL Analyzer</w:t>
            </w:r>
            <w:r w:rsidR="0069083B">
              <w:rPr>
                <w:rFonts w:ascii="Arial" w:hAnsi="Arial" w:cs="Arial"/>
                <w:sz w:val="20"/>
                <w:szCs w:val="20"/>
              </w:rPr>
              <w:t xml:space="preserve"> Operating procedure.  </w:t>
            </w:r>
            <w:r w:rsidRPr="0069083B">
              <w:rPr>
                <w:rFonts w:ascii="Arial" w:hAnsi="Arial" w:cs="Arial"/>
                <w:sz w:val="20"/>
                <w:szCs w:val="20"/>
              </w:rPr>
              <w:t xml:space="preserve">Strict adherence to the Operator's Manual ensures proper assay performance. </w:t>
            </w:r>
          </w:p>
          <w:p w:rsidR="009B3185" w:rsidRPr="0069083B" w:rsidRDefault="009B3185" w:rsidP="009B3185">
            <w:pPr>
              <w:autoSpaceDE w:val="0"/>
              <w:autoSpaceDN w:val="0"/>
              <w:adjustRightInd w:val="0"/>
              <w:rPr>
                <w:rFonts w:ascii="Arial" w:hAnsi="Arial" w:cs="Arial"/>
                <w:sz w:val="20"/>
                <w:szCs w:val="20"/>
              </w:rPr>
            </w:pPr>
            <w:r w:rsidRPr="0069083B">
              <w:rPr>
                <w:rFonts w:ascii="Arial" w:hAnsi="Arial" w:cs="Arial"/>
                <w:sz w:val="20"/>
                <w:szCs w:val="20"/>
              </w:rPr>
              <w:t>Each test parameter is identified via information encoded in the reagent integral Radio Frequency Identification transponder (RFID Tag). In the event that the RFID Tag cannot be read by the analyzer, the integral cannot be used. Do not discard the reagent integral; contact your local DiaSorin technical support for instruction.</w:t>
            </w:r>
          </w:p>
          <w:p w:rsidR="009B3185" w:rsidRPr="0069083B" w:rsidRDefault="0069083B" w:rsidP="009B3185">
            <w:pPr>
              <w:autoSpaceDE w:val="0"/>
              <w:autoSpaceDN w:val="0"/>
              <w:adjustRightInd w:val="0"/>
              <w:rPr>
                <w:rFonts w:ascii="Arial" w:hAnsi="Arial" w:cs="Arial"/>
                <w:sz w:val="20"/>
                <w:szCs w:val="20"/>
              </w:rPr>
            </w:pPr>
            <w:r>
              <w:rPr>
                <w:rFonts w:ascii="Arial" w:hAnsi="Arial" w:cs="Arial"/>
                <w:sz w:val="20"/>
                <w:szCs w:val="20"/>
              </w:rPr>
              <w:t>The a</w:t>
            </w:r>
            <w:r w:rsidR="009B3185" w:rsidRPr="0069083B">
              <w:rPr>
                <w:rFonts w:ascii="Arial" w:hAnsi="Arial" w:cs="Arial"/>
                <w:sz w:val="20"/>
                <w:szCs w:val="20"/>
              </w:rPr>
              <w:t>nalyzer operations are as follows:</w:t>
            </w:r>
          </w:p>
          <w:p w:rsidR="0069083B"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Dispense calibrators, controls or specimens into the reaction module.</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Dispense coated magnetic particles.</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Dispense specimen diluent.</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Incubate.</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Wash with Wash/System liquid.</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Dispense conjugate into the reaction module.</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Incubate.</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Wash with Wash/System liquid.</w:t>
            </w:r>
          </w:p>
          <w:p w:rsidR="009B3185" w:rsidRPr="0069083B" w:rsidRDefault="009B3185" w:rsidP="0069083B">
            <w:pPr>
              <w:numPr>
                <w:ilvl w:val="0"/>
                <w:numId w:val="26"/>
              </w:numPr>
              <w:autoSpaceDE w:val="0"/>
              <w:autoSpaceDN w:val="0"/>
              <w:adjustRightInd w:val="0"/>
              <w:rPr>
                <w:rFonts w:ascii="Arial" w:hAnsi="Arial" w:cs="Arial"/>
                <w:sz w:val="20"/>
                <w:szCs w:val="20"/>
              </w:rPr>
            </w:pPr>
            <w:r w:rsidRPr="0069083B">
              <w:rPr>
                <w:rFonts w:ascii="Arial" w:hAnsi="Arial" w:cs="Arial"/>
                <w:sz w:val="20"/>
                <w:szCs w:val="20"/>
              </w:rPr>
              <w:t>Add the Starter Kit and measure the light emitted.</w:t>
            </w:r>
          </w:p>
          <w:p w:rsidR="00F075B2" w:rsidRPr="0069083B" w:rsidRDefault="009B3185" w:rsidP="0069083B">
            <w:pPr>
              <w:autoSpaceDE w:val="0"/>
              <w:autoSpaceDN w:val="0"/>
              <w:adjustRightInd w:val="0"/>
              <w:spacing w:after="120"/>
              <w:rPr>
                <w:rFonts w:ascii="Arial" w:hAnsi="Arial" w:cs="Arial"/>
                <w:sz w:val="20"/>
                <w:szCs w:val="20"/>
              </w:rPr>
            </w:pPr>
            <w:r w:rsidRPr="0069083B">
              <w:rPr>
                <w:rFonts w:ascii="Arial" w:hAnsi="Arial" w:cs="Arial"/>
                <w:sz w:val="20"/>
                <w:szCs w:val="20"/>
              </w:rPr>
              <w:t>Procedural details for the test may be viewed directly from the Analyzer's assay definition displays.</w:t>
            </w:r>
          </w:p>
        </w:tc>
      </w:tr>
    </w:tbl>
    <w:p w:rsidR="00F075B2" w:rsidRPr="0069083B" w:rsidRDefault="00F075B2">
      <w:pPr>
        <w:rPr>
          <w:rFonts w:ascii="Arial" w:hAnsi="Arial" w:cs="Arial"/>
          <w:b/>
          <w:bCs/>
          <w:color w:val="0000FF"/>
          <w:sz w:val="20"/>
          <w:szCs w:val="20"/>
        </w:rPr>
        <w:sectPr w:rsidR="00F075B2" w:rsidRPr="0069083B">
          <w:headerReference w:type="default" r:id="rId10"/>
          <w:footerReference w:type="default" r:id="rId11"/>
          <w:pgSz w:w="12240" w:h="15840" w:code="1"/>
          <w:pgMar w:top="576" w:right="1800" w:bottom="576" w:left="1800" w:header="432" w:footer="432" w:gutter="0"/>
          <w:cols w:space="720"/>
          <w:docGrid w:linePitch="360"/>
        </w:sectPr>
      </w:pPr>
    </w:p>
    <w:tbl>
      <w:tblPr>
        <w:tblW w:w="1134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549"/>
      </w:tblGrid>
      <w:tr w:rsidR="00C87EFA" w:rsidRPr="0069083B" w:rsidTr="00F80030">
        <w:tblPrEx>
          <w:tblCellMar>
            <w:top w:w="0" w:type="dxa"/>
            <w:bottom w:w="0" w:type="dxa"/>
          </w:tblCellMar>
        </w:tblPrEx>
        <w:trPr>
          <w:cantSplit/>
          <w:trHeight w:val="1845"/>
        </w:trPr>
        <w:tc>
          <w:tcPr>
            <w:tcW w:w="1798" w:type="dxa"/>
            <w:tcBorders>
              <w:top w:val="nil"/>
              <w:left w:val="nil"/>
              <w:bottom w:val="nil"/>
              <w:right w:val="nil"/>
            </w:tcBorders>
          </w:tcPr>
          <w:p w:rsidR="00C87EFA" w:rsidRPr="0069083B" w:rsidRDefault="00013BC5">
            <w:pPr>
              <w:rPr>
                <w:rFonts w:ascii="Arial" w:hAnsi="Arial" w:cs="Arial"/>
                <w:b/>
                <w:bCs/>
                <w:color w:val="0000FF"/>
                <w:sz w:val="20"/>
                <w:szCs w:val="20"/>
              </w:rPr>
            </w:pPr>
            <w:r w:rsidRPr="0069083B">
              <w:rPr>
                <w:rFonts w:ascii="Arial" w:hAnsi="Arial" w:cs="Arial"/>
                <w:b/>
                <w:bCs/>
                <w:color w:val="0000FF"/>
                <w:sz w:val="20"/>
                <w:szCs w:val="20"/>
              </w:rPr>
              <w:lastRenderedPageBreak/>
              <w:t>Interferences</w:t>
            </w:r>
          </w:p>
        </w:tc>
        <w:tc>
          <w:tcPr>
            <w:tcW w:w="9549" w:type="dxa"/>
            <w:tcBorders>
              <w:top w:val="nil"/>
              <w:left w:val="nil"/>
              <w:bottom w:val="single" w:sz="18" w:space="0" w:color="BFBFBF"/>
              <w:right w:val="nil"/>
            </w:tcBorders>
            <w:vAlign w:val="center"/>
          </w:tcPr>
          <w:p w:rsidR="00C87EFA" w:rsidRPr="0069083B" w:rsidRDefault="00C87EFA" w:rsidP="0056799D">
            <w:pPr>
              <w:autoSpaceDE w:val="0"/>
              <w:autoSpaceDN w:val="0"/>
              <w:adjustRightInd w:val="0"/>
              <w:rPr>
                <w:rFonts w:ascii="Arial" w:hAnsi="Arial" w:cs="Arial"/>
                <w:sz w:val="20"/>
                <w:szCs w:val="20"/>
              </w:rPr>
            </w:pPr>
            <w:r w:rsidRPr="0069083B">
              <w:rPr>
                <w:rFonts w:ascii="Arial" w:hAnsi="Arial" w:cs="Arial"/>
                <w:sz w:val="20"/>
                <w:szCs w:val="20"/>
              </w:rPr>
              <w:t>The DiaSorin LIAISON® VZV IgG assay was evaluated for interference according to CLSI Document EP7 (5). None of</w:t>
            </w:r>
            <w:r w:rsidR="00CE0385" w:rsidRPr="0069083B">
              <w:rPr>
                <w:rFonts w:ascii="Arial" w:hAnsi="Arial" w:cs="Arial"/>
                <w:sz w:val="20"/>
                <w:szCs w:val="20"/>
              </w:rPr>
              <w:t xml:space="preserve"> </w:t>
            </w:r>
            <w:r w:rsidRPr="0069083B">
              <w:rPr>
                <w:rFonts w:ascii="Arial" w:hAnsi="Arial" w:cs="Arial"/>
                <w:sz w:val="20"/>
                <w:szCs w:val="20"/>
              </w:rPr>
              <w:t>the interferents at the levels tested below produced a change in clinical interpretation or a significant change of the</w:t>
            </w:r>
            <w:r w:rsidR="00A32A20" w:rsidRPr="0069083B">
              <w:rPr>
                <w:rFonts w:ascii="Arial" w:hAnsi="Arial" w:cs="Arial"/>
                <w:sz w:val="20"/>
                <w:szCs w:val="20"/>
              </w:rPr>
              <w:t xml:space="preserve"> </w:t>
            </w:r>
            <w:r w:rsidRPr="0069083B">
              <w:rPr>
                <w:rFonts w:ascii="Arial" w:hAnsi="Arial" w:cs="Arial"/>
                <w:sz w:val="20"/>
                <w:szCs w:val="20"/>
              </w:rPr>
              <w:t>assay.</w:t>
            </w:r>
          </w:p>
          <w:p w:rsidR="00C87EFA" w:rsidRPr="0069083B" w:rsidRDefault="00A32A20" w:rsidP="0056799D">
            <w:pPr>
              <w:numPr>
                <w:ilvl w:val="0"/>
                <w:numId w:val="23"/>
              </w:numPr>
              <w:autoSpaceDE w:val="0"/>
              <w:autoSpaceDN w:val="0"/>
              <w:adjustRightInd w:val="0"/>
              <w:rPr>
                <w:rFonts w:ascii="Arial" w:hAnsi="Arial" w:cs="Arial"/>
                <w:sz w:val="20"/>
                <w:szCs w:val="20"/>
              </w:rPr>
            </w:pPr>
            <w:r w:rsidRPr="0069083B">
              <w:rPr>
                <w:rFonts w:ascii="Arial" w:hAnsi="Arial" w:cs="Arial"/>
                <w:sz w:val="20"/>
                <w:szCs w:val="20"/>
              </w:rPr>
              <w:t>Hemolysis</w:t>
            </w:r>
            <w:r w:rsidR="00C87EFA" w:rsidRPr="0069083B">
              <w:rPr>
                <w:rFonts w:ascii="Arial" w:hAnsi="Arial" w:cs="Arial"/>
                <w:sz w:val="20"/>
                <w:szCs w:val="20"/>
              </w:rPr>
              <w:t xml:space="preserve"> 1000 mg/dL</w:t>
            </w:r>
          </w:p>
          <w:p w:rsidR="00C87EFA" w:rsidRPr="0069083B" w:rsidRDefault="00A32A20" w:rsidP="0056799D">
            <w:pPr>
              <w:numPr>
                <w:ilvl w:val="0"/>
                <w:numId w:val="23"/>
              </w:numPr>
              <w:autoSpaceDE w:val="0"/>
              <w:autoSpaceDN w:val="0"/>
              <w:adjustRightInd w:val="0"/>
              <w:rPr>
                <w:rFonts w:ascii="Arial" w:hAnsi="Arial" w:cs="Arial"/>
                <w:sz w:val="20"/>
                <w:szCs w:val="20"/>
              </w:rPr>
            </w:pPr>
            <w:r w:rsidRPr="0069083B">
              <w:rPr>
                <w:rFonts w:ascii="Arial" w:hAnsi="Arial" w:cs="Arial"/>
                <w:sz w:val="20"/>
                <w:szCs w:val="20"/>
              </w:rPr>
              <w:t>Lipemia</w:t>
            </w:r>
            <w:r w:rsidR="00C87EFA" w:rsidRPr="0069083B">
              <w:rPr>
                <w:rFonts w:ascii="Arial" w:hAnsi="Arial" w:cs="Arial"/>
                <w:sz w:val="20"/>
                <w:szCs w:val="20"/>
              </w:rPr>
              <w:t xml:space="preserve"> 3000 mg/dL</w:t>
            </w:r>
          </w:p>
          <w:p w:rsidR="00C87EFA" w:rsidRPr="0069083B" w:rsidRDefault="00A32A20" w:rsidP="0056799D">
            <w:pPr>
              <w:numPr>
                <w:ilvl w:val="0"/>
                <w:numId w:val="23"/>
              </w:numPr>
              <w:autoSpaceDE w:val="0"/>
              <w:autoSpaceDN w:val="0"/>
              <w:adjustRightInd w:val="0"/>
              <w:rPr>
                <w:rFonts w:ascii="Arial" w:hAnsi="Arial" w:cs="Arial"/>
                <w:sz w:val="20"/>
                <w:szCs w:val="20"/>
              </w:rPr>
            </w:pPr>
            <w:r w:rsidRPr="0069083B">
              <w:rPr>
                <w:rFonts w:ascii="Arial" w:hAnsi="Arial" w:cs="Arial"/>
                <w:sz w:val="20"/>
                <w:szCs w:val="20"/>
              </w:rPr>
              <w:t>Icterus</w:t>
            </w:r>
            <w:r w:rsidR="00C87EFA" w:rsidRPr="0069083B">
              <w:rPr>
                <w:rFonts w:ascii="Arial" w:hAnsi="Arial" w:cs="Arial"/>
                <w:sz w:val="20"/>
                <w:szCs w:val="20"/>
              </w:rPr>
              <w:t xml:space="preserve"> 20 mg/dL</w:t>
            </w:r>
          </w:p>
        </w:tc>
      </w:tr>
      <w:tr w:rsidR="00F34EE9" w:rsidRPr="0069083B" w:rsidTr="00F80030">
        <w:tblPrEx>
          <w:tblCellMar>
            <w:top w:w="0" w:type="dxa"/>
            <w:bottom w:w="0" w:type="dxa"/>
          </w:tblCellMar>
        </w:tblPrEx>
        <w:trPr>
          <w:cantSplit/>
          <w:trHeight w:val="1160"/>
        </w:trPr>
        <w:tc>
          <w:tcPr>
            <w:tcW w:w="1798" w:type="dxa"/>
            <w:tcBorders>
              <w:top w:val="nil"/>
              <w:left w:val="nil"/>
              <w:bottom w:val="nil"/>
              <w:right w:val="nil"/>
            </w:tcBorders>
          </w:tcPr>
          <w:p w:rsidR="00A32A20" w:rsidRPr="0069083B" w:rsidRDefault="00A32A20">
            <w:pPr>
              <w:rPr>
                <w:rFonts w:ascii="Arial" w:hAnsi="Arial" w:cs="Arial"/>
                <w:b/>
                <w:color w:val="0000FF"/>
                <w:sz w:val="20"/>
                <w:szCs w:val="20"/>
              </w:rPr>
            </w:pPr>
          </w:p>
          <w:p w:rsidR="00F34EE9" w:rsidRPr="0069083B" w:rsidRDefault="00F34EE9">
            <w:pPr>
              <w:rPr>
                <w:rFonts w:ascii="Arial" w:hAnsi="Arial" w:cs="Arial"/>
                <w:sz w:val="20"/>
                <w:szCs w:val="20"/>
              </w:rPr>
            </w:pPr>
            <w:r w:rsidRPr="0069083B">
              <w:rPr>
                <w:rFonts w:ascii="Arial" w:hAnsi="Arial" w:cs="Arial"/>
                <w:b/>
                <w:color w:val="0000FF"/>
                <w:sz w:val="20"/>
                <w:szCs w:val="20"/>
              </w:rPr>
              <w:t>Reference Range</w:t>
            </w:r>
          </w:p>
        </w:tc>
        <w:tc>
          <w:tcPr>
            <w:tcW w:w="9549" w:type="dxa"/>
            <w:tcBorders>
              <w:top w:val="single" w:sz="18" w:space="0" w:color="BFBFBF"/>
              <w:left w:val="nil"/>
              <w:bottom w:val="single" w:sz="18" w:space="0" w:color="BFBFBF"/>
              <w:right w:val="nil"/>
            </w:tcBorders>
            <w:vAlign w:val="center"/>
          </w:tcPr>
          <w:p w:rsidR="00F34EE9" w:rsidRPr="0069083B" w:rsidRDefault="00F34EE9" w:rsidP="00A32A20">
            <w:pPr>
              <w:autoSpaceDE w:val="0"/>
              <w:autoSpaceDN w:val="0"/>
              <w:adjustRightInd w:val="0"/>
              <w:rPr>
                <w:rFonts w:ascii="Arial" w:hAnsi="Arial" w:cs="Arial"/>
                <w:b/>
                <w:bCs/>
                <w:iCs/>
                <w:sz w:val="20"/>
                <w:szCs w:val="20"/>
              </w:rPr>
            </w:pPr>
            <w:r w:rsidRPr="0069083B">
              <w:rPr>
                <w:rFonts w:ascii="Arial" w:hAnsi="Arial" w:cs="Arial"/>
                <w:sz w:val="20"/>
                <w:szCs w:val="20"/>
              </w:rPr>
              <w:t>The prevalence of VZV antibodies can vary depending on age, geographical location, socioeconomic status, race</w:t>
            </w:r>
            <w:r w:rsidR="008B0971" w:rsidRPr="0069083B">
              <w:rPr>
                <w:rFonts w:ascii="Arial" w:hAnsi="Arial" w:cs="Arial"/>
                <w:sz w:val="20"/>
                <w:szCs w:val="20"/>
              </w:rPr>
              <w:t>,</w:t>
            </w:r>
            <w:r w:rsidRPr="0069083B">
              <w:rPr>
                <w:rFonts w:ascii="Arial" w:hAnsi="Arial" w:cs="Arial"/>
                <w:sz w:val="20"/>
                <w:szCs w:val="20"/>
              </w:rPr>
              <w:t xml:space="preserve"> and vaccine usage. The prevalence of VZV antibodies generally varies from about 15% positive in two-year olds to about 95% in persons over 40 years of age.</w:t>
            </w:r>
            <w:r w:rsidRPr="0069083B">
              <w:rPr>
                <w:rFonts w:ascii="Arial" w:hAnsi="Arial" w:cs="Arial"/>
                <w:b/>
                <w:bCs/>
                <w:iCs/>
                <w:sz w:val="20"/>
                <w:szCs w:val="20"/>
              </w:rPr>
              <w:t xml:space="preserve"> </w:t>
            </w:r>
          </w:p>
        </w:tc>
      </w:tr>
      <w:tr w:rsidR="00F34EE9" w:rsidRPr="0069083B" w:rsidTr="00F80030">
        <w:tblPrEx>
          <w:tblCellMar>
            <w:top w:w="0" w:type="dxa"/>
            <w:bottom w:w="0" w:type="dxa"/>
          </w:tblCellMar>
        </w:tblPrEx>
        <w:trPr>
          <w:cantSplit/>
        </w:trPr>
        <w:tc>
          <w:tcPr>
            <w:tcW w:w="1798" w:type="dxa"/>
            <w:tcBorders>
              <w:top w:val="nil"/>
              <w:left w:val="nil"/>
              <w:bottom w:val="nil"/>
              <w:right w:val="nil"/>
            </w:tcBorders>
          </w:tcPr>
          <w:p w:rsidR="00F34EE9" w:rsidRPr="0069083B" w:rsidRDefault="00F34EE9" w:rsidP="006A09D9">
            <w:pPr>
              <w:rPr>
                <w:rFonts w:ascii="Arial" w:hAnsi="Arial" w:cs="Arial"/>
                <w:sz w:val="20"/>
                <w:szCs w:val="20"/>
              </w:rPr>
            </w:pPr>
          </w:p>
          <w:p w:rsidR="00F34EE9" w:rsidRPr="0069083B" w:rsidRDefault="00F34EE9" w:rsidP="006A09D9">
            <w:pPr>
              <w:pStyle w:val="BodyText3"/>
              <w:jc w:val="left"/>
              <w:rPr>
                <w:rFonts w:ascii="Arial" w:hAnsi="Arial" w:cs="Arial"/>
                <w:sz w:val="20"/>
                <w:szCs w:val="20"/>
              </w:rPr>
            </w:pPr>
            <w:r w:rsidRPr="0069083B">
              <w:rPr>
                <w:rFonts w:ascii="Arial" w:hAnsi="Arial" w:cs="Arial"/>
                <w:sz w:val="20"/>
                <w:szCs w:val="20"/>
              </w:rPr>
              <w:t>Limitations</w:t>
            </w:r>
          </w:p>
          <w:p w:rsidR="00F34EE9" w:rsidRPr="0069083B" w:rsidRDefault="00F34EE9" w:rsidP="006A09D9">
            <w:pPr>
              <w:rPr>
                <w:rFonts w:ascii="Arial" w:hAnsi="Arial" w:cs="Arial"/>
                <w:sz w:val="20"/>
                <w:szCs w:val="20"/>
              </w:rPr>
            </w:pPr>
          </w:p>
        </w:tc>
        <w:tc>
          <w:tcPr>
            <w:tcW w:w="9549" w:type="dxa"/>
            <w:tcBorders>
              <w:top w:val="single" w:sz="18" w:space="0" w:color="BFBFBF"/>
              <w:left w:val="nil"/>
              <w:bottom w:val="single" w:sz="18" w:space="0" w:color="BFBFBF"/>
              <w:right w:val="nil"/>
            </w:tcBorders>
          </w:tcPr>
          <w:p w:rsidR="00F34EE9" w:rsidRPr="0069083B" w:rsidRDefault="00F34EE9" w:rsidP="006A09D9">
            <w:pPr>
              <w:pStyle w:val="TableText"/>
              <w:adjustRightInd w:val="0"/>
              <w:rPr>
                <w:rFonts w:ascii="Arial" w:hAnsi="Arial" w:cs="Arial"/>
                <w:szCs w:val="20"/>
              </w:rPr>
            </w:pPr>
          </w:p>
          <w:p w:rsidR="00F34EE9" w:rsidRPr="0069083B" w:rsidRDefault="0062012B" w:rsidP="006A09D9">
            <w:pPr>
              <w:numPr>
                <w:ilvl w:val="0"/>
                <w:numId w:val="13"/>
              </w:numPr>
              <w:autoSpaceDE w:val="0"/>
              <w:autoSpaceDN w:val="0"/>
              <w:adjustRightInd w:val="0"/>
              <w:jc w:val="left"/>
              <w:rPr>
                <w:rFonts w:ascii="Arial" w:hAnsi="Arial" w:cs="Arial"/>
                <w:sz w:val="20"/>
                <w:szCs w:val="20"/>
              </w:rPr>
            </w:pPr>
            <w:r w:rsidRPr="0069083B">
              <w:rPr>
                <w:rFonts w:ascii="Arial" w:hAnsi="Arial" w:cs="Arial"/>
                <w:sz w:val="20"/>
                <w:szCs w:val="20"/>
              </w:rPr>
              <w:t>Do not heat inactivate sera</w:t>
            </w:r>
          </w:p>
          <w:p w:rsidR="00F34EE9" w:rsidRPr="0069083B" w:rsidRDefault="00F34EE9" w:rsidP="006A09D9">
            <w:pPr>
              <w:numPr>
                <w:ilvl w:val="0"/>
                <w:numId w:val="13"/>
              </w:numPr>
              <w:autoSpaceDE w:val="0"/>
              <w:autoSpaceDN w:val="0"/>
              <w:adjustRightInd w:val="0"/>
              <w:jc w:val="left"/>
              <w:rPr>
                <w:rFonts w:ascii="Arial" w:hAnsi="Arial" w:cs="Arial"/>
                <w:sz w:val="20"/>
                <w:szCs w:val="20"/>
              </w:rPr>
            </w:pPr>
            <w:r w:rsidRPr="0069083B">
              <w:rPr>
                <w:rFonts w:ascii="Arial" w:hAnsi="Arial" w:cs="Arial"/>
                <w:sz w:val="20"/>
                <w:szCs w:val="20"/>
              </w:rPr>
              <w:t>Test for VZV IgG antibodies is of use when clinical symptoms are present or infection suspected.</w:t>
            </w:r>
          </w:p>
          <w:p w:rsidR="00F34EE9" w:rsidRPr="0069083B" w:rsidRDefault="00F34EE9" w:rsidP="006A09D9">
            <w:pPr>
              <w:pStyle w:val="TableText"/>
              <w:numPr>
                <w:ilvl w:val="0"/>
                <w:numId w:val="13"/>
              </w:numPr>
              <w:adjustRightInd w:val="0"/>
              <w:rPr>
                <w:rFonts w:ascii="Arial" w:hAnsi="Arial" w:cs="Arial"/>
                <w:szCs w:val="20"/>
              </w:rPr>
            </w:pPr>
            <w:r w:rsidRPr="0069083B">
              <w:rPr>
                <w:rFonts w:ascii="Arial" w:hAnsi="Arial" w:cs="Arial"/>
                <w:szCs w:val="20"/>
              </w:rPr>
              <w:t>Screening of the general population leads to no appreciable diagnostic advantage.</w:t>
            </w:r>
          </w:p>
          <w:p w:rsidR="00F34EE9" w:rsidRPr="0069083B" w:rsidRDefault="00F34EE9" w:rsidP="006A09D9">
            <w:pPr>
              <w:numPr>
                <w:ilvl w:val="0"/>
                <w:numId w:val="13"/>
              </w:numPr>
              <w:autoSpaceDE w:val="0"/>
              <w:autoSpaceDN w:val="0"/>
              <w:adjustRightInd w:val="0"/>
              <w:jc w:val="left"/>
              <w:rPr>
                <w:rFonts w:ascii="Arial" w:hAnsi="Arial" w:cs="Arial"/>
                <w:sz w:val="20"/>
                <w:szCs w:val="20"/>
              </w:rPr>
            </w:pPr>
            <w:r w:rsidRPr="0069083B">
              <w:rPr>
                <w:rFonts w:ascii="Arial" w:hAnsi="Arial" w:cs="Arial"/>
                <w:sz w:val="20"/>
                <w:szCs w:val="20"/>
              </w:rPr>
              <w:t>Results from immunosuppressed patients should be interpreted with caution.</w:t>
            </w:r>
          </w:p>
          <w:p w:rsidR="00F34EE9" w:rsidRPr="0069083B" w:rsidRDefault="00F34EE9" w:rsidP="006A09D9">
            <w:pPr>
              <w:pStyle w:val="TableText"/>
              <w:numPr>
                <w:ilvl w:val="0"/>
                <w:numId w:val="13"/>
              </w:numPr>
              <w:adjustRightInd w:val="0"/>
              <w:rPr>
                <w:rFonts w:ascii="Arial" w:hAnsi="Arial" w:cs="Arial"/>
                <w:szCs w:val="20"/>
              </w:rPr>
            </w:pPr>
            <w:r w:rsidRPr="0069083B">
              <w:rPr>
                <w:rFonts w:ascii="Arial" w:hAnsi="Arial" w:cs="Arial"/>
                <w:szCs w:val="20"/>
              </w:rPr>
              <w:t xml:space="preserve">The performance characteristics with individuals vaccinated with VZV (ROD Strain) have not been established. </w:t>
            </w:r>
          </w:p>
          <w:p w:rsidR="00F34EE9" w:rsidRPr="0069083B" w:rsidRDefault="00F34EE9" w:rsidP="006A09D9">
            <w:pPr>
              <w:pStyle w:val="TableText"/>
              <w:numPr>
                <w:ilvl w:val="0"/>
                <w:numId w:val="13"/>
              </w:numPr>
              <w:adjustRightInd w:val="0"/>
              <w:rPr>
                <w:rFonts w:ascii="Arial" w:hAnsi="Arial" w:cs="Arial"/>
                <w:szCs w:val="20"/>
              </w:rPr>
            </w:pPr>
            <w:r w:rsidRPr="0069083B">
              <w:rPr>
                <w:rFonts w:ascii="Arial" w:hAnsi="Arial" w:cs="Arial"/>
                <w:szCs w:val="20"/>
              </w:rPr>
              <w:t>The results from this kit are not by themselves diagnostic and should be considered in association with other clinical data and patient symptoms.</w:t>
            </w:r>
          </w:p>
          <w:p w:rsidR="00F34EE9" w:rsidRPr="0069083B" w:rsidRDefault="00F34EE9" w:rsidP="006A09D9">
            <w:pPr>
              <w:numPr>
                <w:ilvl w:val="0"/>
                <w:numId w:val="13"/>
              </w:numPr>
              <w:autoSpaceDE w:val="0"/>
              <w:autoSpaceDN w:val="0"/>
              <w:adjustRightInd w:val="0"/>
              <w:jc w:val="left"/>
              <w:rPr>
                <w:rFonts w:ascii="Arial" w:hAnsi="Arial" w:cs="Arial"/>
                <w:sz w:val="20"/>
                <w:szCs w:val="20"/>
              </w:rPr>
            </w:pPr>
            <w:r w:rsidRPr="0069083B">
              <w:rPr>
                <w:rFonts w:ascii="Arial" w:hAnsi="Arial" w:cs="Arial"/>
                <w:sz w:val="20"/>
                <w:szCs w:val="20"/>
              </w:rPr>
              <w:t>Diagnosis of infectious diseases should not be established on the basis of a single test result, but should be determined in conjunction with clinical findings and other diagnostic procedures as well as in association with medical judgment.</w:t>
            </w:r>
          </w:p>
          <w:p w:rsidR="00F34EE9" w:rsidRPr="0069083B" w:rsidRDefault="00F34EE9" w:rsidP="006A09D9">
            <w:pPr>
              <w:numPr>
                <w:ilvl w:val="0"/>
                <w:numId w:val="13"/>
              </w:numPr>
              <w:autoSpaceDE w:val="0"/>
              <w:autoSpaceDN w:val="0"/>
              <w:adjustRightInd w:val="0"/>
              <w:jc w:val="left"/>
              <w:rPr>
                <w:rFonts w:ascii="Arial" w:hAnsi="Arial" w:cs="Arial"/>
                <w:sz w:val="20"/>
                <w:szCs w:val="20"/>
              </w:rPr>
            </w:pPr>
            <w:r w:rsidRPr="0069083B">
              <w:rPr>
                <w:rFonts w:ascii="Arial" w:hAnsi="Arial" w:cs="Arial"/>
                <w:sz w:val="20"/>
                <w:szCs w:val="20"/>
              </w:rPr>
              <w:t>Although patient samples are washed away prior to the addition of the mouse monoclonal antibody (conjugate), the performance characteristics of HAMA and rheumatoid factor samples have not been established and may occasionally influence results.</w:t>
            </w:r>
          </w:p>
          <w:p w:rsidR="00F34EE9" w:rsidRPr="0069083B" w:rsidRDefault="00F34EE9" w:rsidP="006A09D9">
            <w:pPr>
              <w:autoSpaceDE w:val="0"/>
              <w:autoSpaceDN w:val="0"/>
              <w:adjustRightInd w:val="0"/>
              <w:jc w:val="left"/>
              <w:rPr>
                <w:rFonts w:ascii="Arial" w:hAnsi="Arial" w:cs="Arial"/>
                <w:b/>
                <w:bCs/>
                <w:iCs/>
                <w:sz w:val="20"/>
                <w:szCs w:val="20"/>
              </w:rPr>
            </w:pPr>
          </w:p>
        </w:tc>
      </w:tr>
      <w:tr w:rsidR="0033011D" w:rsidRPr="0069083B" w:rsidTr="00F80030">
        <w:tblPrEx>
          <w:tblCellMar>
            <w:top w:w="0" w:type="dxa"/>
            <w:bottom w:w="0" w:type="dxa"/>
          </w:tblCellMar>
        </w:tblPrEx>
        <w:trPr>
          <w:cantSplit/>
        </w:trPr>
        <w:tc>
          <w:tcPr>
            <w:tcW w:w="1798" w:type="dxa"/>
            <w:tcBorders>
              <w:top w:val="nil"/>
              <w:left w:val="nil"/>
              <w:bottom w:val="nil"/>
              <w:right w:val="nil"/>
            </w:tcBorders>
          </w:tcPr>
          <w:p w:rsidR="0033011D" w:rsidRPr="0069083B" w:rsidRDefault="0033011D" w:rsidP="0033011D">
            <w:pPr>
              <w:rPr>
                <w:rFonts w:ascii="Arial" w:hAnsi="Arial" w:cs="Arial"/>
                <w:b/>
                <w:bCs/>
                <w:color w:val="0000FF"/>
                <w:sz w:val="20"/>
                <w:szCs w:val="20"/>
              </w:rPr>
            </w:pPr>
          </w:p>
          <w:p w:rsidR="0033011D" w:rsidRPr="0069083B" w:rsidRDefault="0033011D" w:rsidP="0033011D">
            <w:pPr>
              <w:jc w:val="left"/>
              <w:rPr>
                <w:rFonts w:ascii="Arial" w:hAnsi="Arial" w:cs="Arial"/>
                <w:b/>
                <w:bCs/>
                <w:color w:val="0000FF"/>
                <w:sz w:val="20"/>
                <w:szCs w:val="20"/>
              </w:rPr>
            </w:pPr>
            <w:r w:rsidRPr="0069083B">
              <w:rPr>
                <w:rFonts w:ascii="Arial" w:hAnsi="Arial" w:cs="Arial"/>
                <w:b/>
                <w:bCs/>
                <w:color w:val="0000FF"/>
                <w:sz w:val="20"/>
                <w:szCs w:val="20"/>
              </w:rPr>
              <w:t>Dilutions</w:t>
            </w:r>
          </w:p>
        </w:tc>
        <w:tc>
          <w:tcPr>
            <w:tcW w:w="9549" w:type="dxa"/>
            <w:tcBorders>
              <w:top w:val="single" w:sz="18" w:space="0" w:color="BFBFBF"/>
              <w:left w:val="nil"/>
              <w:bottom w:val="single" w:sz="18" w:space="0" w:color="BFBFBF"/>
              <w:right w:val="nil"/>
            </w:tcBorders>
          </w:tcPr>
          <w:p w:rsidR="0033011D" w:rsidRPr="0069083B" w:rsidRDefault="0033011D" w:rsidP="0033011D">
            <w:pPr>
              <w:jc w:val="left"/>
              <w:rPr>
                <w:rFonts w:ascii="Arial" w:hAnsi="Arial" w:cs="Arial"/>
                <w:sz w:val="20"/>
                <w:szCs w:val="20"/>
              </w:rPr>
            </w:pPr>
          </w:p>
          <w:p w:rsidR="0033011D" w:rsidRPr="0069083B" w:rsidRDefault="0033011D" w:rsidP="0033011D">
            <w:pPr>
              <w:pStyle w:val="Heading"/>
              <w:jc w:val="left"/>
              <w:rPr>
                <w:rFonts w:ascii="Arial" w:hAnsi="Arial"/>
                <w:b w:val="0"/>
                <w:bCs w:val="0"/>
                <w:iCs/>
                <w:sz w:val="20"/>
                <w:szCs w:val="20"/>
              </w:rPr>
            </w:pPr>
            <w:r w:rsidRPr="0069083B">
              <w:rPr>
                <w:rFonts w:ascii="Arial" w:hAnsi="Arial"/>
                <w:b w:val="0"/>
                <w:bCs w:val="0"/>
                <w:iCs/>
                <w:sz w:val="20"/>
                <w:szCs w:val="20"/>
              </w:rPr>
              <w:t xml:space="preserve">Do not dilute. </w:t>
            </w:r>
          </w:p>
          <w:p w:rsidR="0033011D" w:rsidRPr="0069083B" w:rsidRDefault="0033011D" w:rsidP="0033011D">
            <w:pPr>
              <w:jc w:val="left"/>
              <w:rPr>
                <w:rFonts w:ascii="Arial" w:hAnsi="Arial" w:cs="Arial"/>
                <w:sz w:val="20"/>
                <w:szCs w:val="20"/>
              </w:rPr>
            </w:pPr>
          </w:p>
        </w:tc>
      </w:tr>
      <w:tr w:rsidR="0033011D" w:rsidRPr="0069083B" w:rsidTr="00F80030">
        <w:tblPrEx>
          <w:tblCellMar>
            <w:top w:w="0" w:type="dxa"/>
            <w:bottom w:w="0" w:type="dxa"/>
          </w:tblCellMar>
        </w:tblPrEx>
        <w:trPr>
          <w:cantSplit/>
        </w:trPr>
        <w:tc>
          <w:tcPr>
            <w:tcW w:w="1798" w:type="dxa"/>
            <w:tcBorders>
              <w:top w:val="nil"/>
              <w:left w:val="nil"/>
              <w:bottom w:val="nil"/>
              <w:right w:val="nil"/>
            </w:tcBorders>
          </w:tcPr>
          <w:p w:rsidR="0033011D" w:rsidRPr="0069083B" w:rsidRDefault="0033011D">
            <w:pPr>
              <w:rPr>
                <w:rFonts w:ascii="Arial" w:hAnsi="Arial" w:cs="Arial"/>
                <w:b/>
                <w:bCs/>
                <w:color w:val="0000FF"/>
                <w:sz w:val="20"/>
                <w:szCs w:val="20"/>
              </w:rPr>
            </w:pPr>
          </w:p>
        </w:tc>
        <w:tc>
          <w:tcPr>
            <w:tcW w:w="9549" w:type="dxa"/>
            <w:tcBorders>
              <w:top w:val="single" w:sz="18" w:space="0" w:color="BFBFBF"/>
              <w:left w:val="nil"/>
              <w:bottom w:val="nil"/>
              <w:right w:val="nil"/>
            </w:tcBorders>
          </w:tcPr>
          <w:p w:rsidR="0033011D" w:rsidRPr="0069083B" w:rsidRDefault="0033011D" w:rsidP="00C87EFA">
            <w:pPr>
              <w:jc w:val="left"/>
              <w:rPr>
                <w:rFonts w:ascii="Arial" w:hAnsi="Arial" w:cs="Arial"/>
                <w:sz w:val="20"/>
                <w:szCs w:val="20"/>
              </w:rPr>
            </w:pPr>
          </w:p>
        </w:tc>
      </w:tr>
    </w:tbl>
    <w:p w:rsidR="00F075B2" w:rsidRPr="0069083B" w:rsidRDefault="00F075B2">
      <w:pPr>
        <w:rPr>
          <w:rFonts w:ascii="Arial" w:hAnsi="Arial" w:cs="Arial"/>
          <w:b/>
          <w:bCs/>
          <w:color w:val="0000FF"/>
          <w:sz w:val="20"/>
          <w:szCs w:val="20"/>
        </w:rPr>
        <w:sectPr w:rsidR="00F075B2" w:rsidRPr="0069083B">
          <w:type w:val="continuous"/>
          <w:pgSz w:w="12240" w:h="15840" w:code="1"/>
          <w:pgMar w:top="720" w:right="1800" w:bottom="720" w:left="1800" w:header="432" w:footer="432" w:gutter="0"/>
          <w:cols w:space="720" w:equalWidth="0">
            <w:col w:w="9360"/>
          </w:cols>
          <w:docGrid w:linePitch="360"/>
        </w:sectPr>
      </w:pPr>
    </w:p>
    <w:tbl>
      <w:tblPr>
        <w:tblW w:w="112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880"/>
        <w:gridCol w:w="2031"/>
        <w:gridCol w:w="3459"/>
      </w:tblGrid>
      <w:tr w:rsidR="00F075B2" w:rsidRPr="0069083B" w:rsidTr="00673191">
        <w:tblPrEx>
          <w:tblCellMar>
            <w:top w:w="0" w:type="dxa"/>
            <w:bottom w:w="0" w:type="dxa"/>
          </w:tblCellMar>
        </w:tblPrEx>
        <w:trPr>
          <w:cantSplit/>
          <w:trHeight w:val="9045"/>
        </w:trPr>
        <w:tc>
          <w:tcPr>
            <w:tcW w:w="1798" w:type="dxa"/>
            <w:tcBorders>
              <w:top w:val="nil"/>
              <w:left w:val="nil"/>
              <w:bottom w:val="nil"/>
              <w:right w:val="nil"/>
            </w:tcBorders>
          </w:tcPr>
          <w:p w:rsidR="00F075B2" w:rsidRPr="0069083B" w:rsidRDefault="00F075B2">
            <w:pPr>
              <w:rPr>
                <w:rFonts w:ascii="Arial" w:hAnsi="Arial" w:cs="Arial"/>
                <w:b/>
                <w:bCs/>
                <w:color w:val="0000FF"/>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Result Reporting</w:t>
            </w:r>
          </w:p>
          <w:p w:rsidR="00F075B2" w:rsidRPr="0069083B" w:rsidRDefault="00F075B2">
            <w:pPr>
              <w:rPr>
                <w:rFonts w:ascii="Arial" w:hAnsi="Arial" w:cs="Arial"/>
                <w:b/>
                <w:bCs/>
                <w:sz w:val="20"/>
                <w:szCs w:val="20"/>
              </w:rPr>
            </w:pPr>
          </w:p>
        </w:tc>
        <w:tc>
          <w:tcPr>
            <w:tcW w:w="9452" w:type="dxa"/>
            <w:gridSpan w:val="4"/>
            <w:tcBorders>
              <w:top w:val="single" w:sz="18" w:space="0" w:color="BFBFBF"/>
              <w:left w:val="nil"/>
              <w:bottom w:val="single" w:sz="18" w:space="0" w:color="BFBFBF"/>
              <w:right w:val="nil"/>
            </w:tcBorders>
          </w:tcPr>
          <w:p w:rsidR="00F075B2" w:rsidRPr="0069083B" w:rsidRDefault="00F075B2" w:rsidP="006859C3">
            <w:pPr>
              <w:autoSpaceDE w:val="0"/>
              <w:autoSpaceDN w:val="0"/>
              <w:adjustRightInd w:val="0"/>
              <w:rPr>
                <w:rFonts w:ascii="Arial" w:hAnsi="Arial" w:cs="Arial"/>
                <w:sz w:val="20"/>
                <w:szCs w:val="20"/>
              </w:rPr>
            </w:pPr>
          </w:p>
          <w:p w:rsidR="00F075B2" w:rsidRPr="0069083B" w:rsidRDefault="00F075B2" w:rsidP="0062012B">
            <w:pPr>
              <w:pStyle w:val="TableText"/>
              <w:autoSpaceDE/>
              <w:autoSpaceDN/>
              <w:spacing w:line="276" w:lineRule="auto"/>
              <w:jc w:val="both"/>
              <w:rPr>
                <w:rFonts w:ascii="Arial" w:hAnsi="Arial" w:cs="Arial"/>
                <w:spacing w:val="-6"/>
                <w:szCs w:val="20"/>
              </w:rPr>
            </w:pPr>
            <w:r w:rsidRPr="0069083B">
              <w:rPr>
                <w:rFonts w:ascii="Arial" w:hAnsi="Arial" w:cs="Arial"/>
                <w:spacing w:val="-6"/>
                <w:szCs w:val="20"/>
              </w:rPr>
              <w:t xml:space="preserve">Release results in Sunquest following LIS procedures for OEM. </w:t>
            </w:r>
            <w:r w:rsidR="0069083B">
              <w:rPr>
                <w:rFonts w:ascii="Arial" w:hAnsi="Arial" w:cs="Arial"/>
                <w:spacing w:val="-6"/>
                <w:szCs w:val="20"/>
              </w:rPr>
              <w:t xml:space="preserve"> </w:t>
            </w:r>
            <w:r w:rsidR="009E023C" w:rsidRPr="0069083B">
              <w:rPr>
                <w:rFonts w:ascii="Arial" w:hAnsi="Arial" w:cs="Arial"/>
                <w:spacing w:val="-6"/>
                <w:szCs w:val="20"/>
              </w:rPr>
              <w:t xml:space="preserve">Result </w:t>
            </w:r>
            <w:r w:rsidRPr="0069083B">
              <w:rPr>
                <w:rFonts w:ascii="Arial" w:hAnsi="Arial" w:cs="Arial"/>
                <w:spacing w:val="-6"/>
                <w:szCs w:val="20"/>
              </w:rPr>
              <w:t>Comments are automatically appended when resulting in OEM or MEM using the LIAS worksheet.</w:t>
            </w:r>
          </w:p>
          <w:p w:rsidR="009E023C" w:rsidRPr="0069083B" w:rsidRDefault="009E023C" w:rsidP="006859C3">
            <w:pPr>
              <w:pStyle w:val="TableText"/>
              <w:autoSpaceDE/>
              <w:autoSpaceDN/>
              <w:jc w:val="both"/>
              <w:rPr>
                <w:rFonts w:ascii="Arial" w:hAnsi="Arial" w:cs="Arial"/>
                <w:spacing w:val="-6"/>
                <w:szCs w:val="20"/>
              </w:rPr>
            </w:pP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080"/>
              <w:gridCol w:w="3150"/>
              <w:gridCol w:w="3870"/>
            </w:tblGrid>
            <w:tr w:rsidR="009E023C" w:rsidRPr="0069083B" w:rsidTr="009E023C">
              <w:tc>
                <w:tcPr>
                  <w:tcW w:w="1329" w:type="dxa"/>
                </w:tcPr>
                <w:p w:rsidR="009E023C" w:rsidRPr="0069083B" w:rsidRDefault="009E023C" w:rsidP="006859C3">
                  <w:pPr>
                    <w:autoSpaceDE w:val="0"/>
                    <w:autoSpaceDN w:val="0"/>
                    <w:adjustRightInd w:val="0"/>
                    <w:rPr>
                      <w:rFonts w:ascii="Arial" w:hAnsi="Arial" w:cs="Arial"/>
                      <w:b/>
                      <w:sz w:val="20"/>
                      <w:szCs w:val="20"/>
                    </w:rPr>
                  </w:pPr>
                  <w:r w:rsidRPr="0069083B">
                    <w:rPr>
                      <w:rFonts w:ascii="Arial" w:hAnsi="Arial" w:cs="Arial"/>
                      <w:b/>
                      <w:sz w:val="20"/>
                      <w:szCs w:val="20"/>
                    </w:rPr>
                    <w:t>Index Value</w:t>
                  </w:r>
                </w:p>
                <w:p w:rsidR="009E023C" w:rsidRPr="0069083B" w:rsidRDefault="009E023C" w:rsidP="006859C3">
                  <w:pPr>
                    <w:rPr>
                      <w:rFonts w:ascii="Arial" w:hAnsi="Arial" w:cs="Arial"/>
                      <w:b/>
                      <w:sz w:val="20"/>
                      <w:szCs w:val="20"/>
                    </w:rPr>
                  </w:pPr>
                </w:p>
              </w:tc>
              <w:tc>
                <w:tcPr>
                  <w:tcW w:w="1080" w:type="dxa"/>
                </w:tcPr>
                <w:p w:rsidR="009E023C" w:rsidRPr="0069083B" w:rsidRDefault="009E023C" w:rsidP="006859C3">
                  <w:pPr>
                    <w:rPr>
                      <w:rFonts w:ascii="Arial" w:hAnsi="Arial" w:cs="Arial"/>
                      <w:b/>
                      <w:sz w:val="20"/>
                      <w:szCs w:val="20"/>
                    </w:rPr>
                  </w:pPr>
                  <w:r w:rsidRPr="0069083B">
                    <w:rPr>
                      <w:rFonts w:ascii="Arial" w:hAnsi="Arial" w:cs="Arial"/>
                      <w:b/>
                      <w:sz w:val="20"/>
                      <w:szCs w:val="20"/>
                    </w:rPr>
                    <w:t>Result</w:t>
                  </w:r>
                </w:p>
              </w:tc>
              <w:tc>
                <w:tcPr>
                  <w:tcW w:w="3150" w:type="dxa"/>
                </w:tcPr>
                <w:p w:rsidR="009E023C" w:rsidRPr="0069083B" w:rsidRDefault="009E023C" w:rsidP="006859C3">
                  <w:pPr>
                    <w:rPr>
                      <w:rFonts w:ascii="Arial" w:hAnsi="Arial" w:cs="Arial"/>
                      <w:b/>
                      <w:sz w:val="20"/>
                      <w:szCs w:val="20"/>
                    </w:rPr>
                  </w:pPr>
                  <w:r w:rsidRPr="0069083B">
                    <w:rPr>
                      <w:rFonts w:ascii="Arial" w:hAnsi="Arial" w:cs="Arial"/>
                      <w:b/>
                      <w:sz w:val="20"/>
                      <w:szCs w:val="20"/>
                    </w:rPr>
                    <w:t>Result Comment</w:t>
                  </w:r>
                </w:p>
              </w:tc>
              <w:tc>
                <w:tcPr>
                  <w:tcW w:w="3870" w:type="dxa"/>
                </w:tcPr>
                <w:p w:rsidR="009E023C" w:rsidRPr="0069083B" w:rsidRDefault="009E023C" w:rsidP="006859C3">
                  <w:pPr>
                    <w:rPr>
                      <w:rFonts w:ascii="Arial" w:hAnsi="Arial" w:cs="Arial"/>
                      <w:b/>
                      <w:sz w:val="20"/>
                      <w:szCs w:val="20"/>
                    </w:rPr>
                  </w:pPr>
                  <w:r w:rsidRPr="0069083B">
                    <w:rPr>
                      <w:rFonts w:ascii="Arial" w:hAnsi="Arial" w:cs="Arial"/>
                      <w:b/>
                      <w:sz w:val="20"/>
                      <w:szCs w:val="20"/>
                    </w:rPr>
                    <w:t>Interpretation</w:t>
                  </w:r>
                </w:p>
              </w:tc>
            </w:tr>
            <w:tr w:rsidR="009E023C" w:rsidRPr="0069083B" w:rsidTr="0062012B">
              <w:trPr>
                <w:trHeight w:val="1898"/>
              </w:trPr>
              <w:tc>
                <w:tcPr>
                  <w:tcW w:w="1329" w:type="dxa"/>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 xml:space="preserve">Below 135 </w:t>
                  </w:r>
                </w:p>
              </w:tc>
              <w:tc>
                <w:tcPr>
                  <w:tcW w:w="1080" w:type="dxa"/>
                </w:tcPr>
                <w:p w:rsidR="009E023C" w:rsidRPr="0069083B" w:rsidRDefault="009E023C" w:rsidP="0069083B">
                  <w:pPr>
                    <w:jc w:val="left"/>
                    <w:rPr>
                      <w:rFonts w:ascii="Arial" w:hAnsi="Arial" w:cs="Arial"/>
                      <w:sz w:val="20"/>
                      <w:szCs w:val="20"/>
                    </w:rPr>
                  </w:pPr>
                  <w:r w:rsidRPr="0069083B">
                    <w:rPr>
                      <w:rFonts w:ascii="Arial" w:hAnsi="Arial" w:cs="Arial"/>
                      <w:sz w:val="20"/>
                      <w:szCs w:val="20"/>
                    </w:rPr>
                    <w:t>Negative</w:t>
                  </w:r>
                </w:p>
              </w:tc>
              <w:tc>
                <w:tcPr>
                  <w:tcW w:w="3150" w:type="dxa"/>
                  <w:vAlign w:val="center"/>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 xml:space="preserve">Absence of detectable VZV IgG antibodies. </w:t>
                  </w:r>
                  <w:r w:rsidR="0069083B">
                    <w:rPr>
                      <w:rFonts w:ascii="Arial" w:hAnsi="Arial" w:cs="Arial"/>
                      <w:sz w:val="20"/>
                      <w:szCs w:val="20"/>
                    </w:rPr>
                    <w:t xml:space="preserve">A negative result indicates no detectable VZV antibody.  </w:t>
                  </w:r>
                  <w:r w:rsidRPr="0069083B">
                    <w:rPr>
                      <w:rFonts w:ascii="Arial" w:hAnsi="Arial" w:cs="Arial"/>
                      <w:sz w:val="20"/>
                      <w:szCs w:val="20"/>
                    </w:rPr>
                    <w:t>If exposure to varicella-zoster virus is suspected despite a negative finding, a second sample should be collected and tested no less than one to two weeks later</w:t>
                  </w:r>
                </w:p>
              </w:tc>
              <w:tc>
                <w:tcPr>
                  <w:tcW w:w="3870" w:type="dxa"/>
                  <w:vAlign w:val="center"/>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Absence of detectable VZV IgG antibodies. A negative result indicates no detectable VZV antibody, but does not rule out acute infection. It should be noted that the test usually scores negative in infected patients during the incubation period and the early stages of infection.</w:t>
                  </w:r>
                </w:p>
              </w:tc>
            </w:tr>
            <w:tr w:rsidR="009E023C" w:rsidRPr="0069083B" w:rsidTr="0062012B">
              <w:trPr>
                <w:trHeight w:val="1250"/>
              </w:trPr>
              <w:tc>
                <w:tcPr>
                  <w:tcW w:w="1329" w:type="dxa"/>
                </w:tcPr>
                <w:p w:rsidR="009E023C" w:rsidRPr="0069083B" w:rsidRDefault="003D5CCA" w:rsidP="0069083B">
                  <w:pPr>
                    <w:autoSpaceDE w:val="0"/>
                    <w:autoSpaceDN w:val="0"/>
                    <w:adjustRightInd w:val="0"/>
                    <w:jc w:val="left"/>
                    <w:rPr>
                      <w:rFonts w:ascii="Arial" w:hAnsi="Arial" w:cs="Arial"/>
                      <w:sz w:val="20"/>
                      <w:szCs w:val="20"/>
                    </w:rPr>
                  </w:pPr>
                  <w:r>
                    <w:rPr>
                      <w:rFonts w:ascii="Arial" w:hAnsi="Arial" w:cs="Arial"/>
                      <w:sz w:val="20"/>
                      <w:szCs w:val="20"/>
                    </w:rPr>
                    <w:t>135 – 164.9</w:t>
                  </w:r>
                  <w:r w:rsidR="009E023C" w:rsidRPr="0069083B">
                    <w:rPr>
                      <w:rFonts w:ascii="Arial" w:hAnsi="Arial" w:cs="Arial"/>
                      <w:sz w:val="20"/>
                      <w:szCs w:val="20"/>
                    </w:rPr>
                    <w:t xml:space="preserve"> </w:t>
                  </w:r>
                </w:p>
              </w:tc>
              <w:tc>
                <w:tcPr>
                  <w:tcW w:w="1080" w:type="dxa"/>
                </w:tcPr>
                <w:p w:rsidR="009E023C" w:rsidRPr="0069083B" w:rsidRDefault="0069083B" w:rsidP="0069083B">
                  <w:pPr>
                    <w:jc w:val="left"/>
                    <w:rPr>
                      <w:rFonts w:ascii="Arial" w:hAnsi="Arial" w:cs="Arial"/>
                      <w:sz w:val="20"/>
                      <w:szCs w:val="20"/>
                    </w:rPr>
                  </w:pPr>
                  <w:proofErr w:type="spellStart"/>
                  <w:r>
                    <w:rPr>
                      <w:rFonts w:ascii="Arial" w:hAnsi="Arial" w:cs="Arial"/>
                      <w:sz w:val="20"/>
                      <w:szCs w:val="20"/>
                    </w:rPr>
                    <w:t>Equivo-ca</w:t>
                  </w:r>
                  <w:r w:rsidR="009E023C" w:rsidRPr="0069083B">
                    <w:rPr>
                      <w:rFonts w:ascii="Arial" w:hAnsi="Arial" w:cs="Arial"/>
                      <w:sz w:val="20"/>
                      <w:szCs w:val="20"/>
                    </w:rPr>
                    <w:t>l</w:t>
                  </w:r>
                  <w:proofErr w:type="spellEnd"/>
                </w:p>
              </w:tc>
              <w:tc>
                <w:tcPr>
                  <w:tcW w:w="3150" w:type="dxa"/>
                  <w:vAlign w:val="center"/>
                </w:tcPr>
                <w:p w:rsidR="009E023C" w:rsidRPr="0069083B" w:rsidRDefault="009E023C" w:rsidP="0069083B">
                  <w:pPr>
                    <w:pStyle w:val="Header"/>
                    <w:tabs>
                      <w:tab w:val="clear" w:pos="4320"/>
                      <w:tab w:val="clear" w:pos="8640"/>
                    </w:tabs>
                    <w:jc w:val="left"/>
                    <w:rPr>
                      <w:rFonts w:ascii="Arial" w:hAnsi="Arial" w:cs="Arial"/>
                      <w:sz w:val="20"/>
                      <w:szCs w:val="20"/>
                    </w:rPr>
                  </w:pPr>
                  <w:r w:rsidRPr="0069083B">
                    <w:rPr>
                      <w:rFonts w:ascii="Arial" w:hAnsi="Arial" w:cs="Arial"/>
                      <w:sz w:val="20"/>
                      <w:szCs w:val="20"/>
                    </w:rPr>
                    <w:t>A second sample should be collected and tested no less than one to two weeks later.</w:t>
                  </w:r>
                </w:p>
              </w:tc>
              <w:tc>
                <w:tcPr>
                  <w:tcW w:w="3870" w:type="dxa"/>
                  <w:vAlign w:val="center"/>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The equivocal sample should be repeat tested</w:t>
                  </w:r>
                  <w:r w:rsidR="00673191">
                    <w:rPr>
                      <w:rFonts w:ascii="Arial" w:hAnsi="Arial" w:cs="Arial"/>
                      <w:sz w:val="20"/>
                      <w:szCs w:val="20"/>
                    </w:rPr>
                    <w:t xml:space="preserve"> immediately</w:t>
                  </w:r>
                  <w:r w:rsidRPr="0069083B">
                    <w:rPr>
                      <w:rFonts w:ascii="Arial" w:hAnsi="Arial" w:cs="Arial"/>
                      <w:sz w:val="20"/>
                      <w:szCs w:val="20"/>
                    </w:rPr>
                    <w:t xml:space="preserve">. In case the result remains in this range after repeat testing, a second sample should be collected. </w:t>
                  </w:r>
                </w:p>
              </w:tc>
            </w:tr>
            <w:tr w:rsidR="009E023C" w:rsidRPr="0069083B" w:rsidTr="0062012B">
              <w:trPr>
                <w:trHeight w:val="1430"/>
              </w:trPr>
              <w:tc>
                <w:tcPr>
                  <w:tcW w:w="1329" w:type="dxa"/>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165</w:t>
                  </w:r>
                  <w:r w:rsidR="003D5CCA">
                    <w:rPr>
                      <w:rFonts w:ascii="Arial" w:hAnsi="Arial" w:cs="Arial"/>
                      <w:sz w:val="20"/>
                      <w:szCs w:val="20"/>
                    </w:rPr>
                    <w:t xml:space="preserve"> and above</w:t>
                  </w:r>
                  <w:r w:rsidRPr="0069083B">
                    <w:rPr>
                      <w:rFonts w:ascii="Arial" w:hAnsi="Arial" w:cs="Arial"/>
                      <w:sz w:val="20"/>
                      <w:szCs w:val="20"/>
                    </w:rPr>
                    <w:t xml:space="preserve"> </w:t>
                  </w:r>
                </w:p>
              </w:tc>
              <w:tc>
                <w:tcPr>
                  <w:tcW w:w="1080" w:type="dxa"/>
                </w:tcPr>
                <w:p w:rsidR="009E023C" w:rsidRPr="0069083B" w:rsidRDefault="009E023C" w:rsidP="0069083B">
                  <w:pPr>
                    <w:jc w:val="left"/>
                    <w:rPr>
                      <w:rFonts w:ascii="Arial" w:hAnsi="Arial" w:cs="Arial"/>
                      <w:sz w:val="20"/>
                      <w:szCs w:val="20"/>
                    </w:rPr>
                  </w:pPr>
                  <w:r w:rsidRPr="0069083B">
                    <w:rPr>
                      <w:rFonts w:ascii="Arial" w:hAnsi="Arial" w:cs="Arial"/>
                      <w:sz w:val="20"/>
                      <w:szCs w:val="20"/>
                    </w:rPr>
                    <w:t>Positive</w:t>
                  </w:r>
                </w:p>
              </w:tc>
              <w:tc>
                <w:tcPr>
                  <w:tcW w:w="3150" w:type="dxa"/>
                  <w:vAlign w:val="center"/>
                </w:tcPr>
                <w:p w:rsidR="009E023C" w:rsidRPr="0069083B" w:rsidRDefault="009E023C" w:rsidP="003D5CCA">
                  <w:pPr>
                    <w:autoSpaceDE w:val="0"/>
                    <w:autoSpaceDN w:val="0"/>
                    <w:adjustRightInd w:val="0"/>
                    <w:jc w:val="left"/>
                    <w:rPr>
                      <w:rFonts w:ascii="Arial" w:hAnsi="Arial" w:cs="Arial"/>
                      <w:sz w:val="20"/>
                      <w:szCs w:val="20"/>
                    </w:rPr>
                  </w:pPr>
                  <w:r w:rsidRPr="0069083B">
                    <w:rPr>
                      <w:rFonts w:ascii="Arial" w:eastAsia="SymbolMT" w:hAnsi="Arial" w:cs="Arial"/>
                      <w:sz w:val="20"/>
                      <w:szCs w:val="20"/>
                    </w:rPr>
                    <w:t xml:space="preserve">Presence of detectable VZV IgG antibodies. A positive result </w:t>
                  </w:r>
                  <w:r w:rsidR="003D5CCA">
                    <w:rPr>
                      <w:rFonts w:ascii="Arial" w:eastAsia="SymbolMT" w:hAnsi="Arial" w:cs="Arial"/>
                      <w:sz w:val="20"/>
                      <w:szCs w:val="20"/>
                    </w:rPr>
                    <w:t xml:space="preserve">generally </w:t>
                  </w:r>
                  <w:r w:rsidRPr="0069083B">
                    <w:rPr>
                      <w:rFonts w:ascii="Arial" w:eastAsia="SymbolMT" w:hAnsi="Arial" w:cs="Arial"/>
                      <w:sz w:val="20"/>
                      <w:szCs w:val="20"/>
                    </w:rPr>
                    <w:t xml:space="preserve">indicates </w:t>
                  </w:r>
                  <w:r w:rsidR="003D5CCA">
                    <w:rPr>
                      <w:rFonts w:ascii="Arial" w:eastAsia="SymbolMT" w:hAnsi="Arial" w:cs="Arial"/>
                      <w:sz w:val="20"/>
                      <w:szCs w:val="20"/>
                    </w:rPr>
                    <w:t>exposure to the pathogen or administration of specific immunoglobulins, but is not an indication of active infection or stage of disease.</w:t>
                  </w:r>
                </w:p>
              </w:tc>
              <w:tc>
                <w:tcPr>
                  <w:tcW w:w="3870" w:type="dxa"/>
                  <w:vAlign w:val="center"/>
                </w:tcPr>
                <w:p w:rsidR="009E023C" w:rsidRPr="0069083B" w:rsidRDefault="009E023C" w:rsidP="0069083B">
                  <w:pPr>
                    <w:autoSpaceDE w:val="0"/>
                    <w:autoSpaceDN w:val="0"/>
                    <w:adjustRightInd w:val="0"/>
                    <w:jc w:val="left"/>
                    <w:rPr>
                      <w:rFonts w:ascii="Arial" w:hAnsi="Arial" w:cs="Arial"/>
                      <w:sz w:val="20"/>
                      <w:szCs w:val="20"/>
                    </w:rPr>
                  </w:pPr>
                  <w:r w:rsidRPr="0069083B">
                    <w:rPr>
                      <w:rFonts w:ascii="Arial" w:hAnsi="Arial" w:cs="Arial"/>
                      <w:sz w:val="20"/>
                      <w:szCs w:val="20"/>
                    </w:rPr>
                    <w:t>Presence of detectable VZV IgG antibodies. A positive result generally indicates exposure to the pathogen or administration of specific immunoglobulins, but it is no indication of active infection or stage of disease.</w:t>
                  </w:r>
                </w:p>
              </w:tc>
            </w:tr>
          </w:tbl>
          <w:p w:rsidR="009E023C" w:rsidRPr="0069083B" w:rsidRDefault="009E023C" w:rsidP="006859C3">
            <w:pPr>
              <w:rPr>
                <w:rFonts w:ascii="Arial" w:hAnsi="Arial" w:cs="Arial"/>
                <w:sz w:val="20"/>
                <w:szCs w:val="20"/>
              </w:rPr>
            </w:pPr>
          </w:p>
          <w:p w:rsidR="009E023C" w:rsidRPr="0069083B" w:rsidRDefault="003D5CCA" w:rsidP="006859C3">
            <w:pPr>
              <w:autoSpaceDE w:val="0"/>
              <w:autoSpaceDN w:val="0"/>
              <w:adjustRightInd w:val="0"/>
              <w:rPr>
                <w:rFonts w:ascii="Arial" w:hAnsi="Arial" w:cs="Arial"/>
                <w:sz w:val="20"/>
                <w:szCs w:val="20"/>
              </w:rPr>
            </w:pPr>
            <w:r>
              <w:rPr>
                <w:rFonts w:ascii="Arial" w:hAnsi="Arial" w:cs="Arial"/>
                <w:sz w:val="20"/>
                <w:szCs w:val="20"/>
              </w:rPr>
              <w:t>The a</w:t>
            </w:r>
            <w:r w:rsidR="009E023C" w:rsidRPr="0069083B">
              <w:rPr>
                <w:rFonts w:ascii="Arial" w:hAnsi="Arial" w:cs="Arial"/>
                <w:sz w:val="20"/>
                <w:szCs w:val="20"/>
              </w:rPr>
              <w:t>nalyzer automatically calculates VZV IgG antibody concentrations expressed as U/mL and grades the results.</w:t>
            </w:r>
          </w:p>
          <w:p w:rsidR="009E023C" w:rsidRPr="0069083B" w:rsidRDefault="009E023C" w:rsidP="006859C3">
            <w:pPr>
              <w:autoSpaceDE w:val="0"/>
              <w:autoSpaceDN w:val="0"/>
              <w:adjustRightInd w:val="0"/>
              <w:rPr>
                <w:rFonts w:ascii="Arial" w:hAnsi="Arial" w:cs="Arial"/>
                <w:sz w:val="20"/>
                <w:szCs w:val="20"/>
              </w:rPr>
            </w:pPr>
          </w:p>
          <w:p w:rsidR="009E023C" w:rsidRPr="0069083B" w:rsidRDefault="009E023C" w:rsidP="006859C3">
            <w:pPr>
              <w:autoSpaceDE w:val="0"/>
              <w:autoSpaceDN w:val="0"/>
              <w:adjustRightInd w:val="0"/>
              <w:rPr>
                <w:rFonts w:ascii="Arial" w:hAnsi="Arial" w:cs="Arial"/>
                <w:sz w:val="20"/>
                <w:szCs w:val="20"/>
              </w:rPr>
            </w:pPr>
            <w:r w:rsidRPr="0069083B">
              <w:rPr>
                <w:rFonts w:ascii="Arial" w:hAnsi="Arial" w:cs="Arial"/>
                <w:b/>
                <w:bCs/>
                <w:sz w:val="20"/>
                <w:szCs w:val="20"/>
              </w:rPr>
              <w:t xml:space="preserve">Warning </w:t>
            </w:r>
            <w:r w:rsidRPr="0069083B">
              <w:rPr>
                <w:rFonts w:ascii="Arial" w:hAnsi="Arial" w:cs="Arial"/>
                <w:sz w:val="20"/>
                <w:szCs w:val="20"/>
              </w:rPr>
              <w:t>- If the sample result displays "Invalid RLU" and an exclamation mark (!) flag, the result obtained lies</w:t>
            </w:r>
            <w:r w:rsidR="006859C3" w:rsidRPr="0069083B">
              <w:rPr>
                <w:rFonts w:ascii="Arial" w:hAnsi="Arial" w:cs="Arial"/>
                <w:sz w:val="20"/>
                <w:szCs w:val="20"/>
              </w:rPr>
              <w:t xml:space="preserve"> </w:t>
            </w:r>
            <w:r w:rsidRPr="0069083B">
              <w:rPr>
                <w:rFonts w:ascii="Arial" w:hAnsi="Arial" w:cs="Arial"/>
                <w:sz w:val="20"/>
                <w:szCs w:val="20"/>
              </w:rPr>
              <w:t>below the assay signal range. The sample must be retested. If the sample result upon retest still displays "Invalid</w:t>
            </w:r>
            <w:r w:rsidR="006859C3" w:rsidRPr="0069083B">
              <w:rPr>
                <w:rFonts w:ascii="Arial" w:hAnsi="Arial" w:cs="Arial"/>
                <w:sz w:val="20"/>
                <w:szCs w:val="20"/>
              </w:rPr>
              <w:t xml:space="preserve"> </w:t>
            </w:r>
            <w:r w:rsidRPr="0069083B">
              <w:rPr>
                <w:rFonts w:ascii="Arial" w:hAnsi="Arial" w:cs="Arial"/>
                <w:sz w:val="20"/>
                <w:szCs w:val="20"/>
              </w:rPr>
              <w:t>RLU", call DiaSorin Technical Support.</w:t>
            </w:r>
          </w:p>
          <w:p w:rsidR="00B8536A" w:rsidRPr="0069083B" w:rsidRDefault="00B8536A" w:rsidP="006859C3">
            <w:pPr>
              <w:autoSpaceDE w:val="0"/>
              <w:autoSpaceDN w:val="0"/>
              <w:adjustRightInd w:val="0"/>
              <w:rPr>
                <w:rFonts w:ascii="Arial" w:hAnsi="Arial" w:cs="Arial"/>
                <w:b/>
                <w:bCs/>
                <w:sz w:val="20"/>
                <w:szCs w:val="20"/>
              </w:rPr>
            </w:pPr>
          </w:p>
          <w:p w:rsidR="00F075B2" w:rsidRPr="0069083B" w:rsidRDefault="009E023C" w:rsidP="00216CDF">
            <w:pPr>
              <w:autoSpaceDE w:val="0"/>
              <w:autoSpaceDN w:val="0"/>
              <w:adjustRightInd w:val="0"/>
              <w:rPr>
                <w:rFonts w:ascii="Arial" w:hAnsi="Arial" w:cs="Arial"/>
                <w:sz w:val="20"/>
                <w:szCs w:val="20"/>
              </w:rPr>
            </w:pPr>
            <w:r w:rsidRPr="0069083B">
              <w:rPr>
                <w:rFonts w:ascii="Arial" w:hAnsi="Arial" w:cs="Arial"/>
                <w:b/>
                <w:bCs/>
                <w:sz w:val="20"/>
                <w:szCs w:val="20"/>
              </w:rPr>
              <w:t xml:space="preserve">Note </w:t>
            </w:r>
            <w:r w:rsidRPr="0069083B">
              <w:rPr>
                <w:rFonts w:ascii="Arial" w:hAnsi="Arial" w:cs="Arial"/>
                <w:sz w:val="20"/>
                <w:szCs w:val="20"/>
              </w:rPr>
              <w:t>- The magnitude of the measured result, above the cutoff, is not indicative of the amount of antibody present.</w:t>
            </w:r>
            <w:bookmarkStart w:id="0" w:name="_GoBack"/>
            <w:bookmarkEnd w:id="0"/>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798" w:type="dxa"/>
            <w:tcBorders>
              <w:top w:val="nil"/>
              <w:left w:val="nil"/>
              <w:bottom w:val="nil"/>
            </w:tcBorders>
          </w:tcPr>
          <w:p w:rsidR="00F075B2" w:rsidRPr="0069083B" w:rsidRDefault="00F075B2">
            <w:pPr>
              <w:rPr>
                <w:rFonts w:ascii="Arial" w:hAnsi="Arial" w:cs="Arial"/>
                <w:b/>
                <w:color w:val="0000FF"/>
                <w:sz w:val="20"/>
                <w:szCs w:val="20"/>
              </w:rPr>
            </w:pPr>
          </w:p>
          <w:p w:rsidR="00F075B2" w:rsidRPr="0069083B" w:rsidRDefault="00F075B2">
            <w:pPr>
              <w:rPr>
                <w:rFonts w:ascii="Arial" w:hAnsi="Arial" w:cs="Arial"/>
                <w:b/>
                <w:color w:val="0000FF"/>
                <w:sz w:val="20"/>
                <w:szCs w:val="20"/>
              </w:rPr>
            </w:pPr>
            <w:r w:rsidRPr="0069083B">
              <w:rPr>
                <w:rFonts w:ascii="Arial" w:hAnsi="Arial" w:cs="Arial"/>
                <w:b/>
                <w:color w:val="0000FF"/>
                <w:sz w:val="20"/>
                <w:szCs w:val="20"/>
              </w:rPr>
              <w:t>Alternate Methods</w:t>
            </w:r>
          </w:p>
        </w:tc>
        <w:tc>
          <w:tcPr>
            <w:tcW w:w="9452" w:type="dxa"/>
            <w:gridSpan w:val="4"/>
            <w:tcBorders>
              <w:top w:val="single" w:sz="18" w:space="0" w:color="BFBFBF"/>
              <w:bottom w:val="single" w:sz="18" w:space="0" w:color="BFBFBF"/>
              <w:right w:val="nil"/>
            </w:tcBorders>
          </w:tcPr>
          <w:p w:rsidR="00F075B2" w:rsidRPr="0069083B" w:rsidRDefault="00F075B2">
            <w:pPr>
              <w:rPr>
                <w:rFonts w:ascii="Arial" w:hAnsi="Arial" w:cs="Arial"/>
                <w:sz w:val="20"/>
                <w:szCs w:val="20"/>
              </w:rPr>
            </w:pPr>
          </w:p>
          <w:p w:rsidR="00F075B2" w:rsidRPr="0069083B" w:rsidRDefault="00F075B2" w:rsidP="00F075B2">
            <w:pPr>
              <w:numPr>
                <w:ilvl w:val="0"/>
                <w:numId w:val="11"/>
              </w:numPr>
              <w:rPr>
                <w:rFonts w:ascii="Arial" w:hAnsi="Arial" w:cs="Arial"/>
                <w:sz w:val="20"/>
                <w:szCs w:val="20"/>
              </w:rPr>
            </w:pPr>
            <w:r w:rsidRPr="0069083B">
              <w:rPr>
                <w:rFonts w:ascii="Arial" w:hAnsi="Arial" w:cs="Arial"/>
                <w:sz w:val="20"/>
                <w:szCs w:val="20"/>
              </w:rPr>
              <w:t xml:space="preserve">When test performance does not meet quality standards, consult the technical specialist or Medical Director, and refer testing to Mayo Medical Laboratory. </w:t>
            </w:r>
          </w:p>
          <w:p w:rsidR="00F075B2" w:rsidRPr="0069083B" w:rsidRDefault="00F075B2" w:rsidP="00F075B2">
            <w:pPr>
              <w:numPr>
                <w:ilvl w:val="0"/>
                <w:numId w:val="11"/>
              </w:numPr>
              <w:rPr>
                <w:rFonts w:ascii="Arial" w:hAnsi="Arial" w:cs="Arial"/>
                <w:sz w:val="20"/>
                <w:szCs w:val="20"/>
              </w:rPr>
            </w:pPr>
            <w:r w:rsidRPr="0069083B">
              <w:rPr>
                <w:rFonts w:ascii="Arial" w:hAnsi="Arial" w:cs="Arial"/>
                <w:sz w:val="20"/>
                <w:szCs w:val="20"/>
              </w:rPr>
              <w:t xml:space="preserve">Order test </w:t>
            </w:r>
            <w:r w:rsidRPr="0069083B">
              <w:rPr>
                <w:rFonts w:ascii="Arial" w:hAnsi="Arial" w:cs="Arial"/>
                <w:sz w:val="20"/>
                <w:szCs w:val="20"/>
                <w:lang w:val="en"/>
              </w:rPr>
              <w:t>8812, Varicella-Zoster Antibody, IgG, Serum, and submit 0.5 mL of serum.</w:t>
            </w:r>
          </w:p>
          <w:p w:rsidR="00F075B2" w:rsidRPr="0069083B" w:rsidRDefault="00F075B2">
            <w:pPr>
              <w:pStyle w:val="TableText"/>
              <w:autoSpaceDE/>
              <w:autoSpaceDN/>
              <w:jc w:val="both"/>
              <w:rPr>
                <w:rFonts w:ascii="Arial" w:hAnsi="Arial" w:cs="Arial"/>
                <w:szCs w:val="20"/>
              </w:rPr>
            </w:pPr>
          </w:p>
        </w:tc>
      </w:tr>
      <w:tr w:rsidR="00F34EE9"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818"/>
        </w:trPr>
        <w:tc>
          <w:tcPr>
            <w:tcW w:w="1798" w:type="dxa"/>
            <w:tcBorders>
              <w:left w:val="nil"/>
              <w:bottom w:val="nil"/>
            </w:tcBorders>
          </w:tcPr>
          <w:p w:rsidR="00F34EE9" w:rsidRPr="0069083B" w:rsidRDefault="00F34EE9">
            <w:pPr>
              <w:rPr>
                <w:rFonts w:ascii="Arial" w:hAnsi="Arial" w:cs="Arial"/>
                <w:b/>
                <w:bCs/>
                <w:sz w:val="20"/>
                <w:szCs w:val="20"/>
              </w:rPr>
            </w:pPr>
            <w:r w:rsidRPr="0069083B">
              <w:rPr>
                <w:rFonts w:ascii="Arial" w:hAnsi="Arial" w:cs="Arial"/>
                <w:b/>
                <w:color w:val="0000FF"/>
                <w:sz w:val="20"/>
                <w:szCs w:val="20"/>
              </w:rPr>
              <w:t>Specimen Storage</w:t>
            </w:r>
          </w:p>
        </w:tc>
        <w:tc>
          <w:tcPr>
            <w:tcW w:w="9452" w:type="dxa"/>
            <w:gridSpan w:val="4"/>
            <w:tcBorders>
              <w:top w:val="single" w:sz="18" w:space="0" w:color="BFBFBF"/>
              <w:bottom w:val="single" w:sz="18" w:space="0" w:color="BFBFBF"/>
              <w:right w:val="nil"/>
            </w:tcBorders>
            <w:vAlign w:val="center"/>
          </w:tcPr>
          <w:p w:rsidR="00F34EE9" w:rsidRPr="0069083B" w:rsidRDefault="00F34EE9" w:rsidP="0062012B">
            <w:pPr>
              <w:pStyle w:val="Default"/>
              <w:rPr>
                <w:sz w:val="20"/>
                <w:szCs w:val="20"/>
              </w:rPr>
            </w:pPr>
            <w:r w:rsidRPr="0069083B">
              <w:rPr>
                <w:sz w:val="20"/>
                <w:szCs w:val="20"/>
              </w:rPr>
              <w:t xml:space="preserve">Promptly stopper tested specimen and store upright in specimen rack. </w:t>
            </w:r>
            <w:r w:rsidR="008B0971" w:rsidRPr="0069083B">
              <w:rPr>
                <w:sz w:val="20"/>
                <w:szCs w:val="20"/>
              </w:rPr>
              <w:t>Store completed</w:t>
            </w:r>
            <w:r w:rsidRPr="0069083B">
              <w:rPr>
                <w:sz w:val="20"/>
                <w:szCs w:val="20"/>
              </w:rPr>
              <w:t xml:space="preserve"> </w:t>
            </w:r>
            <w:r w:rsidR="008B0971" w:rsidRPr="0069083B">
              <w:rPr>
                <w:sz w:val="20"/>
                <w:szCs w:val="20"/>
              </w:rPr>
              <w:t>samples at</w:t>
            </w:r>
            <w:r w:rsidRPr="0069083B">
              <w:rPr>
                <w:sz w:val="20"/>
                <w:szCs w:val="20"/>
              </w:rPr>
              <w:t xml:space="preserve"> </w:t>
            </w:r>
            <w:r w:rsidR="008B0971" w:rsidRPr="0069083B">
              <w:rPr>
                <w:sz w:val="20"/>
                <w:szCs w:val="20"/>
              </w:rPr>
              <w:t>&lt;-20</w:t>
            </w:r>
            <w:r w:rsidR="008B0971" w:rsidRPr="0069083B">
              <w:rPr>
                <w:sz w:val="20"/>
                <w:szCs w:val="20"/>
              </w:rPr>
              <w:sym w:font="Symbol" w:char="F0B0"/>
            </w:r>
            <w:r w:rsidR="008B0971" w:rsidRPr="0069083B">
              <w:rPr>
                <w:sz w:val="20"/>
                <w:szCs w:val="20"/>
              </w:rPr>
              <w:t xml:space="preserve"> C</w:t>
            </w:r>
            <w:r w:rsidRPr="0069083B">
              <w:rPr>
                <w:sz w:val="20"/>
                <w:szCs w:val="20"/>
              </w:rPr>
              <w:t xml:space="preserve"> </w:t>
            </w:r>
            <w:r w:rsidR="0062012B" w:rsidRPr="0069083B">
              <w:rPr>
                <w:sz w:val="20"/>
                <w:szCs w:val="20"/>
              </w:rPr>
              <w:t>a minimum of</w:t>
            </w:r>
            <w:r w:rsidRPr="0069083B">
              <w:rPr>
                <w:sz w:val="20"/>
                <w:szCs w:val="20"/>
              </w:rPr>
              <w:t xml:space="preserve"> 7 days in specimen storage freezer. </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260"/>
        </w:trPr>
        <w:tc>
          <w:tcPr>
            <w:tcW w:w="1798" w:type="dxa"/>
            <w:tcBorders>
              <w:left w:val="nil"/>
              <w:bottom w:val="nil"/>
            </w:tcBorders>
          </w:tcPr>
          <w:p w:rsidR="00F075B2" w:rsidRPr="0069083B" w:rsidRDefault="00F075B2">
            <w:pPr>
              <w:rPr>
                <w:rFonts w:ascii="Arial" w:hAnsi="Arial" w:cs="Arial"/>
                <w:b/>
                <w:bCs/>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References</w:t>
            </w:r>
          </w:p>
        </w:tc>
        <w:tc>
          <w:tcPr>
            <w:tcW w:w="9452" w:type="dxa"/>
            <w:gridSpan w:val="4"/>
            <w:tcBorders>
              <w:top w:val="single" w:sz="18" w:space="0" w:color="BFBFBF"/>
              <w:bottom w:val="single" w:sz="18" w:space="0" w:color="BFBFBF"/>
              <w:right w:val="nil"/>
            </w:tcBorders>
          </w:tcPr>
          <w:p w:rsidR="00F075B2" w:rsidRPr="0069083B" w:rsidRDefault="00F075B2">
            <w:pPr>
              <w:jc w:val="left"/>
              <w:rPr>
                <w:rFonts w:ascii="Arial" w:hAnsi="Arial" w:cs="Arial"/>
                <w:iCs/>
                <w:sz w:val="20"/>
                <w:szCs w:val="20"/>
              </w:rPr>
            </w:pPr>
          </w:p>
          <w:p w:rsidR="00F075B2" w:rsidRPr="0069083B" w:rsidRDefault="00826837" w:rsidP="00F075B2">
            <w:pPr>
              <w:numPr>
                <w:ilvl w:val="0"/>
                <w:numId w:val="12"/>
              </w:numPr>
              <w:jc w:val="left"/>
              <w:rPr>
                <w:rFonts w:ascii="Arial" w:hAnsi="Arial" w:cs="Arial"/>
                <w:iCs/>
                <w:sz w:val="20"/>
                <w:szCs w:val="20"/>
              </w:rPr>
            </w:pPr>
            <w:r w:rsidRPr="0069083B">
              <w:rPr>
                <w:rFonts w:ascii="Arial" w:hAnsi="Arial" w:cs="Arial"/>
                <w:b/>
                <w:bCs/>
                <w:sz w:val="20"/>
                <w:szCs w:val="20"/>
              </w:rPr>
              <w:t>LIAISON</w:t>
            </w:r>
            <w:r w:rsidRPr="0069083B">
              <w:rPr>
                <w:rFonts w:ascii="Arial" w:hAnsi="Arial" w:cs="Arial"/>
                <w:sz w:val="20"/>
                <w:szCs w:val="20"/>
              </w:rPr>
              <w:t xml:space="preserve">® </w:t>
            </w:r>
            <w:r w:rsidRPr="0069083B">
              <w:rPr>
                <w:rFonts w:ascii="Arial" w:hAnsi="Arial" w:cs="Arial"/>
                <w:b/>
                <w:bCs/>
                <w:sz w:val="20"/>
                <w:szCs w:val="20"/>
              </w:rPr>
              <w:t xml:space="preserve">VZV IgG </w:t>
            </w:r>
            <w:r w:rsidR="009E023C" w:rsidRPr="0069083B">
              <w:rPr>
                <w:rFonts w:ascii="Arial" w:hAnsi="Arial" w:cs="Arial"/>
                <w:b/>
                <w:bCs/>
                <w:sz w:val="20"/>
                <w:szCs w:val="20"/>
              </w:rPr>
              <w:t xml:space="preserve">PN </w:t>
            </w:r>
            <w:r w:rsidRPr="0069083B">
              <w:rPr>
                <w:rFonts w:ascii="Arial" w:hAnsi="Arial" w:cs="Arial"/>
                <w:b/>
                <w:bCs/>
                <w:sz w:val="20"/>
                <w:szCs w:val="20"/>
              </w:rPr>
              <w:t>310495</w:t>
            </w:r>
            <w:r w:rsidRPr="0069083B">
              <w:rPr>
                <w:rFonts w:ascii="Arial" w:hAnsi="Arial" w:cs="Arial"/>
                <w:iCs/>
                <w:sz w:val="20"/>
                <w:szCs w:val="20"/>
              </w:rPr>
              <w:t xml:space="preserve"> </w:t>
            </w:r>
            <w:r w:rsidR="003D5CCA">
              <w:rPr>
                <w:rFonts w:ascii="Arial" w:hAnsi="Arial" w:cs="Arial"/>
                <w:iCs/>
                <w:sz w:val="20"/>
                <w:szCs w:val="20"/>
              </w:rPr>
              <w:t>Directions for Use,</w:t>
            </w:r>
            <w:r w:rsidR="00F075B2" w:rsidRPr="0069083B">
              <w:rPr>
                <w:rFonts w:ascii="Arial" w:hAnsi="Arial" w:cs="Arial"/>
                <w:iCs/>
                <w:sz w:val="20"/>
                <w:szCs w:val="20"/>
              </w:rPr>
              <w:t xml:space="preserve"> DiaSorin, </w:t>
            </w:r>
            <w:proofErr w:type="spellStart"/>
            <w:r w:rsidR="00F075B2" w:rsidRPr="0069083B">
              <w:rPr>
                <w:rFonts w:ascii="Arial" w:hAnsi="Arial" w:cs="Arial"/>
                <w:iCs/>
                <w:sz w:val="20"/>
                <w:szCs w:val="20"/>
              </w:rPr>
              <w:t>Inc</w:t>
            </w:r>
            <w:proofErr w:type="spellEnd"/>
            <w:r w:rsidR="00F075B2" w:rsidRPr="0069083B">
              <w:rPr>
                <w:rFonts w:ascii="Arial" w:hAnsi="Arial" w:cs="Arial"/>
                <w:iCs/>
                <w:sz w:val="20"/>
                <w:szCs w:val="20"/>
              </w:rPr>
              <w:t xml:space="preserve">, Stillwater, MN 55082, </w:t>
            </w:r>
            <w:r w:rsidR="009B3185" w:rsidRPr="0069083B">
              <w:rPr>
                <w:rFonts w:ascii="Arial" w:hAnsi="Arial" w:cs="Arial"/>
                <w:sz w:val="20"/>
                <w:szCs w:val="20"/>
              </w:rPr>
              <w:t>September,2019</w:t>
            </w:r>
          </w:p>
          <w:p w:rsidR="009B3185" w:rsidRPr="0069083B" w:rsidRDefault="00186A7A" w:rsidP="009B3185">
            <w:pPr>
              <w:numPr>
                <w:ilvl w:val="0"/>
                <w:numId w:val="12"/>
              </w:numPr>
              <w:jc w:val="left"/>
              <w:rPr>
                <w:rFonts w:ascii="Arial" w:hAnsi="Arial" w:cs="Arial"/>
                <w:iCs/>
                <w:sz w:val="20"/>
                <w:szCs w:val="20"/>
              </w:rPr>
            </w:pPr>
            <w:r w:rsidRPr="0069083B">
              <w:rPr>
                <w:rFonts w:ascii="Arial" w:hAnsi="Arial" w:cs="Arial"/>
                <w:b/>
                <w:bCs/>
                <w:sz w:val="20"/>
                <w:szCs w:val="20"/>
              </w:rPr>
              <w:t>LIAISON</w:t>
            </w:r>
            <w:r w:rsidRPr="0069083B">
              <w:rPr>
                <w:rFonts w:ascii="Arial" w:hAnsi="Arial" w:cs="Arial"/>
                <w:sz w:val="20"/>
                <w:szCs w:val="20"/>
              </w:rPr>
              <w:t xml:space="preserve">® </w:t>
            </w:r>
            <w:r w:rsidRPr="0069083B">
              <w:rPr>
                <w:rFonts w:ascii="Arial" w:hAnsi="Arial" w:cs="Arial"/>
                <w:b/>
                <w:bCs/>
                <w:sz w:val="20"/>
                <w:szCs w:val="20"/>
              </w:rPr>
              <w:t xml:space="preserve">Control VZV IgG </w:t>
            </w:r>
            <w:r w:rsidR="009E023C" w:rsidRPr="0069083B">
              <w:rPr>
                <w:rFonts w:ascii="Arial" w:hAnsi="Arial" w:cs="Arial"/>
                <w:b/>
                <w:bCs/>
                <w:sz w:val="20"/>
                <w:szCs w:val="20"/>
              </w:rPr>
              <w:t>PN</w:t>
            </w:r>
            <w:r w:rsidRPr="0069083B">
              <w:rPr>
                <w:rFonts w:ascii="Arial" w:hAnsi="Arial" w:cs="Arial"/>
                <w:sz w:val="20"/>
                <w:szCs w:val="20"/>
              </w:rPr>
              <w:t xml:space="preserve"> </w:t>
            </w:r>
            <w:r w:rsidRPr="0069083B">
              <w:rPr>
                <w:rFonts w:ascii="Arial" w:hAnsi="Arial" w:cs="Arial"/>
                <w:b/>
                <w:bCs/>
                <w:sz w:val="20"/>
                <w:szCs w:val="20"/>
              </w:rPr>
              <w:t>310496</w:t>
            </w:r>
            <w:r w:rsidRPr="0069083B">
              <w:rPr>
                <w:rFonts w:ascii="Arial" w:hAnsi="Arial" w:cs="Arial"/>
                <w:iCs/>
                <w:sz w:val="20"/>
                <w:szCs w:val="20"/>
              </w:rPr>
              <w:t xml:space="preserve"> </w:t>
            </w:r>
            <w:r w:rsidR="00F075B2" w:rsidRPr="0069083B">
              <w:rPr>
                <w:rFonts w:ascii="Arial" w:hAnsi="Arial" w:cs="Arial"/>
                <w:iCs/>
                <w:sz w:val="20"/>
                <w:szCs w:val="20"/>
              </w:rPr>
              <w:t xml:space="preserve">Directions for Use, DiaSorin, Inc, Stillwater, MN 55082, </w:t>
            </w:r>
            <w:r w:rsidR="009B3185" w:rsidRPr="0069083B">
              <w:rPr>
                <w:rFonts w:ascii="Arial" w:hAnsi="Arial" w:cs="Arial"/>
                <w:iCs/>
                <w:sz w:val="20"/>
                <w:szCs w:val="20"/>
              </w:rPr>
              <w:t>September 2019</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720"/>
        </w:trPr>
        <w:tc>
          <w:tcPr>
            <w:tcW w:w="1798" w:type="dxa"/>
            <w:tcBorders>
              <w:top w:val="nil"/>
              <w:left w:val="nil"/>
              <w:bottom w:val="nil"/>
            </w:tcBorders>
          </w:tcPr>
          <w:p w:rsidR="00F075B2" w:rsidRPr="0069083B" w:rsidRDefault="00F075B2">
            <w:pPr>
              <w:rPr>
                <w:rFonts w:ascii="Arial" w:hAnsi="Arial" w:cs="Arial"/>
                <w:b/>
                <w:bCs/>
                <w:color w:val="0000FF"/>
                <w:sz w:val="20"/>
                <w:szCs w:val="20"/>
              </w:rPr>
            </w:pPr>
          </w:p>
          <w:p w:rsidR="00F075B2" w:rsidRPr="0069083B" w:rsidRDefault="00F075B2">
            <w:pPr>
              <w:jc w:val="left"/>
              <w:rPr>
                <w:rFonts w:ascii="Arial" w:hAnsi="Arial" w:cs="Arial"/>
                <w:b/>
                <w:bCs/>
                <w:color w:val="0000FF"/>
                <w:sz w:val="20"/>
                <w:szCs w:val="20"/>
              </w:rPr>
            </w:pPr>
            <w:r w:rsidRPr="0069083B">
              <w:rPr>
                <w:rFonts w:ascii="Arial" w:hAnsi="Arial" w:cs="Arial"/>
                <w:b/>
                <w:bCs/>
                <w:color w:val="0000FF"/>
                <w:sz w:val="20"/>
                <w:szCs w:val="20"/>
              </w:rPr>
              <w:t>Appendices</w:t>
            </w:r>
          </w:p>
          <w:p w:rsidR="00F075B2" w:rsidRPr="0069083B" w:rsidRDefault="00F075B2">
            <w:pPr>
              <w:rPr>
                <w:rFonts w:ascii="Arial" w:hAnsi="Arial" w:cs="Arial"/>
                <w:b/>
                <w:bCs/>
                <w:sz w:val="20"/>
                <w:szCs w:val="20"/>
              </w:rPr>
            </w:pPr>
          </w:p>
        </w:tc>
        <w:tc>
          <w:tcPr>
            <w:tcW w:w="9452" w:type="dxa"/>
            <w:gridSpan w:val="4"/>
            <w:tcBorders>
              <w:top w:val="single" w:sz="18" w:space="0" w:color="BFBFBF"/>
              <w:bottom w:val="single" w:sz="18" w:space="0" w:color="BFBFBF"/>
              <w:right w:val="nil"/>
            </w:tcBorders>
          </w:tcPr>
          <w:p w:rsidR="00F075B2" w:rsidRPr="0069083B" w:rsidRDefault="00F075B2">
            <w:pPr>
              <w:jc w:val="left"/>
              <w:rPr>
                <w:rFonts w:ascii="Arial" w:hAnsi="Arial" w:cs="Arial"/>
                <w:sz w:val="20"/>
                <w:szCs w:val="20"/>
              </w:rPr>
            </w:pPr>
          </w:p>
          <w:p w:rsidR="00F075B2" w:rsidRPr="0069083B" w:rsidRDefault="00F075B2" w:rsidP="00186A7A">
            <w:pPr>
              <w:jc w:val="left"/>
              <w:rPr>
                <w:rFonts w:ascii="Arial" w:hAnsi="Arial" w:cs="Arial"/>
                <w:iCs/>
                <w:sz w:val="20"/>
                <w:szCs w:val="20"/>
              </w:rPr>
            </w:pPr>
            <w:r w:rsidRPr="0069083B">
              <w:rPr>
                <w:rFonts w:ascii="Arial" w:hAnsi="Arial" w:cs="Arial"/>
                <w:sz w:val="20"/>
                <w:szCs w:val="20"/>
              </w:rPr>
              <w:t>Refer to LIAISON® VZV IgG (31049</w:t>
            </w:r>
            <w:r w:rsidR="00186A7A" w:rsidRPr="0069083B">
              <w:rPr>
                <w:rFonts w:ascii="Arial" w:hAnsi="Arial" w:cs="Arial"/>
                <w:sz w:val="20"/>
                <w:szCs w:val="20"/>
              </w:rPr>
              <w:t>5</w:t>
            </w:r>
            <w:r w:rsidRPr="0069083B">
              <w:rPr>
                <w:rFonts w:ascii="Arial" w:hAnsi="Arial" w:cs="Arial"/>
                <w:sz w:val="20"/>
                <w:szCs w:val="20"/>
              </w:rPr>
              <w:t>)</w:t>
            </w:r>
            <w:r w:rsidRPr="0069083B">
              <w:rPr>
                <w:rFonts w:ascii="Arial" w:hAnsi="Arial" w:cs="Arial"/>
                <w:iCs/>
                <w:sz w:val="20"/>
                <w:szCs w:val="20"/>
              </w:rPr>
              <w:t xml:space="preserve"> Directions for Use</w:t>
            </w:r>
            <w:r w:rsidRPr="0069083B">
              <w:rPr>
                <w:rFonts w:ascii="Arial" w:hAnsi="Arial" w:cs="Arial"/>
                <w:sz w:val="20"/>
                <w:szCs w:val="20"/>
              </w:rPr>
              <w:t xml:space="preserve"> for specific performance characteristics</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152"/>
        </w:trPr>
        <w:tc>
          <w:tcPr>
            <w:tcW w:w="1798" w:type="dxa"/>
            <w:tcBorders>
              <w:top w:val="nil"/>
              <w:left w:val="nil"/>
              <w:bottom w:val="nil"/>
            </w:tcBorders>
          </w:tcPr>
          <w:p w:rsidR="00F075B2" w:rsidRPr="0069083B" w:rsidRDefault="00F075B2">
            <w:pPr>
              <w:rPr>
                <w:rFonts w:ascii="Arial" w:hAnsi="Arial" w:cs="Arial"/>
                <w:b/>
                <w:bCs/>
                <w:color w:val="0000FF"/>
                <w:sz w:val="20"/>
                <w:szCs w:val="20"/>
              </w:rPr>
            </w:pPr>
          </w:p>
        </w:tc>
        <w:tc>
          <w:tcPr>
            <w:tcW w:w="9452" w:type="dxa"/>
            <w:gridSpan w:val="4"/>
            <w:tcBorders>
              <w:top w:val="single" w:sz="18" w:space="0" w:color="BFBFBF"/>
              <w:bottom w:val="single" w:sz="4" w:space="0" w:color="auto"/>
              <w:right w:val="nil"/>
            </w:tcBorders>
          </w:tcPr>
          <w:p w:rsidR="00F075B2" w:rsidRPr="0069083B" w:rsidRDefault="00F075B2">
            <w:pPr>
              <w:jc w:val="left"/>
              <w:rPr>
                <w:rFonts w:ascii="Arial" w:hAnsi="Arial" w:cs="Arial"/>
                <w:sz w:val="20"/>
                <w:szCs w:val="20"/>
              </w:rPr>
            </w:pP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798" w:type="dxa"/>
            <w:vMerge w:val="restart"/>
            <w:tcBorders>
              <w:left w:val="nil"/>
              <w:bottom w:val="nil"/>
              <w:right w:val="single" w:sz="4" w:space="0" w:color="auto"/>
            </w:tcBorders>
          </w:tcPr>
          <w:p w:rsidR="00F075B2" w:rsidRPr="0069083B" w:rsidRDefault="00F075B2">
            <w:pPr>
              <w:jc w:val="left"/>
              <w:rPr>
                <w:rFonts w:ascii="Arial" w:hAnsi="Arial" w:cs="Arial"/>
                <w:b/>
                <w:bCs/>
                <w:color w:val="3366FF"/>
                <w:sz w:val="20"/>
                <w:szCs w:val="20"/>
              </w:rPr>
            </w:pPr>
            <w:r w:rsidRPr="0069083B">
              <w:rPr>
                <w:rFonts w:ascii="Arial" w:hAnsi="Arial" w:cs="Arial"/>
                <w:b/>
                <w:bCs/>
                <w:color w:val="0000FF"/>
                <w:sz w:val="20"/>
                <w:szCs w:val="20"/>
              </w:rPr>
              <w:lastRenderedPageBreak/>
              <w:t>Historical Record</w:t>
            </w:r>
          </w:p>
        </w:tc>
        <w:tc>
          <w:tcPr>
            <w:tcW w:w="1082"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b/>
                <w:bCs/>
                <w:sz w:val="20"/>
                <w:szCs w:val="20"/>
              </w:rPr>
            </w:pPr>
            <w:r w:rsidRPr="0069083B">
              <w:rPr>
                <w:rFonts w:ascii="Arial" w:hAnsi="Arial" w:cs="Arial"/>
                <w:b/>
                <w:bCs/>
                <w:sz w:val="20"/>
                <w:szCs w:val="20"/>
              </w:rPr>
              <w:t>Version</w:t>
            </w:r>
          </w:p>
        </w:tc>
        <w:tc>
          <w:tcPr>
            <w:tcW w:w="2880" w:type="dxa"/>
            <w:tcBorders>
              <w:top w:val="single" w:sz="4" w:space="0" w:color="auto"/>
              <w:left w:val="single" w:sz="4" w:space="0" w:color="auto"/>
              <w:bottom w:val="single" w:sz="4" w:space="0" w:color="auto"/>
              <w:right w:val="single" w:sz="4" w:space="0" w:color="auto"/>
            </w:tcBorders>
          </w:tcPr>
          <w:p w:rsidR="00F075B2" w:rsidRPr="0069083B" w:rsidRDefault="00F075B2">
            <w:pPr>
              <w:rPr>
                <w:rFonts w:ascii="Arial" w:hAnsi="Arial" w:cs="Arial"/>
                <w:b/>
                <w:bCs/>
                <w:iCs/>
                <w:sz w:val="20"/>
                <w:szCs w:val="20"/>
              </w:rPr>
            </w:pPr>
            <w:r w:rsidRPr="0069083B">
              <w:rPr>
                <w:rFonts w:ascii="Arial" w:hAnsi="Arial" w:cs="Arial"/>
                <w:b/>
                <w:bCs/>
                <w:iCs/>
                <w:sz w:val="20"/>
                <w:szCs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b/>
                <w:bCs/>
                <w:iCs/>
                <w:sz w:val="20"/>
                <w:szCs w:val="20"/>
              </w:rPr>
            </w:pPr>
            <w:r w:rsidRPr="0069083B">
              <w:rPr>
                <w:rFonts w:ascii="Arial" w:hAnsi="Arial" w:cs="Arial"/>
                <w:b/>
                <w:bCs/>
                <w:iCs/>
                <w:sz w:val="20"/>
                <w:szCs w:val="20"/>
              </w:rPr>
              <w:t>Effective Date:</w:t>
            </w:r>
          </w:p>
        </w:tc>
        <w:tc>
          <w:tcPr>
            <w:tcW w:w="3459"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b/>
                <w:bCs/>
                <w:iCs/>
                <w:sz w:val="20"/>
                <w:szCs w:val="20"/>
              </w:rPr>
            </w:pPr>
            <w:r w:rsidRPr="0069083B">
              <w:rPr>
                <w:rFonts w:ascii="Arial" w:hAnsi="Arial" w:cs="Arial"/>
                <w:b/>
                <w:bCs/>
                <w:iCs/>
                <w:sz w:val="20"/>
                <w:szCs w:val="20"/>
              </w:rPr>
              <w:t>Summary of Revisions</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798" w:type="dxa"/>
            <w:vMerge/>
            <w:tcBorders>
              <w:left w:val="nil"/>
              <w:bottom w:val="nil"/>
              <w:right w:val="single" w:sz="4" w:space="0" w:color="auto"/>
            </w:tcBorders>
          </w:tcPr>
          <w:p w:rsidR="00F075B2" w:rsidRPr="0069083B" w:rsidRDefault="00F075B2">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F075B2" w:rsidRPr="0069083B" w:rsidRDefault="00F075B2" w:rsidP="00F075B2">
            <w:pPr>
              <w:numPr>
                <w:ilvl w:val="0"/>
                <w:numId w:val="14"/>
              </w:numPr>
              <w:jc w:val="left"/>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Marisa Gremillion/L. Lichty</w:t>
            </w:r>
          </w:p>
        </w:tc>
        <w:tc>
          <w:tcPr>
            <w:tcW w:w="2031"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August 15, 2011</w:t>
            </w:r>
          </w:p>
        </w:tc>
        <w:tc>
          <w:tcPr>
            <w:tcW w:w="3459"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Initial Version</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F075B2" w:rsidRPr="0069083B" w:rsidRDefault="00F075B2">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F075B2" w:rsidRPr="0069083B" w:rsidRDefault="00F075B2" w:rsidP="00F075B2">
            <w:pPr>
              <w:numPr>
                <w:ilvl w:val="0"/>
                <w:numId w:val="14"/>
              </w:numPr>
              <w:jc w:val="left"/>
              <w:rPr>
                <w:rFonts w:ascii="Arial" w:hAnsi="Arial" w:cs="Arial"/>
                <w:i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August 22, 2011</w:t>
            </w:r>
          </w:p>
        </w:tc>
        <w:tc>
          <w:tcPr>
            <w:tcW w:w="3459"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Added statements for clarification of reporting and QC handling.</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F075B2" w:rsidRPr="0069083B" w:rsidRDefault="00F075B2">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F075B2" w:rsidRPr="0069083B" w:rsidRDefault="00F075B2" w:rsidP="00F075B2">
            <w:pPr>
              <w:numPr>
                <w:ilvl w:val="0"/>
                <w:numId w:val="14"/>
              </w:numPr>
              <w:jc w:val="left"/>
              <w:rPr>
                <w:rFonts w:ascii="Arial" w:hAnsi="Arial" w:cs="Arial"/>
                <w:i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April 22, 2013</w:t>
            </w:r>
          </w:p>
        </w:tc>
        <w:tc>
          <w:tcPr>
            <w:tcW w:w="3459"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Update product insert</w:t>
            </w:r>
          </w:p>
        </w:tc>
      </w:tr>
      <w:tr w:rsidR="00F075B2"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F075B2" w:rsidRPr="0069083B" w:rsidRDefault="00F075B2">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F075B2" w:rsidRPr="0069083B" w:rsidRDefault="00F075B2" w:rsidP="00F075B2">
            <w:pPr>
              <w:numPr>
                <w:ilvl w:val="0"/>
                <w:numId w:val="14"/>
              </w:numPr>
              <w:jc w:val="left"/>
              <w:rPr>
                <w:rFonts w:ascii="Arial" w:hAnsi="Arial" w:cs="Arial"/>
                <w:i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August 26, 2013</w:t>
            </w:r>
          </w:p>
        </w:tc>
        <w:tc>
          <w:tcPr>
            <w:tcW w:w="3459" w:type="dxa"/>
            <w:tcBorders>
              <w:top w:val="single" w:sz="4" w:space="0" w:color="auto"/>
              <w:left w:val="single" w:sz="4" w:space="0" w:color="auto"/>
              <w:bottom w:val="single" w:sz="4" w:space="0" w:color="auto"/>
              <w:right w:val="single" w:sz="4" w:space="0" w:color="auto"/>
            </w:tcBorders>
          </w:tcPr>
          <w:p w:rsidR="00F075B2" w:rsidRPr="0069083B" w:rsidRDefault="00F075B2">
            <w:pPr>
              <w:jc w:val="left"/>
              <w:rPr>
                <w:rFonts w:ascii="Arial" w:hAnsi="Arial" w:cs="Arial"/>
                <w:iCs/>
                <w:sz w:val="20"/>
                <w:szCs w:val="20"/>
              </w:rPr>
            </w:pPr>
            <w:r w:rsidRPr="0069083B">
              <w:rPr>
                <w:rFonts w:ascii="Arial" w:hAnsi="Arial" w:cs="Arial"/>
                <w:iCs/>
                <w:sz w:val="20"/>
                <w:szCs w:val="20"/>
              </w:rPr>
              <w:t>Retest negative samples</w:t>
            </w:r>
          </w:p>
        </w:tc>
      </w:tr>
      <w:tr w:rsidR="00186A7A"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186A7A" w:rsidRPr="0069083B" w:rsidRDefault="00186A7A">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186A7A" w:rsidRPr="0069083B" w:rsidRDefault="00186A7A" w:rsidP="00F075B2">
            <w:pPr>
              <w:numPr>
                <w:ilvl w:val="0"/>
                <w:numId w:val="14"/>
              </w:numPr>
              <w:jc w:val="left"/>
              <w:rPr>
                <w:rFonts w:ascii="Arial" w:hAnsi="Arial" w:cs="Arial"/>
                <w:i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186A7A" w:rsidRPr="0069083B" w:rsidRDefault="00186A7A">
            <w:pPr>
              <w:jc w:val="left"/>
              <w:rPr>
                <w:rFonts w:ascii="Arial" w:hAnsi="Arial" w:cs="Arial"/>
                <w:iCs/>
                <w:sz w:val="20"/>
                <w:szCs w:val="20"/>
              </w:rPr>
            </w:pPr>
            <w:r w:rsidRPr="0069083B">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186A7A" w:rsidRPr="0069083B" w:rsidRDefault="00186A7A">
            <w:pPr>
              <w:jc w:val="left"/>
              <w:rPr>
                <w:rFonts w:ascii="Arial" w:hAnsi="Arial" w:cs="Arial"/>
                <w:iCs/>
                <w:sz w:val="20"/>
                <w:szCs w:val="20"/>
              </w:rPr>
            </w:pPr>
            <w:r w:rsidRPr="0069083B">
              <w:rPr>
                <w:rFonts w:ascii="Arial" w:hAnsi="Arial" w:cs="Arial"/>
                <w:iCs/>
                <w:sz w:val="20"/>
                <w:szCs w:val="20"/>
              </w:rPr>
              <w:t>September 28, 2015</w:t>
            </w:r>
          </w:p>
        </w:tc>
        <w:tc>
          <w:tcPr>
            <w:tcW w:w="3459" w:type="dxa"/>
            <w:tcBorders>
              <w:top w:val="single" w:sz="4" w:space="0" w:color="auto"/>
              <w:left w:val="single" w:sz="4" w:space="0" w:color="auto"/>
              <w:bottom w:val="single" w:sz="4" w:space="0" w:color="auto"/>
              <w:right w:val="single" w:sz="4" w:space="0" w:color="auto"/>
            </w:tcBorders>
          </w:tcPr>
          <w:p w:rsidR="00186A7A" w:rsidRPr="0069083B" w:rsidRDefault="00186A7A">
            <w:pPr>
              <w:jc w:val="left"/>
              <w:rPr>
                <w:rFonts w:ascii="Arial" w:hAnsi="Arial" w:cs="Arial"/>
                <w:iCs/>
                <w:sz w:val="20"/>
                <w:szCs w:val="20"/>
              </w:rPr>
            </w:pPr>
            <w:r w:rsidRPr="0069083B">
              <w:rPr>
                <w:rFonts w:ascii="Arial" w:hAnsi="Arial" w:cs="Arial"/>
                <w:iCs/>
                <w:sz w:val="20"/>
                <w:szCs w:val="20"/>
              </w:rPr>
              <w:t>Revised reagent</w:t>
            </w:r>
            <w:r w:rsidR="008B0971" w:rsidRPr="0069083B">
              <w:rPr>
                <w:rFonts w:ascii="Arial" w:hAnsi="Arial" w:cs="Arial"/>
                <w:iCs/>
                <w:sz w:val="20"/>
                <w:szCs w:val="20"/>
              </w:rPr>
              <w:t xml:space="preserve">, eliminated </w:t>
            </w:r>
            <w:r w:rsidR="003D5CCA" w:rsidRPr="0069083B">
              <w:rPr>
                <w:rFonts w:ascii="Arial" w:hAnsi="Arial" w:cs="Arial"/>
                <w:iCs/>
                <w:sz w:val="20"/>
                <w:szCs w:val="20"/>
              </w:rPr>
              <w:t>Bio-Rad</w:t>
            </w:r>
            <w:r w:rsidR="008B0971" w:rsidRPr="0069083B">
              <w:rPr>
                <w:rFonts w:ascii="Arial" w:hAnsi="Arial" w:cs="Arial"/>
                <w:iCs/>
                <w:sz w:val="20"/>
                <w:szCs w:val="20"/>
              </w:rPr>
              <w:t xml:space="preserve"> control, extend</w:t>
            </w:r>
            <w:r w:rsidR="003D5CCA">
              <w:rPr>
                <w:rFonts w:ascii="Arial" w:hAnsi="Arial" w:cs="Arial"/>
                <w:iCs/>
                <w:sz w:val="20"/>
                <w:szCs w:val="20"/>
              </w:rPr>
              <w:t>ed</w:t>
            </w:r>
            <w:r w:rsidR="008B0971" w:rsidRPr="0069083B">
              <w:rPr>
                <w:rFonts w:ascii="Arial" w:hAnsi="Arial" w:cs="Arial"/>
                <w:iCs/>
                <w:sz w:val="20"/>
                <w:szCs w:val="20"/>
              </w:rPr>
              <w:t xml:space="preserve"> calibration stability</w:t>
            </w:r>
          </w:p>
        </w:tc>
      </w:tr>
      <w:tr w:rsidR="009B3185" w:rsidRPr="0069083B"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9B3185" w:rsidRPr="0069083B" w:rsidRDefault="009B3185">
            <w:pPr>
              <w:rPr>
                <w:rFonts w:ascii="Arial" w:hAnsi="Arial" w:cs="Arial"/>
                <w:b/>
                <w:bCs/>
                <w:color w:val="3366FF"/>
                <w:sz w:val="20"/>
                <w:szCs w:val="20"/>
              </w:rPr>
            </w:pPr>
          </w:p>
        </w:tc>
        <w:tc>
          <w:tcPr>
            <w:tcW w:w="1082" w:type="dxa"/>
            <w:tcBorders>
              <w:top w:val="single" w:sz="4" w:space="0" w:color="auto"/>
              <w:left w:val="single" w:sz="4" w:space="0" w:color="auto"/>
              <w:bottom w:val="single" w:sz="4" w:space="0" w:color="auto"/>
              <w:right w:val="single" w:sz="4" w:space="0" w:color="auto"/>
            </w:tcBorders>
          </w:tcPr>
          <w:p w:rsidR="009B3185" w:rsidRPr="0069083B" w:rsidRDefault="009B3185" w:rsidP="00F075B2">
            <w:pPr>
              <w:numPr>
                <w:ilvl w:val="0"/>
                <w:numId w:val="14"/>
              </w:numPr>
              <w:jc w:val="left"/>
              <w:rPr>
                <w:rFonts w:ascii="Arial" w:hAnsi="Arial" w:cs="Arial"/>
                <w:i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9B3185" w:rsidRPr="0069083B" w:rsidRDefault="009B3185">
            <w:pPr>
              <w:jc w:val="left"/>
              <w:rPr>
                <w:rFonts w:ascii="Arial" w:hAnsi="Arial" w:cs="Arial"/>
                <w:iCs/>
                <w:sz w:val="20"/>
                <w:szCs w:val="20"/>
              </w:rPr>
            </w:pPr>
            <w:r w:rsidRPr="0069083B">
              <w:rPr>
                <w:rFonts w:ascii="Arial" w:hAnsi="Arial" w:cs="Arial"/>
                <w:iCs/>
                <w:sz w:val="20"/>
                <w:szCs w:val="20"/>
              </w:rPr>
              <w:t>Stephen Gripentrog</w:t>
            </w:r>
          </w:p>
        </w:tc>
        <w:tc>
          <w:tcPr>
            <w:tcW w:w="2031" w:type="dxa"/>
            <w:tcBorders>
              <w:top w:val="single" w:sz="4" w:space="0" w:color="auto"/>
              <w:left w:val="single" w:sz="4" w:space="0" w:color="auto"/>
              <w:bottom w:val="single" w:sz="4" w:space="0" w:color="auto"/>
              <w:right w:val="single" w:sz="4" w:space="0" w:color="auto"/>
            </w:tcBorders>
          </w:tcPr>
          <w:p w:rsidR="009B3185" w:rsidRPr="0069083B" w:rsidRDefault="0056799D" w:rsidP="0056799D">
            <w:pPr>
              <w:jc w:val="left"/>
              <w:rPr>
                <w:rFonts w:ascii="Arial" w:hAnsi="Arial" w:cs="Arial"/>
                <w:iCs/>
                <w:sz w:val="20"/>
                <w:szCs w:val="20"/>
              </w:rPr>
            </w:pPr>
            <w:r w:rsidRPr="0069083B">
              <w:rPr>
                <w:rFonts w:ascii="Arial" w:hAnsi="Arial" w:cs="Arial"/>
                <w:iCs/>
                <w:sz w:val="20"/>
                <w:szCs w:val="20"/>
              </w:rPr>
              <w:t>August 13, 2019</w:t>
            </w:r>
          </w:p>
        </w:tc>
        <w:tc>
          <w:tcPr>
            <w:tcW w:w="3459" w:type="dxa"/>
            <w:tcBorders>
              <w:top w:val="single" w:sz="4" w:space="0" w:color="auto"/>
              <w:left w:val="single" w:sz="4" w:space="0" w:color="auto"/>
              <w:bottom w:val="single" w:sz="4" w:space="0" w:color="auto"/>
              <w:right w:val="single" w:sz="4" w:space="0" w:color="auto"/>
            </w:tcBorders>
          </w:tcPr>
          <w:p w:rsidR="009B3185" w:rsidRPr="0069083B" w:rsidRDefault="009B3185">
            <w:pPr>
              <w:jc w:val="left"/>
              <w:rPr>
                <w:rFonts w:ascii="Arial" w:hAnsi="Arial" w:cs="Arial"/>
                <w:iCs/>
                <w:sz w:val="20"/>
                <w:szCs w:val="20"/>
              </w:rPr>
            </w:pPr>
            <w:r w:rsidRPr="0069083B">
              <w:rPr>
                <w:rFonts w:ascii="Arial" w:hAnsi="Arial" w:cs="Arial"/>
                <w:iCs/>
                <w:sz w:val="20"/>
                <w:szCs w:val="20"/>
              </w:rPr>
              <w:t>Updated procedure to new analyzer</w:t>
            </w:r>
            <w:r w:rsidR="003D5CCA">
              <w:rPr>
                <w:rFonts w:ascii="Arial" w:hAnsi="Arial" w:cs="Arial"/>
                <w:iCs/>
                <w:sz w:val="20"/>
                <w:szCs w:val="20"/>
              </w:rPr>
              <w:t>,</w:t>
            </w:r>
            <w:r w:rsidRPr="0069083B">
              <w:rPr>
                <w:rFonts w:ascii="Arial" w:hAnsi="Arial" w:cs="Arial"/>
                <w:iCs/>
                <w:sz w:val="20"/>
                <w:szCs w:val="20"/>
              </w:rPr>
              <w:t xml:space="preserve"> </w:t>
            </w:r>
            <w:r w:rsidR="003D5CCA" w:rsidRPr="0069083B">
              <w:rPr>
                <w:rFonts w:ascii="Arial" w:hAnsi="Arial" w:cs="Arial"/>
                <w:iCs/>
                <w:sz w:val="20"/>
                <w:szCs w:val="20"/>
              </w:rPr>
              <w:t>DiaSorin</w:t>
            </w:r>
            <w:r w:rsidRPr="0069083B">
              <w:rPr>
                <w:rFonts w:ascii="Arial" w:hAnsi="Arial" w:cs="Arial"/>
                <w:iCs/>
                <w:sz w:val="20"/>
                <w:szCs w:val="20"/>
              </w:rPr>
              <w:t xml:space="preserve"> Liaison XL. </w:t>
            </w:r>
          </w:p>
        </w:tc>
      </w:tr>
      <w:tr w:rsidR="00F075B2" w:rsidTr="00A92D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15"/>
        </w:trPr>
        <w:tc>
          <w:tcPr>
            <w:tcW w:w="1798" w:type="dxa"/>
            <w:vMerge/>
            <w:tcBorders>
              <w:left w:val="nil"/>
              <w:bottom w:val="nil"/>
              <w:right w:val="nil"/>
            </w:tcBorders>
          </w:tcPr>
          <w:p w:rsidR="00F075B2" w:rsidRDefault="00F075B2">
            <w:pPr>
              <w:rPr>
                <w:rFonts w:ascii="Arial" w:hAnsi="Arial" w:cs="Arial"/>
                <w:b/>
                <w:bCs/>
                <w:color w:val="3366FF"/>
              </w:rPr>
            </w:pPr>
          </w:p>
        </w:tc>
        <w:tc>
          <w:tcPr>
            <w:tcW w:w="9452" w:type="dxa"/>
            <w:gridSpan w:val="4"/>
            <w:tcBorders>
              <w:top w:val="single" w:sz="4" w:space="0" w:color="auto"/>
              <w:left w:val="nil"/>
              <w:bottom w:val="single" w:sz="18" w:space="0" w:color="BFBFBF"/>
              <w:right w:val="nil"/>
            </w:tcBorders>
          </w:tcPr>
          <w:p w:rsidR="00F075B2" w:rsidRDefault="00F075B2">
            <w:pPr>
              <w:jc w:val="left"/>
              <w:rPr>
                <w:rFonts w:ascii="Arial" w:hAnsi="Arial" w:cs="Arial"/>
                <w:b/>
                <w:bCs/>
                <w:iCs/>
                <w:sz w:val="20"/>
              </w:rPr>
            </w:pPr>
          </w:p>
        </w:tc>
      </w:tr>
    </w:tbl>
    <w:p w:rsidR="00F075B2" w:rsidRDefault="00F075B2">
      <w:pPr>
        <w:pStyle w:val="Header"/>
        <w:tabs>
          <w:tab w:val="clear" w:pos="4320"/>
          <w:tab w:val="clear" w:pos="8640"/>
        </w:tabs>
        <w:rPr>
          <w:rFonts w:ascii="Arial" w:hAnsi="Arial" w:cs="Arial"/>
        </w:rPr>
      </w:pPr>
    </w:p>
    <w:sectPr w:rsidR="00F075B2">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DA" w:rsidRDefault="00576CDA">
      <w:r>
        <w:separator/>
      </w:r>
    </w:p>
  </w:endnote>
  <w:endnote w:type="continuationSeparator" w:id="0">
    <w:p w:rsidR="00576CDA" w:rsidRDefault="0057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2" w:rsidRDefault="00E65842" w:rsidP="002B061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73191">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73191">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DA" w:rsidRDefault="00576CDA">
      <w:r>
        <w:separator/>
      </w:r>
    </w:p>
  </w:footnote>
  <w:footnote w:type="continuationSeparator" w:id="0">
    <w:p w:rsidR="00576CDA" w:rsidRDefault="0057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2" w:rsidRDefault="00E65842">
    <w:pPr>
      <w:ind w:left="-1260" w:right="-1260"/>
      <w:rPr>
        <w:rFonts w:ascii="Arial" w:hAnsi="Arial" w:cs="Arial"/>
        <w:sz w:val="18"/>
      </w:rPr>
    </w:pPr>
    <w:r>
      <w:rPr>
        <w:rFonts w:ascii="Arial" w:hAnsi="Arial" w:cs="Arial"/>
        <w:sz w:val="18"/>
      </w:rPr>
      <w:t xml:space="preserve">CH 6.103 VZV IgG </w:t>
    </w:r>
  </w:p>
  <w:p w:rsidR="00E65842" w:rsidRDefault="00563F76">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E744E4">
      <w:rPr>
        <w:rFonts w:ascii="Arial" w:hAnsi="Arial" w:cs="Arial"/>
        <w:sz w:val="18"/>
      </w:rPr>
      <w:t>Version 6</w:t>
    </w:r>
  </w:p>
  <w:p w:rsidR="00E65842" w:rsidRDefault="00E65842">
    <w:pPr>
      <w:ind w:left="-1260" w:right="-1260"/>
      <w:rPr>
        <w:rFonts w:ascii="Arial" w:hAnsi="Arial" w:cs="Arial"/>
        <w:sz w:val="18"/>
      </w:rPr>
    </w:pPr>
    <w:r>
      <w:rPr>
        <w:rFonts w:ascii="Arial" w:hAnsi="Arial" w:cs="Arial"/>
        <w:sz w:val="18"/>
      </w:rPr>
      <w:t xml:space="preserve">Effective Date: </w:t>
    </w:r>
    <w:r w:rsidR="0056799D">
      <w:rPr>
        <w:rFonts w:ascii="Arial" w:hAnsi="Arial" w:cs="Arial"/>
        <w:sz w:val="18"/>
      </w:rPr>
      <w:t>August 13, 2019</w:t>
    </w:r>
  </w:p>
  <w:p w:rsidR="00E65842" w:rsidRDefault="00E65842">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670698"/>
    <w:multiLevelType w:val="hybridMultilevel"/>
    <w:tmpl w:val="3CCA6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E6114"/>
    <w:multiLevelType w:val="hybridMultilevel"/>
    <w:tmpl w:val="19CC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E0324"/>
    <w:multiLevelType w:val="hybridMultilevel"/>
    <w:tmpl w:val="5B3C7F38"/>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40F6290"/>
    <w:multiLevelType w:val="hybridMultilevel"/>
    <w:tmpl w:val="1DEAF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E32F3"/>
    <w:multiLevelType w:val="hybridMultilevel"/>
    <w:tmpl w:val="A366F67E"/>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A3F48"/>
    <w:multiLevelType w:val="hybridMultilevel"/>
    <w:tmpl w:val="EBDE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1540B"/>
    <w:multiLevelType w:val="hybridMultilevel"/>
    <w:tmpl w:val="E1B2E4F8"/>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271AB"/>
    <w:multiLevelType w:val="hybridMultilevel"/>
    <w:tmpl w:val="71DA2472"/>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04704"/>
    <w:multiLevelType w:val="hybridMultilevel"/>
    <w:tmpl w:val="4902567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972ADC"/>
    <w:multiLevelType w:val="hybridMultilevel"/>
    <w:tmpl w:val="0B2AC53A"/>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3380C"/>
    <w:multiLevelType w:val="hybridMultilevel"/>
    <w:tmpl w:val="68480BC8"/>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1595B"/>
    <w:multiLevelType w:val="hybridMultilevel"/>
    <w:tmpl w:val="997E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F02D8"/>
    <w:multiLevelType w:val="hybridMultilevel"/>
    <w:tmpl w:val="CEBA42E8"/>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4530B1"/>
    <w:multiLevelType w:val="hybridMultilevel"/>
    <w:tmpl w:val="738068E6"/>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6"/>
  </w:num>
  <w:num w:numId="4">
    <w:abstractNumId w:val="8"/>
  </w:num>
  <w:num w:numId="5">
    <w:abstractNumId w:val="7"/>
  </w:num>
  <w:num w:numId="6">
    <w:abstractNumId w:val="4"/>
  </w:num>
  <w:num w:numId="7">
    <w:abstractNumId w:val="12"/>
  </w:num>
  <w:num w:numId="8">
    <w:abstractNumId w:val="20"/>
  </w:num>
  <w:num w:numId="9">
    <w:abstractNumId w:val="17"/>
  </w:num>
  <w:num w:numId="10">
    <w:abstractNumId w:val="5"/>
  </w:num>
  <w:num w:numId="11">
    <w:abstractNumId w:val="11"/>
  </w:num>
  <w:num w:numId="12">
    <w:abstractNumId w:val="23"/>
  </w:num>
  <w:num w:numId="13">
    <w:abstractNumId w:val="15"/>
  </w:num>
  <w:num w:numId="14">
    <w:abstractNumId w:val="1"/>
  </w:num>
  <w:num w:numId="15">
    <w:abstractNumId w:val="24"/>
  </w:num>
  <w:num w:numId="16">
    <w:abstractNumId w:val="13"/>
  </w:num>
  <w:num w:numId="17">
    <w:abstractNumId w:val="19"/>
  </w:num>
  <w:num w:numId="18">
    <w:abstractNumId w:val="3"/>
  </w:num>
  <w:num w:numId="19">
    <w:abstractNumId w:val="6"/>
  </w:num>
  <w:num w:numId="20">
    <w:abstractNumId w:val="21"/>
  </w:num>
  <w:num w:numId="21">
    <w:abstractNumId w:val="9"/>
  </w:num>
  <w:num w:numId="22">
    <w:abstractNumId w:val="0"/>
  </w:num>
  <w:num w:numId="23">
    <w:abstractNumId w:val="14"/>
  </w:num>
  <w:num w:numId="24">
    <w:abstractNumId w:val="18"/>
  </w:num>
  <w:num w:numId="25">
    <w:abstractNumId w:val="22"/>
  </w:num>
  <w:num w:numId="2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05"/>
    <w:rsid w:val="00013BC5"/>
    <w:rsid w:val="0008392C"/>
    <w:rsid w:val="000E5218"/>
    <w:rsid w:val="00186A7A"/>
    <w:rsid w:val="001A68D3"/>
    <w:rsid w:val="002117AF"/>
    <w:rsid w:val="00216CDF"/>
    <w:rsid w:val="002818D9"/>
    <w:rsid w:val="002B0613"/>
    <w:rsid w:val="002D41BE"/>
    <w:rsid w:val="002D7E96"/>
    <w:rsid w:val="0033011D"/>
    <w:rsid w:val="00330C89"/>
    <w:rsid w:val="003D5CCA"/>
    <w:rsid w:val="003E3AF4"/>
    <w:rsid w:val="00563F76"/>
    <w:rsid w:val="0056799D"/>
    <w:rsid w:val="00576CDA"/>
    <w:rsid w:val="0062012B"/>
    <w:rsid w:val="0066461C"/>
    <w:rsid w:val="00673191"/>
    <w:rsid w:val="006859C3"/>
    <w:rsid w:val="0069083B"/>
    <w:rsid w:val="006A09D9"/>
    <w:rsid w:val="006D3432"/>
    <w:rsid w:val="007653AF"/>
    <w:rsid w:val="0077658E"/>
    <w:rsid w:val="007D1D18"/>
    <w:rsid w:val="00826837"/>
    <w:rsid w:val="00832AA7"/>
    <w:rsid w:val="008B0971"/>
    <w:rsid w:val="008D20F3"/>
    <w:rsid w:val="008F5F6A"/>
    <w:rsid w:val="0096526D"/>
    <w:rsid w:val="009759E4"/>
    <w:rsid w:val="009B3185"/>
    <w:rsid w:val="009C6621"/>
    <w:rsid w:val="009E023C"/>
    <w:rsid w:val="00A17FC0"/>
    <w:rsid w:val="00A32A20"/>
    <w:rsid w:val="00A92DA8"/>
    <w:rsid w:val="00B36A66"/>
    <w:rsid w:val="00B53A43"/>
    <w:rsid w:val="00B76D0D"/>
    <w:rsid w:val="00B8536A"/>
    <w:rsid w:val="00BB36EC"/>
    <w:rsid w:val="00C57751"/>
    <w:rsid w:val="00C87EFA"/>
    <w:rsid w:val="00CB2605"/>
    <w:rsid w:val="00CE0385"/>
    <w:rsid w:val="00CE0CE0"/>
    <w:rsid w:val="00D161B1"/>
    <w:rsid w:val="00D53CFE"/>
    <w:rsid w:val="00E24573"/>
    <w:rsid w:val="00E57563"/>
    <w:rsid w:val="00E65842"/>
    <w:rsid w:val="00E744E4"/>
    <w:rsid w:val="00EB0107"/>
    <w:rsid w:val="00EC62B2"/>
    <w:rsid w:val="00F075B2"/>
    <w:rsid w:val="00F34EE9"/>
    <w:rsid w:val="00F63F99"/>
    <w:rsid w:val="00F80030"/>
    <w:rsid w:val="00FA5B84"/>
    <w:rsid w:val="00FB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3679CEC-93FF-43CC-90C8-48F5FC0E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character" w:customStyle="1" w:styleId="SC1607">
    <w:name w:val="SC1607"/>
    <w:rPr>
      <w:rFonts w:cs="Arial"/>
      <w:color w:val="000000"/>
      <w:sz w:val="18"/>
      <w:szCs w:val="18"/>
    </w:rPr>
  </w:style>
  <w:style w:type="table" w:styleId="TableGrid">
    <w:name w:val="Table Grid"/>
    <w:basedOn w:val="TableNormal"/>
    <w:uiPriority w:val="59"/>
    <w:rsid w:val="00C87E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53AF"/>
    <w:pPr>
      <w:autoSpaceDE w:val="0"/>
      <w:autoSpaceDN w:val="0"/>
      <w:adjustRightInd w:val="0"/>
    </w:pPr>
    <w:rPr>
      <w:rFonts w:ascii="Arial" w:hAnsi="Arial" w:cs="Arial"/>
      <w:color w:val="000000"/>
      <w:sz w:val="24"/>
      <w:szCs w:val="24"/>
    </w:rPr>
  </w:style>
  <w:style w:type="character" w:styleId="Hyperlink">
    <w:name w:val="Hyperlink"/>
    <w:semiHidden/>
    <w:rsid w:val="00E744E4"/>
    <w:rPr>
      <w:color w:val="0000FF"/>
      <w:u w:val="single"/>
    </w:rPr>
  </w:style>
  <w:style w:type="paragraph" w:styleId="ListParagraph">
    <w:name w:val="List Paragraph"/>
    <w:basedOn w:val="Normal"/>
    <w:uiPriority w:val="34"/>
    <w:qFormat/>
    <w:rsid w:val="00E744E4"/>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DD22-13F2-4D7D-A259-4C7E34FB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Analytic Procedure Draft 2 Version 072308.dot</Template>
  <TotalTime>12</TotalTime>
  <Pages>7</Pages>
  <Words>2588</Words>
  <Characters>14943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VZV</vt:lpstr>
    </vt:vector>
  </TitlesOfParts>
  <Company>Children's Hospitals and Clinics of MN</Company>
  <LinksUpToDate>false</LinksUpToDate>
  <CharactersWithSpaces>17497</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VZV</dc:title>
  <dc:subject/>
  <dc:creator>CE080372</dc:creator>
  <cp:keywords/>
  <cp:lastModifiedBy>Erin Bartos</cp:lastModifiedBy>
  <cp:revision>3</cp:revision>
  <cp:lastPrinted>2015-09-23T21:14:00Z</cp:lastPrinted>
  <dcterms:created xsi:type="dcterms:W3CDTF">2019-08-12T16:26:00Z</dcterms:created>
  <dcterms:modified xsi:type="dcterms:W3CDTF">2019-08-12T16:38:00Z</dcterms:modified>
</cp:coreProperties>
</file>