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tblGrid>
      <w:tr w:rsidR="00E902AC" w:rsidTr="00606516">
        <w:tblPrEx>
          <w:tblCellMar>
            <w:top w:w="0" w:type="dxa"/>
            <w:bottom w:w="0" w:type="dxa"/>
          </w:tblCellMar>
        </w:tblPrEx>
        <w:trPr>
          <w:gridAfter w:val="1"/>
          <w:wAfter w:w="127" w:type="dxa"/>
          <w:cantSplit/>
        </w:trPr>
        <w:tc>
          <w:tcPr>
            <w:tcW w:w="10980" w:type="dxa"/>
            <w:gridSpan w:val="4"/>
            <w:tcBorders>
              <w:top w:val="nil"/>
              <w:left w:val="nil"/>
              <w:bottom w:val="nil"/>
              <w:right w:val="nil"/>
            </w:tcBorders>
          </w:tcPr>
          <w:p w:rsidR="00E902AC" w:rsidRDefault="00E35CFF">
            <w:pPr>
              <w:rPr>
                <w:rFonts w:ascii="Arial" w:hAnsi="Arial" w:cs="Arial"/>
                <w:b/>
                <w:bCs/>
                <w:color w:val="0000FF"/>
                <w:sz w:val="36"/>
              </w:rPr>
            </w:pPr>
            <w:r>
              <w:rPr>
                <w:rFonts w:ascii="Arial" w:hAnsi="Arial" w:cs="Arial"/>
                <w:b/>
                <w:bCs/>
                <w:color w:val="0000FF"/>
                <w:sz w:val="36"/>
              </w:rPr>
              <w:t xml:space="preserve">Rubella IgG </w:t>
            </w:r>
          </w:p>
          <w:p w:rsidR="00E902AC" w:rsidRDefault="00E902AC">
            <w:pPr>
              <w:pStyle w:val="BodyText"/>
              <w:rPr>
                <w:rFonts w:ascii="Arial" w:hAnsi="Arial" w:cs="Arial"/>
                <w:sz w:val="24"/>
              </w:rPr>
            </w:pPr>
          </w:p>
        </w:tc>
      </w:tr>
      <w:tr w:rsidR="00E902AC" w:rsidRPr="00701A7C" w:rsidTr="00606516">
        <w:tblPrEx>
          <w:tblCellMar>
            <w:top w:w="0" w:type="dxa"/>
            <w:bottom w:w="0" w:type="dxa"/>
          </w:tblCellMar>
        </w:tblPrEx>
        <w:trPr>
          <w:gridAfter w:val="1"/>
          <w:wAfter w:w="127" w:type="dxa"/>
          <w:cantSplit/>
          <w:trHeight w:val="818"/>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Purpose</w:t>
            </w:r>
          </w:p>
        </w:tc>
        <w:tc>
          <w:tcPr>
            <w:tcW w:w="9182" w:type="dxa"/>
            <w:gridSpan w:val="3"/>
            <w:tcBorders>
              <w:top w:val="single" w:sz="18" w:space="0" w:color="A6A6A6"/>
              <w:left w:val="nil"/>
              <w:bottom w:val="single" w:sz="18" w:space="0" w:color="A6A6A6"/>
              <w:right w:val="nil"/>
            </w:tcBorders>
          </w:tcPr>
          <w:p w:rsidR="00E902AC" w:rsidRPr="00701A7C" w:rsidRDefault="00E902AC">
            <w:pPr>
              <w:rPr>
                <w:rFonts w:ascii="Arial" w:hAnsi="Arial" w:cs="Arial"/>
                <w:sz w:val="20"/>
                <w:szCs w:val="20"/>
              </w:rPr>
            </w:pPr>
          </w:p>
          <w:p w:rsidR="00E902AC" w:rsidRPr="00701A7C" w:rsidRDefault="00E902AC" w:rsidP="00684BE9">
            <w:pPr>
              <w:rPr>
                <w:rFonts w:ascii="Arial" w:hAnsi="Arial" w:cs="Arial"/>
                <w:sz w:val="20"/>
                <w:szCs w:val="20"/>
              </w:rPr>
            </w:pPr>
            <w:r w:rsidRPr="00701A7C">
              <w:rPr>
                <w:rFonts w:ascii="Arial" w:hAnsi="Arial" w:cs="Arial"/>
                <w:sz w:val="20"/>
                <w:szCs w:val="20"/>
              </w:rPr>
              <w:t xml:space="preserve">This procedure provides instructions for performing </w:t>
            </w:r>
            <w:r w:rsidR="00E35CFF" w:rsidRPr="00701A7C">
              <w:rPr>
                <w:rFonts w:ascii="Arial" w:hAnsi="Arial" w:cs="Arial"/>
                <w:sz w:val="20"/>
                <w:szCs w:val="20"/>
              </w:rPr>
              <w:t xml:space="preserve">LIAISON® Rubella IgG </w:t>
            </w:r>
            <w:r w:rsidRPr="00701A7C">
              <w:rPr>
                <w:rFonts w:ascii="Arial" w:hAnsi="Arial" w:cs="Arial"/>
                <w:sz w:val="20"/>
                <w:szCs w:val="20"/>
              </w:rPr>
              <w:t>on the DIASORIN LIAISON</w:t>
            </w:r>
            <w:r w:rsidR="00684BE9" w:rsidRPr="00701A7C">
              <w:rPr>
                <w:rFonts w:ascii="Arial" w:hAnsi="Arial" w:cs="Arial"/>
                <w:sz w:val="20"/>
                <w:szCs w:val="20"/>
              </w:rPr>
              <w:t xml:space="preserve"> XL</w:t>
            </w:r>
            <w:r w:rsidRPr="00701A7C">
              <w:rPr>
                <w:rFonts w:ascii="Arial" w:hAnsi="Arial" w:cs="Arial"/>
                <w:sz w:val="20"/>
                <w:szCs w:val="20"/>
              </w:rPr>
              <w:t>.</w:t>
            </w:r>
          </w:p>
        </w:tc>
      </w:tr>
      <w:tr w:rsidR="00E902AC" w:rsidRPr="00701A7C" w:rsidTr="00606516">
        <w:tblPrEx>
          <w:tblCellMar>
            <w:top w:w="0" w:type="dxa"/>
            <w:bottom w:w="0" w:type="dxa"/>
          </w:tblCellMar>
        </w:tblPrEx>
        <w:trPr>
          <w:gridAfter w:val="1"/>
          <w:wAfter w:w="127" w:type="dxa"/>
          <w:cantSplit/>
          <w:trHeight w:val="330"/>
        </w:trPr>
        <w:tc>
          <w:tcPr>
            <w:tcW w:w="1798" w:type="dxa"/>
            <w:tcBorders>
              <w:top w:val="nil"/>
              <w:left w:val="nil"/>
              <w:bottom w:val="nil"/>
              <w:right w:val="nil"/>
            </w:tcBorders>
          </w:tcPr>
          <w:p w:rsidR="00E902AC" w:rsidRPr="00701A7C" w:rsidRDefault="00E902AC">
            <w:pPr>
              <w:jc w:val="left"/>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Policy Statements</w:t>
            </w:r>
          </w:p>
        </w:tc>
        <w:tc>
          <w:tcPr>
            <w:tcW w:w="9182" w:type="dxa"/>
            <w:gridSpan w:val="3"/>
            <w:tcBorders>
              <w:top w:val="single" w:sz="18" w:space="0" w:color="A6A6A6"/>
              <w:left w:val="nil"/>
              <w:bottom w:val="single" w:sz="18" w:space="0" w:color="A6A6A6"/>
              <w:right w:val="nil"/>
            </w:tcBorders>
          </w:tcPr>
          <w:p w:rsidR="00E902AC" w:rsidRPr="00701A7C" w:rsidRDefault="00E902AC">
            <w:pPr>
              <w:rPr>
                <w:rFonts w:ascii="Arial" w:hAnsi="Arial" w:cs="Arial"/>
                <w:iCs/>
                <w:sz w:val="20"/>
                <w:szCs w:val="20"/>
              </w:rPr>
            </w:pPr>
          </w:p>
          <w:p w:rsidR="00E902AC" w:rsidRPr="00701A7C" w:rsidRDefault="00E902AC">
            <w:pPr>
              <w:rPr>
                <w:rFonts w:ascii="Arial" w:hAnsi="Arial" w:cs="Arial"/>
                <w:iCs/>
                <w:sz w:val="20"/>
                <w:szCs w:val="20"/>
              </w:rPr>
            </w:pPr>
            <w:r w:rsidRPr="00701A7C">
              <w:rPr>
                <w:rFonts w:ascii="Arial" w:hAnsi="Arial" w:cs="Arial"/>
                <w:sz w:val="20"/>
                <w:szCs w:val="20"/>
              </w:rPr>
              <w:t xml:space="preserve">This procedure applies to all laboratory technical staff responsible for performing </w:t>
            </w:r>
            <w:r w:rsidR="00E35CFF" w:rsidRPr="00701A7C">
              <w:rPr>
                <w:rFonts w:ascii="Arial" w:hAnsi="Arial" w:cs="Arial"/>
                <w:sz w:val="20"/>
                <w:szCs w:val="20"/>
              </w:rPr>
              <w:t xml:space="preserve">LIAISON® Rubella IgG </w:t>
            </w:r>
            <w:r w:rsidRPr="00701A7C">
              <w:rPr>
                <w:rFonts w:ascii="Arial" w:hAnsi="Arial" w:cs="Arial"/>
                <w:sz w:val="20"/>
                <w:szCs w:val="20"/>
              </w:rPr>
              <w:t>testing on the DiaSorin Liaison</w:t>
            </w:r>
            <w:r w:rsidR="00684BE9" w:rsidRPr="00701A7C">
              <w:rPr>
                <w:rFonts w:ascii="Arial" w:hAnsi="Arial" w:cs="Arial"/>
                <w:sz w:val="20"/>
                <w:szCs w:val="20"/>
              </w:rPr>
              <w:t xml:space="preserve"> XL</w:t>
            </w:r>
            <w:r w:rsidRPr="00701A7C">
              <w:rPr>
                <w:rFonts w:ascii="Arial" w:hAnsi="Arial" w:cs="Arial"/>
                <w:sz w:val="20"/>
                <w:szCs w:val="20"/>
              </w:rPr>
              <w:t>.</w:t>
            </w:r>
          </w:p>
          <w:p w:rsidR="00E902AC" w:rsidRPr="00701A7C" w:rsidRDefault="00E902AC">
            <w:pPr>
              <w:rPr>
                <w:rFonts w:ascii="Arial" w:hAnsi="Arial" w:cs="Arial"/>
                <w:iCs/>
                <w:sz w:val="20"/>
                <w:szCs w:val="20"/>
              </w:rPr>
            </w:pPr>
          </w:p>
        </w:tc>
      </w:tr>
      <w:tr w:rsidR="00E902AC" w:rsidRPr="00701A7C" w:rsidTr="00606516">
        <w:tblPrEx>
          <w:tblCellMar>
            <w:top w:w="0" w:type="dxa"/>
            <w:bottom w:w="0" w:type="dxa"/>
          </w:tblCellMar>
        </w:tblPrEx>
        <w:trPr>
          <w:gridAfter w:val="1"/>
          <w:wAfter w:w="127" w:type="dxa"/>
          <w:cantSplit/>
          <w:trHeight w:val="3771"/>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rPr>
                <w:rFonts w:ascii="Arial" w:hAnsi="Arial" w:cs="Arial"/>
                <w:b/>
                <w:bCs/>
                <w:color w:val="0000FF"/>
                <w:sz w:val="20"/>
                <w:szCs w:val="20"/>
              </w:rPr>
            </w:pPr>
            <w:r w:rsidRPr="00701A7C">
              <w:rPr>
                <w:rFonts w:ascii="Arial" w:hAnsi="Arial" w:cs="Arial"/>
                <w:b/>
                <w:bCs/>
                <w:color w:val="0000FF"/>
                <w:sz w:val="20"/>
                <w:szCs w:val="20"/>
              </w:rPr>
              <w:t>Principle</w:t>
            </w:r>
          </w:p>
          <w:p w:rsidR="00E902AC" w:rsidRPr="00701A7C"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8B0BC7" w:rsidRPr="00701A7C" w:rsidRDefault="008B0BC7" w:rsidP="008B0BC7">
            <w:pPr>
              <w:rPr>
                <w:rFonts w:ascii="Arial" w:hAnsi="Arial" w:cs="Arial"/>
                <w:iCs/>
                <w:sz w:val="20"/>
                <w:szCs w:val="20"/>
              </w:rPr>
            </w:pPr>
          </w:p>
          <w:p w:rsidR="00E902AC" w:rsidRPr="00701A7C" w:rsidRDefault="00E35CFF" w:rsidP="00E35CFF">
            <w:pPr>
              <w:rPr>
                <w:rFonts w:ascii="Arial" w:hAnsi="Arial" w:cs="Arial"/>
                <w:iCs/>
                <w:sz w:val="20"/>
                <w:szCs w:val="20"/>
              </w:rPr>
            </w:pPr>
            <w:r w:rsidRPr="00701A7C">
              <w:rPr>
                <w:rFonts w:ascii="Arial" w:hAnsi="Arial" w:cs="Arial"/>
                <w:iCs/>
                <w:sz w:val="20"/>
                <w:szCs w:val="20"/>
              </w:rPr>
              <w:t xml:space="preserve">The LIAISON® Rubella IgG uses chemiluminescence immunoassay (CLIA) technology </w:t>
            </w:r>
            <w:r w:rsidR="00974132" w:rsidRPr="00701A7C">
              <w:rPr>
                <w:rFonts w:ascii="Arial" w:hAnsi="Arial" w:cs="Arial"/>
                <w:iCs/>
                <w:sz w:val="20"/>
                <w:szCs w:val="20"/>
              </w:rPr>
              <w:t>on the LIAISON® XL analyzer</w:t>
            </w:r>
            <w:r w:rsidRPr="00701A7C">
              <w:rPr>
                <w:rFonts w:ascii="Arial" w:hAnsi="Arial" w:cs="Arial"/>
                <w:iCs/>
                <w:sz w:val="20"/>
                <w:szCs w:val="20"/>
              </w:rPr>
              <w:t xml:space="preserve"> for the qualitative determination of IgG antibodies to rubella virus in human serum specimens. </w:t>
            </w:r>
            <w:r w:rsidR="00974132" w:rsidRPr="00701A7C">
              <w:rPr>
                <w:rFonts w:ascii="Arial" w:hAnsi="Arial" w:cs="Arial"/>
                <w:iCs/>
                <w:sz w:val="20"/>
                <w:szCs w:val="20"/>
              </w:rPr>
              <w:t xml:space="preserve"> </w:t>
            </w:r>
            <w:r w:rsidRPr="00701A7C">
              <w:rPr>
                <w:rFonts w:ascii="Arial" w:hAnsi="Arial" w:cs="Arial"/>
                <w:iCs/>
                <w:sz w:val="20"/>
                <w:szCs w:val="20"/>
              </w:rPr>
              <w:t xml:space="preserve">It is intended for use as an aid in the determination of immune status to rubella in individuals including pregnant women. </w:t>
            </w:r>
            <w:r w:rsidR="00974132" w:rsidRPr="00701A7C">
              <w:rPr>
                <w:rFonts w:ascii="Arial" w:hAnsi="Arial" w:cs="Arial"/>
                <w:iCs/>
                <w:sz w:val="20"/>
                <w:szCs w:val="20"/>
              </w:rPr>
              <w:t xml:space="preserve"> </w:t>
            </w:r>
            <w:r w:rsidRPr="00701A7C">
              <w:rPr>
                <w:rFonts w:ascii="Arial" w:hAnsi="Arial" w:cs="Arial"/>
                <w:iCs/>
                <w:sz w:val="20"/>
                <w:szCs w:val="20"/>
              </w:rPr>
              <w:t xml:space="preserve">The performance of this device has not been established for cord blood, neonatal samples, or for any matrices other than human serum. </w:t>
            </w:r>
            <w:r w:rsidR="00974132" w:rsidRPr="00701A7C">
              <w:rPr>
                <w:rFonts w:ascii="Arial" w:hAnsi="Arial" w:cs="Arial"/>
                <w:iCs/>
                <w:sz w:val="20"/>
                <w:szCs w:val="20"/>
              </w:rPr>
              <w:t xml:space="preserve"> </w:t>
            </w:r>
            <w:r w:rsidRPr="00701A7C">
              <w:rPr>
                <w:rFonts w:ascii="Arial" w:hAnsi="Arial" w:cs="Arial"/>
                <w:iCs/>
                <w:sz w:val="20"/>
                <w:szCs w:val="20"/>
              </w:rPr>
              <w:t>Likewise, performance has not been established for population(s) of immunocompromised or immunosuppressed individuals.</w:t>
            </w:r>
          </w:p>
          <w:p w:rsidR="00E35CFF" w:rsidRPr="00701A7C" w:rsidRDefault="00E35CFF" w:rsidP="00E35CFF">
            <w:pPr>
              <w:rPr>
                <w:rFonts w:ascii="Arial" w:hAnsi="Arial" w:cs="Arial"/>
                <w:iCs/>
                <w:sz w:val="20"/>
                <w:szCs w:val="20"/>
              </w:rPr>
            </w:pPr>
          </w:p>
          <w:p w:rsidR="00E35CFF" w:rsidRPr="00701A7C" w:rsidRDefault="00E35CFF" w:rsidP="005B7BBD">
            <w:pPr>
              <w:rPr>
                <w:rFonts w:ascii="Arial" w:hAnsi="Arial" w:cs="Arial"/>
                <w:iCs/>
                <w:sz w:val="20"/>
                <w:szCs w:val="20"/>
              </w:rPr>
            </w:pPr>
            <w:r w:rsidRPr="00701A7C">
              <w:rPr>
                <w:rFonts w:ascii="Arial" w:hAnsi="Arial" w:cs="Arial"/>
                <w:iCs/>
                <w:sz w:val="20"/>
                <w:szCs w:val="20"/>
              </w:rPr>
              <w:t>The method for qualitative determination of specific IgG to rubella virus is an indirect chemiluminescence immunoassay (CLIA).</w:t>
            </w:r>
            <w:r w:rsidR="00974132" w:rsidRPr="00701A7C">
              <w:rPr>
                <w:rFonts w:ascii="Arial" w:hAnsi="Arial" w:cs="Arial"/>
                <w:iCs/>
                <w:sz w:val="20"/>
                <w:szCs w:val="20"/>
              </w:rPr>
              <w:t xml:space="preserve"> </w:t>
            </w:r>
            <w:r w:rsidRPr="00701A7C">
              <w:rPr>
                <w:rFonts w:ascii="Arial" w:hAnsi="Arial" w:cs="Arial"/>
                <w:iCs/>
                <w:sz w:val="20"/>
                <w:szCs w:val="20"/>
              </w:rPr>
              <w:t xml:space="preserve"> All assay steps (with the exception of magnetic particle resuspension) and incubations are performed by the LIAISON®</w:t>
            </w:r>
            <w:r w:rsidR="00974132" w:rsidRPr="00701A7C">
              <w:rPr>
                <w:rFonts w:ascii="Arial" w:hAnsi="Arial" w:cs="Arial"/>
                <w:iCs/>
                <w:sz w:val="20"/>
                <w:szCs w:val="20"/>
              </w:rPr>
              <w:t xml:space="preserve"> XL a</w:t>
            </w:r>
            <w:r w:rsidRPr="00701A7C">
              <w:rPr>
                <w:rFonts w:ascii="Arial" w:hAnsi="Arial" w:cs="Arial"/>
                <w:iCs/>
                <w:sz w:val="20"/>
                <w:szCs w:val="20"/>
              </w:rPr>
              <w:t>nalyzer.</w:t>
            </w:r>
            <w:r w:rsidR="00974132" w:rsidRPr="00701A7C">
              <w:rPr>
                <w:rFonts w:ascii="Arial" w:hAnsi="Arial" w:cs="Arial"/>
                <w:iCs/>
                <w:sz w:val="20"/>
                <w:szCs w:val="20"/>
              </w:rPr>
              <w:t xml:space="preserve"> </w:t>
            </w:r>
            <w:r w:rsidRPr="00701A7C">
              <w:rPr>
                <w:rFonts w:ascii="Arial" w:hAnsi="Arial" w:cs="Arial"/>
                <w:iCs/>
                <w:sz w:val="20"/>
                <w:szCs w:val="20"/>
              </w:rPr>
              <w:t xml:space="preserve"> The principal components of the test are magnetic particles (solid phase) coated with rubella antigen and a conjugate of mouse monoclonal antibody to human IgG linked to an isoluminol derivative (isoluminol-antibody conjugate). </w:t>
            </w:r>
            <w:r w:rsidR="00974132" w:rsidRPr="00701A7C">
              <w:rPr>
                <w:rFonts w:ascii="Arial" w:hAnsi="Arial" w:cs="Arial"/>
                <w:iCs/>
                <w:sz w:val="20"/>
                <w:szCs w:val="20"/>
              </w:rPr>
              <w:t xml:space="preserve"> </w:t>
            </w:r>
            <w:r w:rsidRPr="00701A7C">
              <w:rPr>
                <w:rFonts w:ascii="Arial" w:hAnsi="Arial" w:cs="Arial"/>
                <w:iCs/>
                <w:sz w:val="20"/>
                <w:szCs w:val="20"/>
              </w:rPr>
              <w:t xml:space="preserve">During the first incubation, rubella virus antibodies present in the calibrators, specimens or controls bind to the solid phase. </w:t>
            </w:r>
            <w:r w:rsidR="00ED2EB1">
              <w:rPr>
                <w:rFonts w:ascii="Arial" w:hAnsi="Arial" w:cs="Arial"/>
                <w:iCs/>
                <w:sz w:val="20"/>
                <w:szCs w:val="20"/>
              </w:rPr>
              <w:t xml:space="preserve"> </w:t>
            </w:r>
            <w:r w:rsidRPr="00701A7C">
              <w:rPr>
                <w:rFonts w:ascii="Arial" w:hAnsi="Arial" w:cs="Arial"/>
                <w:iCs/>
                <w:sz w:val="20"/>
                <w:szCs w:val="20"/>
              </w:rPr>
              <w:t xml:space="preserve">During the second incubation, the antibody conjugate reacts with rubella virus IgG already bound to the solid phase. </w:t>
            </w:r>
            <w:r w:rsidR="00974132" w:rsidRPr="00701A7C">
              <w:rPr>
                <w:rFonts w:ascii="Arial" w:hAnsi="Arial" w:cs="Arial"/>
                <w:iCs/>
                <w:sz w:val="20"/>
                <w:szCs w:val="20"/>
              </w:rPr>
              <w:t xml:space="preserve"> </w:t>
            </w:r>
            <w:r w:rsidRPr="00701A7C">
              <w:rPr>
                <w:rFonts w:ascii="Arial" w:hAnsi="Arial" w:cs="Arial"/>
                <w:iCs/>
                <w:sz w:val="20"/>
                <w:szCs w:val="20"/>
              </w:rPr>
              <w:t xml:space="preserve">After each incubation, the unbound material is removed with a wash cycle. </w:t>
            </w:r>
            <w:r w:rsidR="00974132" w:rsidRPr="00701A7C">
              <w:rPr>
                <w:rFonts w:ascii="Arial" w:hAnsi="Arial" w:cs="Arial"/>
                <w:iCs/>
                <w:sz w:val="20"/>
                <w:szCs w:val="20"/>
              </w:rPr>
              <w:t xml:space="preserve"> </w:t>
            </w:r>
            <w:r w:rsidRPr="00701A7C">
              <w:rPr>
                <w:rFonts w:ascii="Arial" w:hAnsi="Arial" w:cs="Arial"/>
                <w:iCs/>
                <w:sz w:val="20"/>
                <w:szCs w:val="20"/>
              </w:rPr>
              <w:t xml:space="preserve">Subsequently, the starter reagents are added and a flash chemiluminescence reaction is thus induced. </w:t>
            </w:r>
            <w:r w:rsidR="00974132" w:rsidRPr="00701A7C">
              <w:rPr>
                <w:rFonts w:ascii="Arial" w:hAnsi="Arial" w:cs="Arial"/>
                <w:iCs/>
                <w:sz w:val="20"/>
                <w:szCs w:val="20"/>
              </w:rPr>
              <w:t xml:space="preserve"> </w:t>
            </w:r>
            <w:r w:rsidRPr="00701A7C">
              <w:rPr>
                <w:rFonts w:ascii="Arial" w:hAnsi="Arial" w:cs="Arial"/>
                <w:iCs/>
                <w:sz w:val="20"/>
                <w:szCs w:val="20"/>
              </w:rPr>
              <w:t xml:space="preserve">The light signal, and hence the amount of isoluminol-antibody conjugate, is measured by a photomultiplier as relative light units (RLU) and is indicative of the presence of rubella virus IgG in calibrators, specimens or controls. </w:t>
            </w:r>
            <w:r w:rsidR="00974132" w:rsidRPr="00701A7C">
              <w:rPr>
                <w:rFonts w:ascii="Arial" w:hAnsi="Arial" w:cs="Arial"/>
                <w:iCs/>
                <w:sz w:val="20"/>
                <w:szCs w:val="20"/>
              </w:rPr>
              <w:t xml:space="preserve"> </w:t>
            </w:r>
            <w:r w:rsidRPr="00701A7C">
              <w:rPr>
                <w:rFonts w:ascii="Arial" w:hAnsi="Arial" w:cs="Arial"/>
                <w:iCs/>
                <w:sz w:val="20"/>
                <w:szCs w:val="20"/>
              </w:rPr>
              <w:t>A result of positive or negative is determined according to the CLSI I/LA6-A recommended cutoff of 10 IU/mL established with the calibrators.</w:t>
            </w:r>
            <w:bookmarkStart w:id="0" w:name="_GoBack"/>
            <w:bookmarkEnd w:id="0"/>
          </w:p>
        </w:tc>
      </w:tr>
      <w:tr w:rsidR="00E902AC" w:rsidRPr="00701A7C" w:rsidTr="00E35CFF">
        <w:tblPrEx>
          <w:tblCellMar>
            <w:top w:w="0" w:type="dxa"/>
            <w:bottom w:w="0" w:type="dxa"/>
          </w:tblCellMar>
        </w:tblPrEx>
        <w:trPr>
          <w:gridAfter w:val="1"/>
          <w:wAfter w:w="127" w:type="dxa"/>
          <w:cantSplit/>
          <w:trHeight w:val="5571"/>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rPr>
                <w:rFonts w:ascii="Arial" w:hAnsi="Arial" w:cs="Arial"/>
                <w:b/>
                <w:bCs/>
                <w:color w:val="0000FF"/>
                <w:sz w:val="20"/>
                <w:szCs w:val="20"/>
              </w:rPr>
            </w:pPr>
            <w:r w:rsidRPr="00701A7C">
              <w:rPr>
                <w:rFonts w:ascii="Arial" w:hAnsi="Arial" w:cs="Arial"/>
                <w:b/>
                <w:bCs/>
                <w:color w:val="0000FF"/>
                <w:sz w:val="20"/>
                <w:szCs w:val="20"/>
              </w:rPr>
              <w:t>Clinical Significance</w:t>
            </w:r>
          </w:p>
        </w:tc>
        <w:tc>
          <w:tcPr>
            <w:tcW w:w="9182" w:type="dxa"/>
            <w:gridSpan w:val="3"/>
            <w:tcBorders>
              <w:top w:val="single" w:sz="18" w:space="0" w:color="A6A6A6"/>
              <w:left w:val="nil"/>
              <w:bottom w:val="single" w:sz="18" w:space="0" w:color="A6A6A6"/>
              <w:right w:val="nil"/>
            </w:tcBorders>
          </w:tcPr>
          <w:p w:rsidR="00E902AC" w:rsidRPr="00701A7C" w:rsidRDefault="00E902AC">
            <w:pPr>
              <w:rPr>
                <w:rFonts w:ascii="Arial" w:hAnsi="Arial" w:cs="Arial"/>
                <w:iCs/>
                <w:sz w:val="20"/>
                <w:szCs w:val="20"/>
              </w:rPr>
            </w:pPr>
          </w:p>
          <w:p w:rsidR="008B0BC7" w:rsidRPr="00701A7C" w:rsidRDefault="00E35CFF" w:rsidP="005B7BBD">
            <w:pPr>
              <w:rPr>
                <w:rFonts w:ascii="Arial" w:hAnsi="Arial" w:cs="Arial"/>
                <w:iCs/>
                <w:sz w:val="20"/>
                <w:szCs w:val="20"/>
              </w:rPr>
            </w:pPr>
            <w:r w:rsidRPr="00701A7C">
              <w:rPr>
                <w:rFonts w:ascii="Arial" w:hAnsi="Arial" w:cs="Arial"/>
                <w:iCs/>
                <w:sz w:val="20"/>
                <w:szCs w:val="20"/>
              </w:rPr>
              <w:t>Rubella is a viral exanthematous, infectious disease that typically follows a benign clinical course.</w:t>
            </w:r>
            <w:r w:rsidR="00974132" w:rsidRPr="00701A7C">
              <w:rPr>
                <w:rFonts w:ascii="Arial" w:hAnsi="Arial" w:cs="Arial"/>
                <w:iCs/>
                <w:sz w:val="20"/>
                <w:szCs w:val="20"/>
              </w:rPr>
              <w:t xml:space="preserve"> </w:t>
            </w:r>
            <w:r w:rsidRPr="00701A7C">
              <w:rPr>
                <w:rFonts w:ascii="Arial" w:hAnsi="Arial" w:cs="Arial"/>
                <w:iCs/>
                <w:sz w:val="20"/>
                <w:szCs w:val="20"/>
              </w:rPr>
              <w:t xml:space="preserve"> Symptomatology is generally characterized by fever, with maculopapular rash accompanied by enlargement of lymph nodes. </w:t>
            </w:r>
            <w:r w:rsidR="00974132" w:rsidRPr="00701A7C">
              <w:rPr>
                <w:rFonts w:ascii="Arial" w:hAnsi="Arial" w:cs="Arial"/>
                <w:iCs/>
                <w:sz w:val="20"/>
                <w:szCs w:val="20"/>
              </w:rPr>
              <w:t xml:space="preserve"> </w:t>
            </w:r>
            <w:r w:rsidRPr="00701A7C">
              <w:rPr>
                <w:rFonts w:ascii="Arial" w:hAnsi="Arial" w:cs="Arial"/>
                <w:iCs/>
                <w:sz w:val="20"/>
                <w:szCs w:val="20"/>
              </w:rPr>
              <w:t xml:space="preserve">Widespread vaccination of children has greatly reduced the incidence of rubella in the general population. </w:t>
            </w:r>
            <w:r w:rsidR="00974132" w:rsidRPr="00701A7C">
              <w:rPr>
                <w:rFonts w:ascii="Arial" w:hAnsi="Arial" w:cs="Arial"/>
                <w:iCs/>
                <w:sz w:val="20"/>
                <w:szCs w:val="20"/>
              </w:rPr>
              <w:t xml:space="preserve"> </w:t>
            </w:r>
            <w:r w:rsidRPr="00701A7C">
              <w:rPr>
                <w:rFonts w:ascii="Arial" w:hAnsi="Arial" w:cs="Arial"/>
                <w:iCs/>
                <w:sz w:val="20"/>
                <w:szCs w:val="20"/>
              </w:rPr>
              <w:t xml:space="preserve">However, total eradication of rubella in the population is unlikely. </w:t>
            </w:r>
            <w:r w:rsidR="00974132" w:rsidRPr="00701A7C">
              <w:rPr>
                <w:rFonts w:ascii="Arial" w:hAnsi="Arial" w:cs="Arial"/>
                <w:iCs/>
                <w:sz w:val="20"/>
                <w:szCs w:val="20"/>
              </w:rPr>
              <w:t xml:space="preserve"> </w:t>
            </w:r>
            <w:r w:rsidRPr="00701A7C">
              <w:rPr>
                <w:rFonts w:ascii="Arial" w:hAnsi="Arial" w:cs="Arial"/>
                <w:iCs/>
                <w:sz w:val="20"/>
                <w:szCs w:val="20"/>
              </w:rPr>
              <w:t xml:space="preserve">Because many rash illnesses mimic rubella and because many rubella infections are asymptomatic, rubella can often be overlooked or misdiagnosed. </w:t>
            </w:r>
            <w:r w:rsidR="00974132" w:rsidRPr="00701A7C">
              <w:rPr>
                <w:rFonts w:ascii="Arial" w:hAnsi="Arial" w:cs="Arial"/>
                <w:iCs/>
                <w:sz w:val="20"/>
                <w:szCs w:val="20"/>
              </w:rPr>
              <w:t xml:space="preserve"> </w:t>
            </w:r>
            <w:r w:rsidRPr="00701A7C">
              <w:rPr>
                <w:rFonts w:ascii="Arial" w:hAnsi="Arial" w:cs="Arial"/>
                <w:iCs/>
                <w:sz w:val="20"/>
                <w:szCs w:val="20"/>
              </w:rPr>
              <w:t xml:space="preserve">By far, the greatest consequence of rubella is Congenital Rubella Syndrome (CRS), which could cause miscarriages, stillbirths, fetal abnormalities, and therapeutic abortions as a result of infection in early pregnancy, especially in the first trimester. </w:t>
            </w:r>
            <w:r w:rsidR="00974132" w:rsidRPr="00701A7C">
              <w:rPr>
                <w:rFonts w:ascii="Arial" w:hAnsi="Arial" w:cs="Arial"/>
                <w:iCs/>
                <w:sz w:val="20"/>
                <w:szCs w:val="20"/>
              </w:rPr>
              <w:t xml:space="preserve"> </w:t>
            </w:r>
            <w:r w:rsidRPr="00701A7C">
              <w:rPr>
                <w:rFonts w:ascii="Arial" w:hAnsi="Arial" w:cs="Arial"/>
                <w:iCs/>
                <w:sz w:val="20"/>
                <w:szCs w:val="20"/>
              </w:rPr>
              <w:t>Fetal abnormalities may be hepatosplenomegaly, psychomotor retardation, bone alterations, cardiopathies, or neuropathies.</w:t>
            </w:r>
            <w:r w:rsidR="00974132" w:rsidRPr="00701A7C">
              <w:rPr>
                <w:rFonts w:ascii="Arial" w:hAnsi="Arial" w:cs="Arial"/>
                <w:iCs/>
                <w:sz w:val="20"/>
                <w:szCs w:val="20"/>
              </w:rPr>
              <w:t xml:space="preserve"> </w:t>
            </w:r>
            <w:r w:rsidRPr="00701A7C">
              <w:rPr>
                <w:rFonts w:ascii="Arial" w:hAnsi="Arial" w:cs="Arial"/>
                <w:iCs/>
                <w:sz w:val="20"/>
                <w:szCs w:val="20"/>
              </w:rPr>
              <w:t xml:space="preserve"> Pathological consequences to the fetus depend on the virus teratogenic potency and on when the infection is contracted during pregnancy. </w:t>
            </w:r>
            <w:r w:rsidR="00701A7C">
              <w:rPr>
                <w:rFonts w:ascii="Arial" w:hAnsi="Arial" w:cs="Arial"/>
                <w:iCs/>
                <w:sz w:val="20"/>
                <w:szCs w:val="20"/>
              </w:rPr>
              <w:t xml:space="preserve"> </w:t>
            </w:r>
            <w:r w:rsidRPr="00701A7C">
              <w:rPr>
                <w:rFonts w:ascii="Arial" w:hAnsi="Arial" w:cs="Arial"/>
                <w:iCs/>
                <w:sz w:val="20"/>
                <w:szCs w:val="20"/>
              </w:rPr>
              <w:t xml:space="preserve">The consequences to the fetus are highest in cases of rubella infection during the first two months of pregnancy, but decrease progressively if infection occurs at the 4th or 5th month. </w:t>
            </w:r>
            <w:r w:rsidR="00701A7C">
              <w:rPr>
                <w:rFonts w:ascii="Arial" w:hAnsi="Arial" w:cs="Arial"/>
                <w:iCs/>
                <w:sz w:val="20"/>
                <w:szCs w:val="20"/>
              </w:rPr>
              <w:t xml:space="preserve"> </w:t>
            </w:r>
            <w:r w:rsidRPr="00701A7C">
              <w:rPr>
                <w:rFonts w:ascii="Arial" w:hAnsi="Arial" w:cs="Arial"/>
                <w:iCs/>
                <w:sz w:val="20"/>
                <w:szCs w:val="20"/>
              </w:rPr>
              <w:t xml:space="preserve">The risk of severe neonatal complication points to the need for accurate methods to determine the immune status of women of childbearing age. Reinfection can occur following either naturally acquired or vaccine-induced immunity, but is much more likely to occur in the latter. </w:t>
            </w:r>
            <w:r w:rsidR="00974132" w:rsidRPr="00701A7C">
              <w:rPr>
                <w:rFonts w:ascii="Arial" w:hAnsi="Arial" w:cs="Arial"/>
                <w:iCs/>
                <w:sz w:val="20"/>
                <w:szCs w:val="20"/>
              </w:rPr>
              <w:t xml:space="preserve"> </w:t>
            </w:r>
            <w:r w:rsidRPr="00701A7C">
              <w:rPr>
                <w:rFonts w:ascii="Arial" w:hAnsi="Arial" w:cs="Arial"/>
                <w:iCs/>
                <w:sz w:val="20"/>
                <w:szCs w:val="20"/>
              </w:rPr>
              <w:t xml:space="preserve">Reinfection is almost always subclinical and is defined by </w:t>
            </w:r>
            <w:r w:rsidR="00701A7C">
              <w:rPr>
                <w:rFonts w:ascii="Arial" w:hAnsi="Arial" w:cs="Arial"/>
                <w:iCs/>
                <w:sz w:val="20"/>
                <w:szCs w:val="20"/>
              </w:rPr>
              <w:t>a rise in preexisting antibody.</w:t>
            </w:r>
            <w:r w:rsidR="00974132" w:rsidRPr="00701A7C">
              <w:rPr>
                <w:rFonts w:ascii="Arial" w:hAnsi="Arial" w:cs="Arial"/>
                <w:iCs/>
                <w:sz w:val="20"/>
                <w:szCs w:val="20"/>
              </w:rPr>
              <w:t xml:space="preserve"> </w:t>
            </w:r>
            <w:r w:rsidR="00701A7C">
              <w:rPr>
                <w:rFonts w:ascii="Arial" w:hAnsi="Arial" w:cs="Arial"/>
                <w:iCs/>
                <w:sz w:val="20"/>
                <w:szCs w:val="20"/>
              </w:rPr>
              <w:t xml:space="preserve"> </w:t>
            </w:r>
            <w:r w:rsidRPr="00701A7C">
              <w:rPr>
                <w:rFonts w:ascii="Arial" w:hAnsi="Arial" w:cs="Arial"/>
                <w:iCs/>
                <w:sz w:val="20"/>
                <w:szCs w:val="20"/>
              </w:rPr>
              <w:t xml:space="preserve">Viremia and systemic manifestation are uncommon. </w:t>
            </w:r>
            <w:r w:rsidR="00974132" w:rsidRPr="00701A7C">
              <w:rPr>
                <w:rFonts w:ascii="Arial" w:hAnsi="Arial" w:cs="Arial"/>
                <w:iCs/>
                <w:sz w:val="20"/>
                <w:szCs w:val="20"/>
              </w:rPr>
              <w:t xml:space="preserve"> </w:t>
            </w:r>
            <w:r w:rsidRPr="00701A7C">
              <w:rPr>
                <w:rFonts w:ascii="Arial" w:hAnsi="Arial" w:cs="Arial"/>
                <w:iCs/>
                <w:sz w:val="20"/>
                <w:szCs w:val="20"/>
              </w:rPr>
              <w:t>The risk of fetal transmission and subsequent CRS resulting from maternal reinfection during pregnancy is low.</w:t>
            </w:r>
            <w:r w:rsidR="00974132" w:rsidRPr="00701A7C">
              <w:rPr>
                <w:rFonts w:ascii="Arial" w:hAnsi="Arial" w:cs="Arial"/>
                <w:iCs/>
                <w:sz w:val="20"/>
                <w:szCs w:val="20"/>
              </w:rPr>
              <w:t xml:space="preserve"> </w:t>
            </w:r>
            <w:r w:rsidRPr="00701A7C">
              <w:rPr>
                <w:rFonts w:ascii="Arial" w:hAnsi="Arial" w:cs="Arial"/>
                <w:iCs/>
                <w:sz w:val="20"/>
                <w:szCs w:val="20"/>
              </w:rPr>
              <w:t xml:space="preserve"> Since the availability of the vaccine in the late 1960s, the assay of rubella IgG has been widely used to determine the immune status, to determine the need for vaccination and to evaluate vaccine efficacy and screening for rubella virus is now generally performed by immunoassay. </w:t>
            </w:r>
            <w:r w:rsidR="00974132" w:rsidRPr="00701A7C">
              <w:rPr>
                <w:rFonts w:ascii="Arial" w:hAnsi="Arial" w:cs="Arial"/>
                <w:iCs/>
                <w:sz w:val="20"/>
                <w:szCs w:val="20"/>
              </w:rPr>
              <w:t xml:space="preserve"> </w:t>
            </w:r>
            <w:r w:rsidRPr="00701A7C">
              <w:rPr>
                <w:rFonts w:ascii="Arial" w:hAnsi="Arial" w:cs="Arial"/>
                <w:iCs/>
                <w:sz w:val="20"/>
                <w:szCs w:val="20"/>
              </w:rPr>
              <w:t xml:space="preserve">Specific IgG antibodies generally appear several weeks post infection; reach their maximum concentration and then progressively decrease to a low level persisting for life. </w:t>
            </w:r>
            <w:r w:rsidR="00974132" w:rsidRPr="00701A7C">
              <w:rPr>
                <w:rFonts w:ascii="Arial" w:hAnsi="Arial" w:cs="Arial"/>
                <w:iCs/>
                <w:sz w:val="20"/>
                <w:szCs w:val="20"/>
              </w:rPr>
              <w:t xml:space="preserve"> </w:t>
            </w:r>
            <w:r w:rsidRPr="00701A7C">
              <w:rPr>
                <w:rFonts w:ascii="Arial" w:hAnsi="Arial" w:cs="Arial"/>
                <w:iCs/>
                <w:sz w:val="20"/>
                <w:szCs w:val="20"/>
              </w:rPr>
              <w:t xml:space="preserve">Rubella vaccines will induce the production of IgG antibodies similar to that observed with natural infection. </w:t>
            </w:r>
            <w:r w:rsidR="00974132" w:rsidRPr="00701A7C">
              <w:rPr>
                <w:rFonts w:ascii="Arial" w:hAnsi="Arial" w:cs="Arial"/>
                <w:iCs/>
                <w:sz w:val="20"/>
                <w:szCs w:val="20"/>
              </w:rPr>
              <w:t xml:space="preserve"> </w:t>
            </w:r>
            <w:r w:rsidRPr="00701A7C">
              <w:rPr>
                <w:rFonts w:ascii="Arial" w:hAnsi="Arial" w:cs="Arial"/>
                <w:iCs/>
                <w:sz w:val="20"/>
                <w:szCs w:val="20"/>
              </w:rPr>
              <w:t>However, antibody titers following vaccination may be delayed and somewhat lower than the titers observed with natural infections</w:t>
            </w:r>
          </w:p>
          <w:p w:rsidR="00E902AC" w:rsidRPr="00701A7C" w:rsidRDefault="00E902AC">
            <w:pPr>
              <w:rPr>
                <w:rFonts w:ascii="Arial" w:hAnsi="Arial" w:cs="Arial"/>
                <w:iCs/>
                <w:sz w:val="20"/>
                <w:szCs w:val="20"/>
              </w:rPr>
            </w:pPr>
          </w:p>
        </w:tc>
      </w:tr>
      <w:tr w:rsidR="00E902AC" w:rsidRPr="00701A7C" w:rsidTr="00606516">
        <w:tblPrEx>
          <w:tblCellMar>
            <w:top w:w="0" w:type="dxa"/>
            <w:bottom w:w="0" w:type="dxa"/>
          </w:tblCellMar>
        </w:tblPrEx>
        <w:trPr>
          <w:gridAfter w:val="1"/>
          <w:wAfter w:w="127" w:type="dxa"/>
          <w:cantSplit/>
          <w:trHeight w:val="863"/>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rPr>
                <w:rFonts w:ascii="Arial" w:hAnsi="Arial" w:cs="Arial"/>
                <w:b/>
                <w:bCs/>
                <w:color w:val="0000FF"/>
                <w:sz w:val="20"/>
                <w:szCs w:val="20"/>
              </w:rPr>
            </w:pPr>
            <w:r w:rsidRPr="00701A7C">
              <w:rPr>
                <w:rFonts w:ascii="Arial" w:hAnsi="Arial" w:cs="Arial"/>
                <w:b/>
                <w:bCs/>
                <w:color w:val="0000FF"/>
                <w:sz w:val="20"/>
                <w:szCs w:val="20"/>
              </w:rPr>
              <w:t>Instrument</w:t>
            </w:r>
          </w:p>
          <w:p w:rsidR="00E902AC" w:rsidRPr="00701A7C"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E902AC" w:rsidRPr="00701A7C" w:rsidRDefault="00E902AC">
            <w:pPr>
              <w:jc w:val="left"/>
              <w:rPr>
                <w:rFonts w:ascii="Arial" w:hAnsi="Arial" w:cs="Arial"/>
                <w:iCs/>
                <w:sz w:val="20"/>
                <w:szCs w:val="20"/>
              </w:rPr>
            </w:pPr>
          </w:p>
          <w:p w:rsidR="00E902AC" w:rsidRPr="00701A7C" w:rsidRDefault="00E902AC" w:rsidP="008B0BC7">
            <w:pPr>
              <w:jc w:val="left"/>
              <w:rPr>
                <w:rFonts w:ascii="Arial" w:hAnsi="Arial" w:cs="Arial"/>
                <w:iCs/>
                <w:sz w:val="20"/>
                <w:szCs w:val="20"/>
              </w:rPr>
            </w:pPr>
            <w:r w:rsidRPr="00701A7C">
              <w:rPr>
                <w:rFonts w:ascii="Arial" w:hAnsi="Arial" w:cs="Arial"/>
                <w:iCs/>
                <w:sz w:val="20"/>
                <w:szCs w:val="20"/>
              </w:rPr>
              <w:t xml:space="preserve">DiaSorin </w:t>
            </w:r>
            <w:r w:rsidR="008B0BC7" w:rsidRPr="00701A7C">
              <w:rPr>
                <w:rFonts w:ascii="Arial" w:hAnsi="Arial" w:cs="Arial"/>
                <w:iCs/>
                <w:sz w:val="20"/>
                <w:szCs w:val="20"/>
              </w:rPr>
              <w:t>LIAISON® XL</w:t>
            </w:r>
          </w:p>
          <w:p w:rsidR="00E902AC" w:rsidRPr="00701A7C" w:rsidRDefault="00E902AC">
            <w:pPr>
              <w:jc w:val="left"/>
              <w:rPr>
                <w:rFonts w:ascii="Arial" w:hAnsi="Arial" w:cs="Arial"/>
                <w:iCs/>
                <w:sz w:val="20"/>
                <w:szCs w:val="20"/>
              </w:rPr>
            </w:pPr>
            <w:r w:rsidRPr="00701A7C">
              <w:rPr>
                <w:rFonts w:ascii="Arial" w:hAnsi="Arial" w:cs="Arial"/>
                <w:iCs/>
                <w:sz w:val="20"/>
                <w:szCs w:val="20"/>
              </w:rPr>
              <w:t xml:space="preserve">Sunquest Method Code: </w:t>
            </w:r>
            <w:r w:rsidR="00ED332B" w:rsidRPr="00701A7C">
              <w:rPr>
                <w:rFonts w:ascii="Arial" w:hAnsi="Arial" w:cs="Arial"/>
                <w:b/>
                <w:bCs/>
                <w:iCs/>
                <w:sz w:val="20"/>
                <w:szCs w:val="20"/>
              </w:rPr>
              <w:t>XL</w:t>
            </w:r>
          </w:p>
        </w:tc>
      </w:tr>
      <w:tr w:rsidR="00E902AC" w:rsidRPr="00701A7C" w:rsidTr="00606516">
        <w:tblPrEx>
          <w:tblCellMar>
            <w:top w:w="0" w:type="dxa"/>
            <w:bottom w:w="0" w:type="dxa"/>
          </w:tblCellMar>
        </w:tblPrEx>
        <w:trPr>
          <w:trHeight w:val="764"/>
          <w:tblHeader/>
        </w:trPr>
        <w:tc>
          <w:tcPr>
            <w:tcW w:w="1798" w:type="dxa"/>
            <w:tcBorders>
              <w:top w:val="nil"/>
              <w:left w:val="nil"/>
              <w:bottom w:val="nil"/>
              <w:right w:val="nil"/>
            </w:tcBorders>
          </w:tcPr>
          <w:p w:rsidR="00E902AC" w:rsidRPr="00701A7C" w:rsidRDefault="00E902AC">
            <w:pPr>
              <w:jc w:val="left"/>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Sunquest Test Code</w:t>
            </w:r>
          </w:p>
        </w:tc>
        <w:tc>
          <w:tcPr>
            <w:tcW w:w="9309" w:type="dxa"/>
            <w:gridSpan w:val="4"/>
            <w:tcBorders>
              <w:left w:val="nil"/>
              <w:right w:val="nil"/>
            </w:tcBorders>
          </w:tcPr>
          <w:p w:rsidR="00E902AC" w:rsidRPr="00701A7C" w:rsidRDefault="00E902AC">
            <w:pPr>
              <w:rPr>
                <w:rFonts w:ascii="Arial" w:hAnsi="Arial" w:cs="Arial"/>
                <w:sz w:val="20"/>
                <w:szCs w:val="20"/>
              </w:rPr>
            </w:pPr>
          </w:p>
          <w:p w:rsidR="00E902AC" w:rsidRPr="00701A7C" w:rsidRDefault="00ED53C2" w:rsidP="00684BE9">
            <w:pPr>
              <w:rPr>
                <w:rFonts w:ascii="Arial" w:hAnsi="Arial" w:cs="Arial"/>
                <w:b/>
                <w:sz w:val="20"/>
                <w:szCs w:val="20"/>
              </w:rPr>
            </w:pPr>
            <w:r w:rsidRPr="00701A7C">
              <w:rPr>
                <w:rFonts w:ascii="Arial" w:hAnsi="Arial" w:cs="Arial"/>
                <w:b/>
                <w:sz w:val="20"/>
                <w:szCs w:val="20"/>
              </w:rPr>
              <w:t>RUBEG</w:t>
            </w:r>
          </w:p>
        </w:tc>
      </w:tr>
      <w:tr w:rsidR="00542675" w:rsidRPr="00701A7C" w:rsidTr="00ED2EB1">
        <w:tblPrEx>
          <w:tblCellMar>
            <w:top w:w="0" w:type="dxa"/>
            <w:bottom w:w="0" w:type="dxa"/>
          </w:tblCellMar>
        </w:tblPrEx>
        <w:trPr>
          <w:gridAfter w:val="1"/>
          <w:wAfter w:w="127" w:type="dxa"/>
          <w:cantSplit/>
          <w:trHeight w:val="5607"/>
        </w:trPr>
        <w:tc>
          <w:tcPr>
            <w:tcW w:w="1798" w:type="dxa"/>
            <w:tcBorders>
              <w:top w:val="nil"/>
              <w:left w:val="nil"/>
              <w:bottom w:val="nil"/>
              <w:right w:val="nil"/>
            </w:tcBorders>
          </w:tcPr>
          <w:p w:rsidR="00542675" w:rsidRPr="00701A7C" w:rsidRDefault="00542675" w:rsidP="00542675">
            <w:pPr>
              <w:jc w:val="left"/>
              <w:rPr>
                <w:rFonts w:ascii="Arial" w:hAnsi="Arial" w:cs="Arial"/>
                <w:b/>
                <w:bCs/>
                <w:color w:val="0000FF"/>
                <w:sz w:val="20"/>
                <w:szCs w:val="20"/>
              </w:rPr>
            </w:pPr>
          </w:p>
          <w:p w:rsidR="00542675" w:rsidRPr="00701A7C" w:rsidRDefault="00542675" w:rsidP="00542675">
            <w:pPr>
              <w:jc w:val="left"/>
              <w:rPr>
                <w:rFonts w:ascii="Arial" w:hAnsi="Arial" w:cs="Arial"/>
                <w:b/>
                <w:bCs/>
                <w:color w:val="0000FF"/>
                <w:sz w:val="20"/>
                <w:szCs w:val="20"/>
              </w:rPr>
            </w:pPr>
            <w:r w:rsidRPr="00701A7C">
              <w:rPr>
                <w:rFonts w:ascii="Arial" w:hAnsi="Arial" w:cs="Arial"/>
                <w:b/>
                <w:bCs/>
                <w:color w:val="0000FF"/>
                <w:sz w:val="20"/>
                <w:szCs w:val="20"/>
              </w:rPr>
              <w:t>Sample</w:t>
            </w:r>
          </w:p>
        </w:tc>
        <w:tc>
          <w:tcPr>
            <w:tcW w:w="9182" w:type="dxa"/>
            <w:gridSpan w:val="3"/>
            <w:tcBorders>
              <w:top w:val="single" w:sz="18" w:space="0" w:color="A6A6A6"/>
              <w:left w:val="nil"/>
              <w:bottom w:val="single" w:sz="18" w:space="0" w:color="A6A6A6"/>
              <w:right w:val="nil"/>
            </w:tcBorders>
          </w:tcPr>
          <w:p w:rsidR="00542675" w:rsidRPr="00701A7C" w:rsidRDefault="00542675" w:rsidP="00542675">
            <w:pPr>
              <w:pStyle w:val="Heading2"/>
              <w:numPr>
                <w:ilvl w:val="0"/>
                <w:numId w:val="0"/>
              </w:numPr>
              <w:rPr>
                <w:rFonts w:ascii="Arial" w:hAnsi="Arial"/>
                <w:b w:val="0"/>
                <w:sz w:val="20"/>
                <w:szCs w:val="20"/>
              </w:rPr>
            </w:pP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Cs w:val="0"/>
                <w:sz w:val="20"/>
                <w:szCs w:val="20"/>
              </w:rPr>
              <w:t>Serum</w:t>
            </w:r>
            <w:r w:rsidRPr="00701A7C">
              <w:rPr>
                <w:rFonts w:ascii="Arial" w:hAnsi="Arial"/>
                <w:b w:val="0"/>
                <w:sz w:val="20"/>
                <w:szCs w:val="20"/>
              </w:rPr>
              <w:t xml:space="preserve"> is the only acceptable specimen for this assay collected aseptically by venipuncture</w:t>
            </w:r>
            <w:r w:rsidR="00974132" w:rsidRPr="00701A7C">
              <w:rPr>
                <w:rFonts w:ascii="Arial" w:hAnsi="Arial"/>
                <w:b w:val="0"/>
                <w:sz w:val="20"/>
                <w:szCs w:val="20"/>
              </w:rPr>
              <w:t>.</w:t>
            </w:r>
            <w:r w:rsidR="00ED2EB1">
              <w:rPr>
                <w:rFonts w:ascii="Arial" w:hAnsi="Arial"/>
                <w:b w:val="0"/>
                <w:sz w:val="20"/>
                <w:szCs w:val="20"/>
              </w:rPr>
              <w:t xml:space="preserve"> </w:t>
            </w:r>
            <w:r w:rsidRPr="00701A7C">
              <w:rPr>
                <w:rFonts w:ascii="Arial" w:hAnsi="Arial"/>
                <w:b w:val="0"/>
                <w:sz w:val="20"/>
                <w:szCs w:val="20"/>
              </w:rPr>
              <w:t xml:space="preserve"> Refer to specimen collection procedures.</w:t>
            </w: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 w:val="0"/>
                <w:sz w:val="20"/>
                <w:szCs w:val="20"/>
              </w:rPr>
              <w:t>Grossly hemolyzed, lipemic or particulate samples are not recommended</w:t>
            </w:r>
            <w:r w:rsidR="00974132" w:rsidRPr="00701A7C">
              <w:rPr>
                <w:rFonts w:ascii="Arial" w:hAnsi="Arial"/>
                <w:b w:val="0"/>
                <w:sz w:val="20"/>
                <w:szCs w:val="20"/>
              </w:rPr>
              <w:t>.</w:t>
            </w:r>
          </w:p>
          <w:p w:rsidR="00542675" w:rsidRPr="00701A7C" w:rsidRDefault="00542675" w:rsidP="00542675">
            <w:pPr>
              <w:pStyle w:val="Heading2"/>
              <w:numPr>
                <w:ilvl w:val="0"/>
                <w:numId w:val="0"/>
              </w:numPr>
              <w:rPr>
                <w:rFonts w:ascii="Arial" w:hAnsi="Arial"/>
                <w:b w:val="0"/>
                <w:sz w:val="20"/>
                <w:szCs w:val="20"/>
              </w:rPr>
            </w:pP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Cs w:val="0"/>
                <w:sz w:val="20"/>
                <w:szCs w:val="20"/>
              </w:rPr>
              <w:t>Minimum volume</w:t>
            </w:r>
            <w:r w:rsidR="00974132" w:rsidRPr="00701A7C">
              <w:rPr>
                <w:rFonts w:ascii="Arial" w:hAnsi="Arial"/>
                <w:b w:val="0"/>
                <w:sz w:val="20"/>
                <w:szCs w:val="20"/>
              </w:rPr>
              <w:t>: 200</w:t>
            </w:r>
            <w:r w:rsidRPr="00701A7C">
              <w:rPr>
                <w:rFonts w:ascii="Arial" w:hAnsi="Arial"/>
                <w:b w:val="0"/>
                <w:sz w:val="20"/>
                <w:szCs w:val="20"/>
              </w:rPr>
              <w:t xml:space="preserve"> </w:t>
            </w:r>
            <w:r w:rsidRPr="00701A7C">
              <w:rPr>
                <w:rFonts w:ascii="Arial" w:hAnsi="Arial"/>
                <w:b w:val="0"/>
                <w:sz w:val="20"/>
                <w:szCs w:val="20"/>
              </w:rPr>
              <w:sym w:font="Symbol" w:char="F06D"/>
            </w:r>
            <w:r w:rsidRPr="00701A7C">
              <w:rPr>
                <w:rFonts w:ascii="Arial" w:hAnsi="Arial"/>
                <w:b w:val="0"/>
                <w:sz w:val="20"/>
                <w:szCs w:val="20"/>
              </w:rPr>
              <w:t>L</w:t>
            </w:r>
          </w:p>
          <w:p w:rsidR="00542675" w:rsidRPr="00701A7C" w:rsidRDefault="00542675" w:rsidP="00542675">
            <w:pPr>
              <w:pStyle w:val="Heading2"/>
              <w:numPr>
                <w:ilvl w:val="0"/>
                <w:numId w:val="0"/>
              </w:numPr>
              <w:rPr>
                <w:rFonts w:ascii="Arial" w:hAnsi="Arial"/>
                <w:b w:val="0"/>
                <w:sz w:val="20"/>
                <w:szCs w:val="20"/>
              </w:rPr>
            </w:pP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Cs w:val="0"/>
                <w:sz w:val="20"/>
                <w:szCs w:val="20"/>
              </w:rPr>
              <w:t>Stability</w:t>
            </w:r>
            <w:r w:rsidRPr="00701A7C">
              <w:rPr>
                <w:rFonts w:ascii="Arial" w:hAnsi="Arial"/>
                <w:b w:val="0"/>
                <w:sz w:val="20"/>
                <w:szCs w:val="20"/>
              </w:rPr>
              <w:t xml:space="preserve">: 2-8 </w:t>
            </w:r>
            <w:r w:rsidRPr="00701A7C">
              <w:rPr>
                <w:rFonts w:ascii="Arial" w:hAnsi="Arial"/>
                <w:b w:val="0"/>
                <w:sz w:val="20"/>
                <w:szCs w:val="20"/>
              </w:rPr>
              <w:sym w:font="Symbol" w:char="F0B0"/>
            </w:r>
            <w:r w:rsidR="00701A7C">
              <w:rPr>
                <w:rFonts w:ascii="Arial" w:hAnsi="Arial"/>
                <w:b w:val="0"/>
                <w:sz w:val="20"/>
                <w:szCs w:val="20"/>
              </w:rPr>
              <w:t>C / 3</w:t>
            </w:r>
            <w:r w:rsidR="00974132" w:rsidRPr="00701A7C">
              <w:rPr>
                <w:rFonts w:ascii="Arial" w:hAnsi="Arial"/>
                <w:b w:val="0"/>
                <w:sz w:val="20"/>
                <w:szCs w:val="20"/>
              </w:rPr>
              <w:t xml:space="preserve"> days, 30</w:t>
            </w:r>
            <w:r w:rsidRPr="00701A7C">
              <w:rPr>
                <w:rFonts w:ascii="Arial" w:hAnsi="Arial"/>
                <w:b w:val="0"/>
                <w:sz w:val="20"/>
                <w:szCs w:val="20"/>
              </w:rPr>
              <w:t xml:space="preserve"> days at -20 ºC or colder</w:t>
            </w: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 w:val="0"/>
                <w:sz w:val="20"/>
                <w:szCs w:val="20"/>
              </w:rPr>
              <w:t>Do not store in self-defrosting freezer.</w:t>
            </w:r>
          </w:p>
          <w:p w:rsidR="00542675" w:rsidRPr="00701A7C" w:rsidRDefault="00542675" w:rsidP="00542675">
            <w:pPr>
              <w:pStyle w:val="Heading2"/>
              <w:numPr>
                <w:ilvl w:val="0"/>
                <w:numId w:val="0"/>
              </w:numPr>
              <w:rPr>
                <w:rFonts w:ascii="Arial" w:hAnsi="Arial"/>
                <w:b w:val="0"/>
                <w:sz w:val="20"/>
                <w:szCs w:val="20"/>
              </w:rPr>
            </w:pPr>
          </w:p>
          <w:p w:rsidR="00542675" w:rsidRPr="00701A7C" w:rsidRDefault="00542675" w:rsidP="00542675">
            <w:pPr>
              <w:pStyle w:val="Heading2"/>
              <w:numPr>
                <w:ilvl w:val="0"/>
                <w:numId w:val="0"/>
              </w:numPr>
              <w:rPr>
                <w:rFonts w:ascii="Arial" w:hAnsi="Arial"/>
                <w:b w:val="0"/>
                <w:sz w:val="20"/>
                <w:szCs w:val="20"/>
              </w:rPr>
            </w:pPr>
            <w:r w:rsidRPr="00701A7C">
              <w:rPr>
                <w:rFonts w:ascii="Arial" w:hAnsi="Arial"/>
                <w:bCs w:val="0"/>
                <w:sz w:val="20"/>
                <w:szCs w:val="20"/>
              </w:rPr>
              <w:t>Rejection criteria</w:t>
            </w:r>
            <w:r w:rsidRPr="00701A7C">
              <w:rPr>
                <w:rFonts w:ascii="Arial" w:hAnsi="Arial"/>
                <w:b w:val="0"/>
                <w:sz w:val="20"/>
                <w:szCs w:val="20"/>
              </w:rPr>
              <w:t>: Unlabeled tube, plasma</w:t>
            </w:r>
            <w:r w:rsidR="00974132" w:rsidRPr="00701A7C">
              <w:rPr>
                <w:rFonts w:ascii="Arial" w:hAnsi="Arial"/>
                <w:b w:val="0"/>
                <w:sz w:val="20"/>
                <w:szCs w:val="20"/>
              </w:rPr>
              <w:t>, grossly hemolyzed samples</w:t>
            </w:r>
          </w:p>
          <w:p w:rsidR="00542675" w:rsidRPr="00701A7C" w:rsidRDefault="00542675" w:rsidP="00542675">
            <w:pPr>
              <w:pStyle w:val="Heading2"/>
              <w:numPr>
                <w:ilvl w:val="0"/>
                <w:numId w:val="0"/>
              </w:numPr>
              <w:rPr>
                <w:rFonts w:ascii="Arial" w:hAnsi="Arial"/>
                <w:b w:val="0"/>
                <w:sz w:val="20"/>
                <w:szCs w:val="20"/>
              </w:rPr>
            </w:pPr>
          </w:p>
          <w:p w:rsidR="00542675" w:rsidRPr="00701A7C" w:rsidRDefault="00542675" w:rsidP="00542675">
            <w:pPr>
              <w:pStyle w:val="Heading2"/>
              <w:numPr>
                <w:ilvl w:val="0"/>
                <w:numId w:val="0"/>
              </w:numPr>
              <w:rPr>
                <w:rFonts w:ascii="Arial" w:hAnsi="Arial"/>
                <w:bCs w:val="0"/>
                <w:sz w:val="20"/>
                <w:szCs w:val="20"/>
              </w:rPr>
            </w:pPr>
            <w:r w:rsidRPr="00701A7C">
              <w:rPr>
                <w:rFonts w:ascii="Arial" w:hAnsi="Arial"/>
                <w:bCs w:val="0"/>
                <w:sz w:val="20"/>
                <w:szCs w:val="20"/>
              </w:rPr>
              <w:t>Preparation:</w:t>
            </w:r>
          </w:p>
          <w:p w:rsidR="00542675" w:rsidRPr="00701A7C" w:rsidRDefault="00542675" w:rsidP="00542675">
            <w:pPr>
              <w:pStyle w:val="Heading2"/>
              <w:numPr>
                <w:ilvl w:val="0"/>
                <w:numId w:val="7"/>
              </w:numPr>
              <w:rPr>
                <w:rFonts w:ascii="Arial" w:hAnsi="Arial"/>
                <w:b w:val="0"/>
                <w:sz w:val="20"/>
                <w:szCs w:val="20"/>
              </w:rPr>
            </w:pPr>
            <w:r w:rsidRPr="00701A7C">
              <w:rPr>
                <w:rFonts w:ascii="Arial" w:hAnsi="Arial"/>
                <w:b w:val="0"/>
                <w:sz w:val="20"/>
                <w:szCs w:val="20"/>
              </w:rPr>
              <w:t xml:space="preserve">Whole blood specimens should be centrifuged as soon as clotted, according to Specimen Processing procedures prior to analysis. </w:t>
            </w:r>
            <w:r w:rsidR="00974132" w:rsidRPr="00701A7C">
              <w:rPr>
                <w:rFonts w:ascii="Arial" w:hAnsi="Arial"/>
                <w:b w:val="0"/>
                <w:sz w:val="20"/>
                <w:szCs w:val="20"/>
              </w:rPr>
              <w:t xml:space="preserve"> </w:t>
            </w:r>
            <w:r w:rsidRPr="00701A7C">
              <w:rPr>
                <w:rFonts w:ascii="Arial" w:hAnsi="Arial"/>
                <w:b w:val="0"/>
                <w:sz w:val="20"/>
                <w:szCs w:val="20"/>
              </w:rPr>
              <w:t>See Processing Procedure Manual.</w:t>
            </w:r>
          </w:p>
          <w:p w:rsidR="00542675" w:rsidRPr="00701A7C" w:rsidRDefault="00542675" w:rsidP="00542675">
            <w:pPr>
              <w:pStyle w:val="Heading2"/>
              <w:numPr>
                <w:ilvl w:val="0"/>
                <w:numId w:val="7"/>
              </w:numPr>
              <w:rPr>
                <w:rFonts w:ascii="Arial" w:hAnsi="Arial"/>
                <w:b w:val="0"/>
                <w:sz w:val="20"/>
                <w:szCs w:val="20"/>
              </w:rPr>
            </w:pPr>
            <w:r w:rsidRPr="00701A7C">
              <w:rPr>
                <w:rFonts w:ascii="Arial" w:hAnsi="Arial"/>
                <w:b w:val="0"/>
                <w:sz w:val="20"/>
                <w:szCs w:val="20"/>
              </w:rPr>
              <w:t>Clarify samples having particulate matter, turbidity, lipemia, or erythrocyte debris</w:t>
            </w:r>
            <w:r w:rsidR="00974132" w:rsidRPr="00701A7C">
              <w:rPr>
                <w:rFonts w:ascii="Arial" w:hAnsi="Arial"/>
                <w:b w:val="0"/>
                <w:sz w:val="20"/>
                <w:szCs w:val="20"/>
              </w:rPr>
              <w:t>.</w:t>
            </w:r>
          </w:p>
          <w:p w:rsidR="00542675" w:rsidRPr="00701A7C" w:rsidRDefault="00542675" w:rsidP="00542675">
            <w:pPr>
              <w:pStyle w:val="Heading2"/>
              <w:numPr>
                <w:ilvl w:val="0"/>
                <w:numId w:val="7"/>
              </w:numPr>
              <w:rPr>
                <w:rFonts w:ascii="Arial" w:hAnsi="Arial"/>
                <w:b w:val="0"/>
                <w:sz w:val="20"/>
                <w:szCs w:val="20"/>
              </w:rPr>
            </w:pPr>
            <w:r w:rsidRPr="00701A7C">
              <w:rPr>
                <w:rFonts w:ascii="Arial" w:hAnsi="Arial"/>
                <w:b w:val="0"/>
                <w:sz w:val="20"/>
                <w:szCs w:val="20"/>
              </w:rPr>
              <w:t>Remove air bubbles before testing</w:t>
            </w:r>
            <w:r w:rsidR="00974132" w:rsidRPr="00701A7C">
              <w:rPr>
                <w:rFonts w:ascii="Arial" w:hAnsi="Arial"/>
                <w:b w:val="0"/>
                <w:sz w:val="20"/>
                <w:szCs w:val="20"/>
              </w:rPr>
              <w:t>.</w:t>
            </w:r>
          </w:p>
          <w:p w:rsidR="00542675" w:rsidRPr="00701A7C" w:rsidRDefault="00542675" w:rsidP="00542675">
            <w:pPr>
              <w:pStyle w:val="Heading2"/>
              <w:numPr>
                <w:ilvl w:val="0"/>
                <w:numId w:val="7"/>
              </w:numPr>
              <w:rPr>
                <w:rFonts w:ascii="Arial" w:hAnsi="Arial"/>
                <w:b w:val="0"/>
                <w:sz w:val="20"/>
                <w:szCs w:val="20"/>
              </w:rPr>
            </w:pPr>
            <w:r w:rsidRPr="00701A7C">
              <w:rPr>
                <w:rFonts w:ascii="Arial" w:hAnsi="Arial"/>
                <w:b w:val="0"/>
                <w:sz w:val="20"/>
                <w:szCs w:val="20"/>
              </w:rPr>
              <w:t xml:space="preserve">Transfer serum to a properly labeled tube. </w:t>
            </w:r>
            <w:r w:rsidR="00701A7C" w:rsidRPr="00701A7C">
              <w:rPr>
                <w:rFonts w:ascii="Arial" w:hAnsi="Arial"/>
                <w:b w:val="0"/>
                <w:sz w:val="20"/>
                <w:szCs w:val="20"/>
              </w:rPr>
              <w:t xml:space="preserve"> </w:t>
            </w:r>
            <w:r w:rsidRPr="00701A7C">
              <w:rPr>
                <w:rFonts w:ascii="Arial" w:hAnsi="Arial"/>
                <w:b w:val="0"/>
                <w:sz w:val="20"/>
                <w:szCs w:val="20"/>
              </w:rPr>
              <w:t>Minimum labeling includes sample accession ID, and/ or patient name, medical record number, collection date and time.</w:t>
            </w:r>
          </w:p>
          <w:p w:rsidR="00542675" w:rsidRPr="00701A7C" w:rsidRDefault="00542675" w:rsidP="00542675">
            <w:pPr>
              <w:pStyle w:val="Heading2"/>
              <w:numPr>
                <w:ilvl w:val="0"/>
                <w:numId w:val="7"/>
              </w:numPr>
              <w:rPr>
                <w:rFonts w:ascii="Arial" w:hAnsi="Arial"/>
                <w:b w:val="0"/>
                <w:sz w:val="20"/>
                <w:szCs w:val="20"/>
              </w:rPr>
            </w:pPr>
            <w:r w:rsidRPr="00701A7C">
              <w:rPr>
                <w:rFonts w:ascii="Arial" w:hAnsi="Arial"/>
                <w:b w:val="0"/>
                <w:sz w:val="20"/>
                <w:szCs w:val="20"/>
              </w:rPr>
              <w:t xml:space="preserve">If samples are stored frozen, mix thawed samples well before testing. </w:t>
            </w:r>
            <w:r w:rsidR="00974132" w:rsidRPr="00701A7C">
              <w:rPr>
                <w:rFonts w:ascii="Arial" w:hAnsi="Arial"/>
                <w:b w:val="0"/>
                <w:sz w:val="20"/>
                <w:szCs w:val="20"/>
              </w:rPr>
              <w:t xml:space="preserve"> </w:t>
            </w:r>
            <w:r w:rsidRPr="00701A7C">
              <w:rPr>
                <w:rFonts w:ascii="Arial" w:hAnsi="Arial"/>
                <w:b w:val="0"/>
                <w:sz w:val="20"/>
                <w:szCs w:val="20"/>
              </w:rPr>
              <w:t>Avoid repeated freeze-thaw cycles.</w:t>
            </w:r>
            <w:r w:rsidR="00701A7C" w:rsidRPr="00701A7C">
              <w:rPr>
                <w:rFonts w:ascii="Arial" w:hAnsi="Arial"/>
                <w:b w:val="0"/>
                <w:sz w:val="20"/>
                <w:szCs w:val="20"/>
              </w:rPr>
              <w:t xml:space="preserve"> </w:t>
            </w:r>
            <w:r w:rsidRPr="00701A7C">
              <w:rPr>
                <w:rFonts w:ascii="Arial" w:hAnsi="Arial"/>
                <w:b w:val="0"/>
                <w:sz w:val="20"/>
                <w:szCs w:val="20"/>
              </w:rPr>
              <w:t xml:space="preserve"> Check for and remove air bubbles before assaying</w:t>
            </w:r>
          </w:p>
          <w:p w:rsidR="00542675" w:rsidRPr="00701A7C" w:rsidRDefault="00542675" w:rsidP="00542675">
            <w:pPr>
              <w:pStyle w:val="Heading2"/>
              <w:numPr>
                <w:ilvl w:val="0"/>
                <w:numId w:val="0"/>
              </w:numPr>
              <w:rPr>
                <w:rFonts w:ascii="Arial" w:hAnsi="Arial"/>
                <w:b w:val="0"/>
                <w:sz w:val="20"/>
                <w:szCs w:val="20"/>
              </w:rPr>
            </w:pPr>
          </w:p>
        </w:tc>
      </w:tr>
      <w:tr w:rsidR="00E902AC" w:rsidRPr="00701A7C" w:rsidTr="00606516">
        <w:tblPrEx>
          <w:tblCellMar>
            <w:top w:w="0" w:type="dxa"/>
            <w:bottom w:w="0" w:type="dxa"/>
          </w:tblCellMar>
        </w:tblPrEx>
        <w:trPr>
          <w:gridAfter w:val="1"/>
          <w:wAfter w:w="127" w:type="dxa"/>
          <w:cantSplit/>
          <w:trHeight w:val="197"/>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tc>
        <w:tc>
          <w:tcPr>
            <w:tcW w:w="9182" w:type="dxa"/>
            <w:gridSpan w:val="3"/>
            <w:tcBorders>
              <w:top w:val="single" w:sz="18" w:space="0" w:color="A6A6A6"/>
              <w:left w:val="nil"/>
              <w:bottom w:val="nil"/>
              <w:right w:val="nil"/>
            </w:tcBorders>
          </w:tcPr>
          <w:p w:rsidR="00E902AC" w:rsidRPr="00701A7C" w:rsidRDefault="00E902AC">
            <w:pPr>
              <w:jc w:val="left"/>
              <w:rPr>
                <w:rFonts w:ascii="Arial" w:hAnsi="Arial" w:cs="Arial"/>
                <w:iCs/>
                <w:sz w:val="20"/>
                <w:szCs w:val="20"/>
              </w:rPr>
            </w:pPr>
          </w:p>
        </w:tc>
      </w:tr>
      <w:tr w:rsidR="00E902AC" w:rsidRPr="00701A7C"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127" w:type="dxa"/>
          <w:cantSplit/>
        </w:trPr>
        <w:tc>
          <w:tcPr>
            <w:tcW w:w="1798" w:type="dxa"/>
            <w:tcBorders>
              <w:left w:val="nil"/>
              <w:bottom w:val="nil"/>
              <w:right w:val="single" w:sz="6" w:space="0" w:color="auto"/>
            </w:tcBorders>
          </w:tcPr>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Materials</w:t>
            </w:r>
          </w:p>
        </w:tc>
        <w:tc>
          <w:tcPr>
            <w:tcW w:w="4322" w:type="dxa"/>
            <w:tcBorders>
              <w:top w:val="single" w:sz="4" w:space="0" w:color="auto"/>
              <w:left w:val="single" w:sz="6" w:space="0" w:color="auto"/>
              <w:bottom w:val="single" w:sz="6" w:space="0" w:color="auto"/>
              <w:right w:val="single" w:sz="6" w:space="0" w:color="auto"/>
            </w:tcBorders>
          </w:tcPr>
          <w:p w:rsidR="00E902AC" w:rsidRPr="00701A7C" w:rsidRDefault="00E902AC">
            <w:pPr>
              <w:jc w:val="left"/>
              <w:rPr>
                <w:rFonts w:ascii="Arial" w:hAnsi="Arial" w:cs="Arial"/>
                <w:iCs/>
                <w:sz w:val="20"/>
                <w:szCs w:val="20"/>
              </w:rPr>
            </w:pPr>
            <w:r w:rsidRPr="00701A7C">
              <w:rPr>
                <w:rFonts w:ascii="Arial" w:hAnsi="Arial" w:cs="Arial"/>
                <w:b/>
                <w:iCs/>
                <w:sz w:val="20"/>
                <w:szCs w:val="20"/>
              </w:rPr>
              <w:t>Reagents</w:t>
            </w:r>
          </w:p>
        </w:tc>
        <w:tc>
          <w:tcPr>
            <w:tcW w:w="2703" w:type="dxa"/>
            <w:tcBorders>
              <w:top w:val="single" w:sz="6" w:space="0" w:color="auto"/>
              <w:left w:val="single" w:sz="6" w:space="0" w:color="auto"/>
              <w:bottom w:val="single" w:sz="6" w:space="0" w:color="auto"/>
              <w:right w:val="single" w:sz="6" w:space="0" w:color="auto"/>
            </w:tcBorders>
          </w:tcPr>
          <w:p w:rsidR="00E902AC" w:rsidRPr="00701A7C" w:rsidRDefault="00E902AC">
            <w:pPr>
              <w:jc w:val="left"/>
              <w:rPr>
                <w:rFonts w:ascii="Arial" w:hAnsi="Arial" w:cs="Arial"/>
                <w:iCs/>
                <w:sz w:val="20"/>
                <w:szCs w:val="20"/>
              </w:rPr>
            </w:pPr>
            <w:r w:rsidRPr="00701A7C">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E902AC" w:rsidRPr="00701A7C" w:rsidRDefault="00E902AC">
            <w:pPr>
              <w:jc w:val="left"/>
              <w:rPr>
                <w:rFonts w:ascii="Arial" w:hAnsi="Arial" w:cs="Arial"/>
                <w:b/>
                <w:iCs/>
                <w:sz w:val="20"/>
                <w:szCs w:val="20"/>
              </w:rPr>
            </w:pPr>
            <w:r w:rsidRPr="00701A7C">
              <w:rPr>
                <w:rFonts w:ascii="Arial" w:hAnsi="Arial" w:cs="Arial"/>
                <w:b/>
                <w:iCs/>
                <w:sz w:val="20"/>
                <w:szCs w:val="20"/>
              </w:rPr>
              <w:t>Equipment</w:t>
            </w:r>
          </w:p>
        </w:tc>
      </w:tr>
      <w:tr w:rsidR="00E902AC" w:rsidRPr="00701A7C"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127" w:type="dxa"/>
          <w:cantSplit/>
        </w:trPr>
        <w:tc>
          <w:tcPr>
            <w:tcW w:w="1798" w:type="dxa"/>
            <w:tcBorders>
              <w:top w:val="nil"/>
              <w:left w:val="nil"/>
              <w:bottom w:val="nil"/>
              <w:right w:val="single" w:sz="4" w:space="0" w:color="auto"/>
            </w:tcBorders>
          </w:tcPr>
          <w:p w:rsidR="00E902AC" w:rsidRPr="00701A7C" w:rsidRDefault="00E902AC">
            <w:pPr>
              <w:jc w:val="left"/>
              <w:rPr>
                <w:rFonts w:ascii="Arial" w:hAnsi="Arial" w:cs="Arial"/>
                <w:b/>
                <w:bCs/>
                <w:color w:val="0000FF"/>
                <w:sz w:val="20"/>
                <w:szCs w:val="20"/>
              </w:rPr>
            </w:pPr>
          </w:p>
        </w:tc>
        <w:tc>
          <w:tcPr>
            <w:tcW w:w="4322" w:type="dxa"/>
            <w:tcBorders>
              <w:top w:val="single" w:sz="6" w:space="0" w:color="auto"/>
              <w:left w:val="single" w:sz="4" w:space="0" w:color="auto"/>
              <w:bottom w:val="single" w:sz="4" w:space="0" w:color="auto"/>
              <w:right w:val="single" w:sz="4" w:space="0" w:color="auto"/>
            </w:tcBorders>
          </w:tcPr>
          <w:p w:rsidR="00E902AC" w:rsidRPr="00701A7C" w:rsidRDefault="00E23C22" w:rsidP="00E23C22">
            <w:pPr>
              <w:pStyle w:val="Heading2"/>
              <w:numPr>
                <w:ilvl w:val="0"/>
                <w:numId w:val="0"/>
              </w:numPr>
              <w:rPr>
                <w:rFonts w:ascii="Arial" w:hAnsi="Arial"/>
                <w:b w:val="0"/>
                <w:bCs w:val="0"/>
                <w:iCs w:val="0"/>
                <w:sz w:val="20"/>
                <w:szCs w:val="20"/>
              </w:rPr>
            </w:pPr>
            <w:r w:rsidRPr="00701A7C">
              <w:rPr>
                <w:rFonts w:ascii="Arial" w:hAnsi="Arial"/>
                <w:b w:val="0"/>
                <w:sz w:val="20"/>
                <w:szCs w:val="20"/>
              </w:rPr>
              <w:t>LIAISON® Rubella IgG ([REF] 310460)</w:t>
            </w:r>
          </w:p>
        </w:tc>
        <w:tc>
          <w:tcPr>
            <w:tcW w:w="2703" w:type="dxa"/>
            <w:tcBorders>
              <w:top w:val="single" w:sz="6" w:space="0" w:color="auto"/>
              <w:left w:val="single" w:sz="4" w:space="0" w:color="auto"/>
              <w:bottom w:val="single" w:sz="4" w:space="0" w:color="auto"/>
              <w:right w:val="single" w:sz="6" w:space="0" w:color="auto"/>
            </w:tcBorders>
          </w:tcPr>
          <w:p w:rsidR="00E902AC" w:rsidRPr="00701A7C" w:rsidRDefault="00701A7C">
            <w:pPr>
              <w:pStyle w:val="BodyText3"/>
              <w:rPr>
                <w:rFonts w:ascii="Arial" w:hAnsi="Arial" w:cs="Arial"/>
                <w:b w:val="0"/>
                <w:bCs/>
                <w:iCs/>
                <w:color w:val="auto"/>
                <w:sz w:val="20"/>
                <w:szCs w:val="20"/>
              </w:rPr>
            </w:pPr>
            <w:r w:rsidRPr="00701A7C">
              <w:rPr>
                <w:rFonts w:ascii="Arial" w:hAnsi="Arial" w:cs="Arial"/>
                <w:b w:val="0"/>
                <w:bCs/>
                <w:color w:val="auto"/>
                <w:sz w:val="20"/>
                <w:szCs w:val="20"/>
              </w:rPr>
              <w:t>P</w:t>
            </w:r>
            <w:r w:rsidR="00E902AC" w:rsidRPr="00701A7C">
              <w:rPr>
                <w:rFonts w:ascii="Arial" w:hAnsi="Arial" w:cs="Arial"/>
                <w:b w:val="0"/>
                <w:bCs/>
                <w:color w:val="auto"/>
                <w:sz w:val="20"/>
                <w:szCs w:val="20"/>
              </w:rPr>
              <w:t>olypropylene sample tubes</w:t>
            </w:r>
          </w:p>
        </w:tc>
        <w:tc>
          <w:tcPr>
            <w:tcW w:w="2157" w:type="dxa"/>
            <w:tcBorders>
              <w:top w:val="single" w:sz="6" w:space="0" w:color="auto"/>
              <w:left w:val="single" w:sz="6" w:space="0" w:color="auto"/>
              <w:bottom w:val="single" w:sz="4" w:space="0" w:color="auto"/>
              <w:right w:val="single" w:sz="4" w:space="0" w:color="auto"/>
            </w:tcBorders>
          </w:tcPr>
          <w:p w:rsidR="00E902AC" w:rsidRPr="00701A7C" w:rsidRDefault="00E902AC">
            <w:pPr>
              <w:pStyle w:val="BodyText3"/>
              <w:rPr>
                <w:rFonts w:ascii="Arial" w:hAnsi="Arial" w:cs="Arial"/>
                <w:b w:val="0"/>
                <w:bCs/>
                <w:iCs/>
                <w:color w:val="auto"/>
                <w:sz w:val="20"/>
                <w:szCs w:val="20"/>
              </w:rPr>
            </w:pPr>
            <w:r w:rsidRPr="00701A7C">
              <w:rPr>
                <w:rFonts w:ascii="Arial" w:hAnsi="Arial" w:cs="Arial"/>
                <w:b w:val="0"/>
                <w:bCs/>
                <w:iCs/>
                <w:color w:val="auto"/>
                <w:sz w:val="20"/>
                <w:szCs w:val="20"/>
              </w:rPr>
              <w:t xml:space="preserve">DiaSorin </w:t>
            </w:r>
            <w:r w:rsidR="005C545D" w:rsidRPr="00701A7C">
              <w:rPr>
                <w:rFonts w:ascii="Arial" w:hAnsi="Arial" w:cs="Arial"/>
                <w:b w:val="0"/>
                <w:bCs/>
                <w:iCs/>
                <w:color w:val="auto"/>
                <w:sz w:val="20"/>
                <w:szCs w:val="20"/>
              </w:rPr>
              <w:t>Liaison XL</w:t>
            </w:r>
            <w:r w:rsidRPr="00701A7C">
              <w:rPr>
                <w:rFonts w:ascii="Arial" w:hAnsi="Arial" w:cs="Arial"/>
                <w:b w:val="0"/>
                <w:bCs/>
                <w:iCs/>
                <w:color w:val="auto"/>
                <w:sz w:val="20"/>
                <w:szCs w:val="20"/>
              </w:rPr>
              <w:t xml:space="preserve"> System</w:t>
            </w:r>
          </w:p>
        </w:tc>
      </w:tr>
      <w:tr w:rsidR="00542675" w:rsidRPr="00701A7C" w:rsidTr="00606516">
        <w:tblPrEx>
          <w:tblCellMar>
            <w:top w:w="0" w:type="dxa"/>
            <w:bottom w:w="0" w:type="dxa"/>
          </w:tblCellMar>
        </w:tblPrEx>
        <w:trPr>
          <w:gridAfter w:val="1"/>
          <w:wAfter w:w="127" w:type="dxa"/>
          <w:cantSplit/>
        </w:trPr>
        <w:tc>
          <w:tcPr>
            <w:tcW w:w="1798" w:type="dxa"/>
            <w:tcBorders>
              <w:top w:val="nil"/>
              <w:left w:val="nil"/>
              <w:bottom w:val="nil"/>
              <w:right w:val="nil"/>
            </w:tcBorders>
          </w:tcPr>
          <w:p w:rsidR="00542675" w:rsidRPr="00701A7C" w:rsidRDefault="00542675" w:rsidP="00542675">
            <w:pPr>
              <w:jc w:val="left"/>
              <w:rPr>
                <w:rFonts w:ascii="Arial" w:hAnsi="Arial" w:cs="Arial"/>
                <w:b/>
                <w:bCs/>
                <w:color w:val="0000FF"/>
                <w:sz w:val="20"/>
                <w:szCs w:val="20"/>
              </w:rPr>
            </w:pPr>
          </w:p>
        </w:tc>
        <w:tc>
          <w:tcPr>
            <w:tcW w:w="9182" w:type="dxa"/>
            <w:gridSpan w:val="3"/>
            <w:tcBorders>
              <w:top w:val="single" w:sz="4" w:space="0" w:color="auto"/>
              <w:left w:val="nil"/>
              <w:bottom w:val="nil"/>
              <w:right w:val="nil"/>
            </w:tcBorders>
          </w:tcPr>
          <w:p w:rsidR="00E65DAB" w:rsidRPr="00701A7C" w:rsidRDefault="00E65DAB" w:rsidP="00E65DAB">
            <w:pPr>
              <w:rPr>
                <w:rFonts w:ascii="Arial" w:hAnsi="Arial" w:cs="Arial"/>
                <w:sz w:val="20"/>
                <w:szCs w:val="20"/>
              </w:rPr>
            </w:pPr>
          </w:p>
        </w:tc>
      </w:tr>
      <w:tr w:rsidR="00F4531B" w:rsidRPr="00701A7C" w:rsidTr="00606516">
        <w:tblPrEx>
          <w:tblCellMar>
            <w:top w:w="0" w:type="dxa"/>
            <w:bottom w:w="0" w:type="dxa"/>
          </w:tblCellMar>
        </w:tblPrEx>
        <w:trPr>
          <w:gridAfter w:val="1"/>
          <w:wAfter w:w="127" w:type="dxa"/>
          <w:cantSplit/>
        </w:trPr>
        <w:tc>
          <w:tcPr>
            <w:tcW w:w="1798" w:type="dxa"/>
            <w:tcBorders>
              <w:top w:val="nil"/>
              <w:left w:val="nil"/>
              <w:bottom w:val="nil"/>
              <w:right w:val="nil"/>
            </w:tcBorders>
          </w:tcPr>
          <w:p w:rsidR="00F4531B" w:rsidRPr="00701A7C" w:rsidRDefault="00F4531B" w:rsidP="00542675">
            <w:pPr>
              <w:jc w:val="left"/>
              <w:rPr>
                <w:rFonts w:ascii="Arial" w:hAnsi="Arial" w:cs="Arial"/>
                <w:b/>
                <w:bCs/>
                <w:color w:val="0000FF"/>
                <w:sz w:val="20"/>
                <w:szCs w:val="20"/>
              </w:rPr>
            </w:pPr>
            <w:r w:rsidRPr="00701A7C">
              <w:rPr>
                <w:rFonts w:ascii="Arial" w:hAnsi="Arial" w:cs="Arial"/>
                <w:b/>
                <w:bCs/>
                <w:color w:val="0000FF"/>
                <w:sz w:val="20"/>
                <w:szCs w:val="20"/>
              </w:rPr>
              <w:t>Reagent Integral Preparation</w:t>
            </w:r>
          </w:p>
        </w:tc>
        <w:tc>
          <w:tcPr>
            <w:tcW w:w="9182" w:type="dxa"/>
            <w:gridSpan w:val="3"/>
            <w:tcBorders>
              <w:top w:val="single" w:sz="4" w:space="0" w:color="auto"/>
              <w:left w:val="nil"/>
              <w:bottom w:val="nil"/>
              <w:right w:val="nil"/>
            </w:tcBorders>
          </w:tcPr>
          <w:p w:rsidR="00701A7C" w:rsidRPr="00701A7C" w:rsidRDefault="00701A7C" w:rsidP="00701A7C">
            <w:pPr>
              <w:jc w:val="left"/>
              <w:rPr>
                <w:rFonts w:ascii="Arial" w:hAnsi="Arial" w:cs="Arial"/>
                <w:b/>
                <w:sz w:val="20"/>
                <w:szCs w:val="20"/>
              </w:rPr>
            </w:pPr>
            <w:r w:rsidRPr="00701A7C">
              <w:rPr>
                <w:rFonts w:ascii="Arial" w:hAnsi="Arial" w:cs="Arial"/>
                <w:b/>
                <w:sz w:val="20"/>
                <w:szCs w:val="20"/>
              </w:rPr>
              <w:t>How to prepare and load new reagent integrals</w:t>
            </w:r>
          </w:p>
          <w:p w:rsidR="00701A7C" w:rsidRPr="00701A7C" w:rsidRDefault="00701A7C" w:rsidP="00701A7C">
            <w:pPr>
              <w:pStyle w:val="Default"/>
              <w:numPr>
                <w:ilvl w:val="0"/>
                <w:numId w:val="15"/>
              </w:numPr>
              <w:rPr>
                <w:sz w:val="20"/>
                <w:szCs w:val="20"/>
              </w:rPr>
            </w:pPr>
            <w:r w:rsidRPr="00701A7C">
              <w:rPr>
                <w:sz w:val="20"/>
                <w:szCs w:val="20"/>
              </w:rPr>
              <w:t xml:space="preserve">Remove from refrigerated storage, maintaining upright orientation </w:t>
            </w:r>
          </w:p>
          <w:p w:rsidR="00701A7C" w:rsidRPr="00701A7C" w:rsidRDefault="00701A7C" w:rsidP="00701A7C">
            <w:pPr>
              <w:pStyle w:val="Default"/>
              <w:numPr>
                <w:ilvl w:val="0"/>
                <w:numId w:val="15"/>
              </w:numPr>
              <w:rPr>
                <w:sz w:val="20"/>
                <w:szCs w:val="20"/>
              </w:rPr>
            </w:pPr>
            <w:r w:rsidRPr="00701A7C">
              <w:rPr>
                <w:sz w:val="20"/>
                <w:szCs w:val="20"/>
              </w:rPr>
              <w:t xml:space="preserve">Inspect integral for leakage </w:t>
            </w:r>
          </w:p>
          <w:p w:rsidR="00701A7C" w:rsidRPr="00701A7C" w:rsidRDefault="00701A7C" w:rsidP="00701A7C">
            <w:pPr>
              <w:pStyle w:val="Default"/>
              <w:numPr>
                <w:ilvl w:val="0"/>
                <w:numId w:val="15"/>
              </w:numPr>
              <w:rPr>
                <w:sz w:val="20"/>
                <w:szCs w:val="20"/>
              </w:rPr>
            </w:pPr>
            <w:r w:rsidRPr="00701A7C">
              <w:rPr>
                <w:sz w:val="20"/>
                <w:szCs w:val="20"/>
              </w:rPr>
              <w:t>Mix magnetic particle for 30 seconds</w:t>
            </w:r>
          </w:p>
          <w:p w:rsidR="00701A7C" w:rsidRPr="00701A7C" w:rsidRDefault="00701A7C" w:rsidP="00701A7C">
            <w:pPr>
              <w:pStyle w:val="Default"/>
              <w:numPr>
                <w:ilvl w:val="0"/>
                <w:numId w:val="15"/>
              </w:numPr>
              <w:rPr>
                <w:sz w:val="20"/>
                <w:szCs w:val="20"/>
              </w:rPr>
            </w:pPr>
            <w:r w:rsidRPr="00701A7C">
              <w:rPr>
                <w:sz w:val="20"/>
                <w:szCs w:val="20"/>
              </w:rPr>
              <w:t xml:space="preserve">Seat test integral in Xcelerator for 30 seconds </w:t>
            </w:r>
          </w:p>
          <w:p w:rsidR="00701A7C" w:rsidRPr="00701A7C" w:rsidRDefault="00701A7C" w:rsidP="00701A7C">
            <w:pPr>
              <w:pStyle w:val="Default"/>
              <w:numPr>
                <w:ilvl w:val="0"/>
                <w:numId w:val="15"/>
              </w:numPr>
              <w:rPr>
                <w:sz w:val="20"/>
                <w:szCs w:val="20"/>
              </w:rPr>
            </w:pPr>
            <w:r w:rsidRPr="00701A7C">
              <w:rPr>
                <w:sz w:val="20"/>
                <w:szCs w:val="20"/>
              </w:rPr>
              <w:t>Gently rotate the magnetic particle vial for 30 seconds</w:t>
            </w:r>
          </w:p>
          <w:p w:rsidR="00701A7C" w:rsidRPr="00701A7C" w:rsidRDefault="00701A7C" w:rsidP="00701A7C">
            <w:pPr>
              <w:pStyle w:val="Default"/>
              <w:numPr>
                <w:ilvl w:val="0"/>
                <w:numId w:val="15"/>
              </w:numPr>
              <w:rPr>
                <w:sz w:val="20"/>
                <w:szCs w:val="20"/>
              </w:rPr>
            </w:pPr>
            <w:r w:rsidRPr="00701A7C">
              <w:rPr>
                <w:sz w:val="20"/>
                <w:szCs w:val="20"/>
              </w:rPr>
              <w:t xml:space="preserve">Remove new integral sealing flaps slowly </w:t>
            </w:r>
          </w:p>
          <w:p w:rsidR="00701A7C" w:rsidRPr="00701A7C" w:rsidRDefault="00701A7C" w:rsidP="00701A7C">
            <w:pPr>
              <w:pStyle w:val="Default"/>
              <w:numPr>
                <w:ilvl w:val="0"/>
                <w:numId w:val="15"/>
              </w:numPr>
              <w:rPr>
                <w:sz w:val="20"/>
                <w:szCs w:val="20"/>
              </w:rPr>
            </w:pPr>
            <w:r w:rsidRPr="00701A7C">
              <w:rPr>
                <w:sz w:val="20"/>
                <w:szCs w:val="20"/>
              </w:rPr>
              <w:t>Remove all liquid from the surfaces of the membranes to prevent cross-contamination of the reagent vials by blotting using a kim wipe folded in half lengthwise</w:t>
            </w:r>
          </w:p>
          <w:p w:rsidR="00701A7C" w:rsidRPr="00701A7C" w:rsidRDefault="00701A7C" w:rsidP="00701A7C">
            <w:pPr>
              <w:pStyle w:val="Default"/>
              <w:numPr>
                <w:ilvl w:val="0"/>
                <w:numId w:val="15"/>
              </w:numPr>
              <w:rPr>
                <w:sz w:val="20"/>
                <w:szCs w:val="20"/>
              </w:rPr>
            </w:pPr>
            <w:r w:rsidRPr="00701A7C">
              <w:rPr>
                <w:sz w:val="20"/>
                <w:szCs w:val="20"/>
              </w:rPr>
              <w:t xml:space="preserve">Open the reagent bay on the analyzer </w:t>
            </w:r>
          </w:p>
          <w:p w:rsidR="00701A7C" w:rsidRPr="00701A7C" w:rsidRDefault="00701A7C" w:rsidP="00701A7C">
            <w:pPr>
              <w:pStyle w:val="Default"/>
              <w:numPr>
                <w:ilvl w:val="0"/>
                <w:numId w:val="15"/>
              </w:numPr>
              <w:rPr>
                <w:sz w:val="20"/>
                <w:szCs w:val="20"/>
              </w:rPr>
            </w:pPr>
            <w:r w:rsidRPr="00701A7C">
              <w:rPr>
                <w:sz w:val="20"/>
                <w:szCs w:val="20"/>
              </w:rPr>
              <w:t xml:space="preserve">Using a smooth motion, insert the integral into an unoccupied lane in the reagent area until it rests firmly against the docking pins at the rear. </w:t>
            </w:r>
          </w:p>
          <w:p w:rsidR="00F4531B" w:rsidRPr="00701A7C" w:rsidRDefault="00701A7C" w:rsidP="00701A7C">
            <w:pPr>
              <w:rPr>
                <w:rFonts w:ascii="Arial" w:hAnsi="Arial" w:cs="Arial"/>
                <w:sz w:val="20"/>
                <w:szCs w:val="20"/>
              </w:rPr>
            </w:pPr>
            <w:r w:rsidRPr="00701A7C">
              <w:rPr>
                <w:rFonts w:ascii="Arial" w:hAnsi="Arial" w:cs="Arial"/>
                <w:b/>
                <w:sz w:val="20"/>
                <w:szCs w:val="20"/>
              </w:rPr>
              <w:t>Note:</w:t>
            </w:r>
            <w:r w:rsidRPr="00701A7C">
              <w:rPr>
                <w:rFonts w:ascii="Arial" w:hAnsi="Arial" w:cs="Arial"/>
                <w:sz w:val="20"/>
                <w:szCs w:val="20"/>
              </w:rPr>
              <w:t xml:space="preserve"> </w:t>
            </w:r>
            <w:r w:rsidRPr="00701A7C">
              <w:rPr>
                <w:rFonts w:ascii="Arial" w:hAnsi="Arial" w:cs="Arial"/>
                <w:color w:val="000000"/>
                <w:sz w:val="20"/>
                <w:szCs w:val="20"/>
              </w:rPr>
              <w:t>if m</w:t>
            </w:r>
            <w:r w:rsidRPr="00701A7C">
              <w:rPr>
                <w:rFonts w:ascii="Arial" w:hAnsi="Arial" w:cs="Arial"/>
                <w:sz w:val="20"/>
                <w:szCs w:val="20"/>
              </w:rPr>
              <w:t>ore than one integral of the same reagent is loaded place the newest integral to the right of the old integral.  The analyzer will sample from the left integral until empty then move right.</w:t>
            </w:r>
          </w:p>
        </w:tc>
      </w:tr>
      <w:tr w:rsidR="00E65DAB" w:rsidRPr="00701A7C" w:rsidTr="00606516">
        <w:tblPrEx>
          <w:tblCellMar>
            <w:top w:w="0" w:type="dxa"/>
            <w:bottom w:w="0" w:type="dxa"/>
          </w:tblCellMar>
        </w:tblPrEx>
        <w:trPr>
          <w:gridAfter w:val="1"/>
          <w:wAfter w:w="127" w:type="dxa"/>
          <w:cantSplit/>
        </w:trPr>
        <w:tc>
          <w:tcPr>
            <w:tcW w:w="1798" w:type="dxa"/>
            <w:tcBorders>
              <w:top w:val="nil"/>
              <w:left w:val="nil"/>
              <w:bottom w:val="nil"/>
              <w:right w:val="nil"/>
            </w:tcBorders>
          </w:tcPr>
          <w:p w:rsidR="00E65DAB" w:rsidRPr="00701A7C" w:rsidRDefault="00E65DAB" w:rsidP="00542675">
            <w:pPr>
              <w:jc w:val="left"/>
              <w:rPr>
                <w:rFonts w:ascii="Arial" w:hAnsi="Arial" w:cs="Arial"/>
                <w:b/>
                <w:bCs/>
                <w:color w:val="0000FF"/>
                <w:sz w:val="20"/>
                <w:szCs w:val="20"/>
              </w:rPr>
            </w:pPr>
          </w:p>
        </w:tc>
        <w:tc>
          <w:tcPr>
            <w:tcW w:w="9182" w:type="dxa"/>
            <w:gridSpan w:val="3"/>
            <w:tcBorders>
              <w:top w:val="nil"/>
              <w:left w:val="nil"/>
              <w:bottom w:val="single" w:sz="4" w:space="0" w:color="auto"/>
              <w:right w:val="nil"/>
            </w:tcBorders>
          </w:tcPr>
          <w:p w:rsidR="00E65DAB" w:rsidRPr="00701A7C" w:rsidRDefault="00E65DAB" w:rsidP="00E65DAB">
            <w:pPr>
              <w:rPr>
                <w:rFonts w:ascii="Arial" w:hAnsi="Arial" w:cs="Arial"/>
                <w:sz w:val="20"/>
                <w:szCs w:val="20"/>
              </w:rPr>
            </w:pPr>
          </w:p>
        </w:tc>
      </w:tr>
      <w:tr w:rsidR="00542675" w:rsidRPr="00701A7C" w:rsidTr="00606516">
        <w:tblPrEx>
          <w:tblCellMar>
            <w:top w:w="0" w:type="dxa"/>
            <w:bottom w:w="0" w:type="dxa"/>
          </w:tblCellMar>
        </w:tblPrEx>
        <w:trPr>
          <w:gridAfter w:val="1"/>
          <w:wAfter w:w="127" w:type="dxa"/>
          <w:cantSplit/>
          <w:trHeight w:val="530"/>
        </w:trPr>
        <w:tc>
          <w:tcPr>
            <w:tcW w:w="1798" w:type="dxa"/>
            <w:tcBorders>
              <w:left w:val="nil"/>
              <w:bottom w:val="nil"/>
              <w:right w:val="nil"/>
            </w:tcBorders>
          </w:tcPr>
          <w:p w:rsidR="00542675" w:rsidRPr="00701A7C" w:rsidRDefault="00542675">
            <w:pPr>
              <w:jc w:val="left"/>
              <w:rPr>
                <w:rFonts w:ascii="Arial" w:hAnsi="Arial" w:cs="Arial"/>
                <w:b/>
                <w:bCs/>
                <w:color w:val="0000FF"/>
                <w:sz w:val="20"/>
                <w:szCs w:val="20"/>
              </w:rPr>
            </w:pPr>
          </w:p>
        </w:tc>
        <w:tc>
          <w:tcPr>
            <w:tcW w:w="9182" w:type="dxa"/>
            <w:gridSpan w:val="3"/>
            <w:vMerge w:val="restart"/>
            <w:tcBorders>
              <w:top w:val="single" w:sz="4" w:space="0" w:color="auto"/>
              <w:left w:val="nil"/>
              <w:bottom w:val="single" w:sz="18" w:space="0" w:color="A6A6A6"/>
              <w:right w:val="nil"/>
            </w:tcBorders>
          </w:tcPr>
          <w:p w:rsidR="0053191A" w:rsidRPr="00701A7C" w:rsidRDefault="0053191A" w:rsidP="0053191A">
            <w:pPr>
              <w:pStyle w:val="Heading2"/>
              <w:numPr>
                <w:ilvl w:val="0"/>
                <w:numId w:val="0"/>
              </w:numPr>
              <w:rPr>
                <w:rFonts w:ascii="Arial" w:hAnsi="Arial"/>
                <w:bCs w:val="0"/>
                <w:sz w:val="20"/>
                <w:szCs w:val="20"/>
              </w:rPr>
            </w:pPr>
          </w:p>
          <w:p w:rsidR="0053191A" w:rsidRPr="00701A7C" w:rsidRDefault="0053191A" w:rsidP="0053191A">
            <w:pPr>
              <w:pStyle w:val="Heading2"/>
              <w:numPr>
                <w:ilvl w:val="0"/>
                <w:numId w:val="0"/>
                <w:numberingChange w:id="1" w:author="CE080372" w:date="2011-08-22T14:24:00Z" w:original=""/>
              </w:numPr>
              <w:rPr>
                <w:rFonts w:ascii="Arial" w:hAnsi="Arial"/>
                <w:bCs w:val="0"/>
                <w:sz w:val="20"/>
                <w:szCs w:val="20"/>
              </w:rPr>
            </w:pPr>
            <w:r w:rsidRPr="00701A7C">
              <w:rPr>
                <w:rFonts w:ascii="Arial" w:hAnsi="Arial"/>
                <w:bCs w:val="0"/>
                <w:sz w:val="20"/>
                <w:szCs w:val="20"/>
              </w:rPr>
              <w:lastRenderedPageBreak/>
              <w:t>Reagent Integral Storage a</w:t>
            </w:r>
            <w:r w:rsidR="00542675" w:rsidRPr="00701A7C">
              <w:rPr>
                <w:rFonts w:ascii="Arial" w:hAnsi="Arial"/>
                <w:bCs w:val="0"/>
                <w:sz w:val="20"/>
                <w:szCs w:val="20"/>
              </w:rPr>
              <w:t>nd Stability:</w:t>
            </w:r>
          </w:p>
          <w:p w:rsidR="00542675" w:rsidRPr="00701A7C" w:rsidRDefault="00542675" w:rsidP="0053191A">
            <w:pPr>
              <w:pStyle w:val="Heading2"/>
              <w:numPr>
                <w:ilvl w:val="0"/>
                <w:numId w:val="0"/>
              </w:numPr>
              <w:rPr>
                <w:rFonts w:ascii="Arial" w:hAnsi="Arial"/>
                <w:b w:val="0"/>
                <w:sz w:val="20"/>
                <w:szCs w:val="20"/>
              </w:rPr>
            </w:pPr>
            <w:r w:rsidRPr="00701A7C">
              <w:rPr>
                <w:rFonts w:ascii="Arial" w:hAnsi="Arial"/>
                <w:b w:val="0"/>
                <w:sz w:val="20"/>
                <w:szCs w:val="20"/>
              </w:rPr>
              <w:t>Upon receipt, the Reagent Integral must be stored in an upright position to facilitate resuspension of magnetic particles.</w:t>
            </w:r>
          </w:p>
          <w:p w:rsidR="00542675" w:rsidRPr="00701A7C" w:rsidRDefault="00542675" w:rsidP="00E902AC">
            <w:pPr>
              <w:pStyle w:val="Heading2"/>
              <w:numPr>
                <w:ilvl w:val="0"/>
                <w:numId w:val="6"/>
              </w:numPr>
              <w:rPr>
                <w:rFonts w:ascii="Arial" w:hAnsi="Arial"/>
                <w:b w:val="0"/>
                <w:sz w:val="20"/>
                <w:szCs w:val="20"/>
              </w:rPr>
            </w:pPr>
            <w:r w:rsidRPr="00701A7C">
              <w:rPr>
                <w:rFonts w:ascii="Arial" w:hAnsi="Arial"/>
                <w:b w:val="0"/>
                <w:sz w:val="20"/>
                <w:szCs w:val="20"/>
              </w:rPr>
              <w:t xml:space="preserve">Stored sealed, the reagents are stable at 2-8°C up to the expiration date. </w:t>
            </w:r>
          </w:p>
          <w:p w:rsidR="00542675" w:rsidRPr="00701A7C" w:rsidRDefault="00542675" w:rsidP="00E902AC">
            <w:pPr>
              <w:pStyle w:val="Heading2"/>
              <w:numPr>
                <w:ilvl w:val="0"/>
                <w:numId w:val="6"/>
              </w:numPr>
              <w:rPr>
                <w:rFonts w:ascii="Arial" w:hAnsi="Arial"/>
                <w:b w:val="0"/>
                <w:sz w:val="20"/>
                <w:szCs w:val="20"/>
              </w:rPr>
            </w:pPr>
            <w:r w:rsidRPr="00701A7C">
              <w:rPr>
                <w:rFonts w:ascii="Arial" w:hAnsi="Arial"/>
                <w:b w:val="0"/>
                <w:sz w:val="20"/>
                <w:szCs w:val="20"/>
              </w:rPr>
              <w:t xml:space="preserve">After removing the seals, the Reagent Integral is stable for </w:t>
            </w:r>
            <w:r w:rsidRPr="00701A7C">
              <w:rPr>
                <w:rFonts w:ascii="Arial" w:hAnsi="Arial"/>
                <w:sz w:val="20"/>
                <w:szCs w:val="20"/>
              </w:rPr>
              <w:t>eight weeks</w:t>
            </w:r>
            <w:r w:rsidRPr="00701A7C">
              <w:rPr>
                <w:rFonts w:ascii="Arial" w:hAnsi="Arial"/>
                <w:b w:val="0"/>
                <w:sz w:val="20"/>
                <w:szCs w:val="20"/>
              </w:rPr>
              <w:t xml:space="preserve"> when stored at 2-8°C or on board the </w:t>
            </w:r>
            <w:r w:rsidR="005C545D" w:rsidRPr="00701A7C">
              <w:rPr>
                <w:rFonts w:ascii="Arial" w:hAnsi="Arial"/>
                <w:b w:val="0"/>
                <w:sz w:val="20"/>
                <w:szCs w:val="20"/>
              </w:rPr>
              <w:t>LIAISON XL</w:t>
            </w:r>
            <w:r w:rsidRPr="00701A7C">
              <w:rPr>
                <w:rFonts w:ascii="Arial" w:hAnsi="Arial"/>
                <w:b w:val="0"/>
                <w:sz w:val="20"/>
                <w:szCs w:val="20"/>
              </w:rPr>
              <w:t>® Analyzer. Record new expiration date on the integral.</w:t>
            </w:r>
          </w:p>
          <w:p w:rsidR="00542675" w:rsidRPr="00701A7C" w:rsidRDefault="00542675" w:rsidP="00E902AC">
            <w:pPr>
              <w:pStyle w:val="Heading2"/>
              <w:numPr>
                <w:ilvl w:val="0"/>
                <w:numId w:val="6"/>
              </w:numPr>
              <w:rPr>
                <w:rFonts w:ascii="Arial" w:hAnsi="Arial"/>
                <w:b w:val="0"/>
                <w:sz w:val="20"/>
                <w:szCs w:val="20"/>
              </w:rPr>
            </w:pPr>
            <w:r w:rsidRPr="00701A7C">
              <w:rPr>
                <w:rFonts w:ascii="Arial" w:hAnsi="Arial"/>
                <w:b w:val="0"/>
                <w:sz w:val="20"/>
                <w:szCs w:val="20"/>
              </w:rPr>
              <w:t xml:space="preserve">Do not freeze. </w:t>
            </w:r>
          </w:p>
          <w:p w:rsidR="00542675" w:rsidRPr="00701A7C" w:rsidRDefault="00542675" w:rsidP="00E902AC">
            <w:pPr>
              <w:pStyle w:val="Heading2"/>
              <w:numPr>
                <w:ilvl w:val="0"/>
                <w:numId w:val="6"/>
              </w:numPr>
              <w:rPr>
                <w:rFonts w:ascii="Arial" w:hAnsi="Arial"/>
                <w:b w:val="0"/>
                <w:sz w:val="20"/>
                <w:szCs w:val="20"/>
              </w:rPr>
            </w:pPr>
            <w:r w:rsidRPr="00701A7C">
              <w:rPr>
                <w:rFonts w:ascii="Arial" w:hAnsi="Arial"/>
                <w:b w:val="0"/>
                <w:sz w:val="20"/>
                <w:szCs w:val="20"/>
              </w:rPr>
              <w:t xml:space="preserve">The Reagent Integral must not be used past the expiration date indicated on the kit and reagent integral labels. </w:t>
            </w:r>
          </w:p>
          <w:p w:rsidR="00542675" w:rsidRPr="00701A7C" w:rsidRDefault="00542675">
            <w:pPr>
              <w:pStyle w:val="Heading2"/>
              <w:numPr>
                <w:ilvl w:val="0"/>
                <w:numId w:val="0"/>
              </w:numPr>
              <w:rPr>
                <w:rFonts w:ascii="Arial" w:hAnsi="Arial"/>
                <w:b w:val="0"/>
                <w:sz w:val="20"/>
                <w:szCs w:val="20"/>
              </w:rPr>
            </w:pPr>
          </w:p>
        </w:tc>
      </w:tr>
      <w:tr w:rsidR="00E902AC" w:rsidRPr="00701A7C" w:rsidTr="00606516">
        <w:tblPrEx>
          <w:tblCellMar>
            <w:top w:w="0" w:type="dxa"/>
            <w:bottom w:w="0" w:type="dxa"/>
          </w:tblCellMar>
        </w:tblPrEx>
        <w:trPr>
          <w:gridAfter w:val="1"/>
          <w:wAfter w:w="127" w:type="dxa"/>
          <w:cantSplit/>
          <w:trHeight w:val="530"/>
        </w:trPr>
        <w:tc>
          <w:tcPr>
            <w:tcW w:w="1798" w:type="dxa"/>
            <w:tcBorders>
              <w:top w:val="nil"/>
              <w:left w:val="nil"/>
              <w:bottom w:val="nil"/>
              <w:right w:val="nil"/>
            </w:tcBorders>
          </w:tcPr>
          <w:p w:rsidR="00E902AC" w:rsidRPr="00701A7C" w:rsidRDefault="00E902AC">
            <w:pPr>
              <w:jc w:val="left"/>
              <w:rPr>
                <w:rFonts w:ascii="Arial" w:hAnsi="Arial" w:cs="Arial"/>
                <w:b/>
                <w:bCs/>
                <w:color w:val="0000FF"/>
                <w:sz w:val="20"/>
                <w:szCs w:val="20"/>
              </w:rPr>
            </w:pPr>
          </w:p>
        </w:tc>
        <w:tc>
          <w:tcPr>
            <w:tcW w:w="9182" w:type="dxa"/>
            <w:gridSpan w:val="3"/>
            <w:vMerge/>
            <w:tcBorders>
              <w:top w:val="single" w:sz="18" w:space="0" w:color="A6A6A6"/>
              <w:left w:val="nil"/>
              <w:bottom w:val="single" w:sz="18" w:space="0" w:color="A6A6A6"/>
              <w:right w:val="nil"/>
            </w:tcBorders>
          </w:tcPr>
          <w:p w:rsidR="00E902AC" w:rsidRPr="00701A7C" w:rsidRDefault="00E902AC">
            <w:pPr>
              <w:pStyle w:val="Heading2"/>
              <w:numPr>
                <w:ilvl w:val="0"/>
                <w:numId w:val="0"/>
              </w:numPr>
              <w:rPr>
                <w:rFonts w:ascii="Arial" w:hAnsi="Arial"/>
                <w:b w:val="0"/>
                <w:sz w:val="20"/>
                <w:szCs w:val="20"/>
              </w:rPr>
            </w:pPr>
          </w:p>
        </w:tc>
      </w:tr>
      <w:tr w:rsidR="00E902AC" w:rsidRPr="00701A7C"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127" w:type="dxa"/>
          <w:cantSplit/>
        </w:trPr>
        <w:tc>
          <w:tcPr>
            <w:tcW w:w="1798" w:type="dxa"/>
            <w:tcBorders>
              <w:top w:val="nil"/>
              <w:left w:val="nil"/>
              <w:bottom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Special Safety Precautions</w:t>
            </w:r>
          </w:p>
          <w:p w:rsidR="00E902AC" w:rsidRPr="00701A7C" w:rsidRDefault="00E902AC">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E902AC" w:rsidRPr="00701A7C" w:rsidRDefault="00ED2EB1">
            <w:pPr>
              <w:pStyle w:val="Heading2"/>
              <w:numPr>
                <w:ilvl w:val="0"/>
                <w:numId w:val="0"/>
              </w:numPr>
              <w:rPr>
                <w:rFonts w:ascii="Arial" w:hAnsi="Arial"/>
                <w:b w:val="0"/>
                <w:sz w:val="20"/>
                <w:szCs w:val="20"/>
              </w:rPr>
            </w:pPr>
            <w:r>
              <w:rPr>
                <w:rFonts w:ascii="Arial" w:hAnsi="Arial"/>
                <w:b w:val="0"/>
                <w:sz w:val="20"/>
                <w:szCs w:val="20"/>
              </w:rPr>
              <w:t>See additional and detailed information in SDS on Children’s StarNet.</w:t>
            </w:r>
          </w:p>
          <w:p w:rsidR="00E902AC" w:rsidRDefault="00A10247" w:rsidP="00A10247">
            <w:pPr>
              <w:pStyle w:val="Heading2"/>
              <w:numPr>
                <w:ilvl w:val="0"/>
                <w:numId w:val="8"/>
              </w:numPr>
              <w:rPr>
                <w:rFonts w:ascii="Arial" w:hAnsi="Arial"/>
                <w:b w:val="0"/>
                <w:sz w:val="20"/>
                <w:szCs w:val="20"/>
              </w:rPr>
            </w:pPr>
            <w:r w:rsidRPr="00701A7C">
              <w:rPr>
                <w:rFonts w:ascii="Arial" w:hAnsi="Arial"/>
                <w:b w:val="0"/>
                <w:sz w:val="20"/>
                <w:szCs w:val="20"/>
              </w:rPr>
              <w:t>5-chloro-2-methyl-4-isothiazolin-3-one and 2-methyl-2H -isothiazol-3-one May cause an allergic skin reaction.</w:t>
            </w:r>
          </w:p>
          <w:p w:rsidR="00ED2EB1" w:rsidRPr="00DF692F" w:rsidRDefault="00ED2EB1" w:rsidP="00ED2EB1">
            <w:pPr>
              <w:pStyle w:val="Heading2"/>
              <w:numPr>
                <w:ilvl w:val="0"/>
                <w:numId w:val="8"/>
              </w:numPr>
              <w:rPr>
                <w:rFonts w:ascii="Arial" w:hAnsi="Arial"/>
                <w:b w:val="0"/>
                <w:sz w:val="20"/>
                <w:szCs w:val="20"/>
              </w:rPr>
            </w:pPr>
            <w:r w:rsidRPr="00DF692F">
              <w:rPr>
                <w:rFonts w:ascii="Arial" w:hAnsi="Arial"/>
                <w:b w:val="0"/>
                <w:sz w:val="20"/>
                <w:szCs w:val="20"/>
              </w:rPr>
              <w:t>All samples, biological reagents and materials used in the assay must be considered potentially able to transmit infectious agents.</w:t>
            </w:r>
          </w:p>
          <w:p w:rsidR="00ED2EB1" w:rsidRPr="00DF692F" w:rsidRDefault="00ED2EB1" w:rsidP="00ED2EB1">
            <w:pPr>
              <w:pStyle w:val="Heading2"/>
              <w:numPr>
                <w:ilvl w:val="0"/>
                <w:numId w:val="8"/>
              </w:numPr>
              <w:rPr>
                <w:rFonts w:ascii="Arial" w:hAnsi="Arial"/>
                <w:b w:val="0"/>
                <w:sz w:val="20"/>
                <w:szCs w:val="20"/>
              </w:rPr>
            </w:pPr>
            <w:r w:rsidRPr="00DF692F">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ED2EB1" w:rsidRPr="00ED2EB1" w:rsidRDefault="00ED2EB1" w:rsidP="00ED2EB1"/>
        </w:tc>
      </w:tr>
      <w:tr w:rsidR="00E902AC" w:rsidRPr="00701A7C"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127" w:type="dxa"/>
          <w:cantSplit/>
        </w:trPr>
        <w:tc>
          <w:tcPr>
            <w:tcW w:w="1798" w:type="dxa"/>
            <w:tcBorders>
              <w:top w:val="nil"/>
              <w:left w:val="nil"/>
              <w:bottom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Calibration</w:t>
            </w:r>
          </w:p>
        </w:tc>
        <w:tc>
          <w:tcPr>
            <w:tcW w:w="9182" w:type="dxa"/>
            <w:gridSpan w:val="3"/>
            <w:tcBorders>
              <w:top w:val="single" w:sz="18" w:space="0" w:color="A6A6A6"/>
              <w:bottom w:val="single" w:sz="18" w:space="0" w:color="A6A6A6"/>
              <w:right w:val="nil"/>
            </w:tcBorders>
          </w:tcPr>
          <w:p w:rsidR="00E902AC" w:rsidRPr="00701A7C" w:rsidRDefault="00E902AC">
            <w:pPr>
              <w:spacing w:before="40" w:after="40"/>
              <w:rPr>
                <w:rFonts w:ascii="Arial" w:hAnsi="Arial" w:cs="Arial"/>
                <w:sz w:val="20"/>
                <w:szCs w:val="20"/>
              </w:rPr>
            </w:pPr>
          </w:p>
          <w:p w:rsidR="00E902AC" w:rsidRPr="00701A7C" w:rsidRDefault="00E902AC">
            <w:pPr>
              <w:autoSpaceDE w:val="0"/>
              <w:autoSpaceDN w:val="0"/>
              <w:adjustRightInd w:val="0"/>
              <w:jc w:val="left"/>
              <w:rPr>
                <w:rFonts w:ascii="Arial" w:hAnsi="Arial" w:cs="Arial"/>
                <w:sz w:val="20"/>
                <w:szCs w:val="20"/>
              </w:rPr>
            </w:pPr>
            <w:r w:rsidRPr="00701A7C">
              <w:rPr>
                <w:rFonts w:ascii="Arial" w:hAnsi="Arial" w:cs="Arial"/>
                <w:sz w:val="20"/>
                <w:szCs w:val="20"/>
              </w:rPr>
              <w:t xml:space="preserve">Assay of calibrators contained in the Reagent Integral allows the Analyzer to recalibrate the stored master curve, as indicated by </w:t>
            </w:r>
            <w:r w:rsidR="00E35CFF" w:rsidRPr="00701A7C">
              <w:rPr>
                <w:rFonts w:ascii="Arial" w:hAnsi="Arial" w:cs="Arial"/>
                <w:sz w:val="20"/>
                <w:szCs w:val="20"/>
              </w:rPr>
              <w:t xml:space="preserve">Radio Frequency </w:t>
            </w:r>
            <w:r w:rsidR="00E23C22" w:rsidRPr="00701A7C">
              <w:rPr>
                <w:rFonts w:ascii="Arial" w:hAnsi="Arial" w:cs="Arial"/>
                <w:sz w:val="20"/>
                <w:szCs w:val="20"/>
              </w:rPr>
              <w:t>Identification</w:t>
            </w:r>
            <w:r w:rsidR="00E35CFF" w:rsidRPr="00701A7C">
              <w:rPr>
                <w:rFonts w:ascii="Arial" w:hAnsi="Arial" w:cs="Arial"/>
                <w:sz w:val="20"/>
                <w:szCs w:val="20"/>
              </w:rPr>
              <w:t xml:space="preserve"> transponder (RFID Tag) </w:t>
            </w:r>
            <w:r w:rsidRPr="00701A7C">
              <w:rPr>
                <w:rFonts w:ascii="Arial" w:hAnsi="Arial" w:cs="Arial"/>
                <w:sz w:val="20"/>
                <w:szCs w:val="20"/>
              </w:rPr>
              <w:t xml:space="preserve">on the Reagent Integral label. Refer to the Operator's Manual or </w:t>
            </w:r>
            <w:r w:rsidR="005C545D" w:rsidRPr="00701A7C">
              <w:rPr>
                <w:rFonts w:ascii="Arial" w:hAnsi="Arial" w:cs="Arial"/>
                <w:sz w:val="20"/>
                <w:szCs w:val="20"/>
              </w:rPr>
              <w:t>LIAISON XL</w:t>
            </w:r>
            <w:r w:rsidRPr="00701A7C">
              <w:rPr>
                <w:rFonts w:ascii="Arial" w:hAnsi="Arial" w:cs="Arial"/>
                <w:sz w:val="20"/>
                <w:szCs w:val="20"/>
              </w:rPr>
              <w:t>® Quick Guide for calibration instructions.</w:t>
            </w:r>
          </w:p>
          <w:p w:rsidR="00E902AC" w:rsidRPr="00701A7C" w:rsidRDefault="00E902AC">
            <w:pPr>
              <w:spacing w:before="40" w:after="40"/>
              <w:rPr>
                <w:rFonts w:ascii="Arial" w:hAnsi="Arial" w:cs="Arial"/>
                <w:sz w:val="20"/>
                <w:szCs w:val="20"/>
              </w:rPr>
            </w:pPr>
          </w:p>
          <w:p w:rsidR="00E902AC" w:rsidRPr="00701A7C" w:rsidRDefault="00701A7C">
            <w:pPr>
              <w:spacing w:before="40" w:after="40"/>
              <w:rPr>
                <w:rFonts w:ascii="Arial" w:hAnsi="Arial" w:cs="Arial"/>
                <w:sz w:val="20"/>
                <w:szCs w:val="20"/>
              </w:rPr>
            </w:pPr>
            <w:r>
              <w:rPr>
                <w:rFonts w:ascii="Arial" w:hAnsi="Arial" w:cs="Arial"/>
                <w:sz w:val="20"/>
                <w:szCs w:val="20"/>
              </w:rPr>
              <w:t>Recalibration</w:t>
            </w:r>
            <w:r w:rsidR="00E902AC" w:rsidRPr="00701A7C">
              <w:rPr>
                <w:rFonts w:ascii="Arial" w:hAnsi="Arial" w:cs="Arial"/>
                <w:sz w:val="20"/>
                <w:szCs w:val="20"/>
              </w:rPr>
              <w:t xml:space="preserve"> is required:</w:t>
            </w:r>
          </w:p>
          <w:p w:rsidR="00E902AC" w:rsidRPr="00701A7C" w:rsidRDefault="00E902AC" w:rsidP="00E902AC">
            <w:pPr>
              <w:numPr>
                <w:ilvl w:val="0"/>
                <w:numId w:val="2"/>
              </w:numPr>
              <w:tabs>
                <w:tab w:val="num" w:pos="1080"/>
              </w:tabs>
              <w:ind w:left="1080"/>
              <w:rPr>
                <w:rFonts w:ascii="Arial" w:hAnsi="Arial" w:cs="Arial"/>
                <w:sz w:val="20"/>
                <w:szCs w:val="20"/>
              </w:rPr>
            </w:pPr>
            <w:r w:rsidRPr="00701A7C">
              <w:rPr>
                <w:rFonts w:ascii="Arial" w:hAnsi="Arial" w:cs="Arial"/>
                <w:sz w:val="20"/>
                <w:szCs w:val="20"/>
              </w:rPr>
              <w:t>With each new lot of reagents (Reagent Integral or Starter Reagents).</w:t>
            </w:r>
          </w:p>
          <w:p w:rsidR="00E902AC" w:rsidRPr="00701A7C" w:rsidRDefault="00E902AC" w:rsidP="00E902AC">
            <w:pPr>
              <w:numPr>
                <w:ilvl w:val="0"/>
                <w:numId w:val="2"/>
              </w:numPr>
              <w:tabs>
                <w:tab w:val="num" w:pos="1080"/>
              </w:tabs>
              <w:ind w:left="1080"/>
              <w:rPr>
                <w:rFonts w:ascii="Arial" w:hAnsi="Arial" w:cs="Arial"/>
                <w:sz w:val="20"/>
                <w:szCs w:val="20"/>
              </w:rPr>
            </w:pPr>
            <w:r w:rsidRPr="00701A7C">
              <w:rPr>
                <w:rFonts w:ascii="Arial" w:hAnsi="Arial" w:cs="Arial"/>
                <w:sz w:val="20"/>
                <w:szCs w:val="20"/>
              </w:rPr>
              <w:t>Every 14 days.</w:t>
            </w:r>
          </w:p>
          <w:p w:rsidR="00E902AC" w:rsidRPr="00701A7C" w:rsidRDefault="00E902AC" w:rsidP="00E902AC">
            <w:pPr>
              <w:numPr>
                <w:ilvl w:val="0"/>
                <w:numId w:val="2"/>
              </w:numPr>
              <w:tabs>
                <w:tab w:val="num" w:pos="1080"/>
              </w:tabs>
              <w:ind w:left="1080"/>
              <w:rPr>
                <w:rFonts w:ascii="Arial" w:hAnsi="Arial" w:cs="Arial"/>
                <w:sz w:val="20"/>
                <w:szCs w:val="20"/>
              </w:rPr>
            </w:pPr>
            <w:r w:rsidRPr="00701A7C">
              <w:rPr>
                <w:rFonts w:ascii="Arial" w:hAnsi="Arial" w:cs="Arial"/>
                <w:sz w:val="20"/>
                <w:szCs w:val="20"/>
              </w:rPr>
              <w:t xml:space="preserve">After servicing the </w:t>
            </w:r>
            <w:r w:rsidR="005C545D" w:rsidRPr="00701A7C">
              <w:rPr>
                <w:rFonts w:ascii="Arial" w:hAnsi="Arial" w:cs="Arial"/>
                <w:sz w:val="20"/>
                <w:szCs w:val="20"/>
              </w:rPr>
              <w:t>LIAISON XL</w:t>
            </w:r>
            <w:r w:rsidRPr="00701A7C">
              <w:rPr>
                <w:rFonts w:ascii="Arial" w:hAnsi="Arial" w:cs="Arial"/>
                <w:sz w:val="20"/>
                <w:szCs w:val="20"/>
                <w:vertAlign w:val="superscript"/>
              </w:rPr>
              <w:t>®</w:t>
            </w:r>
            <w:r w:rsidRPr="00701A7C">
              <w:rPr>
                <w:rFonts w:ascii="Arial" w:hAnsi="Arial" w:cs="Arial"/>
                <w:sz w:val="20"/>
                <w:szCs w:val="20"/>
              </w:rPr>
              <w:t xml:space="preserve"> Analyzer.</w:t>
            </w:r>
          </w:p>
          <w:p w:rsidR="00E902AC" w:rsidRPr="00701A7C" w:rsidRDefault="00E902AC" w:rsidP="00E902AC">
            <w:pPr>
              <w:numPr>
                <w:ilvl w:val="0"/>
                <w:numId w:val="2"/>
              </w:numPr>
              <w:tabs>
                <w:tab w:val="num" w:pos="1080"/>
              </w:tabs>
              <w:ind w:left="1080"/>
              <w:rPr>
                <w:rFonts w:ascii="Arial" w:hAnsi="Arial" w:cs="Arial"/>
                <w:sz w:val="20"/>
                <w:szCs w:val="20"/>
              </w:rPr>
            </w:pPr>
            <w:r w:rsidRPr="00701A7C">
              <w:rPr>
                <w:rFonts w:ascii="Arial" w:hAnsi="Arial" w:cs="Arial"/>
                <w:sz w:val="20"/>
                <w:szCs w:val="20"/>
              </w:rPr>
              <w:t>If quality controls are out of your acceptable range.</w:t>
            </w:r>
          </w:p>
          <w:p w:rsidR="00E902AC" w:rsidRPr="00701A7C" w:rsidRDefault="00E902AC">
            <w:pPr>
              <w:tabs>
                <w:tab w:val="num" w:pos="1080"/>
              </w:tabs>
              <w:rPr>
                <w:rFonts w:ascii="Arial" w:hAnsi="Arial" w:cs="Arial"/>
                <w:sz w:val="20"/>
                <w:szCs w:val="20"/>
              </w:rPr>
            </w:pPr>
          </w:p>
          <w:p w:rsidR="00694E57" w:rsidRPr="00701A7C" w:rsidRDefault="00E902AC">
            <w:pPr>
              <w:tabs>
                <w:tab w:val="num" w:pos="1080"/>
              </w:tabs>
              <w:rPr>
                <w:rFonts w:ascii="Arial" w:hAnsi="Arial" w:cs="Arial"/>
                <w:sz w:val="20"/>
                <w:szCs w:val="20"/>
              </w:rPr>
            </w:pPr>
            <w:r w:rsidRPr="00701A7C">
              <w:rPr>
                <w:rFonts w:ascii="Arial" w:hAnsi="Arial" w:cs="Arial"/>
                <w:sz w:val="20"/>
                <w:szCs w:val="20"/>
              </w:rPr>
              <w:t>Verify new reagent lots before use by te</w:t>
            </w:r>
            <w:r w:rsidR="0053191A" w:rsidRPr="00701A7C">
              <w:rPr>
                <w:rFonts w:ascii="Arial" w:hAnsi="Arial" w:cs="Arial"/>
                <w:sz w:val="20"/>
                <w:szCs w:val="20"/>
              </w:rPr>
              <w:t xml:space="preserve">sting </w:t>
            </w:r>
            <w:r w:rsidR="00694E57" w:rsidRPr="00701A7C">
              <w:rPr>
                <w:rFonts w:ascii="Arial" w:hAnsi="Arial" w:cs="Arial"/>
                <w:sz w:val="20"/>
                <w:szCs w:val="20"/>
              </w:rPr>
              <w:t xml:space="preserve">LIAISON® Rubella IgG ([REF] 310460) </w:t>
            </w:r>
            <w:r w:rsidR="00E30AE3" w:rsidRPr="00701A7C">
              <w:rPr>
                <w:rFonts w:ascii="Arial" w:hAnsi="Arial" w:cs="Arial"/>
                <w:sz w:val="20"/>
                <w:szCs w:val="20"/>
              </w:rPr>
              <w:t>Controls</w:t>
            </w:r>
            <w:r w:rsidR="00694E57" w:rsidRPr="00701A7C">
              <w:rPr>
                <w:rFonts w:ascii="Arial" w:hAnsi="Arial" w:cs="Arial"/>
                <w:sz w:val="20"/>
                <w:szCs w:val="20"/>
              </w:rPr>
              <w:t>.</w:t>
            </w:r>
          </w:p>
          <w:p w:rsidR="00694E57" w:rsidRPr="00701A7C" w:rsidRDefault="00694E57">
            <w:pPr>
              <w:tabs>
                <w:tab w:val="num" w:pos="1080"/>
              </w:tabs>
              <w:rPr>
                <w:rFonts w:ascii="Arial" w:hAnsi="Arial" w:cs="Arial"/>
                <w:sz w:val="20"/>
                <w:szCs w:val="20"/>
              </w:rPr>
            </w:pPr>
          </w:p>
          <w:p w:rsidR="00E902AC" w:rsidRPr="00701A7C" w:rsidRDefault="00E902AC">
            <w:pPr>
              <w:tabs>
                <w:tab w:val="num" w:pos="1080"/>
              </w:tabs>
              <w:rPr>
                <w:rFonts w:ascii="Arial" w:hAnsi="Arial" w:cs="Arial"/>
                <w:sz w:val="20"/>
                <w:szCs w:val="20"/>
              </w:rPr>
            </w:pPr>
            <w:r w:rsidRPr="00701A7C">
              <w:rPr>
                <w:rFonts w:ascii="Arial" w:hAnsi="Arial" w:cs="Arial"/>
                <w:sz w:val="20"/>
                <w:szCs w:val="20"/>
              </w:rPr>
              <w:t>Comparable results verify the new reagent lot. Discrepant results must be resolved before the reagent can be used for patient testing.</w:t>
            </w:r>
          </w:p>
          <w:p w:rsidR="00E902AC" w:rsidRPr="00701A7C" w:rsidRDefault="00E902AC">
            <w:pPr>
              <w:spacing w:before="40"/>
              <w:rPr>
                <w:rFonts w:ascii="Arial" w:hAnsi="Arial" w:cs="Arial"/>
                <w:iCs/>
                <w:sz w:val="20"/>
                <w:szCs w:val="20"/>
              </w:rPr>
            </w:pPr>
          </w:p>
        </w:tc>
      </w:tr>
      <w:tr w:rsidR="00E902AC" w:rsidRPr="00701A7C" w:rsidTr="00ED2EB1">
        <w:tblPrEx>
          <w:tblCellMar>
            <w:top w:w="0" w:type="dxa"/>
            <w:bottom w:w="0" w:type="dxa"/>
          </w:tblCellMar>
        </w:tblPrEx>
        <w:trPr>
          <w:cantSplit/>
          <w:trHeight w:val="1071"/>
          <w:tblHeader/>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rPr>
                <w:rFonts w:ascii="Arial" w:hAnsi="Arial" w:cs="Arial"/>
                <w:b/>
                <w:bCs/>
                <w:color w:val="0000FF"/>
                <w:sz w:val="20"/>
                <w:szCs w:val="20"/>
              </w:rPr>
            </w:pPr>
            <w:r w:rsidRPr="00701A7C">
              <w:rPr>
                <w:rFonts w:ascii="Arial" w:hAnsi="Arial" w:cs="Arial"/>
                <w:b/>
                <w:bCs/>
                <w:color w:val="0000FF"/>
                <w:sz w:val="20"/>
                <w:szCs w:val="20"/>
              </w:rPr>
              <w:t>Analytical Measuring Range (AMR)</w:t>
            </w:r>
          </w:p>
        </w:tc>
        <w:tc>
          <w:tcPr>
            <w:tcW w:w="9309" w:type="dxa"/>
            <w:gridSpan w:val="4"/>
            <w:tcBorders>
              <w:left w:val="nil"/>
              <w:bottom w:val="single" w:sz="18" w:space="0" w:color="A6A6A6"/>
              <w:right w:val="nil"/>
            </w:tcBorders>
          </w:tcPr>
          <w:p w:rsidR="00E902AC" w:rsidRPr="00701A7C" w:rsidRDefault="00E902AC">
            <w:pPr>
              <w:rPr>
                <w:rFonts w:ascii="Arial" w:hAnsi="Arial" w:cs="Arial"/>
                <w:sz w:val="20"/>
                <w:szCs w:val="20"/>
              </w:rPr>
            </w:pPr>
          </w:p>
          <w:p w:rsidR="00E902AC" w:rsidRPr="00701A7C" w:rsidRDefault="00701A7C">
            <w:pPr>
              <w:rPr>
                <w:rFonts w:ascii="Arial" w:hAnsi="Arial" w:cs="Arial"/>
                <w:sz w:val="20"/>
                <w:szCs w:val="20"/>
              </w:rPr>
            </w:pPr>
            <w:r>
              <w:rPr>
                <w:rFonts w:ascii="Arial" w:hAnsi="Arial" w:cs="Arial"/>
                <w:sz w:val="20"/>
                <w:szCs w:val="20"/>
              </w:rPr>
              <w:t>Rubella IgG</w:t>
            </w:r>
            <w:r w:rsidRPr="00DF692F">
              <w:rPr>
                <w:rFonts w:ascii="Arial" w:hAnsi="Arial" w:cs="Arial"/>
                <w:sz w:val="20"/>
                <w:szCs w:val="20"/>
              </w:rPr>
              <w:t xml:space="preserve"> is an FDA-cleared/approved </w:t>
            </w:r>
            <w:r w:rsidRPr="00DF692F">
              <w:rPr>
                <w:rFonts w:ascii="Arial" w:hAnsi="Arial" w:cs="Arial"/>
                <w:iCs/>
                <w:sz w:val="20"/>
                <w:szCs w:val="20"/>
              </w:rPr>
              <w:t>in vitro</w:t>
            </w:r>
            <w:r w:rsidRPr="00DF692F">
              <w:rPr>
                <w:rFonts w:ascii="Arial" w:hAnsi="Arial" w:cs="Arial"/>
                <w:sz w:val="20"/>
                <w:szCs w:val="20"/>
              </w:rPr>
              <w:t xml:space="preserve"> diagnostic assay that reports the qualitative result based on a predefined cut-off value. </w:t>
            </w:r>
            <w:r>
              <w:rPr>
                <w:rFonts w:ascii="Arial" w:hAnsi="Arial" w:cs="Arial"/>
                <w:sz w:val="20"/>
                <w:szCs w:val="20"/>
              </w:rPr>
              <w:t xml:space="preserve"> </w:t>
            </w:r>
            <w:r w:rsidRPr="00DF692F">
              <w:rPr>
                <w:rFonts w:ascii="Arial" w:hAnsi="Arial" w:cs="Arial"/>
                <w:sz w:val="20"/>
                <w:szCs w:val="20"/>
              </w:rPr>
              <w:t>Verification of AMR or the cut-off value is not required by CAP or CLIA.  Di</w:t>
            </w:r>
            <w:r>
              <w:rPr>
                <w:rFonts w:ascii="Arial" w:hAnsi="Arial" w:cs="Arial"/>
                <w:sz w:val="20"/>
                <w:szCs w:val="20"/>
              </w:rPr>
              <w:t>aSorin stated AMR is 0.100-33.000 Index</w:t>
            </w:r>
            <w:r w:rsidRPr="00DF692F">
              <w:rPr>
                <w:rFonts w:ascii="Arial" w:hAnsi="Arial" w:cs="Arial"/>
                <w:sz w:val="20"/>
                <w:szCs w:val="20"/>
              </w:rPr>
              <w:t>.</w:t>
            </w:r>
          </w:p>
        </w:tc>
      </w:tr>
      <w:tr w:rsidR="00E902AC" w:rsidRPr="00701A7C" w:rsidTr="00ED2E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1"/>
          <w:wAfter w:w="127" w:type="dxa"/>
          <w:cantSplit/>
          <w:trHeight w:val="6102"/>
        </w:trPr>
        <w:tc>
          <w:tcPr>
            <w:tcW w:w="1798" w:type="dxa"/>
            <w:tcBorders>
              <w:top w:val="nil"/>
              <w:left w:val="nil"/>
              <w:bottom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Quality Control</w:t>
            </w:r>
          </w:p>
          <w:p w:rsidR="00E902AC" w:rsidRPr="00701A7C" w:rsidRDefault="00E902AC">
            <w:pPr>
              <w:rPr>
                <w:rFonts w:ascii="Arial" w:hAnsi="Arial" w:cs="Arial"/>
                <w:b/>
                <w:bCs/>
                <w:color w:val="0000FF"/>
                <w:sz w:val="20"/>
                <w:szCs w:val="20"/>
              </w:rPr>
            </w:pPr>
          </w:p>
          <w:p w:rsidR="00234A5A" w:rsidRPr="00701A7C" w:rsidRDefault="00234A5A" w:rsidP="00234A5A">
            <w:pPr>
              <w:rPr>
                <w:rFonts w:ascii="Arial" w:hAnsi="Arial" w:cs="Arial"/>
                <w:b/>
                <w:bCs/>
                <w:color w:val="0000FF"/>
                <w:sz w:val="20"/>
                <w:szCs w:val="20"/>
              </w:rPr>
            </w:pPr>
          </w:p>
          <w:p w:rsidR="00234A5A" w:rsidRPr="00701A7C" w:rsidRDefault="00234A5A">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8D393F" w:rsidRPr="00701A7C" w:rsidRDefault="00694E57" w:rsidP="00A6562A">
            <w:pPr>
              <w:tabs>
                <w:tab w:val="num" w:pos="1080"/>
              </w:tabs>
              <w:rPr>
                <w:rFonts w:ascii="Arial" w:hAnsi="Arial" w:cs="Arial"/>
                <w:sz w:val="20"/>
                <w:szCs w:val="20"/>
              </w:rPr>
            </w:pPr>
            <w:r w:rsidRPr="00701A7C">
              <w:rPr>
                <w:rFonts w:ascii="Arial" w:hAnsi="Arial" w:cs="Arial"/>
                <w:sz w:val="20"/>
                <w:szCs w:val="20"/>
              </w:rPr>
              <w:t>LIAISON® Rubella IgG ([REF] 310460)</w:t>
            </w:r>
          </w:p>
          <w:p w:rsidR="00694E57" w:rsidRPr="00701A7C" w:rsidRDefault="00694E57" w:rsidP="00A6562A">
            <w:pPr>
              <w:tabs>
                <w:tab w:val="num" w:pos="1080"/>
              </w:tabs>
              <w:rPr>
                <w:rFonts w:ascii="Arial" w:hAnsi="Arial" w:cs="Arial"/>
                <w:sz w:val="20"/>
                <w:szCs w:val="20"/>
              </w:rPr>
            </w:pPr>
            <w:r w:rsidRPr="00701A7C">
              <w:rPr>
                <w:rFonts w:ascii="Arial" w:hAnsi="Arial" w:cs="Arial"/>
                <w:sz w:val="20"/>
                <w:szCs w:val="20"/>
              </w:rPr>
              <w:t>Negative control (0.9 mL x 2 vials) containing a barcode label</w:t>
            </w:r>
          </w:p>
          <w:p w:rsidR="00694E57" w:rsidRPr="00701A7C" w:rsidRDefault="00694E57" w:rsidP="00A6562A">
            <w:pPr>
              <w:tabs>
                <w:tab w:val="num" w:pos="1080"/>
              </w:tabs>
              <w:rPr>
                <w:rFonts w:ascii="Arial" w:hAnsi="Arial" w:cs="Arial"/>
                <w:sz w:val="20"/>
                <w:szCs w:val="20"/>
              </w:rPr>
            </w:pPr>
            <w:r w:rsidRPr="00701A7C">
              <w:rPr>
                <w:rFonts w:ascii="Arial" w:hAnsi="Arial" w:cs="Arial"/>
                <w:sz w:val="20"/>
                <w:szCs w:val="20"/>
              </w:rPr>
              <w:t>Positive control (0.9 mL x 2 vials) containing a barcode label</w:t>
            </w:r>
          </w:p>
          <w:p w:rsidR="00694E57" w:rsidRPr="00701A7C" w:rsidRDefault="00694E57" w:rsidP="00A6562A">
            <w:pPr>
              <w:tabs>
                <w:tab w:val="num" w:pos="1080"/>
              </w:tabs>
              <w:rPr>
                <w:rFonts w:ascii="Arial" w:hAnsi="Arial" w:cs="Arial"/>
                <w:sz w:val="20"/>
                <w:szCs w:val="20"/>
              </w:rPr>
            </w:pPr>
            <w:r w:rsidRPr="00701A7C">
              <w:rPr>
                <w:rFonts w:ascii="Arial" w:hAnsi="Arial" w:cs="Arial"/>
                <w:sz w:val="20"/>
                <w:szCs w:val="20"/>
              </w:rPr>
              <w:t>Allow controls to reach room temperature prior to use. Return controls to the refrigerator immediately after each use.</w:t>
            </w:r>
          </w:p>
          <w:p w:rsidR="00E902AC" w:rsidRPr="00701A7C" w:rsidRDefault="00E902AC">
            <w:pPr>
              <w:pStyle w:val="Header"/>
              <w:tabs>
                <w:tab w:val="clear" w:pos="4320"/>
                <w:tab w:val="clear" w:pos="8640"/>
              </w:tabs>
              <w:rPr>
                <w:rFonts w:ascii="Arial" w:hAnsi="Arial" w:cs="Arial"/>
                <w:b/>
                <w:bCs/>
                <w:sz w:val="20"/>
                <w:szCs w:val="20"/>
              </w:rPr>
            </w:pPr>
          </w:p>
          <w:p w:rsidR="00E902AC" w:rsidRPr="00701A7C" w:rsidRDefault="00E902AC">
            <w:pPr>
              <w:pStyle w:val="Header"/>
              <w:tabs>
                <w:tab w:val="clear" w:pos="4320"/>
                <w:tab w:val="clear" w:pos="8640"/>
              </w:tabs>
              <w:rPr>
                <w:rFonts w:ascii="Arial" w:hAnsi="Arial" w:cs="Arial"/>
                <w:sz w:val="20"/>
                <w:szCs w:val="20"/>
              </w:rPr>
            </w:pPr>
            <w:r w:rsidRPr="00701A7C">
              <w:rPr>
                <w:rFonts w:ascii="Arial" w:hAnsi="Arial" w:cs="Arial"/>
                <w:b/>
                <w:bCs/>
                <w:sz w:val="20"/>
                <w:szCs w:val="20"/>
              </w:rPr>
              <w:t>Frequency:</w:t>
            </w:r>
            <w:r w:rsidRPr="00701A7C">
              <w:rPr>
                <w:rFonts w:ascii="Arial" w:hAnsi="Arial" w:cs="Arial"/>
                <w:sz w:val="20"/>
                <w:szCs w:val="20"/>
              </w:rPr>
              <w:t xml:space="preserve"> Run 2 levels </w:t>
            </w:r>
            <w:r w:rsidR="00E30AE3" w:rsidRPr="00701A7C">
              <w:rPr>
                <w:rFonts w:ascii="Arial" w:hAnsi="Arial" w:cs="Arial"/>
                <w:sz w:val="20"/>
                <w:szCs w:val="20"/>
              </w:rPr>
              <w:t>every day of use</w:t>
            </w:r>
            <w:r w:rsidRPr="00701A7C">
              <w:rPr>
                <w:rFonts w:ascii="Arial" w:hAnsi="Arial" w:cs="Arial"/>
                <w:sz w:val="20"/>
                <w:szCs w:val="20"/>
              </w:rPr>
              <w:t>. Load the bar</w:t>
            </w:r>
            <w:r w:rsidR="008D393F" w:rsidRPr="00701A7C">
              <w:rPr>
                <w:rFonts w:ascii="Arial" w:hAnsi="Arial" w:cs="Arial"/>
                <w:sz w:val="20"/>
                <w:szCs w:val="20"/>
              </w:rPr>
              <w:t>-coded control vials into the “T</w:t>
            </w:r>
            <w:r w:rsidRPr="00701A7C">
              <w:rPr>
                <w:rFonts w:ascii="Arial" w:hAnsi="Arial" w:cs="Arial"/>
                <w:sz w:val="20"/>
                <w:szCs w:val="20"/>
              </w:rPr>
              <w:t>” rack on the Liaison</w:t>
            </w:r>
            <w:r w:rsidR="003200F8" w:rsidRPr="00701A7C">
              <w:rPr>
                <w:rFonts w:ascii="Arial" w:hAnsi="Arial" w:cs="Arial"/>
                <w:sz w:val="20"/>
                <w:szCs w:val="20"/>
              </w:rPr>
              <w:t xml:space="preserve"> XL.</w:t>
            </w:r>
          </w:p>
          <w:p w:rsidR="00E902AC" w:rsidRPr="00701A7C" w:rsidRDefault="00E902AC">
            <w:pPr>
              <w:rPr>
                <w:rFonts w:ascii="Arial" w:hAnsi="Arial" w:cs="Arial"/>
                <w:sz w:val="20"/>
                <w:szCs w:val="20"/>
              </w:rPr>
            </w:pPr>
          </w:p>
          <w:p w:rsidR="00E902AC" w:rsidRPr="00701A7C" w:rsidRDefault="00E902AC">
            <w:pPr>
              <w:autoSpaceDE w:val="0"/>
              <w:autoSpaceDN w:val="0"/>
              <w:adjustRightInd w:val="0"/>
              <w:jc w:val="left"/>
              <w:rPr>
                <w:rFonts w:ascii="Arial" w:hAnsi="Arial" w:cs="Arial"/>
                <w:sz w:val="20"/>
                <w:szCs w:val="20"/>
              </w:rPr>
            </w:pPr>
            <w:r w:rsidRPr="00701A7C">
              <w:rPr>
                <w:rFonts w:ascii="Arial" w:hAnsi="Arial" w:cs="Arial"/>
                <w:b/>
                <w:bCs/>
                <w:sz w:val="20"/>
                <w:szCs w:val="20"/>
              </w:rPr>
              <w:t>Stability:</w:t>
            </w:r>
            <w:r w:rsidRPr="00701A7C">
              <w:rPr>
                <w:rFonts w:ascii="Arial" w:hAnsi="Arial" w:cs="Arial"/>
                <w:sz w:val="20"/>
                <w:szCs w:val="20"/>
              </w:rPr>
              <w:t xml:space="preserve"> </w:t>
            </w:r>
          </w:p>
          <w:p w:rsidR="00684BE9" w:rsidRPr="00701A7C" w:rsidRDefault="00E902AC" w:rsidP="00694E57">
            <w:pPr>
              <w:autoSpaceDE w:val="0"/>
              <w:autoSpaceDN w:val="0"/>
              <w:adjustRightInd w:val="0"/>
              <w:jc w:val="left"/>
              <w:rPr>
                <w:rFonts w:ascii="Arial" w:hAnsi="Arial" w:cs="Arial"/>
                <w:sz w:val="20"/>
                <w:szCs w:val="20"/>
              </w:rPr>
            </w:pPr>
            <w:r w:rsidRPr="00701A7C">
              <w:rPr>
                <w:rFonts w:ascii="Arial" w:hAnsi="Arial" w:cs="Arial"/>
                <w:sz w:val="20"/>
                <w:szCs w:val="20"/>
              </w:rPr>
              <w:t xml:space="preserve">Unopened: </w:t>
            </w:r>
            <w:r w:rsidR="00694E57" w:rsidRPr="00701A7C">
              <w:rPr>
                <w:rFonts w:ascii="Arial" w:hAnsi="Arial" w:cs="Arial"/>
                <w:sz w:val="20"/>
                <w:szCs w:val="20"/>
              </w:rPr>
              <w:t>When controls are stored sealed and kept upright, they are stable at 2-8°C up to the expiry date.</w:t>
            </w:r>
          </w:p>
          <w:p w:rsidR="00684BE9" w:rsidRPr="00701A7C" w:rsidRDefault="00696475" w:rsidP="00684BE9">
            <w:pPr>
              <w:autoSpaceDE w:val="0"/>
              <w:autoSpaceDN w:val="0"/>
              <w:adjustRightInd w:val="0"/>
              <w:jc w:val="left"/>
              <w:rPr>
                <w:rFonts w:ascii="Arial" w:hAnsi="Arial" w:cs="Arial"/>
                <w:sz w:val="20"/>
                <w:szCs w:val="20"/>
              </w:rPr>
            </w:pPr>
            <w:r w:rsidRPr="00701A7C">
              <w:rPr>
                <w:rFonts w:ascii="Arial" w:hAnsi="Arial" w:cs="Arial"/>
                <w:sz w:val="20"/>
                <w:szCs w:val="20"/>
              </w:rPr>
              <w:t xml:space="preserve">Opened: </w:t>
            </w:r>
            <w:r w:rsidR="00694E57" w:rsidRPr="00701A7C">
              <w:rPr>
                <w:rFonts w:ascii="Arial" w:hAnsi="Arial" w:cs="Arial"/>
                <w:sz w:val="20"/>
                <w:szCs w:val="20"/>
              </w:rPr>
              <w:t>Once opened controls are stable for four weeks when properly stored at 2-8°C.</w:t>
            </w:r>
          </w:p>
          <w:p w:rsidR="00684BE9" w:rsidRPr="00701A7C" w:rsidRDefault="00684BE9" w:rsidP="00684BE9">
            <w:pPr>
              <w:autoSpaceDE w:val="0"/>
              <w:autoSpaceDN w:val="0"/>
              <w:adjustRightInd w:val="0"/>
              <w:jc w:val="left"/>
              <w:rPr>
                <w:rFonts w:ascii="Arial" w:hAnsi="Arial" w:cs="Arial"/>
                <w:sz w:val="20"/>
                <w:szCs w:val="20"/>
              </w:rPr>
            </w:pPr>
          </w:p>
          <w:p w:rsidR="003200F8" w:rsidRPr="00701A7C" w:rsidRDefault="003200F8" w:rsidP="00684BE9">
            <w:pPr>
              <w:autoSpaceDE w:val="0"/>
              <w:autoSpaceDN w:val="0"/>
              <w:adjustRightInd w:val="0"/>
              <w:jc w:val="left"/>
              <w:rPr>
                <w:rFonts w:ascii="Arial" w:hAnsi="Arial" w:cs="Arial"/>
                <w:sz w:val="20"/>
                <w:szCs w:val="20"/>
              </w:rPr>
            </w:pPr>
            <w:r w:rsidRPr="00701A7C">
              <w:rPr>
                <w:rFonts w:ascii="Arial" w:hAnsi="Arial" w:cs="Arial"/>
                <w:b/>
                <w:bCs/>
                <w:sz w:val="20"/>
                <w:szCs w:val="20"/>
              </w:rPr>
              <w:t>Acceptable ranges:</w:t>
            </w:r>
            <w:r w:rsidRPr="00701A7C">
              <w:rPr>
                <w:rFonts w:ascii="Arial" w:hAnsi="Arial" w:cs="Arial"/>
                <w:sz w:val="20"/>
                <w:szCs w:val="20"/>
              </w:rPr>
              <w:t xml:space="preserve"> </w:t>
            </w:r>
          </w:p>
          <w:p w:rsidR="003200F8" w:rsidRPr="00701A7C" w:rsidRDefault="003200F8" w:rsidP="003200F8">
            <w:pPr>
              <w:pStyle w:val="ListParagraph"/>
              <w:numPr>
                <w:ilvl w:val="0"/>
                <w:numId w:val="16"/>
              </w:numPr>
              <w:jc w:val="both"/>
              <w:rPr>
                <w:rFonts w:cs="Arial"/>
                <w:szCs w:val="20"/>
              </w:rPr>
            </w:pPr>
            <w:r w:rsidRPr="00701A7C">
              <w:rPr>
                <w:rFonts w:cs="Arial"/>
                <w:szCs w:val="20"/>
              </w:rPr>
              <w:t xml:space="preserve">Non-Bio-Rad controls will utilize manufacturer ranges and 2 SD Westgard rules.  </w:t>
            </w:r>
          </w:p>
          <w:p w:rsidR="003200F8" w:rsidRPr="00701A7C" w:rsidRDefault="003200F8" w:rsidP="003200F8">
            <w:pPr>
              <w:pStyle w:val="ListParagraph"/>
              <w:numPr>
                <w:ilvl w:val="0"/>
                <w:numId w:val="16"/>
              </w:numPr>
              <w:jc w:val="both"/>
              <w:rPr>
                <w:rFonts w:cs="Arial"/>
                <w:szCs w:val="20"/>
              </w:rPr>
            </w:pPr>
            <w:r w:rsidRPr="00701A7C">
              <w:rPr>
                <w:rFonts w:cs="Arial"/>
                <w:szCs w:val="20"/>
              </w:rPr>
              <w:t xml:space="preserve">New lots of Bio-Rad controls should be run for 20 days in parallel with the current lot whenever possible prior to switching to the new lot.  </w:t>
            </w:r>
          </w:p>
          <w:p w:rsidR="003200F8" w:rsidRPr="00701A7C" w:rsidRDefault="003200F8" w:rsidP="003200F8">
            <w:pPr>
              <w:pStyle w:val="ListParagraph"/>
              <w:numPr>
                <w:ilvl w:val="0"/>
                <w:numId w:val="16"/>
              </w:numPr>
              <w:jc w:val="both"/>
              <w:rPr>
                <w:rFonts w:cs="Arial"/>
                <w:szCs w:val="20"/>
              </w:rPr>
            </w:pPr>
            <w:r w:rsidRPr="00701A7C">
              <w:rPr>
                <w:rFonts w:cs="Arial"/>
                <w:szCs w:val="20"/>
              </w:rPr>
              <w:t xml:space="preserve">Refer to the </w:t>
            </w:r>
            <w:hyperlink r:id="rId7" w:history="1">
              <w:r w:rsidRPr="00701A7C">
                <w:rPr>
                  <w:rStyle w:val="Hyperlink"/>
                  <w:rFonts w:cs="Arial"/>
                  <w:szCs w:val="20"/>
                </w:rPr>
                <w:t>Westgard Rules in Chemistry procedure</w:t>
              </w:r>
            </w:hyperlink>
            <w:r w:rsidRPr="00701A7C">
              <w:rPr>
                <w:rFonts w:cs="Arial"/>
                <w:szCs w:val="20"/>
              </w:rPr>
              <w:t xml:space="preserve"> for current Westgard rules in place for each analyte.  </w:t>
            </w:r>
          </w:p>
          <w:p w:rsidR="003200F8" w:rsidRPr="00701A7C" w:rsidRDefault="003200F8" w:rsidP="003200F8">
            <w:pPr>
              <w:numPr>
                <w:ilvl w:val="0"/>
                <w:numId w:val="16"/>
              </w:numPr>
              <w:autoSpaceDE w:val="0"/>
              <w:autoSpaceDN w:val="0"/>
              <w:adjustRightInd w:val="0"/>
              <w:rPr>
                <w:rFonts w:ascii="Arial" w:hAnsi="Arial" w:cs="Arial"/>
                <w:sz w:val="20"/>
                <w:szCs w:val="20"/>
              </w:rPr>
            </w:pPr>
            <w:r w:rsidRPr="00701A7C">
              <w:rPr>
                <w:rFonts w:ascii="Arial" w:hAnsi="Arial" w:cs="Arial"/>
                <w:b/>
                <w:sz w:val="20"/>
                <w:szCs w:val="20"/>
              </w:rPr>
              <w:t>Acceptable ranges are current in Unity Real Time only.</w:t>
            </w:r>
            <w:r w:rsidRPr="00701A7C">
              <w:rPr>
                <w:rFonts w:ascii="Arial" w:hAnsi="Arial" w:cs="Arial"/>
                <w:sz w:val="20"/>
                <w:szCs w:val="20"/>
              </w:rPr>
              <w:t xml:space="preserve">  Quality Control results must be rejected in Sunquest when the results cross the interface.  </w:t>
            </w:r>
          </w:p>
          <w:p w:rsidR="003200F8" w:rsidRPr="00701A7C" w:rsidRDefault="003200F8" w:rsidP="003200F8">
            <w:pPr>
              <w:numPr>
                <w:ilvl w:val="0"/>
                <w:numId w:val="16"/>
              </w:numPr>
              <w:autoSpaceDE w:val="0"/>
              <w:autoSpaceDN w:val="0"/>
              <w:adjustRightInd w:val="0"/>
              <w:rPr>
                <w:rFonts w:ascii="Arial" w:hAnsi="Arial" w:cs="Arial"/>
                <w:color w:val="000000"/>
                <w:sz w:val="20"/>
                <w:szCs w:val="20"/>
              </w:rPr>
            </w:pPr>
            <w:r w:rsidRPr="00701A7C">
              <w:rPr>
                <w:rFonts w:ascii="Arial" w:hAnsi="Arial" w:cs="Arial"/>
                <w:sz w:val="20"/>
                <w:szCs w:val="20"/>
              </w:rPr>
              <w:t xml:space="preserve">In the event of a QC failure, refer to the </w:t>
            </w:r>
            <w:hyperlink r:id="rId8" w:history="1">
              <w:r w:rsidRPr="00701A7C">
                <w:rPr>
                  <w:rStyle w:val="Hyperlink"/>
                  <w:rFonts w:ascii="Arial" w:hAnsi="Arial" w:cs="Arial"/>
                  <w:sz w:val="20"/>
                  <w:szCs w:val="20"/>
                </w:rPr>
                <w:t>Unity Real Time QC Review, General User</w:t>
              </w:r>
            </w:hyperlink>
            <w:r w:rsidRPr="00701A7C">
              <w:rPr>
                <w:rFonts w:ascii="Arial" w:hAnsi="Arial" w:cs="Arial"/>
                <w:sz w:val="20"/>
                <w:szCs w:val="20"/>
              </w:rPr>
              <w:t xml:space="preserve"> and navigate to the QC Troubleshooting section.</w:t>
            </w:r>
          </w:p>
          <w:p w:rsidR="003200F8" w:rsidRPr="00701A7C" w:rsidRDefault="003200F8" w:rsidP="003200F8">
            <w:pPr>
              <w:numPr>
                <w:ilvl w:val="0"/>
                <w:numId w:val="16"/>
              </w:numPr>
              <w:autoSpaceDE w:val="0"/>
              <w:autoSpaceDN w:val="0"/>
              <w:adjustRightInd w:val="0"/>
              <w:rPr>
                <w:rFonts w:ascii="Arial" w:hAnsi="Arial" w:cs="Arial"/>
                <w:color w:val="000000"/>
                <w:sz w:val="20"/>
                <w:szCs w:val="20"/>
              </w:rPr>
            </w:pPr>
            <w:r w:rsidRPr="00701A7C">
              <w:rPr>
                <w:rFonts w:ascii="Arial" w:hAnsi="Arial" w:cs="Arial"/>
                <w:sz w:val="20"/>
                <w:szCs w:val="20"/>
              </w:rPr>
              <w:t xml:space="preserve">Do not load or release patients until QC is acceptable in Unity Real Time.  </w:t>
            </w:r>
          </w:p>
          <w:p w:rsidR="00BD5292" w:rsidRPr="00701A7C" w:rsidRDefault="00BD5292">
            <w:pPr>
              <w:jc w:val="left"/>
              <w:rPr>
                <w:rFonts w:ascii="Arial" w:hAnsi="Arial" w:cs="Arial"/>
                <w:iCs/>
                <w:sz w:val="20"/>
                <w:szCs w:val="20"/>
              </w:rPr>
            </w:pPr>
          </w:p>
        </w:tc>
      </w:tr>
      <w:tr w:rsidR="00E902AC" w:rsidRPr="00701A7C" w:rsidTr="00606516">
        <w:tblPrEx>
          <w:tblCellMar>
            <w:top w:w="0" w:type="dxa"/>
            <w:bottom w:w="0" w:type="dxa"/>
          </w:tblCellMar>
        </w:tblPrEx>
        <w:trPr>
          <w:gridAfter w:val="1"/>
          <w:wAfter w:w="127" w:type="dxa"/>
          <w:cantSplit/>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rPr>
                <w:rFonts w:ascii="Arial" w:hAnsi="Arial" w:cs="Arial"/>
                <w:b/>
                <w:bCs/>
                <w:color w:val="0000FF"/>
                <w:sz w:val="20"/>
                <w:szCs w:val="20"/>
              </w:rPr>
            </w:pPr>
            <w:r w:rsidRPr="00701A7C">
              <w:rPr>
                <w:rFonts w:ascii="Arial" w:hAnsi="Arial" w:cs="Arial"/>
                <w:b/>
                <w:bCs/>
                <w:color w:val="0000FF"/>
                <w:sz w:val="20"/>
                <w:szCs w:val="20"/>
              </w:rPr>
              <w:t>Procedure</w:t>
            </w:r>
          </w:p>
        </w:tc>
        <w:tc>
          <w:tcPr>
            <w:tcW w:w="9182" w:type="dxa"/>
            <w:gridSpan w:val="3"/>
            <w:tcBorders>
              <w:top w:val="single" w:sz="18" w:space="0" w:color="A6A6A6"/>
              <w:left w:val="nil"/>
              <w:bottom w:val="single" w:sz="18" w:space="0" w:color="A6A6A6"/>
              <w:right w:val="nil"/>
            </w:tcBorders>
          </w:tcPr>
          <w:p w:rsidR="00E902AC" w:rsidRPr="00701A7C" w:rsidRDefault="00E902AC">
            <w:pPr>
              <w:autoSpaceDE w:val="0"/>
              <w:autoSpaceDN w:val="0"/>
              <w:adjustRightInd w:val="0"/>
              <w:jc w:val="left"/>
              <w:rPr>
                <w:rFonts w:ascii="Arial" w:hAnsi="Arial" w:cs="Arial"/>
                <w:b/>
                <w:bCs/>
                <w:sz w:val="20"/>
                <w:szCs w:val="20"/>
              </w:rPr>
            </w:pPr>
          </w:p>
          <w:p w:rsidR="00606516" w:rsidRPr="00701A7C" w:rsidRDefault="00E902AC" w:rsidP="005B7BBD">
            <w:pPr>
              <w:pStyle w:val="ListParagraph"/>
              <w:ind w:left="0"/>
              <w:jc w:val="both"/>
              <w:rPr>
                <w:rFonts w:cs="Arial"/>
                <w:szCs w:val="20"/>
              </w:rPr>
            </w:pPr>
            <w:r w:rsidRPr="00701A7C">
              <w:rPr>
                <w:rFonts w:cs="Arial"/>
                <w:szCs w:val="20"/>
              </w:rPr>
              <w:t>Refer to the instrument Operating procedure.</w:t>
            </w:r>
          </w:p>
          <w:p w:rsidR="00606516" w:rsidRPr="00701A7C" w:rsidRDefault="00606516" w:rsidP="005B7BBD">
            <w:pPr>
              <w:pStyle w:val="ListParagraph"/>
              <w:ind w:left="0"/>
              <w:jc w:val="both"/>
              <w:rPr>
                <w:rFonts w:cs="Arial"/>
                <w:szCs w:val="20"/>
              </w:rPr>
            </w:pPr>
            <w:r w:rsidRPr="00701A7C">
              <w:rPr>
                <w:rFonts w:cs="Arial"/>
                <w:szCs w:val="20"/>
              </w:rPr>
              <w:t xml:space="preserve">Strict adherence to the relevant Analyzer Operator’s Manual ensures proper assay performance. </w:t>
            </w:r>
          </w:p>
          <w:p w:rsidR="00694E57" w:rsidRPr="00701A7C" w:rsidRDefault="00694E57" w:rsidP="005B7BBD">
            <w:pPr>
              <w:pStyle w:val="ListParagraph"/>
              <w:ind w:left="0"/>
              <w:jc w:val="both"/>
              <w:rPr>
                <w:rFonts w:cs="Arial"/>
                <w:szCs w:val="20"/>
              </w:rPr>
            </w:pPr>
            <w:r w:rsidRPr="00701A7C">
              <w:rPr>
                <w:rFonts w:cs="Arial"/>
                <w:szCs w:val="20"/>
              </w:rPr>
              <w:t>LIAISON® XL Analyzer. Each test parameter is identified via information encoded in the reagent integral Radio Frequency IDentification transponder (RFID Tag). In the event that the RFID Tag cannot be read by the analyzer, the integral cannot be used. Do not discard the reagent integral; contact your local DiaSorin technical support for instruction.</w:t>
            </w:r>
          </w:p>
          <w:p w:rsidR="00694E57" w:rsidRPr="00701A7C" w:rsidRDefault="00694E57" w:rsidP="005B7BBD">
            <w:pPr>
              <w:pStyle w:val="ListParagraph"/>
              <w:ind w:left="0"/>
              <w:jc w:val="both"/>
              <w:rPr>
                <w:rFonts w:cs="Arial"/>
                <w:szCs w:val="20"/>
              </w:rPr>
            </w:pPr>
            <w:r w:rsidRPr="00701A7C">
              <w:rPr>
                <w:rFonts w:cs="Arial"/>
                <w:szCs w:val="20"/>
              </w:rPr>
              <w:t>The Analyzer operations are as follows:</w:t>
            </w:r>
          </w:p>
          <w:p w:rsidR="00694E57" w:rsidRPr="00701A7C" w:rsidRDefault="00694E57" w:rsidP="005B7BBD">
            <w:pPr>
              <w:pStyle w:val="ListParagraph"/>
              <w:ind w:left="0"/>
              <w:jc w:val="both"/>
              <w:rPr>
                <w:rFonts w:cs="Arial"/>
                <w:szCs w:val="20"/>
              </w:rPr>
            </w:pPr>
            <w:r w:rsidRPr="00701A7C">
              <w:rPr>
                <w:rFonts w:cs="Arial"/>
                <w:szCs w:val="20"/>
              </w:rPr>
              <w:t>1. Dispense calibrators, controls or specimens into the reaction module.</w:t>
            </w:r>
          </w:p>
          <w:p w:rsidR="00694E57" w:rsidRPr="00701A7C" w:rsidRDefault="00694E57" w:rsidP="005B7BBD">
            <w:pPr>
              <w:pStyle w:val="ListParagraph"/>
              <w:ind w:left="0"/>
              <w:jc w:val="both"/>
              <w:rPr>
                <w:rFonts w:cs="Arial"/>
                <w:szCs w:val="20"/>
              </w:rPr>
            </w:pPr>
            <w:r w:rsidRPr="00701A7C">
              <w:rPr>
                <w:rFonts w:cs="Arial"/>
                <w:szCs w:val="20"/>
              </w:rPr>
              <w:t>2. Dispense specimen diluent.</w:t>
            </w:r>
          </w:p>
          <w:p w:rsidR="00694E57" w:rsidRPr="00701A7C" w:rsidRDefault="00694E57" w:rsidP="005B7BBD">
            <w:pPr>
              <w:pStyle w:val="ListParagraph"/>
              <w:ind w:left="0"/>
              <w:jc w:val="both"/>
              <w:rPr>
                <w:rFonts w:cs="Arial"/>
                <w:szCs w:val="20"/>
              </w:rPr>
            </w:pPr>
            <w:r w:rsidRPr="00701A7C">
              <w:rPr>
                <w:rFonts w:cs="Arial"/>
                <w:szCs w:val="20"/>
              </w:rPr>
              <w:t>3. Dispense coated magnetic particles.</w:t>
            </w:r>
          </w:p>
          <w:p w:rsidR="00694E57" w:rsidRPr="00701A7C" w:rsidRDefault="00694E57" w:rsidP="005B7BBD">
            <w:pPr>
              <w:pStyle w:val="ListParagraph"/>
              <w:ind w:left="0"/>
              <w:jc w:val="both"/>
              <w:rPr>
                <w:rFonts w:cs="Arial"/>
                <w:szCs w:val="20"/>
              </w:rPr>
            </w:pPr>
            <w:r w:rsidRPr="00701A7C">
              <w:rPr>
                <w:rFonts w:cs="Arial"/>
                <w:szCs w:val="20"/>
              </w:rPr>
              <w:t>4. Incubate.</w:t>
            </w:r>
          </w:p>
          <w:p w:rsidR="00694E57" w:rsidRPr="00701A7C" w:rsidRDefault="00694E57" w:rsidP="005B7BBD">
            <w:pPr>
              <w:pStyle w:val="ListParagraph"/>
              <w:ind w:left="0"/>
              <w:jc w:val="both"/>
              <w:rPr>
                <w:rFonts w:cs="Arial"/>
                <w:szCs w:val="20"/>
              </w:rPr>
            </w:pPr>
            <w:r w:rsidRPr="00701A7C">
              <w:rPr>
                <w:rFonts w:cs="Arial"/>
                <w:szCs w:val="20"/>
              </w:rPr>
              <w:t>5. Wash with Wash/System liquid.</w:t>
            </w:r>
          </w:p>
          <w:p w:rsidR="00694E57" w:rsidRPr="00701A7C" w:rsidRDefault="00694E57" w:rsidP="005B7BBD">
            <w:pPr>
              <w:pStyle w:val="ListParagraph"/>
              <w:ind w:left="0"/>
              <w:jc w:val="both"/>
              <w:rPr>
                <w:rFonts w:cs="Arial"/>
                <w:szCs w:val="20"/>
              </w:rPr>
            </w:pPr>
            <w:r w:rsidRPr="00701A7C">
              <w:rPr>
                <w:rFonts w:cs="Arial"/>
                <w:szCs w:val="20"/>
              </w:rPr>
              <w:t>6. Dispense conjugate into the reaction module.</w:t>
            </w:r>
          </w:p>
          <w:p w:rsidR="00694E57" w:rsidRPr="00701A7C" w:rsidRDefault="00694E57" w:rsidP="005B7BBD">
            <w:pPr>
              <w:pStyle w:val="ListParagraph"/>
              <w:ind w:left="0"/>
              <w:jc w:val="both"/>
              <w:rPr>
                <w:rFonts w:cs="Arial"/>
                <w:szCs w:val="20"/>
              </w:rPr>
            </w:pPr>
            <w:r w:rsidRPr="00701A7C">
              <w:rPr>
                <w:rFonts w:cs="Arial"/>
                <w:szCs w:val="20"/>
              </w:rPr>
              <w:t>7. Incubate.</w:t>
            </w:r>
          </w:p>
          <w:p w:rsidR="00694E57" w:rsidRPr="00701A7C" w:rsidRDefault="00694E57" w:rsidP="005B7BBD">
            <w:pPr>
              <w:pStyle w:val="ListParagraph"/>
              <w:ind w:left="0"/>
              <w:jc w:val="both"/>
              <w:rPr>
                <w:rFonts w:cs="Arial"/>
                <w:szCs w:val="20"/>
              </w:rPr>
            </w:pPr>
            <w:r w:rsidRPr="00701A7C">
              <w:rPr>
                <w:rFonts w:cs="Arial"/>
                <w:szCs w:val="20"/>
              </w:rPr>
              <w:t>8. Wash with Wash/System liquid.</w:t>
            </w:r>
          </w:p>
          <w:p w:rsidR="00E902AC" w:rsidRPr="00701A7C" w:rsidRDefault="00694E57" w:rsidP="005B7BBD">
            <w:pPr>
              <w:pStyle w:val="ListParagraph"/>
              <w:ind w:left="0"/>
              <w:jc w:val="both"/>
              <w:rPr>
                <w:rFonts w:cs="Arial"/>
                <w:szCs w:val="20"/>
              </w:rPr>
            </w:pPr>
            <w:r w:rsidRPr="00701A7C">
              <w:rPr>
                <w:rFonts w:cs="Arial"/>
                <w:szCs w:val="20"/>
              </w:rPr>
              <w:t>9. Add the Starter Kit and measure the light emitted.</w:t>
            </w:r>
          </w:p>
          <w:p w:rsidR="00684BE9" w:rsidRPr="00701A7C" w:rsidRDefault="00684BE9">
            <w:pPr>
              <w:jc w:val="left"/>
              <w:rPr>
                <w:rFonts w:ascii="Arial" w:hAnsi="Arial" w:cs="Arial"/>
                <w:sz w:val="20"/>
                <w:szCs w:val="20"/>
              </w:rPr>
            </w:pPr>
          </w:p>
        </w:tc>
      </w:tr>
    </w:tbl>
    <w:p w:rsidR="00E902AC" w:rsidRPr="00701A7C" w:rsidRDefault="00E902AC">
      <w:pPr>
        <w:rPr>
          <w:rFonts w:ascii="Arial" w:hAnsi="Arial" w:cs="Arial"/>
          <w:b/>
          <w:bCs/>
          <w:color w:val="0000FF"/>
          <w:sz w:val="20"/>
          <w:szCs w:val="20"/>
        </w:rPr>
        <w:sectPr w:rsidR="00E902AC" w:rsidRPr="00701A7C">
          <w:headerReference w:type="default" r:id="rId9"/>
          <w:footerReference w:type="default" r:id="rId10"/>
          <w:type w:val="continuous"/>
          <w:pgSz w:w="12240" w:h="15840" w:code="1"/>
          <w:pgMar w:top="576" w:right="1800" w:bottom="576"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434"/>
        <w:gridCol w:w="2528"/>
        <w:gridCol w:w="2031"/>
        <w:gridCol w:w="3189"/>
      </w:tblGrid>
      <w:tr w:rsidR="00E902AC" w:rsidRPr="00701A7C" w:rsidTr="00E65DAB">
        <w:tblPrEx>
          <w:tblCellMar>
            <w:top w:w="0" w:type="dxa"/>
            <w:bottom w:w="0" w:type="dxa"/>
          </w:tblCellMar>
        </w:tblPrEx>
        <w:trPr>
          <w:cantSplit/>
          <w:trHeight w:val="705"/>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Dilutions</w:t>
            </w:r>
          </w:p>
        </w:tc>
        <w:tc>
          <w:tcPr>
            <w:tcW w:w="9182" w:type="dxa"/>
            <w:gridSpan w:val="4"/>
            <w:tcBorders>
              <w:top w:val="single" w:sz="18" w:space="0" w:color="A6A6A6"/>
              <w:left w:val="nil"/>
              <w:bottom w:val="single" w:sz="18" w:space="0" w:color="A6A6A6"/>
              <w:right w:val="nil"/>
            </w:tcBorders>
          </w:tcPr>
          <w:p w:rsidR="00E902AC" w:rsidRPr="00701A7C" w:rsidRDefault="00E902AC">
            <w:pPr>
              <w:jc w:val="left"/>
              <w:rPr>
                <w:rFonts w:ascii="Arial" w:hAnsi="Arial" w:cs="Arial"/>
                <w:sz w:val="20"/>
                <w:szCs w:val="20"/>
              </w:rPr>
            </w:pPr>
          </w:p>
          <w:p w:rsidR="00E902AC" w:rsidRPr="00701A7C" w:rsidRDefault="00E902AC">
            <w:pPr>
              <w:pStyle w:val="Heading"/>
              <w:jc w:val="left"/>
              <w:rPr>
                <w:rFonts w:ascii="Arial" w:hAnsi="Arial"/>
                <w:b w:val="0"/>
                <w:bCs w:val="0"/>
                <w:iCs/>
                <w:sz w:val="20"/>
                <w:szCs w:val="20"/>
              </w:rPr>
            </w:pPr>
            <w:r w:rsidRPr="00701A7C">
              <w:rPr>
                <w:rFonts w:ascii="Arial" w:hAnsi="Arial"/>
                <w:b w:val="0"/>
                <w:bCs w:val="0"/>
                <w:iCs/>
                <w:sz w:val="20"/>
                <w:szCs w:val="20"/>
              </w:rPr>
              <w:t>Do not dilute. See result Reporting.</w:t>
            </w:r>
          </w:p>
          <w:p w:rsidR="00E902AC" w:rsidRPr="00701A7C" w:rsidRDefault="00E902AC">
            <w:pPr>
              <w:jc w:val="left"/>
              <w:rPr>
                <w:rFonts w:ascii="Arial" w:hAnsi="Arial" w:cs="Arial"/>
                <w:sz w:val="20"/>
                <w:szCs w:val="20"/>
              </w:rPr>
            </w:pPr>
          </w:p>
        </w:tc>
      </w:tr>
      <w:tr w:rsidR="00E902AC" w:rsidRPr="00701A7C" w:rsidTr="00542675">
        <w:tblPrEx>
          <w:tblCellMar>
            <w:top w:w="0" w:type="dxa"/>
            <w:bottom w:w="0" w:type="dxa"/>
          </w:tblCellMar>
        </w:tblPrEx>
        <w:trPr>
          <w:cantSplit/>
          <w:trHeight w:val="800"/>
        </w:trPr>
        <w:tc>
          <w:tcPr>
            <w:tcW w:w="1798" w:type="dxa"/>
            <w:tcBorders>
              <w:top w:val="nil"/>
              <w:left w:val="nil"/>
              <w:bottom w:val="nil"/>
              <w:right w:val="nil"/>
            </w:tcBorders>
          </w:tcPr>
          <w:p w:rsidR="00E902AC" w:rsidRPr="00701A7C" w:rsidRDefault="00E902AC">
            <w:pPr>
              <w:rPr>
                <w:rFonts w:ascii="Arial" w:hAnsi="Arial" w:cs="Arial"/>
                <w:b/>
                <w:color w:val="0000FF"/>
                <w:sz w:val="20"/>
                <w:szCs w:val="20"/>
              </w:rPr>
            </w:pPr>
          </w:p>
          <w:p w:rsidR="00E902AC" w:rsidRPr="00701A7C" w:rsidRDefault="00E902AC">
            <w:pPr>
              <w:jc w:val="left"/>
              <w:rPr>
                <w:rFonts w:ascii="Arial" w:hAnsi="Arial" w:cs="Arial"/>
                <w:b/>
                <w:sz w:val="20"/>
                <w:szCs w:val="20"/>
              </w:rPr>
            </w:pPr>
            <w:r w:rsidRPr="00701A7C">
              <w:rPr>
                <w:rFonts w:ascii="Arial" w:hAnsi="Arial" w:cs="Arial"/>
                <w:b/>
                <w:color w:val="0000FF"/>
                <w:sz w:val="20"/>
                <w:szCs w:val="20"/>
              </w:rPr>
              <w:t>Reference Intervals</w:t>
            </w:r>
          </w:p>
        </w:tc>
        <w:tc>
          <w:tcPr>
            <w:tcW w:w="9182" w:type="dxa"/>
            <w:gridSpan w:val="4"/>
            <w:tcBorders>
              <w:top w:val="single" w:sz="18" w:space="0" w:color="A6A6A6"/>
              <w:left w:val="nil"/>
              <w:bottom w:val="single" w:sz="18" w:space="0" w:color="A6A6A6"/>
              <w:right w:val="nil"/>
            </w:tcBorders>
          </w:tcPr>
          <w:p w:rsidR="00606516" w:rsidRPr="00701A7C" w:rsidRDefault="00606516" w:rsidP="005B7BBD">
            <w:pPr>
              <w:pStyle w:val="Heading"/>
              <w:jc w:val="left"/>
              <w:rPr>
                <w:rFonts w:ascii="Arial" w:hAnsi="Arial"/>
                <w:b w:val="0"/>
                <w:bCs w:val="0"/>
                <w:iCs/>
                <w:sz w:val="20"/>
                <w:szCs w:val="20"/>
              </w:rPr>
            </w:pPr>
          </w:p>
          <w:p w:rsidR="00606516" w:rsidRPr="00701A7C" w:rsidRDefault="003A5E78" w:rsidP="005B7BBD">
            <w:pPr>
              <w:pStyle w:val="Heading"/>
              <w:jc w:val="left"/>
              <w:rPr>
                <w:rFonts w:ascii="Arial" w:hAnsi="Arial"/>
                <w:b w:val="0"/>
                <w:bCs w:val="0"/>
                <w:iCs/>
                <w:sz w:val="20"/>
                <w:szCs w:val="20"/>
              </w:rPr>
            </w:pPr>
            <w:r w:rsidRPr="00701A7C">
              <w:rPr>
                <w:rFonts w:ascii="Arial" w:hAnsi="Arial"/>
                <w:b w:val="0"/>
                <w:bCs w:val="0"/>
                <w:iCs/>
                <w:sz w:val="20"/>
                <w:szCs w:val="20"/>
              </w:rPr>
              <w:t xml:space="preserve">&lt; 0.90 Index: Sample is considered negative for IgG antibodies to rubella virus. A negative result presumes that immunity has not been acquired. </w:t>
            </w:r>
            <w:r w:rsidR="00AE3917">
              <w:rPr>
                <w:rFonts w:ascii="Arial" w:hAnsi="Arial"/>
                <w:b w:val="0"/>
                <w:bCs w:val="0"/>
                <w:iCs/>
                <w:sz w:val="20"/>
                <w:szCs w:val="20"/>
              </w:rPr>
              <w:t xml:space="preserve"> </w:t>
            </w:r>
            <w:r w:rsidRPr="00701A7C">
              <w:rPr>
                <w:rFonts w:ascii="Arial" w:hAnsi="Arial"/>
                <w:b w:val="0"/>
                <w:bCs w:val="0"/>
                <w:iCs/>
                <w:sz w:val="20"/>
                <w:szCs w:val="20"/>
              </w:rPr>
              <w:t>If exposure to rubella virus is suspected despite a negative finding, a second specimen should be collected and tested one or two weeks later. Seroconversion from a negative specimen to a positive specimen is evidence of either recent infection, response to vaccination, or administration of immunoglobulins.</w:t>
            </w:r>
          </w:p>
          <w:p w:rsidR="00684BE9" w:rsidRPr="00701A7C" w:rsidRDefault="00684BE9" w:rsidP="005B7BBD">
            <w:pPr>
              <w:pStyle w:val="Heading"/>
              <w:jc w:val="left"/>
              <w:rPr>
                <w:rFonts w:ascii="Arial" w:hAnsi="Arial"/>
                <w:b w:val="0"/>
                <w:bCs w:val="0"/>
                <w:iCs/>
                <w:sz w:val="20"/>
                <w:szCs w:val="20"/>
              </w:rPr>
            </w:pPr>
          </w:p>
          <w:p w:rsidR="003A5E78" w:rsidRPr="00701A7C" w:rsidRDefault="003A5E78" w:rsidP="005B7BBD">
            <w:pPr>
              <w:pStyle w:val="Heading"/>
              <w:jc w:val="left"/>
              <w:rPr>
                <w:rFonts w:ascii="Arial" w:hAnsi="Arial"/>
                <w:b w:val="0"/>
                <w:bCs w:val="0"/>
                <w:iCs/>
                <w:sz w:val="20"/>
                <w:szCs w:val="20"/>
              </w:rPr>
            </w:pPr>
            <w:r w:rsidRPr="00701A7C">
              <w:rPr>
                <w:rFonts w:ascii="Arial" w:hAnsi="Arial"/>
                <w:b w:val="0"/>
                <w:bCs w:val="0"/>
                <w:iCs/>
                <w:sz w:val="20"/>
                <w:szCs w:val="20"/>
              </w:rPr>
              <w:t>≥ 0.90 Index and &lt; 1.00 Index: The equivocal specimen should be re-tested. In case the result remains in this range after repeat testing, a second specimen should be collected.</w:t>
            </w:r>
          </w:p>
          <w:p w:rsidR="00606516" w:rsidRPr="00701A7C" w:rsidRDefault="00606516" w:rsidP="005B7BBD">
            <w:pPr>
              <w:pStyle w:val="Heading"/>
              <w:jc w:val="left"/>
              <w:rPr>
                <w:rFonts w:ascii="Arial" w:hAnsi="Arial"/>
                <w:b w:val="0"/>
                <w:bCs w:val="0"/>
                <w:iCs/>
                <w:sz w:val="20"/>
                <w:szCs w:val="20"/>
              </w:rPr>
            </w:pPr>
          </w:p>
          <w:p w:rsidR="003A5E78" w:rsidRPr="00701A7C" w:rsidRDefault="003A5E78" w:rsidP="005B7BBD">
            <w:pPr>
              <w:pStyle w:val="Heading"/>
              <w:jc w:val="left"/>
              <w:rPr>
                <w:rFonts w:ascii="Arial" w:hAnsi="Arial"/>
                <w:b w:val="0"/>
                <w:bCs w:val="0"/>
                <w:iCs/>
                <w:sz w:val="20"/>
                <w:szCs w:val="20"/>
              </w:rPr>
            </w:pPr>
            <w:r w:rsidRPr="00701A7C">
              <w:rPr>
                <w:rFonts w:ascii="Arial" w:hAnsi="Arial"/>
                <w:b w:val="0"/>
                <w:bCs w:val="0"/>
                <w:iCs/>
                <w:sz w:val="20"/>
                <w:szCs w:val="20"/>
              </w:rPr>
              <w:t>≥ 1.00 Index: Sample is considered positive for IgG antibodies to rubella virus.</w:t>
            </w:r>
          </w:p>
          <w:p w:rsidR="003A5E78" w:rsidRPr="00701A7C" w:rsidRDefault="003A5E78" w:rsidP="005B7BBD">
            <w:pPr>
              <w:pStyle w:val="Heading"/>
              <w:jc w:val="left"/>
              <w:rPr>
                <w:rFonts w:ascii="Arial" w:hAnsi="Arial"/>
                <w:b w:val="0"/>
                <w:bCs w:val="0"/>
                <w:iCs/>
                <w:sz w:val="20"/>
                <w:szCs w:val="20"/>
              </w:rPr>
            </w:pPr>
          </w:p>
          <w:p w:rsidR="003A5E78" w:rsidRDefault="003A5E78" w:rsidP="005B7BBD">
            <w:pPr>
              <w:pStyle w:val="Heading"/>
              <w:jc w:val="left"/>
              <w:rPr>
                <w:rFonts w:ascii="Arial" w:hAnsi="Arial"/>
                <w:b w:val="0"/>
                <w:bCs w:val="0"/>
                <w:iCs/>
                <w:sz w:val="20"/>
                <w:szCs w:val="20"/>
              </w:rPr>
            </w:pPr>
            <w:r w:rsidRPr="00701A7C">
              <w:rPr>
                <w:rFonts w:ascii="Arial" w:hAnsi="Arial"/>
                <w:b w:val="0"/>
                <w:bCs w:val="0"/>
                <w:iCs/>
                <w:sz w:val="20"/>
                <w:szCs w:val="20"/>
              </w:rPr>
              <w:t xml:space="preserve">Warning - If the sample result displays "Invalid RLU" and an exclamation mark (!) flag, the result obtained lies below the assay signal range. </w:t>
            </w:r>
            <w:r w:rsidR="00AE3917">
              <w:rPr>
                <w:rFonts w:ascii="Arial" w:hAnsi="Arial"/>
                <w:b w:val="0"/>
                <w:bCs w:val="0"/>
                <w:iCs/>
                <w:sz w:val="20"/>
                <w:szCs w:val="20"/>
              </w:rPr>
              <w:t xml:space="preserve"> </w:t>
            </w:r>
            <w:r w:rsidRPr="00701A7C">
              <w:rPr>
                <w:rFonts w:ascii="Arial" w:hAnsi="Arial"/>
                <w:b w:val="0"/>
                <w:bCs w:val="0"/>
                <w:iCs/>
                <w:sz w:val="20"/>
                <w:szCs w:val="20"/>
              </w:rPr>
              <w:t xml:space="preserve">The sample must be retested. </w:t>
            </w:r>
            <w:r w:rsidR="00ED2EB1">
              <w:rPr>
                <w:rFonts w:ascii="Arial" w:hAnsi="Arial"/>
                <w:b w:val="0"/>
                <w:bCs w:val="0"/>
                <w:iCs/>
                <w:sz w:val="20"/>
                <w:szCs w:val="20"/>
              </w:rPr>
              <w:t xml:space="preserve"> </w:t>
            </w:r>
            <w:r w:rsidRPr="00701A7C">
              <w:rPr>
                <w:rFonts w:ascii="Arial" w:hAnsi="Arial"/>
                <w:b w:val="0"/>
                <w:bCs w:val="0"/>
                <w:iCs/>
                <w:sz w:val="20"/>
                <w:szCs w:val="20"/>
              </w:rPr>
              <w:t>If the sample result upon retest still displays "Invalid RLU", call DiaSorin Technical Support.</w:t>
            </w:r>
          </w:p>
          <w:p w:rsidR="00ED2EB1" w:rsidRPr="00ED2EB1" w:rsidRDefault="00ED2EB1" w:rsidP="00ED2EB1"/>
        </w:tc>
      </w:tr>
      <w:tr w:rsidR="00E902AC" w:rsidRPr="00701A7C" w:rsidTr="00E65DAB">
        <w:tblPrEx>
          <w:tblCellMar>
            <w:top w:w="0" w:type="dxa"/>
            <w:bottom w:w="0" w:type="dxa"/>
          </w:tblCellMar>
        </w:tblPrEx>
        <w:trPr>
          <w:cantSplit/>
        </w:trPr>
        <w:tc>
          <w:tcPr>
            <w:tcW w:w="1798" w:type="dxa"/>
            <w:tcBorders>
              <w:top w:val="nil"/>
              <w:left w:val="nil"/>
              <w:bottom w:val="nil"/>
              <w:right w:val="nil"/>
            </w:tcBorders>
          </w:tcPr>
          <w:p w:rsidR="00E902AC" w:rsidRPr="00701A7C" w:rsidRDefault="00E902AC">
            <w:pPr>
              <w:rPr>
                <w:rFonts w:ascii="Arial" w:hAnsi="Arial" w:cs="Arial"/>
                <w:sz w:val="20"/>
                <w:szCs w:val="20"/>
              </w:rPr>
            </w:pPr>
          </w:p>
          <w:p w:rsidR="00E902AC" w:rsidRPr="00701A7C" w:rsidRDefault="00E902AC">
            <w:pPr>
              <w:pStyle w:val="BodyText3"/>
              <w:jc w:val="left"/>
              <w:rPr>
                <w:rFonts w:ascii="Arial" w:hAnsi="Arial" w:cs="Arial"/>
                <w:sz w:val="20"/>
                <w:szCs w:val="20"/>
              </w:rPr>
            </w:pPr>
            <w:r w:rsidRPr="00701A7C">
              <w:rPr>
                <w:rFonts w:ascii="Arial" w:hAnsi="Arial" w:cs="Arial"/>
                <w:sz w:val="20"/>
                <w:szCs w:val="20"/>
              </w:rPr>
              <w:t>Limitations</w:t>
            </w:r>
          </w:p>
          <w:p w:rsidR="00E902AC" w:rsidRPr="00701A7C" w:rsidRDefault="00E902AC">
            <w:pPr>
              <w:rPr>
                <w:rFonts w:ascii="Arial" w:hAnsi="Arial" w:cs="Arial"/>
                <w:sz w:val="20"/>
                <w:szCs w:val="20"/>
              </w:rPr>
            </w:pPr>
          </w:p>
        </w:tc>
        <w:tc>
          <w:tcPr>
            <w:tcW w:w="9182" w:type="dxa"/>
            <w:gridSpan w:val="4"/>
            <w:tcBorders>
              <w:top w:val="single" w:sz="18" w:space="0" w:color="A6A6A6"/>
              <w:left w:val="nil"/>
              <w:bottom w:val="single" w:sz="18" w:space="0" w:color="A6A6A6"/>
              <w:right w:val="nil"/>
            </w:tcBorders>
          </w:tcPr>
          <w:p w:rsidR="006931B4" w:rsidRPr="00701A7C" w:rsidRDefault="006931B4" w:rsidP="006931B4">
            <w:pPr>
              <w:rPr>
                <w:rFonts w:ascii="Arial" w:hAnsi="Arial" w:cs="Arial"/>
                <w:sz w:val="20"/>
                <w:szCs w:val="20"/>
              </w:rPr>
            </w:pPr>
          </w:p>
          <w:p w:rsidR="006931B4" w:rsidRPr="00701A7C" w:rsidRDefault="006931B4" w:rsidP="00701A7C">
            <w:pPr>
              <w:numPr>
                <w:ilvl w:val="0"/>
                <w:numId w:val="17"/>
              </w:numPr>
              <w:autoSpaceDE w:val="0"/>
              <w:autoSpaceDN w:val="0"/>
              <w:adjustRightInd w:val="0"/>
              <w:jc w:val="left"/>
              <w:rPr>
                <w:rFonts w:ascii="Arial" w:hAnsi="Arial" w:cs="Arial"/>
                <w:sz w:val="20"/>
                <w:szCs w:val="20"/>
              </w:rPr>
            </w:pPr>
            <w:r w:rsidRPr="00701A7C">
              <w:rPr>
                <w:rFonts w:ascii="Arial" w:hAnsi="Arial" w:cs="Arial"/>
                <w:sz w:val="20"/>
                <w:szCs w:val="20"/>
              </w:rPr>
              <w:t>Human anti-mouse antibodies (HAMA) and other heterophile antibodies may be present in patient samples. Although patient specimens are washed away prior to the addition of the mouse monoclonal (conjugate), the performance characteristics of HAMA specimens have not been established and may occasionally influence results. Carefully evaluate results from patients suspected of having such antibodies</w:t>
            </w:r>
          </w:p>
          <w:p w:rsidR="006931B4" w:rsidRDefault="006931B4" w:rsidP="005B7BBD">
            <w:pPr>
              <w:numPr>
                <w:ilvl w:val="0"/>
                <w:numId w:val="17"/>
              </w:numPr>
              <w:autoSpaceDE w:val="0"/>
              <w:autoSpaceDN w:val="0"/>
              <w:adjustRightInd w:val="0"/>
              <w:jc w:val="left"/>
              <w:rPr>
                <w:rFonts w:ascii="Arial" w:hAnsi="Arial" w:cs="Arial"/>
                <w:sz w:val="20"/>
                <w:szCs w:val="20"/>
              </w:rPr>
            </w:pPr>
            <w:r w:rsidRPr="00701A7C">
              <w:rPr>
                <w:rFonts w:ascii="Arial" w:hAnsi="Arial" w:cs="Arial"/>
                <w:sz w:val="20"/>
                <w:szCs w:val="20"/>
              </w:rPr>
              <w:t>Cross-reactivity could not be determined for HBsAg, measles IgG, mumps IgG, anti-HCV, anti-HIV-1/2, parvovirus IgG, gammaglobulin, rheumatoid factor and Treponema pallidum due to low prevalence of rubella antibody negative/cross-reacting condition positive patients</w:t>
            </w:r>
          </w:p>
          <w:p w:rsidR="00ED2EB1" w:rsidRPr="00701A7C" w:rsidRDefault="00ED2EB1" w:rsidP="00ED2EB1">
            <w:pPr>
              <w:autoSpaceDE w:val="0"/>
              <w:autoSpaceDN w:val="0"/>
              <w:adjustRightInd w:val="0"/>
              <w:ind w:left="360"/>
              <w:jc w:val="left"/>
              <w:rPr>
                <w:rFonts w:ascii="Arial" w:hAnsi="Arial" w:cs="Arial"/>
                <w:sz w:val="20"/>
                <w:szCs w:val="20"/>
              </w:rPr>
            </w:pPr>
          </w:p>
        </w:tc>
      </w:tr>
      <w:tr w:rsidR="00E902AC" w:rsidRPr="00701A7C" w:rsidTr="00701A7C">
        <w:tblPrEx>
          <w:tblCellMar>
            <w:top w:w="0" w:type="dxa"/>
            <w:bottom w:w="0" w:type="dxa"/>
          </w:tblCellMar>
        </w:tblPrEx>
        <w:trPr>
          <w:cantSplit/>
          <w:trHeight w:val="3141"/>
        </w:trPr>
        <w:tc>
          <w:tcPr>
            <w:tcW w:w="1798" w:type="dxa"/>
            <w:tcBorders>
              <w:top w:val="nil"/>
              <w:left w:val="nil"/>
              <w:bottom w:val="nil"/>
              <w:right w:val="nil"/>
            </w:tcBorders>
          </w:tcPr>
          <w:p w:rsidR="00E902AC" w:rsidRPr="00701A7C" w:rsidRDefault="00E902AC">
            <w:pPr>
              <w:rPr>
                <w:rFonts w:ascii="Arial" w:hAnsi="Arial" w:cs="Arial"/>
                <w:b/>
                <w:bCs/>
                <w:color w:val="0000FF"/>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Result Reporting</w:t>
            </w:r>
          </w:p>
          <w:p w:rsidR="00E902AC" w:rsidRPr="00701A7C" w:rsidRDefault="00E902AC">
            <w:pPr>
              <w:rPr>
                <w:rFonts w:ascii="Arial" w:hAnsi="Arial" w:cs="Arial"/>
                <w:b/>
                <w:bCs/>
                <w:sz w:val="20"/>
                <w:szCs w:val="20"/>
              </w:rPr>
            </w:pPr>
          </w:p>
        </w:tc>
        <w:tc>
          <w:tcPr>
            <w:tcW w:w="9182" w:type="dxa"/>
            <w:gridSpan w:val="4"/>
            <w:tcBorders>
              <w:top w:val="single" w:sz="18" w:space="0" w:color="A6A6A6"/>
              <w:left w:val="nil"/>
              <w:bottom w:val="single" w:sz="18" w:space="0" w:color="A6A6A6"/>
              <w:right w:val="nil"/>
            </w:tcBorders>
          </w:tcPr>
          <w:p w:rsidR="00E902AC" w:rsidRPr="00701A7C" w:rsidRDefault="00E902AC">
            <w:pPr>
              <w:autoSpaceDE w:val="0"/>
              <w:autoSpaceDN w:val="0"/>
              <w:adjustRightInd w:val="0"/>
              <w:jc w:val="left"/>
              <w:rPr>
                <w:rFonts w:ascii="Arial" w:hAnsi="Arial" w:cs="Arial"/>
                <w:iCs/>
                <w:sz w:val="20"/>
                <w:szCs w:val="20"/>
              </w:rPr>
            </w:pPr>
          </w:p>
          <w:p w:rsidR="005B7BBD" w:rsidRPr="00701A7C" w:rsidRDefault="00AE3917" w:rsidP="005B7BBD">
            <w:pPr>
              <w:numPr>
                <w:ilvl w:val="0"/>
                <w:numId w:val="17"/>
              </w:numPr>
              <w:autoSpaceDE w:val="0"/>
              <w:autoSpaceDN w:val="0"/>
              <w:adjustRightInd w:val="0"/>
              <w:jc w:val="left"/>
              <w:rPr>
                <w:rFonts w:ascii="Arial" w:hAnsi="Arial" w:cs="Arial"/>
                <w:sz w:val="20"/>
                <w:szCs w:val="20"/>
              </w:rPr>
            </w:pPr>
            <w:r>
              <w:rPr>
                <w:rFonts w:ascii="Arial" w:hAnsi="Arial" w:cs="Arial"/>
                <w:sz w:val="20"/>
                <w:szCs w:val="20"/>
              </w:rPr>
              <w:t>Results 0.9 Index</w:t>
            </w:r>
            <w:r w:rsidR="005B7BBD" w:rsidRPr="00701A7C">
              <w:rPr>
                <w:rFonts w:ascii="Arial" w:hAnsi="Arial" w:cs="Arial"/>
                <w:sz w:val="20"/>
                <w:szCs w:val="20"/>
              </w:rPr>
              <w:t xml:space="preserve"> without error messages are reported with the numerical result, and i</w:t>
            </w:r>
            <w:r>
              <w:rPr>
                <w:rFonts w:ascii="Arial" w:hAnsi="Arial" w:cs="Arial"/>
                <w:sz w:val="20"/>
                <w:szCs w:val="20"/>
              </w:rPr>
              <w:t>nterpreted as Negative. T</w:t>
            </w:r>
            <w:r w:rsidR="005B7BBD" w:rsidRPr="00701A7C">
              <w:rPr>
                <w:rFonts w:ascii="Arial" w:hAnsi="Arial" w:cs="Arial"/>
                <w:sz w:val="20"/>
                <w:szCs w:val="20"/>
              </w:rPr>
              <w:t>he comment “</w:t>
            </w:r>
            <w:r>
              <w:rPr>
                <w:rFonts w:ascii="Arial" w:hAnsi="Arial" w:cs="Arial"/>
                <w:sz w:val="20"/>
                <w:szCs w:val="20"/>
              </w:rPr>
              <w:t>Samples is considered negative for IgG antibodies to rubella virus.  A negative result presumes that immunity has not been acquired.  If exposure to rubella virus is suspected despite a negative finding, a second sample should be tested no less than one to two weeks later” is appended.</w:t>
            </w:r>
          </w:p>
          <w:p w:rsidR="005B7BBD" w:rsidRPr="00701A7C" w:rsidRDefault="00AE3917" w:rsidP="005B7BBD">
            <w:pPr>
              <w:pStyle w:val="Header"/>
              <w:numPr>
                <w:ilvl w:val="0"/>
                <w:numId w:val="4"/>
              </w:numPr>
              <w:tabs>
                <w:tab w:val="clear" w:pos="4320"/>
                <w:tab w:val="clear" w:pos="8640"/>
              </w:tabs>
              <w:rPr>
                <w:rFonts w:ascii="Arial" w:hAnsi="Arial" w:cs="Arial"/>
                <w:sz w:val="20"/>
                <w:szCs w:val="20"/>
              </w:rPr>
            </w:pPr>
            <w:r>
              <w:rPr>
                <w:rFonts w:ascii="Arial" w:hAnsi="Arial" w:cs="Arial"/>
                <w:sz w:val="20"/>
                <w:szCs w:val="20"/>
              </w:rPr>
              <w:t>Results between 0.90 and 1.0 Index: Equivocal samples must be repeated.  If, upon repeat, the result is still in the equivocal range, the comment “Equivocal samples have been retested.  A second sample should be collected no less than one to two weeks later” is appended.</w:t>
            </w:r>
          </w:p>
          <w:p w:rsidR="005B7BBD" w:rsidRPr="00701A7C" w:rsidRDefault="005B7BBD" w:rsidP="005B7BBD">
            <w:pPr>
              <w:numPr>
                <w:ilvl w:val="0"/>
                <w:numId w:val="4"/>
              </w:numPr>
              <w:jc w:val="left"/>
              <w:rPr>
                <w:rFonts w:ascii="Arial" w:hAnsi="Arial" w:cs="Arial"/>
                <w:sz w:val="20"/>
                <w:szCs w:val="20"/>
              </w:rPr>
            </w:pPr>
            <w:r w:rsidRPr="00701A7C">
              <w:rPr>
                <w:rFonts w:ascii="Arial" w:hAnsi="Arial" w:cs="Arial"/>
                <w:sz w:val="20"/>
                <w:szCs w:val="20"/>
              </w:rPr>
              <w:t xml:space="preserve">Results </w:t>
            </w:r>
            <w:r w:rsidRPr="00701A7C">
              <w:rPr>
                <w:rFonts w:ascii="Arial" w:eastAsia="SymbolMT" w:hAnsi="Arial" w:cs="Arial"/>
                <w:sz w:val="20"/>
                <w:szCs w:val="20"/>
              </w:rPr>
              <w:t xml:space="preserve">≥ </w:t>
            </w:r>
            <w:r w:rsidR="00AE3917">
              <w:rPr>
                <w:rFonts w:ascii="Arial" w:hAnsi="Arial" w:cs="Arial"/>
                <w:sz w:val="20"/>
                <w:szCs w:val="20"/>
              </w:rPr>
              <w:t>1.0</w:t>
            </w:r>
            <w:r w:rsidRPr="00701A7C">
              <w:rPr>
                <w:rFonts w:ascii="Arial" w:hAnsi="Arial" w:cs="Arial"/>
                <w:sz w:val="20"/>
                <w:szCs w:val="20"/>
              </w:rPr>
              <w:t xml:space="preserve"> </w:t>
            </w:r>
            <w:r w:rsidR="00AE3917">
              <w:rPr>
                <w:rFonts w:ascii="Arial" w:hAnsi="Arial" w:cs="Arial"/>
                <w:spacing w:val="-6"/>
                <w:sz w:val="20"/>
                <w:szCs w:val="20"/>
              </w:rPr>
              <w:t>Index</w:t>
            </w:r>
            <w:r w:rsidRPr="00701A7C">
              <w:rPr>
                <w:rFonts w:ascii="Arial" w:hAnsi="Arial" w:cs="Arial"/>
                <w:sz w:val="20"/>
                <w:szCs w:val="20"/>
              </w:rPr>
              <w:t xml:space="preserve"> without error messages are reported with the numerical result, and interpreted as </w:t>
            </w:r>
            <w:r w:rsidRPr="00701A7C">
              <w:rPr>
                <w:rFonts w:ascii="Arial" w:hAnsi="Arial" w:cs="Arial"/>
                <w:spacing w:val="-6"/>
                <w:sz w:val="20"/>
                <w:szCs w:val="20"/>
              </w:rPr>
              <w:t>Positive.</w:t>
            </w:r>
            <w:r w:rsidR="00AE3917">
              <w:rPr>
                <w:rFonts w:ascii="Arial" w:hAnsi="Arial" w:cs="Arial"/>
                <w:spacing w:val="-6"/>
                <w:sz w:val="20"/>
                <w:szCs w:val="20"/>
              </w:rPr>
              <w:t xml:space="preserve">  T</w:t>
            </w:r>
            <w:r w:rsidRPr="00701A7C">
              <w:rPr>
                <w:rFonts w:ascii="Arial" w:hAnsi="Arial" w:cs="Arial"/>
                <w:spacing w:val="-6"/>
                <w:sz w:val="20"/>
                <w:szCs w:val="20"/>
              </w:rPr>
              <w:t>he comment “</w:t>
            </w:r>
            <w:r w:rsidR="00AE3917">
              <w:rPr>
                <w:rFonts w:ascii="Arial" w:hAnsi="Arial" w:cs="Arial"/>
                <w:sz w:val="20"/>
                <w:szCs w:val="20"/>
              </w:rPr>
              <w:t>Sample is considered positive for IgG antibodies to rubella virus” is appended.</w:t>
            </w:r>
          </w:p>
          <w:p w:rsidR="00684BE9" w:rsidRPr="00701A7C" w:rsidRDefault="00684BE9">
            <w:pPr>
              <w:autoSpaceDE w:val="0"/>
              <w:autoSpaceDN w:val="0"/>
              <w:adjustRightInd w:val="0"/>
              <w:jc w:val="left"/>
              <w:rPr>
                <w:rFonts w:ascii="Arial" w:hAnsi="Arial" w:cs="Arial"/>
                <w:iCs/>
                <w:sz w:val="20"/>
                <w:szCs w:val="20"/>
              </w:rPr>
            </w:pPr>
          </w:p>
        </w:tc>
      </w:tr>
      <w:tr w:rsidR="00E902AC" w:rsidRPr="00701A7C" w:rsidTr="0054267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98" w:type="dxa"/>
            <w:tcBorders>
              <w:left w:val="nil"/>
              <w:bottom w:val="nil"/>
            </w:tcBorders>
          </w:tcPr>
          <w:p w:rsidR="00E902AC" w:rsidRPr="00701A7C" w:rsidRDefault="00E902AC">
            <w:pPr>
              <w:rPr>
                <w:rFonts w:ascii="Arial" w:hAnsi="Arial" w:cs="Arial"/>
                <w:b/>
                <w:bCs/>
                <w:sz w:val="20"/>
                <w:szCs w:val="20"/>
              </w:rPr>
            </w:pPr>
          </w:p>
          <w:p w:rsidR="00E902AC" w:rsidRPr="00701A7C" w:rsidRDefault="00E902AC">
            <w:pPr>
              <w:jc w:val="left"/>
              <w:rPr>
                <w:rFonts w:ascii="Arial" w:hAnsi="Arial" w:cs="Arial"/>
                <w:b/>
                <w:bCs/>
                <w:color w:val="0000FF"/>
                <w:sz w:val="20"/>
                <w:szCs w:val="20"/>
              </w:rPr>
            </w:pPr>
            <w:r w:rsidRPr="00701A7C">
              <w:rPr>
                <w:rFonts w:ascii="Arial" w:hAnsi="Arial" w:cs="Arial"/>
                <w:b/>
                <w:bCs/>
                <w:color w:val="0000FF"/>
                <w:sz w:val="20"/>
                <w:szCs w:val="20"/>
              </w:rPr>
              <w:t>References</w:t>
            </w:r>
          </w:p>
        </w:tc>
        <w:tc>
          <w:tcPr>
            <w:tcW w:w="9182" w:type="dxa"/>
            <w:gridSpan w:val="4"/>
            <w:tcBorders>
              <w:top w:val="single" w:sz="18" w:space="0" w:color="A6A6A6"/>
              <w:bottom w:val="single" w:sz="18" w:space="0" w:color="A6A6A6"/>
              <w:right w:val="nil"/>
            </w:tcBorders>
          </w:tcPr>
          <w:p w:rsidR="00E902AC" w:rsidRPr="00701A7C" w:rsidRDefault="00E902AC">
            <w:pPr>
              <w:pStyle w:val="TableText"/>
              <w:autoSpaceDE/>
              <w:autoSpaceDN/>
              <w:rPr>
                <w:rFonts w:ascii="Arial" w:hAnsi="Arial" w:cs="Arial"/>
                <w:szCs w:val="20"/>
              </w:rPr>
            </w:pPr>
          </w:p>
          <w:p w:rsidR="00E902AC" w:rsidRPr="00701A7C" w:rsidRDefault="000720C8" w:rsidP="000720C8">
            <w:pPr>
              <w:numPr>
                <w:ilvl w:val="0"/>
                <w:numId w:val="11"/>
              </w:numPr>
              <w:jc w:val="left"/>
              <w:rPr>
                <w:rFonts w:ascii="Arial" w:hAnsi="Arial" w:cs="Arial"/>
                <w:iCs/>
                <w:sz w:val="20"/>
                <w:szCs w:val="20"/>
              </w:rPr>
            </w:pPr>
            <w:r w:rsidRPr="00701A7C">
              <w:rPr>
                <w:rFonts w:ascii="Arial" w:hAnsi="Arial" w:cs="Arial"/>
                <w:iCs/>
                <w:sz w:val="20"/>
                <w:szCs w:val="20"/>
              </w:rPr>
              <w:t>LIAISON® Rubella IgG ([REF] 310460)</w:t>
            </w:r>
            <w:r w:rsidR="00E902AC" w:rsidRPr="00701A7C">
              <w:rPr>
                <w:rFonts w:ascii="Arial" w:hAnsi="Arial" w:cs="Arial"/>
                <w:iCs/>
                <w:sz w:val="20"/>
                <w:szCs w:val="20"/>
              </w:rPr>
              <w:t xml:space="preserve"> Directions for Use, DiaSorin, Inc</w:t>
            </w:r>
            <w:r w:rsidR="00701A7C">
              <w:rPr>
                <w:rFonts w:ascii="Arial" w:hAnsi="Arial" w:cs="Arial"/>
                <w:iCs/>
                <w:sz w:val="20"/>
                <w:szCs w:val="20"/>
              </w:rPr>
              <w:t>.</w:t>
            </w:r>
            <w:r w:rsidR="00E902AC" w:rsidRPr="00701A7C">
              <w:rPr>
                <w:rFonts w:ascii="Arial" w:hAnsi="Arial" w:cs="Arial"/>
                <w:iCs/>
                <w:sz w:val="20"/>
                <w:szCs w:val="20"/>
              </w:rPr>
              <w:t>, Stillwater, MN 55082,</w:t>
            </w:r>
            <w:r w:rsidR="00631438" w:rsidRPr="00701A7C">
              <w:rPr>
                <w:rFonts w:ascii="Arial" w:hAnsi="Arial" w:cs="Arial"/>
                <w:iCs/>
                <w:sz w:val="20"/>
                <w:szCs w:val="20"/>
              </w:rPr>
              <w:t xml:space="preserve"> </w:t>
            </w:r>
            <w:r w:rsidRPr="00701A7C">
              <w:rPr>
                <w:rFonts w:ascii="Arial" w:hAnsi="Arial" w:cs="Arial"/>
                <w:iCs/>
                <w:sz w:val="20"/>
                <w:szCs w:val="20"/>
              </w:rPr>
              <w:t>January 2019</w:t>
            </w:r>
          </w:p>
          <w:p w:rsidR="00E902AC" w:rsidRPr="00701A7C" w:rsidRDefault="000720C8" w:rsidP="00E902AC">
            <w:pPr>
              <w:numPr>
                <w:ilvl w:val="0"/>
                <w:numId w:val="11"/>
              </w:numPr>
              <w:jc w:val="left"/>
              <w:rPr>
                <w:rFonts w:ascii="Arial" w:hAnsi="Arial" w:cs="Arial"/>
                <w:iCs/>
                <w:sz w:val="20"/>
                <w:szCs w:val="20"/>
              </w:rPr>
            </w:pPr>
            <w:r w:rsidRPr="00701A7C">
              <w:rPr>
                <w:rFonts w:ascii="Arial" w:hAnsi="Arial" w:cs="Arial"/>
                <w:iCs/>
                <w:sz w:val="20"/>
                <w:szCs w:val="20"/>
              </w:rPr>
              <w:t xml:space="preserve">LIAISON® Rubella IgG Tri-Controls ([REF] 310461) </w:t>
            </w:r>
            <w:r w:rsidR="00E902AC" w:rsidRPr="00701A7C">
              <w:rPr>
                <w:rFonts w:ascii="Arial" w:hAnsi="Arial" w:cs="Arial"/>
                <w:iCs/>
                <w:sz w:val="20"/>
                <w:szCs w:val="20"/>
              </w:rPr>
              <w:t>Directions for Use, DiaSorin, In</w:t>
            </w:r>
            <w:r w:rsidR="00696475" w:rsidRPr="00701A7C">
              <w:rPr>
                <w:rFonts w:ascii="Arial" w:hAnsi="Arial" w:cs="Arial"/>
                <w:iCs/>
                <w:sz w:val="20"/>
                <w:szCs w:val="20"/>
              </w:rPr>
              <w:t>c</w:t>
            </w:r>
            <w:r w:rsidR="00701A7C">
              <w:rPr>
                <w:rFonts w:ascii="Arial" w:hAnsi="Arial" w:cs="Arial"/>
                <w:iCs/>
                <w:sz w:val="20"/>
                <w:szCs w:val="20"/>
              </w:rPr>
              <w:t>.</w:t>
            </w:r>
            <w:r w:rsidR="00696475" w:rsidRPr="00701A7C">
              <w:rPr>
                <w:rFonts w:ascii="Arial" w:hAnsi="Arial" w:cs="Arial"/>
                <w:iCs/>
                <w:sz w:val="20"/>
                <w:szCs w:val="20"/>
              </w:rPr>
              <w:t>, Stillwater, MN 55082</w:t>
            </w:r>
            <w:r w:rsidRPr="00701A7C">
              <w:rPr>
                <w:rFonts w:ascii="Arial" w:hAnsi="Arial" w:cs="Arial"/>
                <w:iCs/>
                <w:sz w:val="20"/>
                <w:szCs w:val="20"/>
              </w:rPr>
              <w:t>, January 2019</w:t>
            </w:r>
          </w:p>
          <w:p w:rsidR="00E902AC" w:rsidRPr="00701A7C" w:rsidRDefault="00E902AC">
            <w:pPr>
              <w:jc w:val="left"/>
              <w:rPr>
                <w:rFonts w:ascii="Arial" w:hAnsi="Arial" w:cs="Arial"/>
                <w:iCs/>
                <w:sz w:val="20"/>
                <w:szCs w:val="20"/>
              </w:rPr>
            </w:pPr>
          </w:p>
        </w:tc>
      </w:tr>
      <w:tr w:rsidR="00E902AC" w:rsidRPr="00701A7C" w:rsidTr="0054267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197"/>
        </w:trPr>
        <w:tc>
          <w:tcPr>
            <w:tcW w:w="1798" w:type="dxa"/>
            <w:tcBorders>
              <w:top w:val="nil"/>
              <w:left w:val="nil"/>
              <w:bottom w:val="nil"/>
            </w:tcBorders>
          </w:tcPr>
          <w:p w:rsidR="00E902AC" w:rsidRPr="00701A7C" w:rsidRDefault="00E902AC">
            <w:pPr>
              <w:rPr>
                <w:rFonts w:ascii="Arial" w:hAnsi="Arial" w:cs="Arial"/>
                <w:b/>
                <w:bCs/>
                <w:color w:val="0000FF"/>
                <w:sz w:val="20"/>
                <w:szCs w:val="20"/>
              </w:rPr>
            </w:pPr>
          </w:p>
        </w:tc>
        <w:tc>
          <w:tcPr>
            <w:tcW w:w="9182" w:type="dxa"/>
            <w:gridSpan w:val="4"/>
            <w:tcBorders>
              <w:top w:val="single" w:sz="18" w:space="0" w:color="A6A6A6"/>
              <w:bottom w:val="single" w:sz="4" w:space="0" w:color="auto"/>
              <w:right w:val="nil"/>
            </w:tcBorders>
          </w:tcPr>
          <w:p w:rsidR="00E902AC" w:rsidRPr="00701A7C" w:rsidRDefault="00E902AC">
            <w:pPr>
              <w:jc w:val="left"/>
              <w:rPr>
                <w:rFonts w:ascii="Arial" w:hAnsi="Arial" w:cs="Arial"/>
                <w:sz w:val="20"/>
                <w:szCs w:val="20"/>
              </w:rPr>
            </w:pPr>
          </w:p>
        </w:tc>
      </w:tr>
      <w:tr w:rsidR="00E902AC" w:rsidRPr="00701A7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798" w:type="dxa"/>
            <w:vMerge w:val="restart"/>
            <w:tcBorders>
              <w:left w:val="nil"/>
              <w:bottom w:val="nil"/>
              <w:right w:val="single" w:sz="4" w:space="0" w:color="auto"/>
            </w:tcBorders>
          </w:tcPr>
          <w:p w:rsidR="00E902AC" w:rsidRPr="00701A7C" w:rsidRDefault="00E902AC">
            <w:pPr>
              <w:jc w:val="left"/>
              <w:rPr>
                <w:rFonts w:ascii="Arial" w:hAnsi="Arial" w:cs="Arial"/>
                <w:b/>
                <w:bCs/>
                <w:color w:val="3366FF"/>
                <w:sz w:val="20"/>
                <w:szCs w:val="20"/>
              </w:rPr>
            </w:pPr>
            <w:r w:rsidRPr="00701A7C">
              <w:rPr>
                <w:rFonts w:ascii="Arial" w:hAnsi="Arial" w:cs="Arial"/>
                <w:b/>
                <w:bCs/>
                <w:color w:val="0000FF"/>
                <w:sz w:val="20"/>
                <w:szCs w:val="20"/>
              </w:rPr>
              <w:t>Historical Record</w:t>
            </w:r>
          </w:p>
        </w:tc>
        <w:tc>
          <w:tcPr>
            <w:tcW w:w="1434"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b/>
                <w:bCs/>
                <w:sz w:val="20"/>
                <w:szCs w:val="20"/>
              </w:rPr>
            </w:pPr>
            <w:r w:rsidRPr="00701A7C">
              <w:rPr>
                <w:rFonts w:ascii="Arial" w:hAnsi="Arial" w:cs="Arial"/>
                <w:b/>
                <w:bCs/>
                <w:sz w:val="20"/>
                <w:szCs w:val="20"/>
              </w:rPr>
              <w:t>Version</w:t>
            </w:r>
          </w:p>
        </w:tc>
        <w:tc>
          <w:tcPr>
            <w:tcW w:w="2528" w:type="dxa"/>
            <w:tcBorders>
              <w:top w:val="single" w:sz="4" w:space="0" w:color="auto"/>
              <w:left w:val="single" w:sz="4" w:space="0" w:color="auto"/>
              <w:bottom w:val="single" w:sz="4" w:space="0" w:color="auto"/>
              <w:right w:val="single" w:sz="4" w:space="0" w:color="auto"/>
            </w:tcBorders>
          </w:tcPr>
          <w:p w:rsidR="00E902AC" w:rsidRPr="00701A7C" w:rsidRDefault="00E902AC">
            <w:pPr>
              <w:rPr>
                <w:rFonts w:ascii="Arial" w:hAnsi="Arial" w:cs="Arial"/>
                <w:b/>
                <w:bCs/>
                <w:iCs/>
                <w:sz w:val="20"/>
                <w:szCs w:val="20"/>
              </w:rPr>
            </w:pPr>
            <w:r w:rsidRPr="00701A7C">
              <w:rPr>
                <w:rFonts w:ascii="Arial" w:hAnsi="Arial" w:cs="Arial"/>
                <w:b/>
                <w:bCs/>
                <w:iCs/>
                <w:sz w:val="20"/>
                <w:szCs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b/>
                <w:bCs/>
                <w:iCs/>
                <w:sz w:val="20"/>
                <w:szCs w:val="20"/>
              </w:rPr>
            </w:pPr>
            <w:r w:rsidRPr="00701A7C">
              <w:rPr>
                <w:rFonts w:ascii="Arial" w:hAnsi="Arial" w:cs="Arial"/>
                <w:b/>
                <w:bCs/>
                <w:iCs/>
                <w:sz w:val="20"/>
                <w:szCs w:val="20"/>
              </w:rPr>
              <w:t>Effective Date:</w:t>
            </w:r>
          </w:p>
        </w:tc>
        <w:tc>
          <w:tcPr>
            <w:tcW w:w="3189"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b/>
                <w:bCs/>
                <w:iCs/>
                <w:sz w:val="20"/>
                <w:szCs w:val="20"/>
              </w:rPr>
            </w:pPr>
            <w:r w:rsidRPr="00701A7C">
              <w:rPr>
                <w:rFonts w:ascii="Arial" w:hAnsi="Arial" w:cs="Arial"/>
                <w:b/>
                <w:bCs/>
                <w:iCs/>
                <w:sz w:val="20"/>
                <w:szCs w:val="20"/>
              </w:rPr>
              <w:t>Summary of Revisions</w:t>
            </w:r>
          </w:p>
        </w:tc>
      </w:tr>
      <w:tr w:rsidR="00E902AC" w:rsidRPr="00701A7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798" w:type="dxa"/>
            <w:vMerge/>
            <w:tcBorders>
              <w:left w:val="nil"/>
              <w:bottom w:val="nil"/>
              <w:right w:val="single" w:sz="4" w:space="0" w:color="auto"/>
            </w:tcBorders>
          </w:tcPr>
          <w:p w:rsidR="00E902AC" w:rsidRPr="00701A7C"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701A7C" w:rsidRDefault="00E902AC" w:rsidP="00E902AC">
            <w:pPr>
              <w:numPr>
                <w:ilvl w:val="0"/>
                <w:numId w:val="14"/>
              </w:numPr>
              <w:jc w:val="left"/>
              <w:rPr>
                <w:rFonts w:ascii="Arial" w:hAnsi="Arial" w:cs="Arial"/>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701A7C" w:rsidRDefault="000720C8">
            <w:pPr>
              <w:jc w:val="left"/>
              <w:rPr>
                <w:rFonts w:ascii="Arial" w:hAnsi="Arial" w:cs="Arial"/>
                <w:iCs/>
                <w:sz w:val="20"/>
                <w:szCs w:val="20"/>
              </w:rPr>
            </w:pPr>
            <w:r w:rsidRPr="00701A7C">
              <w:rPr>
                <w:rFonts w:ascii="Arial" w:hAnsi="Arial" w:cs="Arial"/>
                <w:iCs/>
                <w:sz w:val="20"/>
                <w:szCs w:val="20"/>
              </w:rPr>
              <w:t>Stephen Gripentrog</w:t>
            </w:r>
            <w:r w:rsidR="00701A7C">
              <w:rPr>
                <w:rFonts w:ascii="Arial" w:hAnsi="Arial" w:cs="Arial"/>
                <w:iCs/>
                <w:sz w:val="20"/>
                <w:szCs w:val="20"/>
              </w:rPr>
              <w:t>/Erin Bartos</w:t>
            </w:r>
          </w:p>
        </w:tc>
        <w:tc>
          <w:tcPr>
            <w:tcW w:w="2031" w:type="dxa"/>
            <w:tcBorders>
              <w:top w:val="single" w:sz="4" w:space="0" w:color="auto"/>
              <w:left w:val="single" w:sz="4" w:space="0" w:color="auto"/>
              <w:bottom w:val="single" w:sz="4" w:space="0" w:color="auto"/>
              <w:right w:val="single" w:sz="4" w:space="0" w:color="auto"/>
            </w:tcBorders>
          </w:tcPr>
          <w:p w:rsidR="00E902AC" w:rsidRPr="00701A7C" w:rsidRDefault="0053191A">
            <w:pPr>
              <w:jc w:val="left"/>
              <w:rPr>
                <w:rFonts w:ascii="Arial" w:hAnsi="Arial" w:cs="Arial"/>
                <w:iCs/>
                <w:sz w:val="20"/>
                <w:szCs w:val="20"/>
              </w:rPr>
            </w:pPr>
            <w:r w:rsidRPr="00701A7C">
              <w:rPr>
                <w:rFonts w:ascii="Arial" w:hAnsi="Arial" w:cs="Arial"/>
                <w:iCs/>
                <w:sz w:val="20"/>
                <w:szCs w:val="20"/>
              </w:rPr>
              <w:t>August 13, 2019</w:t>
            </w:r>
          </w:p>
        </w:tc>
        <w:tc>
          <w:tcPr>
            <w:tcW w:w="3189" w:type="dxa"/>
            <w:tcBorders>
              <w:top w:val="single" w:sz="4" w:space="0" w:color="auto"/>
              <w:left w:val="single" w:sz="4" w:space="0" w:color="auto"/>
              <w:bottom w:val="single" w:sz="4" w:space="0" w:color="auto"/>
              <w:right w:val="single" w:sz="4" w:space="0" w:color="auto"/>
            </w:tcBorders>
          </w:tcPr>
          <w:p w:rsidR="00E902AC" w:rsidRPr="00701A7C" w:rsidRDefault="00684BE9">
            <w:pPr>
              <w:jc w:val="left"/>
              <w:rPr>
                <w:rFonts w:ascii="Arial" w:hAnsi="Arial" w:cs="Arial"/>
                <w:iCs/>
                <w:sz w:val="20"/>
                <w:szCs w:val="20"/>
              </w:rPr>
            </w:pPr>
            <w:r w:rsidRPr="00701A7C">
              <w:rPr>
                <w:rFonts w:ascii="Arial" w:hAnsi="Arial" w:cs="Arial"/>
                <w:iCs/>
                <w:sz w:val="20"/>
                <w:szCs w:val="20"/>
              </w:rPr>
              <w:t>Initial Procedure</w:t>
            </w:r>
          </w:p>
        </w:tc>
      </w:tr>
      <w:tr w:rsidR="00E902AC" w:rsidRPr="00701A7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E902AC" w:rsidRPr="00701A7C"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701A7C" w:rsidRDefault="00E902AC"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iCs/>
                <w:sz w:val="20"/>
                <w:szCs w:val="20"/>
              </w:rPr>
            </w:pPr>
          </w:p>
        </w:tc>
        <w:tc>
          <w:tcPr>
            <w:tcW w:w="2031"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iCs/>
                <w:sz w:val="20"/>
                <w:szCs w:val="20"/>
              </w:rPr>
            </w:pPr>
          </w:p>
        </w:tc>
        <w:tc>
          <w:tcPr>
            <w:tcW w:w="3189" w:type="dxa"/>
            <w:tcBorders>
              <w:top w:val="single" w:sz="4" w:space="0" w:color="auto"/>
              <w:left w:val="single" w:sz="4" w:space="0" w:color="auto"/>
              <w:bottom w:val="single" w:sz="4" w:space="0" w:color="auto"/>
              <w:right w:val="single" w:sz="4" w:space="0" w:color="auto"/>
            </w:tcBorders>
          </w:tcPr>
          <w:p w:rsidR="00E902AC" w:rsidRPr="00701A7C" w:rsidRDefault="00E902AC">
            <w:pPr>
              <w:jc w:val="left"/>
              <w:rPr>
                <w:rFonts w:ascii="Arial" w:hAnsi="Arial" w:cs="Arial"/>
                <w:iCs/>
                <w:sz w:val="20"/>
                <w:szCs w:val="20"/>
              </w:rPr>
            </w:pPr>
          </w:p>
        </w:tc>
      </w:tr>
      <w:tr w:rsidR="00E902AC" w:rsidTr="0054267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1798" w:type="dxa"/>
            <w:vMerge/>
            <w:tcBorders>
              <w:left w:val="nil"/>
              <w:bottom w:val="nil"/>
              <w:right w:val="nil"/>
            </w:tcBorders>
          </w:tcPr>
          <w:p w:rsidR="00E902AC" w:rsidRDefault="00E902AC">
            <w:pPr>
              <w:rPr>
                <w:rFonts w:ascii="Arial" w:hAnsi="Arial" w:cs="Arial"/>
                <w:b/>
                <w:bCs/>
                <w:color w:val="3366FF"/>
                <w:sz w:val="20"/>
              </w:rPr>
            </w:pPr>
          </w:p>
        </w:tc>
        <w:tc>
          <w:tcPr>
            <w:tcW w:w="9182" w:type="dxa"/>
            <w:gridSpan w:val="4"/>
            <w:tcBorders>
              <w:top w:val="single" w:sz="4" w:space="0" w:color="auto"/>
              <w:left w:val="nil"/>
              <w:bottom w:val="single" w:sz="18" w:space="0" w:color="A6A6A6"/>
              <w:right w:val="nil"/>
            </w:tcBorders>
          </w:tcPr>
          <w:p w:rsidR="00E902AC" w:rsidRDefault="00E902AC">
            <w:pPr>
              <w:jc w:val="left"/>
              <w:rPr>
                <w:rFonts w:ascii="Arial" w:hAnsi="Arial" w:cs="Arial"/>
                <w:b/>
                <w:bCs/>
                <w:iCs/>
                <w:sz w:val="20"/>
              </w:rPr>
            </w:pPr>
          </w:p>
        </w:tc>
      </w:tr>
    </w:tbl>
    <w:p w:rsidR="00E902AC" w:rsidRDefault="00E902AC">
      <w:pPr>
        <w:rPr>
          <w:rFonts w:ascii="Arial" w:hAnsi="Arial" w:cs="Arial"/>
          <w:sz w:val="20"/>
        </w:rPr>
      </w:pPr>
    </w:p>
    <w:sectPr w:rsidR="00E902AC">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E9" w:rsidRDefault="00074DE9">
      <w:r>
        <w:separator/>
      </w:r>
    </w:p>
  </w:endnote>
  <w:endnote w:type="continuationSeparator" w:id="0">
    <w:p w:rsidR="00074DE9" w:rsidRDefault="0007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64549D" w:rsidP="007051FE">
    <w:pPr>
      <w:ind w:left="-1260" w:right="-1260"/>
      <w:rPr>
        <w:rFonts w:ascii="Arial" w:hAnsi="Arial" w:cs="Arial"/>
        <w:sz w:val="16"/>
      </w:rPr>
    </w:pPr>
    <w:r>
      <w:rPr>
        <w:rFonts w:ascii="Arial" w:hAnsi="Arial" w:cs="Arial"/>
        <w:sz w:val="16"/>
      </w:rPr>
      <w:t>Laboratory, Chi</w:t>
    </w:r>
    <w:r w:rsidR="007051FE">
      <w:rPr>
        <w:rFonts w:ascii="Arial" w:hAnsi="Arial" w:cs="Arial"/>
        <w:sz w:val="16"/>
      </w:rPr>
      <w:t>ldren’s</w:t>
    </w:r>
    <w:r>
      <w:rPr>
        <w:rFonts w:ascii="Arial" w:hAnsi="Arial" w:cs="Arial"/>
        <w:sz w:val="16"/>
      </w:rPr>
      <w:t xml:space="preserve">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051FE">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051FE">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E9" w:rsidRDefault="00074DE9">
      <w:r>
        <w:separator/>
      </w:r>
    </w:p>
  </w:footnote>
  <w:footnote w:type="continuationSeparator" w:id="0">
    <w:p w:rsidR="00074DE9" w:rsidRDefault="00074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53191A">
    <w:pPr>
      <w:ind w:left="-1260" w:right="-1260"/>
      <w:rPr>
        <w:rFonts w:ascii="Arial" w:hAnsi="Arial" w:cs="Arial"/>
        <w:sz w:val="18"/>
      </w:rPr>
    </w:pPr>
    <w:r>
      <w:rPr>
        <w:rFonts w:ascii="Arial" w:hAnsi="Arial" w:cs="Arial"/>
        <w:sz w:val="18"/>
      </w:rPr>
      <w:t>CH 6.741</w:t>
    </w:r>
    <w:r w:rsidR="0064549D">
      <w:rPr>
        <w:rFonts w:ascii="Arial" w:hAnsi="Arial" w:cs="Arial"/>
        <w:sz w:val="18"/>
      </w:rPr>
      <w:t xml:space="preserve"> </w:t>
    </w:r>
    <w:r w:rsidR="00E35CFF">
      <w:rPr>
        <w:rFonts w:ascii="Arial" w:hAnsi="Arial" w:cs="Arial"/>
        <w:sz w:val="18"/>
      </w:rPr>
      <w:t>Rubella IgG</w:t>
    </w:r>
  </w:p>
  <w:p w:rsidR="0064549D" w:rsidRDefault="00974132">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684BE9">
      <w:rPr>
        <w:rFonts w:ascii="Arial" w:hAnsi="Arial" w:cs="Arial"/>
        <w:sz w:val="18"/>
      </w:rPr>
      <w:t xml:space="preserve">Version </w:t>
    </w:r>
    <w:r w:rsidR="00E35CFF">
      <w:rPr>
        <w:rFonts w:ascii="Arial" w:hAnsi="Arial" w:cs="Arial"/>
        <w:sz w:val="18"/>
      </w:rPr>
      <w:t>1</w:t>
    </w:r>
  </w:p>
  <w:p w:rsidR="0064549D" w:rsidRDefault="0064549D">
    <w:pPr>
      <w:ind w:left="-1260" w:right="-1260"/>
      <w:rPr>
        <w:rFonts w:ascii="Arial" w:hAnsi="Arial" w:cs="Arial"/>
        <w:sz w:val="18"/>
      </w:rPr>
    </w:pPr>
    <w:r>
      <w:rPr>
        <w:rFonts w:ascii="Arial" w:hAnsi="Arial" w:cs="Arial"/>
        <w:sz w:val="18"/>
      </w:rPr>
      <w:t>Effective Date</w:t>
    </w:r>
    <w:r w:rsidR="0028556F">
      <w:rPr>
        <w:rFonts w:ascii="Arial" w:hAnsi="Arial" w:cs="Arial"/>
        <w:sz w:val="18"/>
      </w:rPr>
      <w:t xml:space="preserve">: </w:t>
    </w:r>
    <w:r w:rsidR="0053191A">
      <w:rPr>
        <w:rFonts w:ascii="Arial" w:hAnsi="Arial" w:cs="Arial"/>
        <w:sz w:val="18"/>
      </w:rPr>
      <w:t>August 13, 2019</w:t>
    </w:r>
  </w:p>
  <w:p w:rsidR="0064549D" w:rsidRDefault="0064549D">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B180DB7"/>
    <w:multiLevelType w:val="hybridMultilevel"/>
    <w:tmpl w:val="BF6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463FB"/>
    <w:multiLevelType w:val="hybridMultilevel"/>
    <w:tmpl w:val="E11C6C5C"/>
    <w:lvl w:ilvl="0" w:tplc="DA02FA0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50D1C"/>
    <w:multiLevelType w:val="hybridMultilevel"/>
    <w:tmpl w:val="2828FAF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E2A66"/>
    <w:multiLevelType w:val="hybridMultilevel"/>
    <w:tmpl w:val="8C36555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8"/>
  </w:num>
  <w:num w:numId="5">
    <w:abstractNumId w:val="7"/>
  </w:num>
  <w:num w:numId="6">
    <w:abstractNumId w:val="2"/>
  </w:num>
  <w:num w:numId="7">
    <w:abstractNumId w:val="11"/>
  </w:num>
  <w:num w:numId="8">
    <w:abstractNumId w:val="15"/>
  </w:num>
  <w:num w:numId="9">
    <w:abstractNumId w:val="5"/>
  </w:num>
  <w:num w:numId="10">
    <w:abstractNumId w:val="6"/>
  </w:num>
  <w:num w:numId="11">
    <w:abstractNumId w:val="3"/>
  </w:num>
  <w:num w:numId="12">
    <w:abstractNumId w:val="10"/>
  </w:num>
  <w:num w:numId="13">
    <w:abstractNumId w:val="12"/>
  </w:num>
  <w:num w:numId="14">
    <w:abstractNumId w:val="4"/>
  </w:num>
  <w:num w:numId="15">
    <w:abstractNumId w:val="16"/>
  </w:num>
  <w:num w:numId="16">
    <w:abstractNumId w:val="9"/>
  </w:num>
  <w:num w:numId="17">
    <w:abstractNumId w:val="13"/>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E2"/>
    <w:rsid w:val="0003092E"/>
    <w:rsid w:val="000720C8"/>
    <w:rsid w:val="00074DE9"/>
    <w:rsid w:val="0009465A"/>
    <w:rsid w:val="000E2556"/>
    <w:rsid w:val="00234A5A"/>
    <w:rsid w:val="0028556F"/>
    <w:rsid w:val="003200F8"/>
    <w:rsid w:val="00351E2D"/>
    <w:rsid w:val="003A5E78"/>
    <w:rsid w:val="003B5E50"/>
    <w:rsid w:val="004E593B"/>
    <w:rsid w:val="0053191A"/>
    <w:rsid w:val="00542675"/>
    <w:rsid w:val="005A7AE2"/>
    <w:rsid w:val="005B186A"/>
    <w:rsid w:val="005B7BBD"/>
    <w:rsid w:val="005C545D"/>
    <w:rsid w:val="00601BB4"/>
    <w:rsid w:val="00606516"/>
    <w:rsid w:val="00631438"/>
    <w:rsid w:val="0064549D"/>
    <w:rsid w:val="00684BE9"/>
    <w:rsid w:val="006931B4"/>
    <w:rsid w:val="00694E57"/>
    <w:rsid w:val="00696475"/>
    <w:rsid w:val="00701A7C"/>
    <w:rsid w:val="007051FE"/>
    <w:rsid w:val="00764634"/>
    <w:rsid w:val="007C4B0B"/>
    <w:rsid w:val="00816C23"/>
    <w:rsid w:val="008227E2"/>
    <w:rsid w:val="00847874"/>
    <w:rsid w:val="008B0BC7"/>
    <w:rsid w:val="008D393F"/>
    <w:rsid w:val="00974132"/>
    <w:rsid w:val="00A10247"/>
    <w:rsid w:val="00A62DA7"/>
    <w:rsid w:val="00A6562A"/>
    <w:rsid w:val="00AE3917"/>
    <w:rsid w:val="00AF54C6"/>
    <w:rsid w:val="00AF6581"/>
    <w:rsid w:val="00BD5292"/>
    <w:rsid w:val="00CC010E"/>
    <w:rsid w:val="00D66860"/>
    <w:rsid w:val="00E23C22"/>
    <w:rsid w:val="00E24C5A"/>
    <w:rsid w:val="00E30AE3"/>
    <w:rsid w:val="00E35CFF"/>
    <w:rsid w:val="00E4154D"/>
    <w:rsid w:val="00E65DAB"/>
    <w:rsid w:val="00E902AC"/>
    <w:rsid w:val="00EA6D54"/>
    <w:rsid w:val="00ED2EB1"/>
    <w:rsid w:val="00ED332B"/>
    <w:rsid w:val="00ED53C2"/>
    <w:rsid w:val="00EF54CC"/>
    <w:rsid w:val="00F35AF9"/>
    <w:rsid w:val="00F4531B"/>
    <w:rsid w:val="00F72FB5"/>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B7EA7B-99FD-4BCF-B5BD-EDE7043F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Default">
    <w:name w:val="Default"/>
    <w:rsid w:val="008B0BC7"/>
    <w:pPr>
      <w:autoSpaceDE w:val="0"/>
      <w:autoSpaceDN w:val="0"/>
      <w:adjustRightInd w:val="0"/>
    </w:pPr>
    <w:rPr>
      <w:rFonts w:ascii="Arial" w:hAnsi="Arial" w:cs="Arial"/>
      <w:color w:val="000000"/>
      <w:sz w:val="24"/>
      <w:szCs w:val="24"/>
    </w:rPr>
  </w:style>
  <w:style w:type="paragraph" w:customStyle="1" w:styleId="SP200747">
    <w:name w:val="SP200747"/>
    <w:basedOn w:val="Default"/>
    <w:next w:val="Default"/>
    <w:uiPriority w:val="99"/>
    <w:rsid w:val="008B0BC7"/>
    <w:rPr>
      <w:color w:val="auto"/>
    </w:rPr>
  </w:style>
  <w:style w:type="character" w:customStyle="1" w:styleId="SC1645">
    <w:name w:val="SC1645"/>
    <w:uiPriority w:val="99"/>
    <w:rsid w:val="008B0BC7"/>
    <w:rPr>
      <w:color w:val="000000"/>
      <w:sz w:val="18"/>
      <w:szCs w:val="18"/>
    </w:rPr>
  </w:style>
  <w:style w:type="paragraph" w:styleId="BalloonText">
    <w:name w:val="Balloon Text"/>
    <w:basedOn w:val="Normal"/>
    <w:link w:val="BalloonTextChar"/>
    <w:uiPriority w:val="99"/>
    <w:semiHidden/>
    <w:unhideWhenUsed/>
    <w:rsid w:val="008D393F"/>
    <w:rPr>
      <w:rFonts w:ascii="Segoe UI" w:hAnsi="Segoe UI" w:cs="Segoe UI"/>
      <w:sz w:val="18"/>
      <w:szCs w:val="18"/>
    </w:rPr>
  </w:style>
  <w:style w:type="character" w:customStyle="1" w:styleId="BalloonTextChar">
    <w:name w:val="Balloon Text Char"/>
    <w:link w:val="BalloonText"/>
    <w:uiPriority w:val="99"/>
    <w:semiHidden/>
    <w:rsid w:val="008D393F"/>
    <w:rPr>
      <w:rFonts w:ascii="Segoe UI" w:hAnsi="Segoe UI" w:cs="Segoe UI"/>
      <w:sz w:val="18"/>
      <w:szCs w:val="18"/>
    </w:rPr>
  </w:style>
  <w:style w:type="character" w:customStyle="1" w:styleId="SC1608">
    <w:name w:val="SC1608"/>
    <w:uiPriority w:val="99"/>
    <w:rsid w:val="008D393F"/>
    <w:rPr>
      <w:b/>
      <w:bCs/>
      <w:color w:val="000000"/>
      <w:sz w:val="10"/>
      <w:szCs w:val="10"/>
    </w:rPr>
  </w:style>
  <w:style w:type="paragraph" w:styleId="ListParagraph">
    <w:name w:val="List Paragraph"/>
    <w:basedOn w:val="Normal"/>
    <w:uiPriority w:val="34"/>
    <w:qFormat/>
    <w:rsid w:val="003200F8"/>
    <w:pPr>
      <w:ind w:left="720"/>
      <w:contextualSpacing/>
      <w:jc w:val="left"/>
    </w:pPr>
    <w:rPr>
      <w:rFonts w:ascii="Arial" w:hAnsi="Arial"/>
      <w:sz w:val="20"/>
    </w:rPr>
  </w:style>
  <w:style w:type="character" w:styleId="Hyperlink">
    <w:name w:val="Hyperlink"/>
    <w:uiPriority w:val="99"/>
    <w:unhideWhenUsed/>
    <w:rsid w:val="003200F8"/>
    <w:rPr>
      <w:color w:val="0000FF"/>
      <w:u w:val="single"/>
    </w:rPr>
  </w:style>
  <w:style w:type="paragraph" w:customStyle="1" w:styleId="SP200770">
    <w:name w:val="SP200770"/>
    <w:basedOn w:val="Default"/>
    <w:next w:val="Default"/>
    <w:uiPriority w:val="99"/>
    <w:rsid w:val="00606516"/>
    <w:rPr>
      <w:color w:val="auto"/>
    </w:rPr>
  </w:style>
  <w:style w:type="paragraph" w:customStyle="1" w:styleId="SP200764">
    <w:name w:val="SP200764"/>
    <w:basedOn w:val="Default"/>
    <w:next w:val="Default"/>
    <w:uiPriority w:val="99"/>
    <w:rsid w:val="00606516"/>
    <w:rPr>
      <w:color w:val="auto"/>
    </w:rPr>
  </w:style>
  <w:style w:type="character" w:customStyle="1" w:styleId="SC1652">
    <w:name w:val="SC1652"/>
    <w:uiPriority w:val="99"/>
    <w:rsid w:val="00606516"/>
    <w:rPr>
      <w:color w:val="000000"/>
      <w:sz w:val="18"/>
      <w:szCs w:val="18"/>
    </w:rPr>
  </w:style>
  <w:style w:type="paragraph" w:customStyle="1" w:styleId="SP200750">
    <w:name w:val="SP200750"/>
    <w:basedOn w:val="Default"/>
    <w:next w:val="Default"/>
    <w:uiPriority w:val="99"/>
    <w:rsid w:val="006065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28</TotalTime>
  <Pages>5</Pages>
  <Words>2106</Words>
  <Characters>12383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CMV IgM</vt:lpstr>
    </vt:vector>
  </TitlesOfParts>
  <Company>Children's Hospitals and Clinics of MN</Company>
  <LinksUpToDate>false</LinksUpToDate>
  <CharactersWithSpaces>14461</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IgM</dc:title>
  <dc:subject/>
  <dc:creator>Stephen Gripentrog</dc:creator>
  <cp:keywords/>
  <cp:lastModifiedBy>Erin Bartos</cp:lastModifiedBy>
  <cp:revision>4</cp:revision>
  <cp:lastPrinted>2011-08-22T19:25:00Z</cp:lastPrinted>
  <dcterms:created xsi:type="dcterms:W3CDTF">2019-08-12T15:17:00Z</dcterms:created>
  <dcterms:modified xsi:type="dcterms:W3CDTF">2019-08-12T15:45:00Z</dcterms:modified>
</cp:coreProperties>
</file>