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4322"/>
        <w:gridCol w:w="2703"/>
        <w:gridCol w:w="2157"/>
        <w:gridCol w:w="127"/>
      </w:tblGrid>
      <w:tr w:rsidR="00E902AC" w:rsidTr="00606516">
        <w:trPr>
          <w:gridAfter w:val="1"/>
          <w:wAfter w:w="127" w:type="dxa"/>
          <w:cantSplit/>
        </w:trPr>
        <w:tc>
          <w:tcPr>
            <w:tcW w:w="10980" w:type="dxa"/>
            <w:gridSpan w:val="4"/>
            <w:tcBorders>
              <w:top w:val="nil"/>
              <w:left w:val="nil"/>
              <w:bottom w:val="nil"/>
              <w:right w:val="nil"/>
            </w:tcBorders>
          </w:tcPr>
          <w:p w:rsidR="00E902AC" w:rsidRDefault="00F60E6D">
            <w:pPr>
              <w:rPr>
                <w:rFonts w:ascii="Arial" w:hAnsi="Arial" w:cs="Arial"/>
                <w:b/>
                <w:bCs/>
                <w:color w:val="0000FF"/>
                <w:sz w:val="36"/>
              </w:rPr>
            </w:pPr>
            <w:r>
              <w:rPr>
                <w:rFonts w:ascii="Arial" w:hAnsi="Arial" w:cs="Arial"/>
                <w:b/>
                <w:bCs/>
                <w:color w:val="0000FF"/>
                <w:sz w:val="36"/>
              </w:rPr>
              <w:t>Measles IgG</w:t>
            </w:r>
          </w:p>
          <w:p w:rsidR="00E902AC" w:rsidRDefault="00E902AC">
            <w:pPr>
              <w:pStyle w:val="BodyText"/>
              <w:rPr>
                <w:rFonts w:ascii="Arial" w:hAnsi="Arial" w:cs="Arial"/>
                <w:sz w:val="24"/>
              </w:rPr>
            </w:pPr>
          </w:p>
        </w:tc>
      </w:tr>
      <w:tr w:rsidR="00E902AC" w:rsidRPr="00D65DBF" w:rsidTr="00606516">
        <w:trPr>
          <w:gridAfter w:val="1"/>
          <w:wAfter w:w="127" w:type="dxa"/>
          <w:cantSplit/>
          <w:trHeight w:val="818"/>
        </w:trPr>
        <w:tc>
          <w:tcPr>
            <w:tcW w:w="1798" w:type="dxa"/>
            <w:tcBorders>
              <w:top w:val="nil"/>
              <w:left w:val="nil"/>
              <w:bottom w:val="nil"/>
              <w:right w:val="nil"/>
            </w:tcBorders>
          </w:tcPr>
          <w:p w:rsidR="00E902AC" w:rsidRPr="00D65DBF" w:rsidRDefault="00E902AC">
            <w:pPr>
              <w:rPr>
                <w:rFonts w:ascii="Arial" w:hAnsi="Arial" w:cs="Arial"/>
                <w:b/>
                <w:bCs/>
                <w:color w:val="0000FF"/>
                <w:sz w:val="20"/>
                <w:szCs w:val="20"/>
              </w:rPr>
            </w:pPr>
          </w:p>
          <w:p w:rsidR="00E902AC" w:rsidRPr="00D65DBF" w:rsidRDefault="00E902AC">
            <w:pPr>
              <w:jc w:val="left"/>
              <w:rPr>
                <w:rFonts w:ascii="Arial" w:hAnsi="Arial" w:cs="Arial"/>
                <w:b/>
                <w:bCs/>
                <w:color w:val="0000FF"/>
                <w:sz w:val="20"/>
                <w:szCs w:val="20"/>
              </w:rPr>
            </w:pPr>
            <w:r w:rsidRPr="00D65DBF">
              <w:rPr>
                <w:rFonts w:ascii="Arial" w:hAnsi="Arial" w:cs="Arial"/>
                <w:b/>
                <w:bCs/>
                <w:color w:val="0000FF"/>
                <w:sz w:val="20"/>
                <w:szCs w:val="20"/>
              </w:rPr>
              <w:t>Purpose</w:t>
            </w:r>
          </w:p>
        </w:tc>
        <w:tc>
          <w:tcPr>
            <w:tcW w:w="9182" w:type="dxa"/>
            <w:gridSpan w:val="3"/>
            <w:tcBorders>
              <w:top w:val="single" w:sz="18" w:space="0" w:color="A6A6A6"/>
              <w:left w:val="nil"/>
              <w:bottom w:val="single" w:sz="18" w:space="0" w:color="A6A6A6"/>
              <w:right w:val="nil"/>
            </w:tcBorders>
          </w:tcPr>
          <w:p w:rsidR="00E902AC" w:rsidRPr="00D65DBF" w:rsidRDefault="00E902AC">
            <w:pPr>
              <w:rPr>
                <w:rFonts w:ascii="Arial" w:hAnsi="Arial" w:cs="Arial"/>
                <w:sz w:val="20"/>
                <w:szCs w:val="20"/>
              </w:rPr>
            </w:pPr>
          </w:p>
          <w:p w:rsidR="00E902AC" w:rsidRPr="00D65DBF" w:rsidRDefault="00E902AC" w:rsidP="00BA160D">
            <w:pPr>
              <w:rPr>
                <w:rFonts w:ascii="Arial" w:hAnsi="Arial" w:cs="Arial"/>
                <w:sz w:val="20"/>
                <w:szCs w:val="20"/>
              </w:rPr>
            </w:pPr>
            <w:r w:rsidRPr="00D65DBF">
              <w:rPr>
                <w:rFonts w:ascii="Arial" w:hAnsi="Arial" w:cs="Arial"/>
                <w:sz w:val="20"/>
                <w:szCs w:val="20"/>
              </w:rPr>
              <w:t xml:space="preserve">This procedure provides instructions for performing </w:t>
            </w:r>
            <w:r w:rsidR="00BA160D" w:rsidRPr="00D65DBF">
              <w:rPr>
                <w:rFonts w:ascii="Arial" w:hAnsi="Arial" w:cs="Arial"/>
                <w:sz w:val="20"/>
                <w:szCs w:val="20"/>
              </w:rPr>
              <w:t>Measles IgG</w:t>
            </w:r>
            <w:r w:rsidRPr="00D65DBF">
              <w:rPr>
                <w:rFonts w:ascii="Arial" w:hAnsi="Arial" w:cs="Arial"/>
                <w:sz w:val="20"/>
                <w:szCs w:val="20"/>
              </w:rPr>
              <w:t xml:space="preserve"> on the DIASORIN LIAISON</w:t>
            </w:r>
            <w:r w:rsidR="00684BE9" w:rsidRPr="00D65DBF">
              <w:rPr>
                <w:rFonts w:ascii="Arial" w:hAnsi="Arial" w:cs="Arial"/>
                <w:sz w:val="20"/>
                <w:szCs w:val="20"/>
              </w:rPr>
              <w:t xml:space="preserve"> XL</w:t>
            </w:r>
            <w:r w:rsidRPr="00D65DBF">
              <w:rPr>
                <w:rFonts w:ascii="Arial" w:hAnsi="Arial" w:cs="Arial"/>
                <w:sz w:val="20"/>
                <w:szCs w:val="20"/>
              </w:rPr>
              <w:t>.</w:t>
            </w:r>
          </w:p>
        </w:tc>
      </w:tr>
      <w:tr w:rsidR="00E902AC" w:rsidRPr="00D65DBF" w:rsidTr="00606516">
        <w:trPr>
          <w:gridAfter w:val="1"/>
          <w:wAfter w:w="127" w:type="dxa"/>
          <w:cantSplit/>
          <w:trHeight w:val="330"/>
        </w:trPr>
        <w:tc>
          <w:tcPr>
            <w:tcW w:w="1798" w:type="dxa"/>
            <w:tcBorders>
              <w:top w:val="nil"/>
              <w:left w:val="nil"/>
              <w:bottom w:val="nil"/>
              <w:right w:val="nil"/>
            </w:tcBorders>
          </w:tcPr>
          <w:p w:rsidR="00E902AC" w:rsidRPr="00D65DBF" w:rsidRDefault="00E902AC">
            <w:pPr>
              <w:jc w:val="left"/>
              <w:rPr>
                <w:rFonts w:ascii="Arial" w:hAnsi="Arial" w:cs="Arial"/>
                <w:b/>
                <w:bCs/>
                <w:color w:val="0000FF"/>
                <w:sz w:val="20"/>
                <w:szCs w:val="20"/>
              </w:rPr>
            </w:pPr>
          </w:p>
          <w:p w:rsidR="00E902AC" w:rsidRPr="00D65DBF" w:rsidRDefault="00E902AC">
            <w:pPr>
              <w:jc w:val="left"/>
              <w:rPr>
                <w:rFonts w:ascii="Arial" w:hAnsi="Arial" w:cs="Arial"/>
                <w:b/>
                <w:bCs/>
                <w:color w:val="0000FF"/>
                <w:sz w:val="20"/>
                <w:szCs w:val="20"/>
              </w:rPr>
            </w:pPr>
            <w:r w:rsidRPr="00D65DBF">
              <w:rPr>
                <w:rFonts w:ascii="Arial" w:hAnsi="Arial" w:cs="Arial"/>
                <w:b/>
                <w:bCs/>
                <w:color w:val="0000FF"/>
                <w:sz w:val="20"/>
                <w:szCs w:val="20"/>
              </w:rPr>
              <w:t>Policy Statements</w:t>
            </w:r>
          </w:p>
        </w:tc>
        <w:tc>
          <w:tcPr>
            <w:tcW w:w="9182" w:type="dxa"/>
            <w:gridSpan w:val="3"/>
            <w:tcBorders>
              <w:top w:val="single" w:sz="18" w:space="0" w:color="A6A6A6"/>
              <w:left w:val="nil"/>
              <w:bottom w:val="single" w:sz="18" w:space="0" w:color="A6A6A6"/>
              <w:right w:val="nil"/>
            </w:tcBorders>
          </w:tcPr>
          <w:p w:rsidR="00E902AC" w:rsidRPr="00D65DBF" w:rsidRDefault="00E902AC">
            <w:pPr>
              <w:rPr>
                <w:rFonts w:ascii="Arial" w:hAnsi="Arial" w:cs="Arial"/>
                <w:iCs/>
                <w:sz w:val="20"/>
                <w:szCs w:val="20"/>
              </w:rPr>
            </w:pPr>
          </w:p>
          <w:p w:rsidR="00E902AC" w:rsidRPr="00D65DBF" w:rsidRDefault="00E902AC">
            <w:pPr>
              <w:rPr>
                <w:rFonts w:ascii="Arial" w:hAnsi="Arial" w:cs="Arial"/>
                <w:iCs/>
                <w:sz w:val="20"/>
                <w:szCs w:val="20"/>
              </w:rPr>
            </w:pPr>
            <w:r w:rsidRPr="00D65DBF">
              <w:rPr>
                <w:rFonts w:ascii="Arial" w:hAnsi="Arial" w:cs="Arial"/>
                <w:sz w:val="20"/>
                <w:szCs w:val="20"/>
              </w:rPr>
              <w:t xml:space="preserve">This procedure applies to all laboratory technical staff responsible for performing </w:t>
            </w:r>
            <w:r w:rsidR="00BA160D" w:rsidRPr="00D65DBF">
              <w:rPr>
                <w:rFonts w:ascii="Arial" w:hAnsi="Arial" w:cs="Arial"/>
                <w:sz w:val="20"/>
                <w:szCs w:val="20"/>
              </w:rPr>
              <w:t>Measles IgG</w:t>
            </w:r>
            <w:r w:rsidRPr="00D65DBF">
              <w:rPr>
                <w:rFonts w:ascii="Arial" w:hAnsi="Arial" w:cs="Arial"/>
                <w:sz w:val="20"/>
                <w:szCs w:val="20"/>
              </w:rPr>
              <w:t xml:space="preserve"> testing on the DiaSorin Liaison</w:t>
            </w:r>
            <w:r w:rsidR="00684BE9" w:rsidRPr="00D65DBF">
              <w:rPr>
                <w:rFonts w:ascii="Arial" w:hAnsi="Arial" w:cs="Arial"/>
                <w:sz w:val="20"/>
                <w:szCs w:val="20"/>
              </w:rPr>
              <w:t xml:space="preserve"> XL</w:t>
            </w:r>
            <w:r w:rsidRPr="00D65DBF">
              <w:rPr>
                <w:rFonts w:ascii="Arial" w:hAnsi="Arial" w:cs="Arial"/>
                <w:sz w:val="20"/>
                <w:szCs w:val="20"/>
              </w:rPr>
              <w:t>.</w:t>
            </w:r>
          </w:p>
          <w:p w:rsidR="00E902AC" w:rsidRPr="00D65DBF" w:rsidRDefault="00E902AC">
            <w:pPr>
              <w:rPr>
                <w:rFonts w:ascii="Arial" w:hAnsi="Arial" w:cs="Arial"/>
                <w:iCs/>
                <w:sz w:val="20"/>
                <w:szCs w:val="20"/>
              </w:rPr>
            </w:pPr>
          </w:p>
        </w:tc>
      </w:tr>
      <w:tr w:rsidR="00E902AC" w:rsidRPr="00D65DBF" w:rsidTr="00BA160D">
        <w:trPr>
          <w:gridAfter w:val="1"/>
          <w:wAfter w:w="127" w:type="dxa"/>
          <w:cantSplit/>
          <w:trHeight w:val="2421"/>
        </w:trPr>
        <w:tc>
          <w:tcPr>
            <w:tcW w:w="1798" w:type="dxa"/>
            <w:tcBorders>
              <w:top w:val="nil"/>
              <w:left w:val="nil"/>
              <w:bottom w:val="nil"/>
              <w:right w:val="nil"/>
            </w:tcBorders>
          </w:tcPr>
          <w:p w:rsidR="00E902AC" w:rsidRPr="00D65DBF" w:rsidRDefault="00E902AC">
            <w:pPr>
              <w:rPr>
                <w:rFonts w:ascii="Arial" w:hAnsi="Arial" w:cs="Arial"/>
                <w:b/>
                <w:bCs/>
                <w:color w:val="0000FF"/>
                <w:sz w:val="20"/>
                <w:szCs w:val="20"/>
              </w:rPr>
            </w:pPr>
          </w:p>
          <w:p w:rsidR="00E902AC" w:rsidRPr="00D65DBF" w:rsidRDefault="00E902AC">
            <w:pPr>
              <w:rPr>
                <w:rFonts w:ascii="Arial" w:hAnsi="Arial" w:cs="Arial"/>
                <w:b/>
                <w:bCs/>
                <w:color w:val="0000FF"/>
                <w:sz w:val="20"/>
                <w:szCs w:val="20"/>
              </w:rPr>
            </w:pPr>
            <w:r w:rsidRPr="00D65DBF">
              <w:rPr>
                <w:rFonts w:ascii="Arial" w:hAnsi="Arial" w:cs="Arial"/>
                <w:b/>
                <w:bCs/>
                <w:color w:val="0000FF"/>
                <w:sz w:val="20"/>
                <w:szCs w:val="20"/>
              </w:rPr>
              <w:t>Principle</w:t>
            </w:r>
          </w:p>
          <w:p w:rsidR="00E902AC" w:rsidRPr="00D65DBF" w:rsidRDefault="00E902AC">
            <w:pPr>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BA160D" w:rsidRPr="00D65DBF" w:rsidRDefault="00BA160D" w:rsidP="00BA160D">
            <w:pPr>
              <w:rPr>
                <w:rStyle w:val="SC86045"/>
                <w:rFonts w:ascii="Arial" w:hAnsi="Arial" w:cs="Arial"/>
                <w:sz w:val="20"/>
                <w:szCs w:val="20"/>
              </w:rPr>
            </w:pPr>
          </w:p>
          <w:p w:rsidR="00E902AC" w:rsidRPr="00D65DBF" w:rsidRDefault="00BA160D" w:rsidP="00D65DBF">
            <w:pPr>
              <w:rPr>
                <w:rFonts w:ascii="Arial" w:hAnsi="Arial" w:cs="Arial"/>
                <w:iCs/>
                <w:sz w:val="20"/>
                <w:szCs w:val="20"/>
              </w:rPr>
            </w:pPr>
            <w:r w:rsidRPr="00D65DBF">
              <w:rPr>
                <w:rFonts w:ascii="Arial" w:hAnsi="Arial" w:cs="Arial"/>
                <w:sz w:val="20"/>
                <w:szCs w:val="20"/>
              </w:rPr>
              <w:t>The method for qualitative determination of specific IgG to measles virus is an indirect chemiluminescence immunoassay (CLIA).</w:t>
            </w:r>
            <w:r w:rsidR="00D65DBF">
              <w:rPr>
                <w:rFonts w:ascii="Arial" w:hAnsi="Arial" w:cs="Arial"/>
                <w:sz w:val="20"/>
                <w:szCs w:val="20"/>
              </w:rPr>
              <w:t xml:space="preserve"> </w:t>
            </w:r>
            <w:r w:rsidRPr="00D65DBF">
              <w:rPr>
                <w:rFonts w:ascii="Arial" w:hAnsi="Arial" w:cs="Arial"/>
                <w:sz w:val="20"/>
                <w:szCs w:val="20"/>
              </w:rPr>
              <w:t xml:space="preserve"> The principal components of the test are magnetic particles (solid phase) coated with recombinant antigen and a conjugate of mouse monoclonal antibody to human IgG linked to an isoluminol derivative (isoluminol-antibody conjugate).</w:t>
            </w:r>
            <w:r w:rsidR="00D65DBF">
              <w:rPr>
                <w:rFonts w:ascii="Arial" w:hAnsi="Arial" w:cs="Arial"/>
                <w:sz w:val="20"/>
                <w:szCs w:val="20"/>
              </w:rPr>
              <w:t xml:space="preserve">  </w:t>
            </w:r>
            <w:r w:rsidRPr="00D65DBF">
              <w:rPr>
                <w:rFonts w:ascii="Arial" w:hAnsi="Arial" w:cs="Arial"/>
                <w:sz w:val="20"/>
                <w:szCs w:val="20"/>
              </w:rPr>
              <w:t xml:space="preserve">During the first incubation, measles virus antibodies present in calibrators, samples or controls bind to the solid phase. </w:t>
            </w:r>
            <w:r w:rsidR="00D65DBF">
              <w:rPr>
                <w:rFonts w:ascii="Arial" w:hAnsi="Arial" w:cs="Arial"/>
                <w:sz w:val="20"/>
                <w:szCs w:val="20"/>
              </w:rPr>
              <w:t xml:space="preserve"> </w:t>
            </w:r>
            <w:r w:rsidRPr="00D65DBF">
              <w:rPr>
                <w:rFonts w:ascii="Arial" w:hAnsi="Arial" w:cs="Arial"/>
                <w:sz w:val="20"/>
                <w:szCs w:val="20"/>
              </w:rPr>
              <w:t xml:space="preserve">During the second incubation, the antibody conjugate reacts with measles virus IgG that is already bound to the solid phase. </w:t>
            </w:r>
            <w:r w:rsidR="00D65DBF">
              <w:rPr>
                <w:rFonts w:ascii="Arial" w:hAnsi="Arial" w:cs="Arial"/>
                <w:sz w:val="20"/>
                <w:szCs w:val="20"/>
              </w:rPr>
              <w:t xml:space="preserve"> </w:t>
            </w:r>
            <w:r w:rsidRPr="00D65DBF">
              <w:rPr>
                <w:rFonts w:ascii="Arial" w:hAnsi="Arial" w:cs="Arial"/>
                <w:sz w:val="20"/>
                <w:szCs w:val="20"/>
              </w:rPr>
              <w:t xml:space="preserve">After each incubation, unbound material is removed with a wash cycle. </w:t>
            </w:r>
            <w:r w:rsidR="00D65DBF">
              <w:rPr>
                <w:rFonts w:ascii="Arial" w:hAnsi="Arial" w:cs="Arial"/>
                <w:sz w:val="20"/>
                <w:szCs w:val="20"/>
              </w:rPr>
              <w:t xml:space="preserve"> </w:t>
            </w:r>
            <w:r w:rsidRPr="00D65DBF">
              <w:rPr>
                <w:rFonts w:ascii="Arial" w:hAnsi="Arial" w:cs="Arial"/>
                <w:sz w:val="20"/>
                <w:szCs w:val="20"/>
              </w:rPr>
              <w:t xml:space="preserve">Subsequently, the starter reagents are added and a flash chemiluminescence reaction is thus induced. </w:t>
            </w:r>
            <w:r w:rsidR="00D65DBF">
              <w:rPr>
                <w:rFonts w:ascii="Arial" w:hAnsi="Arial" w:cs="Arial"/>
                <w:sz w:val="20"/>
                <w:szCs w:val="20"/>
              </w:rPr>
              <w:t xml:space="preserve"> </w:t>
            </w:r>
            <w:r w:rsidRPr="00D65DBF">
              <w:rPr>
                <w:rFonts w:ascii="Arial" w:hAnsi="Arial" w:cs="Arial"/>
                <w:sz w:val="20"/>
                <w:szCs w:val="20"/>
              </w:rPr>
              <w:t>The light signal, and hence the amount of isoluminol-antibody conjugate, is measured by a photomultiplier as relative light units (RLU) and indicates the presence or absence of IgG to measles virus in calibrators, samples or controls</w:t>
            </w:r>
            <w:r w:rsidRPr="00D65DBF">
              <w:rPr>
                <w:rStyle w:val="SC86045"/>
                <w:rFonts w:ascii="Arial" w:hAnsi="Arial" w:cs="Arial"/>
                <w:sz w:val="20"/>
                <w:szCs w:val="20"/>
              </w:rPr>
              <w:t>.</w:t>
            </w:r>
          </w:p>
        </w:tc>
      </w:tr>
      <w:tr w:rsidR="00E902AC" w:rsidRPr="00D65DBF" w:rsidTr="00606516">
        <w:trPr>
          <w:gridAfter w:val="1"/>
          <w:wAfter w:w="127" w:type="dxa"/>
          <w:cantSplit/>
          <w:trHeight w:val="6015"/>
        </w:trPr>
        <w:tc>
          <w:tcPr>
            <w:tcW w:w="1798" w:type="dxa"/>
            <w:tcBorders>
              <w:top w:val="nil"/>
              <w:left w:val="nil"/>
              <w:bottom w:val="nil"/>
              <w:right w:val="nil"/>
            </w:tcBorders>
          </w:tcPr>
          <w:p w:rsidR="00E902AC" w:rsidRPr="00D65DBF" w:rsidRDefault="00E902AC">
            <w:pPr>
              <w:rPr>
                <w:rFonts w:ascii="Arial" w:hAnsi="Arial" w:cs="Arial"/>
                <w:b/>
                <w:bCs/>
                <w:color w:val="0000FF"/>
                <w:sz w:val="20"/>
                <w:szCs w:val="20"/>
              </w:rPr>
            </w:pPr>
          </w:p>
          <w:p w:rsidR="00E902AC" w:rsidRPr="00D65DBF" w:rsidRDefault="00E902AC">
            <w:pPr>
              <w:rPr>
                <w:rFonts w:ascii="Arial" w:hAnsi="Arial" w:cs="Arial"/>
                <w:b/>
                <w:bCs/>
                <w:color w:val="0000FF"/>
                <w:sz w:val="20"/>
                <w:szCs w:val="20"/>
              </w:rPr>
            </w:pPr>
            <w:r w:rsidRPr="00D65DBF">
              <w:rPr>
                <w:rFonts w:ascii="Arial" w:hAnsi="Arial" w:cs="Arial"/>
                <w:b/>
                <w:bCs/>
                <w:color w:val="0000FF"/>
                <w:sz w:val="20"/>
                <w:szCs w:val="20"/>
              </w:rPr>
              <w:t>Clinical Significance</w:t>
            </w:r>
          </w:p>
        </w:tc>
        <w:tc>
          <w:tcPr>
            <w:tcW w:w="9182" w:type="dxa"/>
            <w:gridSpan w:val="3"/>
            <w:tcBorders>
              <w:top w:val="single" w:sz="18" w:space="0" w:color="A6A6A6"/>
              <w:left w:val="nil"/>
              <w:bottom w:val="single" w:sz="18" w:space="0" w:color="A6A6A6"/>
              <w:right w:val="nil"/>
            </w:tcBorders>
          </w:tcPr>
          <w:p w:rsidR="00BA160D" w:rsidRPr="00D65DBF" w:rsidRDefault="00BA160D" w:rsidP="00BA160D">
            <w:pPr>
              <w:pStyle w:val="SP270776"/>
              <w:spacing w:before="40"/>
              <w:jc w:val="both"/>
              <w:rPr>
                <w:rStyle w:val="SC86045"/>
                <w:sz w:val="20"/>
                <w:szCs w:val="20"/>
              </w:rPr>
            </w:pPr>
          </w:p>
          <w:p w:rsidR="00BA160D" w:rsidRDefault="00BA160D" w:rsidP="00B7370D">
            <w:pPr>
              <w:rPr>
                <w:rFonts w:ascii="Arial" w:hAnsi="Arial" w:cs="Arial"/>
                <w:sz w:val="20"/>
                <w:szCs w:val="20"/>
              </w:rPr>
            </w:pPr>
            <w:r w:rsidRPr="00D65DBF">
              <w:rPr>
                <w:rFonts w:ascii="Arial" w:hAnsi="Arial" w:cs="Arial"/>
                <w:sz w:val="20"/>
                <w:szCs w:val="20"/>
              </w:rPr>
              <w:t>Measles is an acute viral illness caused by a morbillivirus of the paramyxovirus family and is one of the most easily transmitted diseases.</w:t>
            </w:r>
            <w:r w:rsidR="00D65DBF">
              <w:rPr>
                <w:rFonts w:ascii="Arial" w:hAnsi="Arial" w:cs="Arial"/>
                <w:sz w:val="20"/>
                <w:szCs w:val="20"/>
              </w:rPr>
              <w:t xml:space="preserve"> </w:t>
            </w:r>
            <w:r w:rsidRPr="00D65DBF">
              <w:rPr>
                <w:rFonts w:ascii="Arial" w:hAnsi="Arial" w:cs="Arial"/>
                <w:sz w:val="20"/>
                <w:szCs w:val="20"/>
              </w:rPr>
              <w:t xml:space="preserve"> Transmission is primarily by large droplet spread or direct contact with nasal or throat secretions from an infected person. </w:t>
            </w:r>
          </w:p>
          <w:p w:rsidR="00886799" w:rsidRPr="00D65DBF" w:rsidRDefault="00886799" w:rsidP="00B7370D">
            <w:pPr>
              <w:rPr>
                <w:rFonts w:ascii="Arial" w:hAnsi="Arial" w:cs="Arial"/>
                <w:sz w:val="20"/>
                <w:szCs w:val="20"/>
              </w:rPr>
            </w:pPr>
          </w:p>
          <w:p w:rsidR="00BA160D" w:rsidRDefault="00BA160D" w:rsidP="00B7370D">
            <w:pPr>
              <w:rPr>
                <w:rFonts w:ascii="Arial" w:hAnsi="Arial" w:cs="Arial"/>
                <w:sz w:val="20"/>
                <w:szCs w:val="20"/>
              </w:rPr>
            </w:pPr>
            <w:r w:rsidRPr="00D65DBF">
              <w:rPr>
                <w:rFonts w:ascii="Arial" w:hAnsi="Arial" w:cs="Arial"/>
                <w:sz w:val="20"/>
                <w:szCs w:val="20"/>
              </w:rPr>
              <w:t xml:space="preserve">After infection, measles virus invades the respiratory epithelium of the nasopharynx and spreads to the regional lymph nodes. </w:t>
            </w:r>
            <w:r w:rsidR="00D65DBF">
              <w:rPr>
                <w:rFonts w:ascii="Arial" w:hAnsi="Arial" w:cs="Arial"/>
                <w:sz w:val="20"/>
                <w:szCs w:val="20"/>
              </w:rPr>
              <w:t xml:space="preserve"> </w:t>
            </w:r>
            <w:r w:rsidRPr="00D65DBF">
              <w:rPr>
                <w:rFonts w:ascii="Arial" w:hAnsi="Arial" w:cs="Arial"/>
                <w:sz w:val="20"/>
                <w:szCs w:val="20"/>
              </w:rPr>
              <w:t xml:space="preserve">After two to three days of replication in these sites, primary viremia widens </w:t>
            </w:r>
            <w:r w:rsidR="00051A8F" w:rsidRPr="00D65DBF">
              <w:rPr>
                <w:rFonts w:ascii="Arial" w:hAnsi="Arial" w:cs="Arial"/>
                <w:sz w:val="20"/>
                <w:szCs w:val="20"/>
              </w:rPr>
              <w:t xml:space="preserve">the infection to the </w:t>
            </w:r>
            <w:proofErr w:type="spellStart"/>
            <w:r w:rsidR="00051A8F" w:rsidRPr="00D65DBF">
              <w:rPr>
                <w:rFonts w:ascii="Arial" w:hAnsi="Arial" w:cs="Arial"/>
                <w:sz w:val="20"/>
                <w:szCs w:val="20"/>
              </w:rPr>
              <w:t>reticulo</w:t>
            </w:r>
            <w:proofErr w:type="spellEnd"/>
            <w:r w:rsidR="00051A8F" w:rsidRPr="00D65DBF">
              <w:rPr>
                <w:rFonts w:ascii="Arial" w:hAnsi="Arial" w:cs="Arial"/>
                <w:sz w:val="20"/>
                <w:szCs w:val="20"/>
              </w:rPr>
              <w:t>-</w:t>
            </w:r>
            <w:r w:rsidRPr="00D65DBF">
              <w:rPr>
                <w:rFonts w:ascii="Arial" w:hAnsi="Arial" w:cs="Arial"/>
                <w:sz w:val="20"/>
                <w:szCs w:val="20"/>
              </w:rPr>
              <w:t xml:space="preserve">endothelial system. </w:t>
            </w:r>
            <w:r w:rsidR="00D65DBF">
              <w:rPr>
                <w:rFonts w:ascii="Arial" w:hAnsi="Arial" w:cs="Arial"/>
                <w:sz w:val="20"/>
                <w:szCs w:val="20"/>
              </w:rPr>
              <w:t xml:space="preserve"> </w:t>
            </w:r>
            <w:r w:rsidRPr="00D65DBF">
              <w:rPr>
                <w:rFonts w:ascii="Arial" w:hAnsi="Arial" w:cs="Arial"/>
                <w:sz w:val="20"/>
                <w:szCs w:val="20"/>
              </w:rPr>
              <w:t xml:space="preserve">Following further replication, secondary viremia occurs five to seven days after infection and lasts four to seven days. During this viremia, infection and further virus replication may occur in skin, conjunctivae, respiratory tract and other organs, including spleen, thymus, lung, liver, and kidney. </w:t>
            </w:r>
            <w:r w:rsidR="00D65DBF">
              <w:rPr>
                <w:rFonts w:ascii="Arial" w:hAnsi="Arial" w:cs="Arial"/>
                <w:sz w:val="20"/>
                <w:szCs w:val="20"/>
              </w:rPr>
              <w:t xml:space="preserve"> </w:t>
            </w:r>
            <w:r w:rsidRPr="00D65DBF">
              <w:rPr>
                <w:rFonts w:ascii="Arial" w:hAnsi="Arial" w:cs="Arial"/>
                <w:sz w:val="20"/>
                <w:szCs w:val="20"/>
              </w:rPr>
              <w:t>Viremia peaks 11-14 days after infection, and then declines rapidly over a few days.</w:t>
            </w:r>
          </w:p>
          <w:p w:rsidR="00886799" w:rsidRPr="00D65DBF" w:rsidRDefault="00886799" w:rsidP="00B7370D">
            <w:pPr>
              <w:rPr>
                <w:rFonts w:ascii="Arial" w:hAnsi="Arial" w:cs="Arial"/>
                <w:sz w:val="20"/>
                <w:szCs w:val="20"/>
              </w:rPr>
            </w:pPr>
          </w:p>
          <w:p w:rsidR="00BA160D" w:rsidRDefault="00BA160D" w:rsidP="00B7370D">
            <w:pPr>
              <w:rPr>
                <w:rFonts w:ascii="Arial" w:hAnsi="Arial" w:cs="Arial"/>
                <w:sz w:val="20"/>
                <w:szCs w:val="20"/>
              </w:rPr>
            </w:pPr>
            <w:r w:rsidRPr="00D65DBF">
              <w:rPr>
                <w:rFonts w:ascii="Arial" w:hAnsi="Arial" w:cs="Arial"/>
                <w:sz w:val="20"/>
                <w:szCs w:val="20"/>
              </w:rPr>
              <w:t>Prior to vaccine availability, measles was mostly a disease of childhood, but measles vaccination programs (part of measles, mumps, rubella, varicella [MMRV] vaccination) have had a marked effect on the incidence of the disease and the complications associated with it.</w:t>
            </w:r>
            <w:r w:rsidR="00D65DBF">
              <w:rPr>
                <w:rFonts w:ascii="Arial" w:hAnsi="Arial" w:cs="Arial"/>
                <w:sz w:val="20"/>
                <w:szCs w:val="20"/>
              </w:rPr>
              <w:t xml:space="preserve"> </w:t>
            </w:r>
            <w:r w:rsidRPr="00D65DBF">
              <w:rPr>
                <w:rFonts w:ascii="Arial" w:hAnsi="Arial" w:cs="Arial"/>
                <w:sz w:val="20"/>
                <w:szCs w:val="20"/>
              </w:rPr>
              <w:t xml:space="preserve"> After prolonged periods of high vaccine coverage in developed countries, measles transmission now occurs mainly in people that have never been vaccinated and in older children who did not seroconvert following vaccination.</w:t>
            </w:r>
            <w:r w:rsidR="00D65DBF">
              <w:rPr>
                <w:rFonts w:ascii="Arial" w:hAnsi="Arial" w:cs="Arial"/>
                <w:sz w:val="20"/>
                <w:szCs w:val="20"/>
              </w:rPr>
              <w:t xml:space="preserve"> </w:t>
            </w:r>
            <w:r w:rsidRPr="00D65DBF">
              <w:rPr>
                <w:rFonts w:ascii="Arial" w:hAnsi="Arial" w:cs="Arial"/>
                <w:sz w:val="20"/>
                <w:szCs w:val="20"/>
              </w:rPr>
              <w:t xml:space="preserve"> Measles outbreaks can still occur in countries with high immunization coverage. Such outbreaks demonstrate an immunity gap in the population involved.</w:t>
            </w:r>
          </w:p>
          <w:p w:rsidR="00886799" w:rsidRPr="00D65DBF" w:rsidRDefault="00886799" w:rsidP="00B7370D">
            <w:pPr>
              <w:rPr>
                <w:rFonts w:ascii="Arial" w:hAnsi="Arial" w:cs="Arial"/>
                <w:sz w:val="20"/>
                <w:szCs w:val="20"/>
              </w:rPr>
            </w:pPr>
          </w:p>
          <w:p w:rsidR="00BA160D" w:rsidRDefault="00BA160D" w:rsidP="00B7370D">
            <w:pPr>
              <w:rPr>
                <w:rFonts w:ascii="Arial" w:hAnsi="Arial" w:cs="Arial"/>
                <w:sz w:val="20"/>
                <w:szCs w:val="20"/>
              </w:rPr>
            </w:pPr>
            <w:r w:rsidRPr="00D65DBF">
              <w:rPr>
                <w:rFonts w:ascii="Arial" w:hAnsi="Arial" w:cs="Arial"/>
                <w:sz w:val="20"/>
                <w:szCs w:val="20"/>
              </w:rPr>
              <w:t xml:space="preserve">Clinically, the diagnosis of measles is supported if </w:t>
            </w:r>
            <w:proofErr w:type="spellStart"/>
            <w:r w:rsidRPr="00D65DBF">
              <w:rPr>
                <w:rFonts w:ascii="Arial" w:hAnsi="Arial" w:cs="Arial"/>
                <w:sz w:val="20"/>
                <w:szCs w:val="20"/>
              </w:rPr>
              <w:t>Koplik’s</w:t>
            </w:r>
            <w:proofErr w:type="spellEnd"/>
            <w:r w:rsidRPr="00D65DBF">
              <w:rPr>
                <w:rFonts w:ascii="Arial" w:hAnsi="Arial" w:cs="Arial"/>
                <w:sz w:val="20"/>
                <w:szCs w:val="20"/>
              </w:rPr>
              <w:t xml:space="preserve"> spots are detected and if the rash progresses from the head to the trunk and out to the extremities. </w:t>
            </w:r>
            <w:r w:rsidR="00D65DBF">
              <w:rPr>
                <w:rFonts w:ascii="Arial" w:hAnsi="Arial" w:cs="Arial"/>
                <w:sz w:val="20"/>
                <w:szCs w:val="20"/>
              </w:rPr>
              <w:t xml:space="preserve"> </w:t>
            </w:r>
            <w:r w:rsidRPr="00D65DBF">
              <w:rPr>
                <w:rFonts w:ascii="Arial" w:hAnsi="Arial" w:cs="Arial"/>
                <w:sz w:val="20"/>
                <w:szCs w:val="20"/>
              </w:rPr>
              <w:t>The non-specific nature of the prodromal signs and the existence of mild cases, however, make clinical signs unreliable as the sole diagnostic criteria of measles disease.</w:t>
            </w:r>
            <w:r w:rsidR="00D65DBF">
              <w:rPr>
                <w:rFonts w:ascii="Arial" w:hAnsi="Arial" w:cs="Arial"/>
                <w:sz w:val="20"/>
                <w:szCs w:val="20"/>
              </w:rPr>
              <w:t xml:space="preserve"> </w:t>
            </w:r>
            <w:r w:rsidRPr="00D65DBF">
              <w:rPr>
                <w:rFonts w:ascii="Arial" w:hAnsi="Arial" w:cs="Arial"/>
                <w:sz w:val="20"/>
                <w:szCs w:val="20"/>
              </w:rPr>
              <w:t xml:space="preserve"> As disease prevalence falls, many medical practitioners are inexperienced in recognizing measles, increasing the need for laboratory serological method of distinguishing measles from other clinically similar diseases.</w:t>
            </w:r>
          </w:p>
          <w:p w:rsidR="00886799" w:rsidRPr="00D65DBF" w:rsidRDefault="00886799" w:rsidP="00B7370D">
            <w:pPr>
              <w:rPr>
                <w:rFonts w:ascii="Arial" w:hAnsi="Arial" w:cs="Arial"/>
                <w:sz w:val="20"/>
                <w:szCs w:val="20"/>
              </w:rPr>
            </w:pPr>
          </w:p>
          <w:p w:rsidR="00E902AC" w:rsidRPr="00D65DBF" w:rsidRDefault="00BA160D" w:rsidP="00BA160D">
            <w:pPr>
              <w:rPr>
                <w:rFonts w:ascii="Arial" w:hAnsi="Arial" w:cs="Arial"/>
                <w:iCs/>
                <w:sz w:val="20"/>
                <w:szCs w:val="20"/>
              </w:rPr>
            </w:pPr>
            <w:r w:rsidRPr="00D65DBF">
              <w:rPr>
                <w:rFonts w:ascii="Arial" w:hAnsi="Arial" w:cs="Arial"/>
                <w:sz w:val="20"/>
                <w:szCs w:val="20"/>
              </w:rPr>
              <w:t xml:space="preserve">Both IgM and IgG antibodies are synthesized during the primary immune response and can be detected in the serum within a few days of rash onset. </w:t>
            </w:r>
            <w:r w:rsidR="00D65DBF">
              <w:rPr>
                <w:rFonts w:ascii="Arial" w:hAnsi="Arial" w:cs="Arial"/>
                <w:sz w:val="20"/>
                <w:szCs w:val="20"/>
              </w:rPr>
              <w:t xml:space="preserve"> </w:t>
            </w:r>
            <w:r w:rsidRPr="00D65DBF">
              <w:rPr>
                <w:rFonts w:ascii="Arial" w:hAnsi="Arial" w:cs="Arial"/>
                <w:sz w:val="20"/>
                <w:szCs w:val="20"/>
              </w:rPr>
              <w:t>IgM antibody levels peak after about seven to ten days and then decline rapidly, being rarely detectable after six to eight weeks.</w:t>
            </w:r>
            <w:r w:rsidR="00D65DBF">
              <w:rPr>
                <w:rFonts w:ascii="Arial" w:hAnsi="Arial" w:cs="Arial"/>
                <w:sz w:val="20"/>
                <w:szCs w:val="20"/>
              </w:rPr>
              <w:t xml:space="preserve"> </w:t>
            </w:r>
            <w:r w:rsidRPr="00D65DBF">
              <w:rPr>
                <w:rFonts w:ascii="Arial" w:hAnsi="Arial" w:cs="Arial"/>
                <w:sz w:val="20"/>
                <w:szCs w:val="20"/>
              </w:rPr>
              <w:t xml:space="preserve"> IgM is generally not detected in an immune individual following re-exposure to measles virus. </w:t>
            </w:r>
            <w:r w:rsidR="00D65DBF">
              <w:rPr>
                <w:rFonts w:ascii="Arial" w:hAnsi="Arial" w:cs="Arial"/>
                <w:sz w:val="20"/>
                <w:szCs w:val="20"/>
              </w:rPr>
              <w:t xml:space="preserve"> </w:t>
            </w:r>
            <w:r w:rsidRPr="00D65DBF">
              <w:rPr>
                <w:rFonts w:ascii="Arial" w:hAnsi="Arial" w:cs="Arial"/>
                <w:sz w:val="20"/>
                <w:szCs w:val="20"/>
              </w:rPr>
              <w:t>Re-exposure to the measles virus induces a strong anamnestic immune response with a rapid boosting of IgG antibodies, which prevents clinical disease.</w:t>
            </w:r>
          </w:p>
        </w:tc>
      </w:tr>
      <w:tr w:rsidR="00E902AC" w:rsidRPr="00D65DBF" w:rsidTr="00606516">
        <w:trPr>
          <w:gridAfter w:val="1"/>
          <w:wAfter w:w="127" w:type="dxa"/>
          <w:cantSplit/>
          <w:trHeight w:val="863"/>
        </w:trPr>
        <w:tc>
          <w:tcPr>
            <w:tcW w:w="1798" w:type="dxa"/>
            <w:tcBorders>
              <w:top w:val="nil"/>
              <w:left w:val="nil"/>
              <w:bottom w:val="nil"/>
              <w:right w:val="nil"/>
            </w:tcBorders>
          </w:tcPr>
          <w:p w:rsidR="00E902AC" w:rsidRPr="00D65DBF" w:rsidRDefault="00E902AC">
            <w:pPr>
              <w:rPr>
                <w:rFonts w:ascii="Arial" w:hAnsi="Arial" w:cs="Arial"/>
                <w:b/>
                <w:bCs/>
                <w:color w:val="0000FF"/>
                <w:sz w:val="20"/>
                <w:szCs w:val="20"/>
              </w:rPr>
            </w:pPr>
          </w:p>
          <w:p w:rsidR="00E902AC" w:rsidRPr="00D65DBF" w:rsidRDefault="00E902AC">
            <w:pPr>
              <w:rPr>
                <w:rFonts w:ascii="Arial" w:hAnsi="Arial" w:cs="Arial"/>
                <w:b/>
                <w:bCs/>
                <w:color w:val="0000FF"/>
                <w:sz w:val="20"/>
                <w:szCs w:val="20"/>
              </w:rPr>
            </w:pPr>
            <w:r w:rsidRPr="00D65DBF">
              <w:rPr>
                <w:rFonts w:ascii="Arial" w:hAnsi="Arial" w:cs="Arial"/>
                <w:b/>
                <w:bCs/>
                <w:color w:val="0000FF"/>
                <w:sz w:val="20"/>
                <w:szCs w:val="20"/>
              </w:rPr>
              <w:t>Instrument</w:t>
            </w:r>
          </w:p>
          <w:p w:rsidR="00E902AC" w:rsidRPr="00D65DBF" w:rsidRDefault="00E902AC">
            <w:pPr>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E902AC" w:rsidRPr="00D65DBF" w:rsidRDefault="00E902AC">
            <w:pPr>
              <w:jc w:val="left"/>
              <w:rPr>
                <w:rFonts w:ascii="Arial" w:hAnsi="Arial" w:cs="Arial"/>
                <w:iCs/>
                <w:sz w:val="20"/>
                <w:szCs w:val="20"/>
              </w:rPr>
            </w:pPr>
          </w:p>
          <w:p w:rsidR="00E902AC" w:rsidRPr="00D65DBF" w:rsidRDefault="00E902AC" w:rsidP="008B0BC7">
            <w:pPr>
              <w:jc w:val="left"/>
              <w:rPr>
                <w:rFonts w:ascii="Arial" w:hAnsi="Arial" w:cs="Arial"/>
                <w:iCs/>
                <w:sz w:val="20"/>
                <w:szCs w:val="20"/>
              </w:rPr>
            </w:pPr>
            <w:r w:rsidRPr="00D65DBF">
              <w:rPr>
                <w:rFonts w:ascii="Arial" w:hAnsi="Arial" w:cs="Arial"/>
                <w:iCs/>
                <w:sz w:val="20"/>
                <w:szCs w:val="20"/>
              </w:rPr>
              <w:t xml:space="preserve">DiaSorin </w:t>
            </w:r>
            <w:r w:rsidR="008B0BC7" w:rsidRPr="00D65DBF">
              <w:rPr>
                <w:rFonts w:ascii="Arial" w:hAnsi="Arial" w:cs="Arial"/>
                <w:iCs/>
                <w:sz w:val="20"/>
                <w:szCs w:val="20"/>
              </w:rPr>
              <w:t>LIAISON® XL</w:t>
            </w:r>
          </w:p>
          <w:p w:rsidR="00E902AC" w:rsidRPr="00D65DBF" w:rsidRDefault="00E902AC">
            <w:pPr>
              <w:jc w:val="left"/>
              <w:rPr>
                <w:rFonts w:ascii="Arial" w:hAnsi="Arial" w:cs="Arial"/>
                <w:iCs/>
                <w:sz w:val="20"/>
                <w:szCs w:val="20"/>
              </w:rPr>
            </w:pPr>
            <w:r w:rsidRPr="00D65DBF">
              <w:rPr>
                <w:rFonts w:ascii="Arial" w:hAnsi="Arial" w:cs="Arial"/>
                <w:iCs/>
                <w:sz w:val="20"/>
                <w:szCs w:val="20"/>
              </w:rPr>
              <w:t xml:space="preserve">Sunquest Method Code: </w:t>
            </w:r>
            <w:r w:rsidR="00D31EDF" w:rsidRPr="00D65DBF">
              <w:rPr>
                <w:rFonts w:ascii="Arial" w:hAnsi="Arial" w:cs="Arial"/>
                <w:b/>
                <w:bCs/>
                <w:iCs/>
                <w:sz w:val="20"/>
                <w:szCs w:val="20"/>
              </w:rPr>
              <w:t>XL</w:t>
            </w:r>
          </w:p>
        </w:tc>
      </w:tr>
      <w:tr w:rsidR="00E902AC" w:rsidRPr="00D65DBF" w:rsidTr="00606516">
        <w:trPr>
          <w:trHeight w:val="764"/>
          <w:tblHeader/>
        </w:trPr>
        <w:tc>
          <w:tcPr>
            <w:tcW w:w="1798" w:type="dxa"/>
            <w:tcBorders>
              <w:top w:val="nil"/>
              <w:left w:val="nil"/>
              <w:bottom w:val="nil"/>
              <w:right w:val="nil"/>
            </w:tcBorders>
          </w:tcPr>
          <w:p w:rsidR="00E902AC" w:rsidRPr="00D65DBF" w:rsidRDefault="00E902AC">
            <w:pPr>
              <w:jc w:val="left"/>
              <w:rPr>
                <w:rFonts w:ascii="Arial" w:hAnsi="Arial" w:cs="Arial"/>
                <w:b/>
                <w:bCs/>
                <w:color w:val="0000FF"/>
                <w:sz w:val="20"/>
                <w:szCs w:val="20"/>
              </w:rPr>
            </w:pPr>
          </w:p>
          <w:p w:rsidR="00E902AC" w:rsidRPr="00D65DBF" w:rsidRDefault="00E902AC">
            <w:pPr>
              <w:jc w:val="left"/>
              <w:rPr>
                <w:rFonts w:ascii="Arial" w:hAnsi="Arial" w:cs="Arial"/>
                <w:b/>
                <w:bCs/>
                <w:color w:val="0000FF"/>
                <w:sz w:val="20"/>
                <w:szCs w:val="20"/>
              </w:rPr>
            </w:pPr>
            <w:r w:rsidRPr="00D65DBF">
              <w:rPr>
                <w:rFonts w:ascii="Arial" w:hAnsi="Arial" w:cs="Arial"/>
                <w:b/>
                <w:bCs/>
                <w:color w:val="0000FF"/>
                <w:sz w:val="20"/>
                <w:szCs w:val="20"/>
              </w:rPr>
              <w:t>Sunquest Test Code</w:t>
            </w:r>
          </w:p>
        </w:tc>
        <w:tc>
          <w:tcPr>
            <w:tcW w:w="9309" w:type="dxa"/>
            <w:gridSpan w:val="4"/>
            <w:tcBorders>
              <w:left w:val="nil"/>
              <w:right w:val="nil"/>
            </w:tcBorders>
          </w:tcPr>
          <w:p w:rsidR="00E902AC" w:rsidRPr="00D65DBF" w:rsidRDefault="00E902AC" w:rsidP="00684BE9">
            <w:pPr>
              <w:rPr>
                <w:rFonts w:ascii="Arial" w:hAnsi="Arial" w:cs="Arial"/>
                <w:sz w:val="20"/>
                <w:szCs w:val="20"/>
                <w:highlight w:val="yellow"/>
              </w:rPr>
            </w:pPr>
          </w:p>
          <w:p w:rsidR="00D12B84" w:rsidRPr="00D65DBF" w:rsidRDefault="00D12B84" w:rsidP="00684BE9">
            <w:pPr>
              <w:rPr>
                <w:rFonts w:ascii="Arial" w:hAnsi="Arial" w:cs="Arial"/>
                <w:sz w:val="20"/>
                <w:szCs w:val="20"/>
                <w:highlight w:val="yellow"/>
              </w:rPr>
            </w:pPr>
            <w:r w:rsidRPr="00D65DBF">
              <w:rPr>
                <w:rFonts w:ascii="Arial" w:hAnsi="Arial" w:cs="Arial"/>
                <w:sz w:val="20"/>
                <w:szCs w:val="20"/>
              </w:rPr>
              <w:t>ROGM</w:t>
            </w:r>
          </w:p>
        </w:tc>
      </w:tr>
      <w:tr w:rsidR="00542675" w:rsidRPr="00D65DBF" w:rsidTr="00606516">
        <w:trPr>
          <w:gridAfter w:val="1"/>
          <w:wAfter w:w="127" w:type="dxa"/>
          <w:cantSplit/>
          <w:trHeight w:val="330"/>
        </w:trPr>
        <w:tc>
          <w:tcPr>
            <w:tcW w:w="1798" w:type="dxa"/>
            <w:tcBorders>
              <w:top w:val="nil"/>
              <w:left w:val="nil"/>
              <w:bottom w:val="nil"/>
              <w:right w:val="nil"/>
            </w:tcBorders>
          </w:tcPr>
          <w:p w:rsidR="00542675" w:rsidRPr="00D65DBF" w:rsidRDefault="00542675" w:rsidP="00542675">
            <w:pPr>
              <w:jc w:val="left"/>
              <w:rPr>
                <w:rFonts w:ascii="Arial" w:hAnsi="Arial" w:cs="Arial"/>
                <w:b/>
                <w:bCs/>
                <w:color w:val="0000FF"/>
                <w:sz w:val="20"/>
                <w:szCs w:val="20"/>
              </w:rPr>
            </w:pPr>
          </w:p>
          <w:p w:rsidR="00542675" w:rsidRPr="00D65DBF" w:rsidRDefault="00542675" w:rsidP="00542675">
            <w:pPr>
              <w:jc w:val="left"/>
              <w:rPr>
                <w:rFonts w:ascii="Arial" w:hAnsi="Arial" w:cs="Arial"/>
                <w:b/>
                <w:bCs/>
                <w:color w:val="0000FF"/>
                <w:sz w:val="20"/>
                <w:szCs w:val="20"/>
              </w:rPr>
            </w:pPr>
            <w:r w:rsidRPr="00D65DBF">
              <w:rPr>
                <w:rFonts w:ascii="Arial" w:hAnsi="Arial" w:cs="Arial"/>
                <w:b/>
                <w:bCs/>
                <w:color w:val="0000FF"/>
                <w:sz w:val="20"/>
                <w:szCs w:val="20"/>
              </w:rPr>
              <w:t>Sample</w:t>
            </w:r>
          </w:p>
        </w:tc>
        <w:tc>
          <w:tcPr>
            <w:tcW w:w="9182" w:type="dxa"/>
            <w:gridSpan w:val="3"/>
            <w:tcBorders>
              <w:top w:val="single" w:sz="18" w:space="0" w:color="A6A6A6"/>
              <w:left w:val="nil"/>
              <w:bottom w:val="single" w:sz="18" w:space="0" w:color="A6A6A6"/>
              <w:right w:val="nil"/>
            </w:tcBorders>
          </w:tcPr>
          <w:p w:rsidR="00542675" w:rsidRPr="00D65DBF" w:rsidRDefault="00542675" w:rsidP="00542675">
            <w:pPr>
              <w:pStyle w:val="Heading2"/>
              <w:numPr>
                <w:ilvl w:val="0"/>
                <w:numId w:val="0"/>
              </w:numPr>
              <w:rPr>
                <w:rFonts w:ascii="Arial" w:hAnsi="Arial"/>
                <w:b w:val="0"/>
                <w:sz w:val="20"/>
                <w:szCs w:val="20"/>
              </w:rPr>
            </w:pPr>
          </w:p>
          <w:p w:rsidR="00542675" w:rsidRPr="00D65DBF" w:rsidRDefault="00542675" w:rsidP="00542675">
            <w:pPr>
              <w:pStyle w:val="Heading2"/>
              <w:numPr>
                <w:ilvl w:val="0"/>
                <w:numId w:val="0"/>
              </w:numPr>
              <w:rPr>
                <w:rFonts w:ascii="Arial" w:hAnsi="Arial"/>
                <w:b w:val="0"/>
                <w:sz w:val="20"/>
                <w:szCs w:val="20"/>
              </w:rPr>
            </w:pPr>
            <w:r w:rsidRPr="00D65DBF">
              <w:rPr>
                <w:rFonts w:ascii="Arial" w:hAnsi="Arial"/>
                <w:bCs w:val="0"/>
                <w:sz w:val="20"/>
                <w:szCs w:val="20"/>
              </w:rPr>
              <w:t>Serum</w:t>
            </w:r>
            <w:r w:rsidRPr="00D65DBF">
              <w:rPr>
                <w:rFonts w:ascii="Arial" w:hAnsi="Arial"/>
                <w:b w:val="0"/>
                <w:sz w:val="20"/>
                <w:szCs w:val="20"/>
              </w:rPr>
              <w:t xml:space="preserve"> is the only acceptable specimen for this assay collected aseptically by venipuncture</w:t>
            </w:r>
            <w:r w:rsidR="00D65DBF">
              <w:rPr>
                <w:rFonts w:ascii="Arial" w:hAnsi="Arial"/>
                <w:b w:val="0"/>
                <w:sz w:val="20"/>
                <w:szCs w:val="20"/>
              </w:rPr>
              <w:t>.</w:t>
            </w:r>
            <w:r w:rsidRPr="00D65DBF">
              <w:rPr>
                <w:rFonts w:ascii="Arial" w:hAnsi="Arial"/>
                <w:b w:val="0"/>
                <w:sz w:val="20"/>
                <w:szCs w:val="20"/>
              </w:rPr>
              <w:t xml:space="preserve"> </w:t>
            </w:r>
            <w:r w:rsidR="00D65DBF">
              <w:rPr>
                <w:rFonts w:ascii="Arial" w:hAnsi="Arial"/>
                <w:b w:val="0"/>
                <w:sz w:val="20"/>
                <w:szCs w:val="20"/>
              </w:rPr>
              <w:t xml:space="preserve"> </w:t>
            </w:r>
            <w:r w:rsidRPr="00D65DBF">
              <w:rPr>
                <w:rFonts w:ascii="Arial" w:hAnsi="Arial"/>
                <w:b w:val="0"/>
                <w:sz w:val="20"/>
                <w:szCs w:val="20"/>
              </w:rPr>
              <w:t>Refer to specimen collection procedures.</w:t>
            </w:r>
          </w:p>
          <w:p w:rsidR="00542675" w:rsidRPr="00D65DBF" w:rsidRDefault="00542675" w:rsidP="00542675">
            <w:pPr>
              <w:pStyle w:val="Heading2"/>
              <w:numPr>
                <w:ilvl w:val="0"/>
                <w:numId w:val="0"/>
              </w:numPr>
              <w:rPr>
                <w:rFonts w:ascii="Arial" w:hAnsi="Arial"/>
                <w:b w:val="0"/>
                <w:sz w:val="20"/>
                <w:szCs w:val="20"/>
              </w:rPr>
            </w:pPr>
            <w:r w:rsidRPr="00D65DBF">
              <w:rPr>
                <w:rFonts w:ascii="Arial" w:hAnsi="Arial"/>
                <w:b w:val="0"/>
                <w:sz w:val="20"/>
                <w:szCs w:val="20"/>
              </w:rPr>
              <w:t>Grossly hemolyzed, lipemic or particulate samples are not recommended</w:t>
            </w:r>
          </w:p>
          <w:p w:rsidR="00542675" w:rsidRPr="00D65DBF" w:rsidRDefault="00542675" w:rsidP="00542675">
            <w:pPr>
              <w:pStyle w:val="Heading2"/>
              <w:numPr>
                <w:ilvl w:val="0"/>
                <w:numId w:val="0"/>
              </w:numPr>
              <w:rPr>
                <w:rFonts w:ascii="Arial" w:hAnsi="Arial"/>
                <w:b w:val="0"/>
                <w:sz w:val="20"/>
                <w:szCs w:val="20"/>
              </w:rPr>
            </w:pPr>
          </w:p>
          <w:p w:rsidR="00542675" w:rsidRPr="00D65DBF" w:rsidRDefault="00542675" w:rsidP="00542675">
            <w:pPr>
              <w:pStyle w:val="Heading2"/>
              <w:numPr>
                <w:ilvl w:val="0"/>
                <w:numId w:val="0"/>
              </w:numPr>
              <w:rPr>
                <w:rFonts w:ascii="Arial" w:hAnsi="Arial"/>
                <w:b w:val="0"/>
                <w:sz w:val="20"/>
                <w:szCs w:val="20"/>
              </w:rPr>
            </w:pPr>
            <w:r w:rsidRPr="00D65DBF">
              <w:rPr>
                <w:rFonts w:ascii="Arial" w:hAnsi="Arial"/>
                <w:bCs w:val="0"/>
                <w:sz w:val="20"/>
                <w:szCs w:val="20"/>
              </w:rPr>
              <w:t>Minimum volume</w:t>
            </w:r>
            <w:r w:rsidR="00F72993" w:rsidRPr="00D65DBF">
              <w:rPr>
                <w:rFonts w:ascii="Arial" w:hAnsi="Arial"/>
                <w:b w:val="0"/>
                <w:sz w:val="20"/>
                <w:szCs w:val="20"/>
              </w:rPr>
              <w:t>: 20</w:t>
            </w:r>
            <w:r w:rsidR="00F4531B" w:rsidRPr="00D65DBF">
              <w:rPr>
                <w:rFonts w:ascii="Arial" w:hAnsi="Arial"/>
                <w:b w:val="0"/>
                <w:sz w:val="20"/>
                <w:szCs w:val="20"/>
              </w:rPr>
              <w:t>0</w:t>
            </w:r>
            <w:r w:rsidRPr="00D65DBF">
              <w:rPr>
                <w:rFonts w:ascii="Arial" w:hAnsi="Arial"/>
                <w:b w:val="0"/>
                <w:sz w:val="20"/>
                <w:szCs w:val="20"/>
              </w:rPr>
              <w:t xml:space="preserve"> </w:t>
            </w:r>
            <w:r w:rsidRPr="00D65DBF">
              <w:rPr>
                <w:rFonts w:ascii="Arial" w:hAnsi="Arial"/>
                <w:b w:val="0"/>
                <w:sz w:val="20"/>
                <w:szCs w:val="20"/>
              </w:rPr>
              <w:sym w:font="Symbol" w:char="F06D"/>
            </w:r>
            <w:r w:rsidRPr="00D65DBF">
              <w:rPr>
                <w:rFonts w:ascii="Arial" w:hAnsi="Arial"/>
                <w:b w:val="0"/>
                <w:sz w:val="20"/>
                <w:szCs w:val="20"/>
              </w:rPr>
              <w:t>L</w:t>
            </w:r>
          </w:p>
          <w:p w:rsidR="00542675" w:rsidRPr="00D65DBF" w:rsidRDefault="00542675" w:rsidP="00542675">
            <w:pPr>
              <w:pStyle w:val="Heading2"/>
              <w:numPr>
                <w:ilvl w:val="0"/>
                <w:numId w:val="0"/>
              </w:numPr>
              <w:rPr>
                <w:rFonts w:ascii="Arial" w:hAnsi="Arial"/>
                <w:b w:val="0"/>
                <w:sz w:val="20"/>
                <w:szCs w:val="20"/>
              </w:rPr>
            </w:pPr>
          </w:p>
          <w:p w:rsidR="00542675" w:rsidRPr="00D65DBF" w:rsidRDefault="00542675" w:rsidP="00542675">
            <w:pPr>
              <w:pStyle w:val="Heading2"/>
              <w:numPr>
                <w:ilvl w:val="0"/>
                <w:numId w:val="0"/>
              </w:numPr>
              <w:rPr>
                <w:rFonts w:ascii="Arial" w:hAnsi="Arial"/>
                <w:b w:val="0"/>
                <w:sz w:val="20"/>
                <w:szCs w:val="20"/>
              </w:rPr>
            </w:pPr>
            <w:r w:rsidRPr="00D65DBF">
              <w:rPr>
                <w:rFonts w:ascii="Arial" w:hAnsi="Arial"/>
                <w:bCs w:val="0"/>
                <w:sz w:val="20"/>
                <w:szCs w:val="20"/>
              </w:rPr>
              <w:t>Stability</w:t>
            </w:r>
            <w:r w:rsidRPr="00D65DBF">
              <w:rPr>
                <w:rFonts w:ascii="Arial" w:hAnsi="Arial"/>
                <w:b w:val="0"/>
                <w:sz w:val="20"/>
                <w:szCs w:val="20"/>
              </w:rPr>
              <w:t xml:space="preserve">: 2-8 </w:t>
            </w:r>
            <w:r w:rsidRPr="00D65DBF">
              <w:rPr>
                <w:rFonts w:ascii="Arial" w:hAnsi="Arial"/>
                <w:b w:val="0"/>
                <w:sz w:val="20"/>
                <w:szCs w:val="20"/>
              </w:rPr>
              <w:sym w:font="Symbol" w:char="F0B0"/>
            </w:r>
            <w:r w:rsidR="00BA160D" w:rsidRPr="00D65DBF">
              <w:rPr>
                <w:rFonts w:ascii="Arial" w:hAnsi="Arial"/>
                <w:b w:val="0"/>
                <w:sz w:val="20"/>
                <w:szCs w:val="20"/>
              </w:rPr>
              <w:t>C / 9</w:t>
            </w:r>
            <w:r w:rsidRPr="00D65DBF">
              <w:rPr>
                <w:rFonts w:ascii="Arial" w:hAnsi="Arial"/>
                <w:b w:val="0"/>
                <w:sz w:val="20"/>
                <w:szCs w:val="20"/>
              </w:rPr>
              <w:t xml:space="preserve"> days, </w:t>
            </w:r>
            <w:r w:rsidR="00F72993" w:rsidRPr="00D65DBF">
              <w:rPr>
                <w:rFonts w:ascii="Arial" w:hAnsi="Arial"/>
                <w:b w:val="0"/>
                <w:sz w:val="20"/>
                <w:szCs w:val="20"/>
              </w:rPr>
              <w:t>30</w:t>
            </w:r>
            <w:r w:rsidRPr="00D65DBF">
              <w:rPr>
                <w:rFonts w:ascii="Arial" w:hAnsi="Arial"/>
                <w:b w:val="0"/>
                <w:sz w:val="20"/>
                <w:szCs w:val="20"/>
              </w:rPr>
              <w:t xml:space="preserve"> days at -20 ºC or colder</w:t>
            </w:r>
          </w:p>
          <w:p w:rsidR="00542675" w:rsidRPr="00D65DBF" w:rsidRDefault="00542675" w:rsidP="00542675">
            <w:pPr>
              <w:pStyle w:val="Heading2"/>
              <w:numPr>
                <w:ilvl w:val="0"/>
                <w:numId w:val="0"/>
              </w:numPr>
              <w:rPr>
                <w:rFonts w:ascii="Arial" w:hAnsi="Arial"/>
                <w:b w:val="0"/>
                <w:sz w:val="20"/>
                <w:szCs w:val="20"/>
              </w:rPr>
            </w:pPr>
            <w:r w:rsidRPr="00D65DBF">
              <w:rPr>
                <w:rFonts w:ascii="Arial" w:hAnsi="Arial"/>
                <w:b w:val="0"/>
                <w:sz w:val="20"/>
                <w:szCs w:val="20"/>
              </w:rPr>
              <w:t>Do not store in self-defrosting freezer.</w:t>
            </w:r>
          </w:p>
          <w:p w:rsidR="00542675" w:rsidRPr="00D65DBF" w:rsidRDefault="00542675" w:rsidP="00542675">
            <w:pPr>
              <w:pStyle w:val="Heading2"/>
              <w:numPr>
                <w:ilvl w:val="0"/>
                <w:numId w:val="0"/>
              </w:numPr>
              <w:rPr>
                <w:rFonts w:ascii="Arial" w:hAnsi="Arial"/>
                <w:b w:val="0"/>
                <w:sz w:val="20"/>
                <w:szCs w:val="20"/>
              </w:rPr>
            </w:pPr>
          </w:p>
          <w:p w:rsidR="00542675" w:rsidRPr="00D65DBF" w:rsidRDefault="00542675" w:rsidP="00542675">
            <w:pPr>
              <w:pStyle w:val="Heading2"/>
              <w:numPr>
                <w:ilvl w:val="0"/>
                <w:numId w:val="0"/>
              </w:numPr>
              <w:rPr>
                <w:rFonts w:ascii="Arial" w:hAnsi="Arial"/>
                <w:b w:val="0"/>
                <w:sz w:val="20"/>
                <w:szCs w:val="20"/>
              </w:rPr>
            </w:pPr>
            <w:r w:rsidRPr="00D65DBF">
              <w:rPr>
                <w:rFonts w:ascii="Arial" w:hAnsi="Arial"/>
                <w:bCs w:val="0"/>
                <w:sz w:val="20"/>
                <w:szCs w:val="20"/>
              </w:rPr>
              <w:t>Rejection criteria</w:t>
            </w:r>
            <w:r w:rsidRPr="00D65DBF">
              <w:rPr>
                <w:rFonts w:ascii="Arial" w:hAnsi="Arial"/>
                <w:b w:val="0"/>
                <w:sz w:val="20"/>
                <w:szCs w:val="20"/>
              </w:rPr>
              <w:t>: Unlabeled tube, plasma</w:t>
            </w:r>
            <w:r w:rsidR="00BA160D" w:rsidRPr="00D65DBF">
              <w:rPr>
                <w:rFonts w:ascii="Arial" w:hAnsi="Arial"/>
                <w:b w:val="0"/>
                <w:sz w:val="20"/>
                <w:szCs w:val="20"/>
              </w:rPr>
              <w:t>, grossly hemolyzed</w:t>
            </w:r>
          </w:p>
          <w:p w:rsidR="00542675" w:rsidRPr="00D65DBF" w:rsidRDefault="00542675" w:rsidP="00542675">
            <w:pPr>
              <w:pStyle w:val="Heading2"/>
              <w:numPr>
                <w:ilvl w:val="0"/>
                <w:numId w:val="0"/>
              </w:numPr>
              <w:rPr>
                <w:rFonts w:ascii="Arial" w:hAnsi="Arial"/>
                <w:b w:val="0"/>
                <w:sz w:val="20"/>
                <w:szCs w:val="20"/>
              </w:rPr>
            </w:pPr>
          </w:p>
          <w:p w:rsidR="00542675" w:rsidRPr="00D65DBF" w:rsidRDefault="00542675" w:rsidP="00542675">
            <w:pPr>
              <w:pStyle w:val="Heading2"/>
              <w:numPr>
                <w:ilvl w:val="0"/>
                <w:numId w:val="0"/>
              </w:numPr>
              <w:rPr>
                <w:rFonts w:ascii="Arial" w:hAnsi="Arial"/>
                <w:bCs w:val="0"/>
                <w:sz w:val="20"/>
                <w:szCs w:val="20"/>
              </w:rPr>
            </w:pPr>
            <w:r w:rsidRPr="00D65DBF">
              <w:rPr>
                <w:rFonts w:ascii="Arial" w:hAnsi="Arial"/>
                <w:bCs w:val="0"/>
                <w:sz w:val="20"/>
                <w:szCs w:val="20"/>
              </w:rPr>
              <w:t>Preparation:</w:t>
            </w:r>
          </w:p>
          <w:p w:rsidR="00542675" w:rsidRPr="00D65DBF" w:rsidRDefault="00542675" w:rsidP="00542675">
            <w:pPr>
              <w:pStyle w:val="Heading2"/>
              <w:numPr>
                <w:ilvl w:val="0"/>
                <w:numId w:val="7"/>
              </w:numPr>
              <w:rPr>
                <w:rFonts w:ascii="Arial" w:hAnsi="Arial"/>
                <w:b w:val="0"/>
                <w:sz w:val="20"/>
                <w:szCs w:val="20"/>
              </w:rPr>
            </w:pPr>
            <w:r w:rsidRPr="00D65DBF">
              <w:rPr>
                <w:rFonts w:ascii="Arial" w:hAnsi="Arial"/>
                <w:b w:val="0"/>
                <w:sz w:val="20"/>
                <w:szCs w:val="20"/>
              </w:rPr>
              <w:t xml:space="preserve">Whole blood specimens should be centrifuged as soon as clotted, according to Specimen Processing procedures prior to analysis. </w:t>
            </w:r>
            <w:r w:rsidR="00F7103F">
              <w:rPr>
                <w:rFonts w:ascii="Arial" w:hAnsi="Arial"/>
                <w:b w:val="0"/>
                <w:sz w:val="20"/>
                <w:szCs w:val="20"/>
              </w:rPr>
              <w:t xml:space="preserve"> </w:t>
            </w:r>
            <w:r w:rsidRPr="00D65DBF">
              <w:rPr>
                <w:rFonts w:ascii="Arial" w:hAnsi="Arial"/>
                <w:b w:val="0"/>
                <w:sz w:val="20"/>
                <w:szCs w:val="20"/>
              </w:rPr>
              <w:t>See Processing Procedure Manual.</w:t>
            </w:r>
          </w:p>
          <w:p w:rsidR="00542675" w:rsidRPr="00D65DBF" w:rsidRDefault="00542675" w:rsidP="00542675">
            <w:pPr>
              <w:pStyle w:val="Heading2"/>
              <w:numPr>
                <w:ilvl w:val="0"/>
                <w:numId w:val="7"/>
              </w:numPr>
              <w:rPr>
                <w:rFonts w:ascii="Arial" w:hAnsi="Arial"/>
                <w:b w:val="0"/>
                <w:sz w:val="20"/>
                <w:szCs w:val="20"/>
              </w:rPr>
            </w:pPr>
            <w:r w:rsidRPr="00D65DBF">
              <w:rPr>
                <w:rFonts w:ascii="Arial" w:hAnsi="Arial"/>
                <w:b w:val="0"/>
                <w:sz w:val="20"/>
                <w:szCs w:val="20"/>
              </w:rPr>
              <w:t>Clarify samples having particulate matter, turbidity, lipemia, or erythrocyte debris</w:t>
            </w:r>
          </w:p>
          <w:p w:rsidR="00542675" w:rsidRPr="00D65DBF" w:rsidRDefault="00542675" w:rsidP="00542675">
            <w:pPr>
              <w:pStyle w:val="Heading2"/>
              <w:numPr>
                <w:ilvl w:val="0"/>
                <w:numId w:val="7"/>
              </w:numPr>
              <w:rPr>
                <w:rFonts w:ascii="Arial" w:hAnsi="Arial"/>
                <w:b w:val="0"/>
                <w:sz w:val="20"/>
                <w:szCs w:val="20"/>
              </w:rPr>
            </w:pPr>
            <w:r w:rsidRPr="00D65DBF">
              <w:rPr>
                <w:rFonts w:ascii="Arial" w:hAnsi="Arial"/>
                <w:b w:val="0"/>
                <w:sz w:val="20"/>
                <w:szCs w:val="20"/>
              </w:rPr>
              <w:t>Remove air bubbles before testing</w:t>
            </w:r>
          </w:p>
          <w:p w:rsidR="00542675" w:rsidRPr="00D65DBF" w:rsidRDefault="00542675" w:rsidP="00542675">
            <w:pPr>
              <w:pStyle w:val="Heading2"/>
              <w:numPr>
                <w:ilvl w:val="0"/>
                <w:numId w:val="7"/>
              </w:numPr>
              <w:rPr>
                <w:rFonts w:ascii="Arial" w:hAnsi="Arial"/>
                <w:b w:val="0"/>
                <w:sz w:val="20"/>
                <w:szCs w:val="20"/>
              </w:rPr>
            </w:pPr>
            <w:r w:rsidRPr="00D65DBF">
              <w:rPr>
                <w:rFonts w:ascii="Arial" w:hAnsi="Arial"/>
                <w:b w:val="0"/>
                <w:sz w:val="20"/>
                <w:szCs w:val="20"/>
              </w:rPr>
              <w:t xml:space="preserve">Transfer serum to a properly labeled tube. </w:t>
            </w:r>
            <w:r w:rsidR="00F7103F">
              <w:rPr>
                <w:rFonts w:ascii="Arial" w:hAnsi="Arial"/>
                <w:b w:val="0"/>
                <w:sz w:val="20"/>
                <w:szCs w:val="20"/>
              </w:rPr>
              <w:t xml:space="preserve"> </w:t>
            </w:r>
            <w:r w:rsidRPr="00D65DBF">
              <w:rPr>
                <w:rFonts w:ascii="Arial" w:hAnsi="Arial"/>
                <w:b w:val="0"/>
                <w:sz w:val="20"/>
                <w:szCs w:val="20"/>
              </w:rPr>
              <w:t>Minimum labeling includes sample accession ID, and/ or patient name, medical record number, collection date and time.</w:t>
            </w:r>
          </w:p>
          <w:p w:rsidR="00542675" w:rsidRPr="00D65DBF" w:rsidRDefault="00542675" w:rsidP="00542675">
            <w:pPr>
              <w:pStyle w:val="Heading2"/>
              <w:numPr>
                <w:ilvl w:val="0"/>
                <w:numId w:val="7"/>
              </w:numPr>
              <w:rPr>
                <w:rFonts w:ascii="Arial" w:hAnsi="Arial"/>
                <w:b w:val="0"/>
                <w:sz w:val="20"/>
                <w:szCs w:val="20"/>
              </w:rPr>
            </w:pPr>
            <w:r w:rsidRPr="00D65DBF">
              <w:rPr>
                <w:rFonts w:ascii="Arial" w:hAnsi="Arial"/>
                <w:b w:val="0"/>
                <w:sz w:val="20"/>
                <w:szCs w:val="20"/>
              </w:rPr>
              <w:t xml:space="preserve">If samples are stored frozen, mix thawed samples well before testing. </w:t>
            </w:r>
            <w:r w:rsidR="00F7103F">
              <w:rPr>
                <w:rFonts w:ascii="Arial" w:hAnsi="Arial"/>
                <w:b w:val="0"/>
                <w:sz w:val="20"/>
                <w:szCs w:val="20"/>
              </w:rPr>
              <w:t xml:space="preserve"> </w:t>
            </w:r>
            <w:r w:rsidRPr="00D65DBF">
              <w:rPr>
                <w:rFonts w:ascii="Arial" w:hAnsi="Arial"/>
                <w:b w:val="0"/>
                <w:sz w:val="20"/>
                <w:szCs w:val="20"/>
              </w:rPr>
              <w:t>Avoid repeated freeze-thaw cycles. Check for and remove air bubbles before assaying</w:t>
            </w:r>
          </w:p>
          <w:p w:rsidR="00542675" w:rsidRPr="00D65DBF" w:rsidRDefault="00542675" w:rsidP="00542675">
            <w:pPr>
              <w:pStyle w:val="Heading2"/>
              <w:numPr>
                <w:ilvl w:val="0"/>
                <w:numId w:val="0"/>
              </w:numPr>
              <w:rPr>
                <w:rFonts w:ascii="Arial" w:hAnsi="Arial"/>
                <w:b w:val="0"/>
                <w:sz w:val="20"/>
                <w:szCs w:val="20"/>
              </w:rPr>
            </w:pPr>
          </w:p>
        </w:tc>
      </w:tr>
      <w:tr w:rsidR="00E902AC" w:rsidRPr="00D65DBF" w:rsidTr="00606516">
        <w:trPr>
          <w:gridAfter w:val="1"/>
          <w:wAfter w:w="127" w:type="dxa"/>
          <w:cantSplit/>
          <w:trHeight w:val="197"/>
        </w:trPr>
        <w:tc>
          <w:tcPr>
            <w:tcW w:w="1798" w:type="dxa"/>
            <w:tcBorders>
              <w:top w:val="nil"/>
              <w:left w:val="nil"/>
              <w:bottom w:val="nil"/>
              <w:right w:val="nil"/>
            </w:tcBorders>
          </w:tcPr>
          <w:p w:rsidR="00E902AC" w:rsidRPr="00D65DBF" w:rsidRDefault="00E902AC">
            <w:pPr>
              <w:rPr>
                <w:rFonts w:ascii="Arial" w:hAnsi="Arial" w:cs="Arial"/>
                <w:b/>
                <w:bCs/>
                <w:color w:val="0000FF"/>
                <w:sz w:val="20"/>
                <w:szCs w:val="20"/>
              </w:rPr>
            </w:pPr>
          </w:p>
        </w:tc>
        <w:tc>
          <w:tcPr>
            <w:tcW w:w="9182" w:type="dxa"/>
            <w:gridSpan w:val="3"/>
            <w:tcBorders>
              <w:top w:val="single" w:sz="18" w:space="0" w:color="A6A6A6"/>
              <w:left w:val="nil"/>
              <w:bottom w:val="nil"/>
              <w:right w:val="nil"/>
            </w:tcBorders>
          </w:tcPr>
          <w:p w:rsidR="00E902AC" w:rsidRPr="00D65DBF" w:rsidRDefault="00E902AC">
            <w:pPr>
              <w:jc w:val="left"/>
              <w:rPr>
                <w:rFonts w:ascii="Arial" w:hAnsi="Arial" w:cs="Arial"/>
                <w:iCs/>
                <w:sz w:val="20"/>
                <w:szCs w:val="20"/>
              </w:rPr>
            </w:pPr>
          </w:p>
        </w:tc>
      </w:tr>
      <w:tr w:rsidR="00E902AC" w:rsidRPr="00D65DBF"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Pr>
        <w:tc>
          <w:tcPr>
            <w:tcW w:w="1798" w:type="dxa"/>
            <w:tcBorders>
              <w:left w:val="nil"/>
              <w:bottom w:val="nil"/>
              <w:right w:val="single" w:sz="6" w:space="0" w:color="auto"/>
            </w:tcBorders>
          </w:tcPr>
          <w:p w:rsidR="00E902AC" w:rsidRPr="00D65DBF" w:rsidRDefault="00E902AC">
            <w:pPr>
              <w:jc w:val="left"/>
              <w:rPr>
                <w:rFonts w:ascii="Arial" w:hAnsi="Arial" w:cs="Arial"/>
                <w:b/>
                <w:bCs/>
                <w:color w:val="0000FF"/>
                <w:sz w:val="20"/>
                <w:szCs w:val="20"/>
              </w:rPr>
            </w:pPr>
            <w:r w:rsidRPr="00D65DBF">
              <w:rPr>
                <w:rFonts w:ascii="Arial" w:hAnsi="Arial" w:cs="Arial"/>
                <w:b/>
                <w:bCs/>
                <w:color w:val="0000FF"/>
                <w:sz w:val="20"/>
                <w:szCs w:val="20"/>
              </w:rPr>
              <w:t>Materials</w:t>
            </w:r>
          </w:p>
        </w:tc>
        <w:tc>
          <w:tcPr>
            <w:tcW w:w="4322" w:type="dxa"/>
            <w:tcBorders>
              <w:top w:val="single" w:sz="4" w:space="0" w:color="auto"/>
              <w:left w:val="single" w:sz="6" w:space="0" w:color="auto"/>
              <w:bottom w:val="single" w:sz="6" w:space="0" w:color="auto"/>
              <w:right w:val="single" w:sz="6" w:space="0" w:color="auto"/>
            </w:tcBorders>
          </w:tcPr>
          <w:p w:rsidR="00E902AC" w:rsidRPr="00D65DBF" w:rsidRDefault="00E902AC">
            <w:pPr>
              <w:jc w:val="left"/>
              <w:rPr>
                <w:rFonts w:ascii="Arial" w:hAnsi="Arial" w:cs="Arial"/>
                <w:iCs/>
                <w:sz w:val="20"/>
                <w:szCs w:val="20"/>
              </w:rPr>
            </w:pPr>
            <w:r w:rsidRPr="00D65DBF">
              <w:rPr>
                <w:rFonts w:ascii="Arial" w:hAnsi="Arial" w:cs="Arial"/>
                <w:b/>
                <w:iCs/>
                <w:sz w:val="20"/>
                <w:szCs w:val="20"/>
              </w:rPr>
              <w:t>Reagents</w:t>
            </w:r>
          </w:p>
        </w:tc>
        <w:tc>
          <w:tcPr>
            <w:tcW w:w="2703" w:type="dxa"/>
            <w:tcBorders>
              <w:top w:val="single" w:sz="6" w:space="0" w:color="auto"/>
              <w:left w:val="single" w:sz="6" w:space="0" w:color="auto"/>
              <w:bottom w:val="single" w:sz="6" w:space="0" w:color="auto"/>
              <w:right w:val="single" w:sz="6" w:space="0" w:color="auto"/>
            </w:tcBorders>
          </w:tcPr>
          <w:p w:rsidR="00E902AC" w:rsidRPr="00D65DBF" w:rsidRDefault="00E902AC">
            <w:pPr>
              <w:jc w:val="left"/>
              <w:rPr>
                <w:rFonts w:ascii="Arial" w:hAnsi="Arial" w:cs="Arial"/>
                <w:iCs/>
                <w:sz w:val="20"/>
                <w:szCs w:val="20"/>
              </w:rPr>
            </w:pPr>
            <w:r w:rsidRPr="00D65DBF">
              <w:rPr>
                <w:rFonts w:ascii="Arial" w:hAnsi="Arial" w:cs="Arial"/>
                <w:b/>
                <w:iCs/>
                <w:sz w:val="20"/>
                <w:szCs w:val="20"/>
              </w:rPr>
              <w:t>Supplies</w:t>
            </w:r>
          </w:p>
        </w:tc>
        <w:tc>
          <w:tcPr>
            <w:tcW w:w="2157" w:type="dxa"/>
            <w:tcBorders>
              <w:top w:val="single" w:sz="6" w:space="0" w:color="auto"/>
              <w:left w:val="single" w:sz="6" w:space="0" w:color="auto"/>
              <w:bottom w:val="single" w:sz="6" w:space="0" w:color="auto"/>
              <w:right w:val="single" w:sz="4" w:space="0" w:color="auto"/>
            </w:tcBorders>
          </w:tcPr>
          <w:p w:rsidR="00E902AC" w:rsidRPr="00D65DBF" w:rsidRDefault="00E902AC">
            <w:pPr>
              <w:jc w:val="left"/>
              <w:rPr>
                <w:rFonts w:ascii="Arial" w:hAnsi="Arial" w:cs="Arial"/>
                <w:b/>
                <w:iCs/>
                <w:sz w:val="20"/>
                <w:szCs w:val="20"/>
              </w:rPr>
            </w:pPr>
            <w:r w:rsidRPr="00D65DBF">
              <w:rPr>
                <w:rFonts w:ascii="Arial" w:hAnsi="Arial" w:cs="Arial"/>
                <w:b/>
                <w:iCs/>
                <w:sz w:val="20"/>
                <w:szCs w:val="20"/>
              </w:rPr>
              <w:t>Equipment</w:t>
            </w:r>
          </w:p>
        </w:tc>
      </w:tr>
      <w:tr w:rsidR="00E902AC" w:rsidRPr="00D65DBF"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Pr>
        <w:tc>
          <w:tcPr>
            <w:tcW w:w="1798" w:type="dxa"/>
            <w:tcBorders>
              <w:top w:val="nil"/>
              <w:left w:val="nil"/>
              <w:bottom w:val="nil"/>
              <w:right w:val="single" w:sz="4" w:space="0" w:color="auto"/>
            </w:tcBorders>
          </w:tcPr>
          <w:p w:rsidR="00E902AC" w:rsidRPr="00D65DBF" w:rsidRDefault="00E902AC">
            <w:pPr>
              <w:jc w:val="left"/>
              <w:rPr>
                <w:rFonts w:ascii="Arial" w:hAnsi="Arial" w:cs="Arial"/>
                <w:b/>
                <w:bCs/>
                <w:color w:val="0000FF"/>
                <w:sz w:val="20"/>
                <w:szCs w:val="20"/>
              </w:rPr>
            </w:pPr>
          </w:p>
        </w:tc>
        <w:tc>
          <w:tcPr>
            <w:tcW w:w="4322" w:type="dxa"/>
            <w:tcBorders>
              <w:top w:val="single" w:sz="6" w:space="0" w:color="auto"/>
              <w:left w:val="single" w:sz="4" w:space="0" w:color="auto"/>
              <w:bottom w:val="single" w:sz="4" w:space="0" w:color="auto"/>
              <w:right w:val="single" w:sz="4" w:space="0" w:color="auto"/>
            </w:tcBorders>
          </w:tcPr>
          <w:p w:rsidR="00E902AC" w:rsidRPr="00D65DBF" w:rsidRDefault="00BA160D" w:rsidP="00684BE9">
            <w:pPr>
              <w:pStyle w:val="BodyText3"/>
              <w:rPr>
                <w:rFonts w:ascii="Arial" w:hAnsi="Arial" w:cs="Arial"/>
                <w:b w:val="0"/>
                <w:bCs/>
                <w:iCs/>
                <w:color w:val="auto"/>
                <w:sz w:val="20"/>
                <w:szCs w:val="20"/>
              </w:rPr>
            </w:pPr>
            <w:r w:rsidRPr="00D65DBF">
              <w:rPr>
                <w:rFonts w:ascii="Arial" w:hAnsi="Arial" w:cs="Arial"/>
                <w:b w:val="0"/>
                <w:bCs/>
                <w:iCs/>
                <w:color w:val="auto"/>
                <w:sz w:val="20"/>
                <w:szCs w:val="20"/>
              </w:rPr>
              <w:t>LIAISON® Measles IgG ([REF] 318810)</w:t>
            </w:r>
          </w:p>
        </w:tc>
        <w:tc>
          <w:tcPr>
            <w:tcW w:w="2703" w:type="dxa"/>
            <w:tcBorders>
              <w:top w:val="single" w:sz="6" w:space="0" w:color="auto"/>
              <w:left w:val="single" w:sz="4" w:space="0" w:color="auto"/>
              <w:bottom w:val="single" w:sz="4" w:space="0" w:color="auto"/>
              <w:right w:val="single" w:sz="6" w:space="0" w:color="auto"/>
            </w:tcBorders>
          </w:tcPr>
          <w:p w:rsidR="00E902AC" w:rsidRPr="00D65DBF" w:rsidRDefault="00E902AC" w:rsidP="00051A8F">
            <w:pPr>
              <w:pStyle w:val="BodyText3"/>
              <w:jc w:val="left"/>
              <w:rPr>
                <w:rFonts w:ascii="Arial" w:hAnsi="Arial" w:cs="Arial"/>
                <w:b w:val="0"/>
                <w:bCs/>
                <w:iCs/>
                <w:color w:val="auto"/>
                <w:sz w:val="20"/>
                <w:szCs w:val="20"/>
              </w:rPr>
            </w:pPr>
            <w:r w:rsidRPr="00D65DBF">
              <w:rPr>
                <w:rFonts w:ascii="Arial" w:hAnsi="Arial" w:cs="Arial"/>
                <w:b w:val="0"/>
                <w:bCs/>
                <w:color w:val="auto"/>
                <w:sz w:val="20"/>
                <w:szCs w:val="20"/>
              </w:rPr>
              <w:t>polypropylene sample tubes</w:t>
            </w:r>
          </w:p>
        </w:tc>
        <w:tc>
          <w:tcPr>
            <w:tcW w:w="2157" w:type="dxa"/>
            <w:tcBorders>
              <w:top w:val="single" w:sz="6" w:space="0" w:color="auto"/>
              <w:left w:val="single" w:sz="6" w:space="0" w:color="auto"/>
              <w:bottom w:val="single" w:sz="4" w:space="0" w:color="auto"/>
              <w:right w:val="single" w:sz="4" w:space="0" w:color="auto"/>
            </w:tcBorders>
          </w:tcPr>
          <w:p w:rsidR="00E902AC" w:rsidRPr="00D65DBF" w:rsidRDefault="00E902AC">
            <w:pPr>
              <w:pStyle w:val="BodyText3"/>
              <w:rPr>
                <w:rFonts w:ascii="Arial" w:hAnsi="Arial" w:cs="Arial"/>
                <w:b w:val="0"/>
                <w:bCs/>
                <w:iCs/>
                <w:color w:val="auto"/>
                <w:sz w:val="20"/>
                <w:szCs w:val="20"/>
              </w:rPr>
            </w:pPr>
            <w:r w:rsidRPr="00D65DBF">
              <w:rPr>
                <w:rFonts w:ascii="Arial" w:hAnsi="Arial" w:cs="Arial"/>
                <w:b w:val="0"/>
                <w:bCs/>
                <w:iCs/>
                <w:color w:val="auto"/>
                <w:sz w:val="20"/>
                <w:szCs w:val="20"/>
              </w:rPr>
              <w:t xml:space="preserve">DiaSorin </w:t>
            </w:r>
            <w:r w:rsidR="00F60E6D" w:rsidRPr="00D65DBF">
              <w:rPr>
                <w:rFonts w:ascii="Arial" w:hAnsi="Arial" w:cs="Arial"/>
                <w:b w:val="0"/>
                <w:bCs/>
                <w:iCs/>
                <w:color w:val="auto"/>
                <w:sz w:val="20"/>
                <w:szCs w:val="20"/>
              </w:rPr>
              <w:t>Liaison XL</w:t>
            </w:r>
            <w:r w:rsidRPr="00D65DBF">
              <w:rPr>
                <w:rFonts w:ascii="Arial" w:hAnsi="Arial" w:cs="Arial"/>
                <w:b w:val="0"/>
                <w:bCs/>
                <w:iCs/>
                <w:color w:val="auto"/>
                <w:sz w:val="20"/>
                <w:szCs w:val="20"/>
              </w:rPr>
              <w:t xml:space="preserve"> System</w:t>
            </w:r>
          </w:p>
        </w:tc>
      </w:tr>
      <w:tr w:rsidR="00542675" w:rsidRPr="00D65DBF" w:rsidTr="00606516">
        <w:trPr>
          <w:gridAfter w:val="1"/>
          <w:wAfter w:w="127" w:type="dxa"/>
          <w:cantSplit/>
        </w:trPr>
        <w:tc>
          <w:tcPr>
            <w:tcW w:w="1798" w:type="dxa"/>
            <w:tcBorders>
              <w:top w:val="nil"/>
              <w:left w:val="nil"/>
              <w:bottom w:val="nil"/>
              <w:right w:val="nil"/>
            </w:tcBorders>
          </w:tcPr>
          <w:p w:rsidR="00542675" w:rsidRPr="00D65DBF" w:rsidRDefault="00542675" w:rsidP="00542675">
            <w:pPr>
              <w:jc w:val="left"/>
              <w:rPr>
                <w:rFonts w:ascii="Arial" w:hAnsi="Arial" w:cs="Arial"/>
                <w:b/>
                <w:bCs/>
                <w:color w:val="0000FF"/>
                <w:sz w:val="20"/>
                <w:szCs w:val="20"/>
              </w:rPr>
            </w:pPr>
          </w:p>
        </w:tc>
        <w:tc>
          <w:tcPr>
            <w:tcW w:w="9182" w:type="dxa"/>
            <w:gridSpan w:val="3"/>
            <w:tcBorders>
              <w:top w:val="single" w:sz="4" w:space="0" w:color="auto"/>
              <w:left w:val="nil"/>
              <w:bottom w:val="nil"/>
              <w:right w:val="nil"/>
            </w:tcBorders>
          </w:tcPr>
          <w:p w:rsidR="00E65DAB" w:rsidRPr="00D65DBF" w:rsidRDefault="00E65DAB" w:rsidP="00E65DAB">
            <w:pPr>
              <w:rPr>
                <w:rFonts w:ascii="Arial" w:hAnsi="Arial" w:cs="Arial"/>
                <w:sz w:val="20"/>
                <w:szCs w:val="20"/>
              </w:rPr>
            </w:pPr>
          </w:p>
        </w:tc>
      </w:tr>
      <w:tr w:rsidR="00F4531B" w:rsidRPr="00D65DBF" w:rsidTr="00606516">
        <w:trPr>
          <w:gridAfter w:val="1"/>
          <w:wAfter w:w="127" w:type="dxa"/>
          <w:cantSplit/>
        </w:trPr>
        <w:tc>
          <w:tcPr>
            <w:tcW w:w="1798" w:type="dxa"/>
            <w:tcBorders>
              <w:top w:val="nil"/>
              <w:left w:val="nil"/>
              <w:bottom w:val="nil"/>
              <w:right w:val="nil"/>
            </w:tcBorders>
          </w:tcPr>
          <w:p w:rsidR="008B240F" w:rsidRDefault="008B240F" w:rsidP="00542675">
            <w:pPr>
              <w:jc w:val="left"/>
              <w:rPr>
                <w:rFonts w:ascii="Arial" w:hAnsi="Arial" w:cs="Arial"/>
                <w:b/>
                <w:bCs/>
                <w:color w:val="0000FF"/>
                <w:sz w:val="20"/>
                <w:szCs w:val="20"/>
              </w:rPr>
            </w:pPr>
          </w:p>
          <w:p w:rsidR="00F4531B" w:rsidRPr="00D65DBF" w:rsidRDefault="00F4531B" w:rsidP="00542675">
            <w:pPr>
              <w:jc w:val="left"/>
              <w:rPr>
                <w:rFonts w:ascii="Arial" w:hAnsi="Arial" w:cs="Arial"/>
                <w:b/>
                <w:bCs/>
                <w:color w:val="0000FF"/>
                <w:sz w:val="20"/>
                <w:szCs w:val="20"/>
              </w:rPr>
            </w:pPr>
            <w:r w:rsidRPr="00D65DBF">
              <w:rPr>
                <w:rFonts w:ascii="Arial" w:hAnsi="Arial" w:cs="Arial"/>
                <w:b/>
                <w:bCs/>
                <w:color w:val="0000FF"/>
                <w:sz w:val="20"/>
                <w:szCs w:val="20"/>
              </w:rPr>
              <w:t>Reagent Integral Preparation</w:t>
            </w:r>
          </w:p>
        </w:tc>
        <w:tc>
          <w:tcPr>
            <w:tcW w:w="9182" w:type="dxa"/>
            <w:gridSpan w:val="3"/>
            <w:tcBorders>
              <w:top w:val="single" w:sz="4" w:space="0" w:color="auto"/>
              <w:left w:val="nil"/>
              <w:bottom w:val="nil"/>
              <w:right w:val="nil"/>
            </w:tcBorders>
          </w:tcPr>
          <w:p w:rsidR="008B240F" w:rsidRPr="00DF692F" w:rsidRDefault="008B240F" w:rsidP="008B240F">
            <w:pPr>
              <w:pStyle w:val="Heading2"/>
              <w:numPr>
                <w:ilvl w:val="0"/>
                <w:numId w:val="0"/>
              </w:numPr>
              <w:rPr>
                <w:rFonts w:ascii="Arial" w:hAnsi="Arial"/>
                <w:sz w:val="20"/>
                <w:szCs w:val="20"/>
              </w:rPr>
            </w:pPr>
          </w:p>
          <w:p w:rsidR="008B240F" w:rsidRPr="00DF692F" w:rsidRDefault="008B240F" w:rsidP="008B240F">
            <w:pPr>
              <w:jc w:val="left"/>
              <w:rPr>
                <w:rFonts w:ascii="Arial" w:hAnsi="Arial" w:cs="Arial"/>
                <w:b/>
                <w:sz w:val="20"/>
                <w:szCs w:val="20"/>
              </w:rPr>
            </w:pPr>
            <w:r w:rsidRPr="00DF692F">
              <w:rPr>
                <w:rFonts w:ascii="Arial" w:hAnsi="Arial" w:cs="Arial"/>
                <w:b/>
                <w:sz w:val="20"/>
                <w:szCs w:val="20"/>
              </w:rPr>
              <w:t>How to prepare and load new</w:t>
            </w:r>
            <w:r>
              <w:rPr>
                <w:rFonts w:ascii="Arial" w:hAnsi="Arial" w:cs="Arial"/>
                <w:b/>
                <w:sz w:val="20"/>
                <w:szCs w:val="20"/>
              </w:rPr>
              <w:t xml:space="preserve"> reagent</w:t>
            </w:r>
            <w:r w:rsidRPr="00DF692F">
              <w:rPr>
                <w:rFonts w:ascii="Arial" w:hAnsi="Arial" w:cs="Arial"/>
                <w:b/>
                <w:sz w:val="20"/>
                <w:szCs w:val="20"/>
              </w:rPr>
              <w:t xml:space="preserve"> integrals</w:t>
            </w:r>
          </w:p>
          <w:p w:rsidR="008B240F" w:rsidRPr="00DF692F" w:rsidRDefault="008B240F" w:rsidP="008B240F">
            <w:pPr>
              <w:pStyle w:val="Default"/>
              <w:numPr>
                <w:ilvl w:val="0"/>
                <w:numId w:val="15"/>
              </w:numPr>
              <w:rPr>
                <w:sz w:val="20"/>
                <w:szCs w:val="20"/>
              </w:rPr>
            </w:pPr>
            <w:r w:rsidRPr="00DF692F">
              <w:rPr>
                <w:sz w:val="20"/>
                <w:szCs w:val="20"/>
              </w:rPr>
              <w:t xml:space="preserve">Remove from refrigerated storage, maintaining upright orientation </w:t>
            </w:r>
          </w:p>
          <w:p w:rsidR="008B240F" w:rsidRPr="00DF692F" w:rsidRDefault="008B240F" w:rsidP="008B240F">
            <w:pPr>
              <w:pStyle w:val="Default"/>
              <w:numPr>
                <w:ilvl w:val="0"/>
                <w:numId w:val="15"/>
              </w:numPr>
              <w:rPr>
                <w:sz w:val="20"/>
                <w:szCs w:val="20"/>
              </w:rPr>
            </w:pPr>
            <w:r>
              <w:rPr>
                <w:sz w:val="20"/>
                <w:szCs w:val="20"/>
              </w:rPr>
              <w:t>Inspect i</w:t>
            </w:r>
            <w:r w:rsidRPr="00DF692F">
              <w:rPr>
                <w:sz w:val="20"/>
                <w:szCs w:val="20"/>
              </w:rPr>
              <w:t xml:space="preserve">ntegral for leakage </w:t>
            </w:r>
          </w:p>
          <w:p w:rsidR="008B240F" w:rsidRPr="00DF692F" w:rsidRDefault="008B240F" w:rsidP="008B240F">
            <w:pPr>
              <w:pStyle w:val="Default"/>
              <w:numPr>
                <w:ilvl w:val="0"/>
                <w:numId w:val="15"/>
              </w:numPr>
              <w:rPr>
                <w:sz w:val="20"/>
                <w:szCs w:val="20"/>
              </w:rPr>
            </w:pPr>
            <w:r w:rsidRPr="00DF692F">
              <w:rPr>
                <w:sz w:val="20"/>
                <w:szCs w:val="20"/>
              </w:rPr>
              <w:t>Mix magnetic particle for 30 seconds</w:t>
            </w:r>
          </w:p>
          <w:p w:rsidR="008B240F" w:rsidRPr="00DF692F" w:rsidRDefault="008B240F" w:rsidP="008B240F">
            <w:pPr>
              <w:pStyle w:val="Default"/>
              <w:numPr>
                <w:ilvl w:val="0"/>
                <w:numId w:val="15"/>
              </w:numPr>
              <w:rPr>
                <w:sz w:val="20"/>
                <w:szCs w:val="20"/>
              </w:rPr>
            </w:pPr>
            <w:r w:rsidRPr="00DF692F">
              <w:rPr>
                <w:sz w:val="20"/>
                <w:szCs w:val="20"/>
              </w:rPr>
              <w:t xml:space="preserve">Seat test integral in Xcelerator for 30 seconds </w:t>
            </w:r>
          </w:p>
          <w:p w:rsidR="008B240F" w:rsidRPr="00DF692F" w:rsidRDefault="008B240F" w:rsidP="008B240F">
            <w:pPr>
              <w:pStyle w:val="Default"/>
              <w:numPr>
                <w:ilvl w:val="0"/>
                <w:numId w:val="15"/>
              </w:numPr>
              <w:rPr>
                <w:sz w:val="20"/>
                <w:szCs w:val="20"/>
              </w:rPr>
            </w:pPr>
            <w:r w:rsidRPr="00DF692F">
              <w:rPr>
                <w:sz w:val="20"/>
                <w:szCs w:val="20"/>
              </w:rPr>
              <w:t>Gently rotate the magnetic particle vial for 30 seconds</w:t>
            </w:r>
          </w:p>
          <w:p w:rsidR="008B240F" w:rsidRPr="00DF692F" w:rsidRDefault="008B240F" w:rsidP="008B240F">
            <w:pPr>
              <w:pStyle w:val="Default"/>
              <w:numPr>
                <w:ilvl w:val="0"/>
                <w:numId w:val="15"/>
              </w:numPr>
              <w:rPr>
                <w:sz w:val="20"/>
                <w:szCs w:val="20"/>
              </w:rPr>
            </w:pPr>
            <w:r w:rsidRPr="00DF692F">
              <w:rPr>
                <w:sz w:val="20"/>
                <w:szCs w:val="20"/>
              </w:rPr>
              <w:t xml:space="preserve">Remove new integral sealing flaps slowly </w:t>
            </w:r>
          </w:p>
          <w:p w:rsidR="008B240F" w:rsidRPr="00DF692F" w:rsidRDefault="008B240F" w:rsidP="008B240F">
            <w:pPr>
              <w:pStyle w:val="Default"/>
              <w:numPr>
                <w:ilvl w:val="0"/>
                <w:numId w:val="15"/>
              </w:numPr>
              <w:rPr>
                <w:sz w:val="20"/>
                <w:szCs w:val="20"/>
              </w:rPr>
            </w:pPr>
            <w:r w:rsidRPr="00DF692F">
              <w:rPr>
                <w:sz w:val="20"/>
                <w:szCs w:val="20"/>
              </w:rPr>
              <w:t>Remove all liquid from the surfaces of the membranes to prevent cross-contamination of the reagent vials by blotting using a kim wipe folded in half lengthwise</w:t>
            </w:r>
          </w:p>
          <w:p w:rsidR="008B240F" w:rsidRPr="00DF692F" w:rsidRDefault="008B240F" w:rsidP="008B240F">
            <w:pPr>
              <w:pStyle w:val="Default"/>
              <w:numPr>
                <w:ilvl w:val="0"/>
                <w:numId w:val="15"/>
              </w:numPr>
              <w:rPr>
                <w:sz w:val="20"/>
                <w:szCs w:val="20"/>
              </w:rPr>
            </w:pPr>
            <w:r w:rsidRPr="00DF692F">
              <w:rPr>
                <w:sz w:val="20"/>
                <w:szCs w:val="20"/>
              </w:rPr>
              <w:t xml:space="preserve">Open the reagent bay on the analyzer </w:t>
            </w:r>
          </w:p>
          <w:p w:rsidR="008B240F" w:rsidRPr="00DF692F" w:rsidRDefault="008B240F" w:rsidP="008B240F">
            <w:pPr>
              <w:pStyle w:val="Default"/>
              <w:numPr>
                <w:ilvl w:val="0"/>
                <w:numId w:val="15"/>
              </w:numPr>
              <w:rPr>
                <w:sz w:val="20"/>
                <w:szCs w:val="20"/>
              </w:rPr>
            </w:pPr>
            <w:r w:rsidRPr="00DF692F">
              <w:rPr>
                <w:sz w:val="20"/>
                <w:szCs w:val="20"/>
              </w:rPr>
              <w:t xml:space="preserve">Using a smooth motion, insert the integral into an unoccupied lane in the reagent area until it rests firmly against the docking pins at the rear. </w:t>
            </w:r>
          </w:p>
          <w:p w:rsidR="00F4531B" w:rsidRPr="00D65DBF" w:rsidRDefault="008B240F" w:rsidP="008B240F">
            <w:pPr>
              <w:rPr>
                <w:rFonts w:ascii="Arial" w:hAnsi="Arial" w:cs="Arial"/>
                <w:sz w:val="20"/>
                <w:szCs w:val="20"/>
              </w:rPr>
            </w:pPr>
            <w:r w:rsidRPr="00DF692F">
              <w:rPr>
                <w:rFonts w:ascii="Arial" w:hAnsi="Arial" w:cs="Arial"/>
                <w:b/>
                <w:sz w:val="20"/>
                <w:szCs w:val="20"/>
              </w:rPr>
              <w:t>Note:</w:t>
            </w:r>
            <w:r w:rsidRPr="00DF692F">
              <w:rPr>
                <w:rFonts w:ascii="Arial" w:hAnsi="Arial" w:cs="Arial"/>
                <w:sz w:val="20"/>
                <w:szCs w:val="20"/>
              </w:rPr>
              <w:t xml:space="preserve"> </w:t>
            </w:r>
            <w:r w:rsidRPr="00DF692F">
              <w:rPr>
                <w:rFonts w:ascii="Arial" w:hAnsi="Arial" w:cs="Arial"/>
                <w:color w:val="000000"/>
                <w:sz w:val="20"/>
                <w:szCs w:val="20"/>
              </w:rPr>
              <w:t>if m</w:t>
            </w:r>
            <w:r w:rsidRPr="00DF692F">
              <w:rPr>
                <w:rFonts w:ascii="Arial" w:hAnsi="Arial" w:cs="Arial"/>
                <w:sz w:val="20"/>
                <w:szCs w:val="20"/>
              </w:rPr>
              <w:t>ore than one integral of the same reagent is loaded place the newest integral to the right of the old integral.  The analyzer will sample from the left integral until empty then move right.</w:t>
            </w:r>
          </w:p>
        </w:tc>
      </w:tr>
      <w:tr w:rsidR="00E65DAB" w:rsidRPr="00D65DBF" w:rsidTr="00606516">
        <w:trPr>
          <w:gridAfter w:val="1"/>
          <w:wAfter w:w="127" w:type="dxa"/>
          <w:cantSplit/>
        </w:trPr>
        <w:tc>
          <w:tcPr>
            <w:tcW w:w="1798" w:type="dxa"/>
            <w:tcBorders>
              <w:top w:val="nil"/>
              <w:left w:val="nil"/>
              <w:bottom w:val="nil"/>
              <w:right w:val="nil"/>
            </w:tcBorders>
          </w:tcPr>
          <w:p w:rsidR="00E65DAB" w:rsidRPr="00D65DBF" w:rsidRDefault="00E65DAB" w:rsidP="00542675">
            <w:pPr>
              <w:jc w:val="left"/>
              <w:rPr>
                <w:rFonts w:ascii="Arial" w:hAnsi="Arial" w:cs="Arial"/>
                <w:b/>
                <w:bCs/>
                <w:color w:val="0000FF"/>
                <w:sz w:val="20"/>
                <w:szCs w:val="20"/>
              </w:rPr>
            </w:pPr>
          </w:p>
        </w:tc>
        <w:tc>
          <w:tcPr>
            <w:tcW w:w="9182" w:type="dxa"/>
            <w:gridSpan w:val="3"/>
            <w:tcBorders>
              <w:top w:val="nil"/>
              <w:left w:val="nil"/>
              <w:bottom w:val="single" w:sz="4" w:space="0" w:color="auto"/>
              <w:right w:val="nil"/>
            </w:tcBorders>
          </w:tcPr>
          <w:p w:rsidR="00E65DAB" w:rsidRPr="00D65DBF" w:rsidRDefault="00E65DAB" w:rsidP="00E65DAB">
            <w:pPr>
              <w:rPr>
                <w:rFonts w:ascii="Arial" w:hAnsi="Arial" w:cs="Arial"/>
                <w:sz w:val="20"/>
                <w:szCs w:val="20"/>
              </w:rPr>
            </w:pPr>
          </w:p>
        </w:tc>
      </w:tr>
      <w:tr w:rsidR="00542675" w:rsidRPr="00D65DBF" w:rsidTr="00606516">
        <w:trPr>
          <w:gridAfter w:val="1"/>
          <w:wAfter w:w="127" w:type="dxa"/>
          <w:cantSplit/>
          <w:trHeight w:val="530"/>
        </w:trPr>
        <w:tc>
          <w:tcPr>
            <w:tcW w:w="1798" w:type="dxa"/>
            <w:tcBorders>
              <w:left w:val="nil"/>
              <w:bottom w:val="nil"/>
              <w:right w:val="nil"/>
            </w:tcBorders>
          </w:tcPr>
          <w:p w:rsidR="00542675" w:rsidRPr="00D65DBF" w:rsidRDefault="00542675" w:rsidP="00886799">
            <w:pPr>
              <w:rPr>
                <w:rFonts w:ascii="Arial" w:hAnsi="Arial" w:cs="Arial"/>
                <w:b/>
                <w:bCs/>
                <w:color w:val="0000FF"/>
                <w:sz w:val="20"/>
                <w:szCs w:val="20"/>
              </w:rPr>
            </w:pPr>
          </w:p>
        </w:tc>
        <w:tc>
          <w:tcPr>
            <w:tcW w:w="9182" w:type="dxa"/>
            <w:gridSpan w:val="3"/>
            <w:vMerge w:val="restart"/>
            <w:tcBorders>
              <w:top w:val="single" w:sz="4" w:space="0" w:color="auto"/>
              <w:left w:val="nil"/>
              <w:bottom w:val="single" w:sz="18" w:space="0" w:color="A6A6A6"/>
              <w:right w:val="nil"/>
            </w:tcBorders>
          </w:tcPr>
          <w:p w:rsidR="00542675" w:rsidRPr="00D65DBF" w:rsidRDefault="00542675">
            <w:pPr>
              <w:pStyle w:val="Heading2"/>
              <w:numPr>
                <w:ilvl w:val="0"/>
                <w:numId w:val="0"/>
              </w:numPr>
              <w:rPr>
                <w:rFonts w:ascii="Arial" w:hAnsi="Arial"/>
                <w:b w:val="0"/>
                <w:sz w:val="20"/>
                <w:szCs w:val="20"/>
              </w:rPr>
            </w:pPr>
          </w:p>
          <w:p w:rsidR="00B7370D" w:rsidRPr="00D65DBF" w:rsidRDefault="00B7370D">
            <w:pPr>
              <w:pStyle w:val="Heading2"/>
              <w:numPr>
                <w:ilvl w:val="0"/>
                <w:numId w:val="0"/>
              </w:numPr>
              <w:rPr>
                <w:rFonts w:ascii="Arial" w:hAnsi="Arial"/>
                <w:bCs w:val="0"/>
                <w:sz w:val="20"/>
                <w:szCs w:val="20"/>
              </w:rPr>
            </w:pPr>
          </w:p>
          <w:p w:rsidR="00542675" w:rsidRPr="00D65DBF" w:rsidRDefault="00542675">
            <w:pPr>
              <w:pStyle w:val="Heading2"/>
              <w:numPr>
                <w:ilvl w:val="0"/>
                <w:numId w:val="0"/>
              </w:numPr>
              <w:rPr>
                <w:rFonts w:ascii="Arial" w:hAnsi="Arial"/>
                <w:bCs w:val="0"/>
                <w:sz w:val="20"/>
                <w:szCs w:val="20"/>
              </w:rPr>
            </w:pPr>
            <w:r w:rsidRPr="00D65DBF">
              <w:rPr>
                <w:rFonts w:ascii="Arial" w:hAnsi="Arial"/>
                <w:bCs w:val="0"/>
                <w:sz w:val="20"/>
                <w:szCs w:val="20"/>
              </w:rPr>
              <w:t xml:space="preserve">Reagent Integral Storage </w:t>
            </w:r>
            <w:r w:rsidR="00F72993" w:rsidRPr="00D65DBF">
              <w:rPr>
                <w:rFonts w:ascii="Arial" w:hAnsi="Arial"/>
                <w:bCs w:val="0"/>
                <w:sz w:val="20"/>
                <w:szCs w:val="20"/>
              </w:rPr>
              <w:t>and</w:t>
            </w:r>
            <w:r w:rsidRPr="00D65DBF">
              <w:rPr>
                <w:rFonts w:ascii="Arial" w:hAnsi="Arial"/>
                <w:bCs w:val="0"/>
                <w:sz w:val="20"/>
                <w:szCs w:val="20"/>
              </w:rPr>
              <w:t xml:space="preserve"> Stability:</w:t>
            </w:r>
          </w:p>
          <w:p w:rsidR="00542675" w:rsidRPr="00D65DBF" w:rsidRDefault="00051A8F" w:rsidP="00E902AC">
            <w:pPr>
              <w:pStyle w:val="Heading2"/>
              <w:numPr>
                <w:ilvl w:val="0"/>
                <w:numId w:val="6"/>
              </w:numPr>
              <w:rPr>
                <w:rFonts w:ascii="Arial" w:hAnsi="Arial"/>
                <w:b w:val="0"/>
                <w:sz w:val="20"/>
                <w:szCs w:val="20"/>
              </w:rPr>
            </w:pPr>
            <w:r w:rsidRPr="00D65DBF">
              <w:rPr>
                <w:rFonts w:ascii="Arial" w:hAnsi="Arial"/>
                <w:b w:val="0"/>
                <w:sz w:val="20"/>
                <w:szCs w:val="20"/>
              </w:rPr>
              <w:t>Upon receipt, the reagent i</w:t>
            </w:r>
            <w:r w:rsidR="00542675" w:rsidRPr="00D65DBF">
              <w:rPr>
                <w:rFonts w:ascii="Arial" w:hAnsi="Arial"/>
                <w:b w:val="0"/>
                <w:sz w:val="20"/>
                <w:szCs w:val="20"/>
              </w:rPr>
              <w:t>ntegral must be stored in an upright position to facilitate resuspension of magnetic particles.</w:t>
            </w:r>
          </w:p>
          <w:p w:rsidR="00542675" w:rsidRPr="00D65DBF" w:rsidRDefault="00542675" w:rsidP="00E902AC">
            <w:pPr>
              <w:pStyle w:val="Heading2"/>
              <w:numPr>
                <w:ilvl w:val="0"/>
                <w:numId w:val="6"/>
              </w:numPr>
              <w:rPr>
                <w:rFonts w:ascii="Arial" w:hAnsi="Arial"/>
                <w:b w:val="0"/>
                <w:sz w:val="20"/>
                <w:szCs w:val="20"/>
              </w:rPr>
            </w:pPr>
            <w:r w:rsidRPr="00D65DBF">
              <w:rPr>
                <w:rFonts w:ascii="Arial" w:hAnsi="Arial"/>
                <w:b w:val="0"/>
                <w:sz w:val="20"/>
                <w:szCs w:val="20"/>
              </w:rPr>
              <w:t xml:space="preserve">Stored sealed, the reagents are stable at 2-8°C up to the expiration date. </w:t>
            </w:r>
          </w:p>
          <w:p w:rsidR="00542675" w:rsidRPr="00D65DBF" w:rsidRDefault="00051A8F" w:rsidP="00E902AC">
            <w:pPr>
              <w:pStyle w:val="Heading2"/>
              <w:numPr>
                <w:ilvl w:val="0"/>
                <w:numId w:val="6"/>
              </w:numPr>
              <w:rPr>
                <w:rFonts w:ascii="Arial" w:hAnsi="Arial"/>
                <w:b w:val="0"/>
                <w:sz w:val="20"/>
                <w:szCs w:val="20"/>
              </w:rPr>
            </w:pPr>
            <w:r w:rsidRPr="00D65DBF">
              <w:rPr>
                <w:rFonts w:ascii="Arial" w:hAnsi="Arial"/>
                <w:b w:val="0"/>
                <w:sz w:val="20"/>
                <w:szCs w:val="20"/>
              </w:rPr>
              <w:t>After removing the seals, the reagent i</w:t>
            </w:r>
            <w:r w:rsidR="00542675" w:rsidRPr="00D65DBF">
              <w:rPr>
                <w:rFonts w:ascii="Arial" w:hAnsi="Arial"/>
                <w:b w:val="0"/>
                <w:sz w:val="20"/>
                <w:szCs w:val="20"/>
              </w:rPr>
              <w:t xml:space="preserve">ntegral is stable for </w:t>
            </w:r>
            <w:r w:rsidR="00542675" w:rsidRPr="00D65DBF">
              <w:rPr>
                <w:rFonts w:ascii="Arial" w:hAnsi="Arial"/>
                <w:sz w:val="20"/>
                <w:szCs w:val="20"/>
              </w:rPr>
              <w:t>eight weeks</w:t>
            </w:r>
            <w:r w:rsidR="00542675" w:rsidRPr="00D65DBF">
              <w:rPr>
                <w:rFonts w:ascii="Arial" w:hAnsi="Arial"/>
                <w:b w:val="0"/>
                <w:sz w:val="20"/>
                <w:szCs w:val="20"/>
              </w:rPr>
              <w:t xml:space="preserve"> when stored at 2-8°C or on board the </w:t>
            </w:r>
            <w:r w:rsidR="00F60E6D" w:rsidRPr="00D65DBF">
              <w:rPr>
                <w:rFonts w:ascii="Arial" w:hAnsi="Arial"/>
                <w:b w:val="0"/>
                <w:sz w:val="20"/>
                <w:szCs w:val="20"/>
              </w:rPr>
              <w:t>LIAISON XL</w:t>
            </w:r>
            <w:r w:rsidR="00542675" w:rsidRPr="00D65DBF">
              <w:rPr>
                <w:rFonts w:ascii="Arial" w:hAnsi="Arial"/>
                <w:b w:val="0"/>
                <w:sz w:val="20"/>
                <w:szCs w:val="20"/>
              </w:rPr>
              <w:t xml:space="preserve">® Analyzer. </w:t>
            </w:r>
            <w:r w:rsidR="00F7103F">
              <w:rPr>
                <w:rFonts w:ascii="Arial" w:hAnsi="Arial"/>
                <w:b w:val="0"/>
                <w:sz w:val="20"/>
                <w:szCs w:val="20"/>
              </w:rPr>
              <w:t xml:space="preserve"> </w:t>
            </w:r>
            <w:r w:rsidR="00542675" w:rsidRPr="00D65DBF">
              <w:rPr>
                <w:rFonts w:ascii="Arial" w:hAnsi="Arial"/>
                <w:b w:val="0"/>
                <w:sz w:val="20"/>
                <w:szCs w:val="20"/>
              </w:rPr>
              <w:t>Record new expiration date</w:t>
            </w:r>
            <w:r w:rsidR="00F7103F">
              <w:rPr>
                <w:rFonts w:ascii="Arial" w:hAnsi="Arial"/>
                <w:b w:val="0"/>
                <w:sz w:val="20"/>
                <w:szCs w:val="20"/>
              </w:rPr>
              <w:t xml:space="preserve"> and tech initials</w:t>
            </w:r>
            <w:r w:rsidR="00542675" w:rsidRPr="00D65DBF">
              <w:rPr>
                <w:rFonts w:ascii="Arial" w:hAnsi="Arial"/>
                <w:b w:val="0"/>
                <w:sz w:val="20"/>
                <w:szCs w:val="20"/>
              </w:rPr>
              <w:t xml:space="preserve"> on the integral.</w:t>
            </w:r>
          </w:p>
          <w:p w:rsidR="00542675" w:rsidRPr="00D65DBF" w:rsidRDefault="00542675" w:rsidP="00E902AC">
            <w:pPr>
              <w:pStyle w:val="Heading2"/>
              <w:numPr>
                <w:ilvl w:val="0"/>
                <w:numId w:val="6"/>
              </w:numPr>
              <w:rPr>
                <w:rFonts w:ascii="Arial" w:hAnsi="Arial"/>
                <w:b w:val="0"/>
                <w:sz w:val="20"/>
                <w:szCs w:val="20"/>
              </w:rPr>
            </w:pPr>
            <w:r w:rsidRPr="00D65DBF">
              <w:rPr>
                <w:rFonts w:ascii="Arial" w:hAnsi="Arial"/>
                <w:b w:val="0"/>
                <w:sz w:val="20"/>
                <w:szCs w:val="20"/>
              </w:rPr>
              <w:t xml:space="preserve">Do not freeze. </w:t>
            </w:r>
          </w:p>
          <w:p w:rsidR="00BA160D" w:rsidRPr="00D65DBF" w:rsidRDefault="00051A8F" w:rsidP="00BA160D">
            <w:pPr>
              <w:pStyle w:val="Heading2"/>
              <w:numPr>
                <w:ilvl w:val="0"/>
                <w:numId w:val="6"/>
              </w:numPr>
              <w:rPr>
                <w:rFonts w:ascii="Arial" w:hAnsi="Arial"/>
                <w:b w:val="0"/>
                <w:sz w:val="20"/>
                <w:szCs w:val="20"/>
              </w:rPr>
            </w:pPr>
            <w:r w:rsidRPr="00D65DBF">
              <w:rPr>
                <w:rFonts w:ascii="Arial" w:hAnsi="Arial"/>
                <w:b w:val="0"/>
                <w:sz w:val="20"/>
                <w:szCs w:val="20"/>
              </w:rPr>
              <w:t>The reagent i</w:t>
            </w:r>
            <w:r w:rsidR="00542675" w:rsidRPr="00D65DBF">
              <w:rPr>
                <w:rFonts w:ascii="Arial" w:hAnsi="Arial"/>
                <w:b w:val="0"/>
                <w:sz w:val="20"/>
                <w:szCs w:val="20"/>
              </w:rPr>
              <w:t>ntegral must not be used past the expiration date indicated on the kit and reagent integral labels.</w:t>
            </w:r>
          </w:p>
          <w:p w:rsidR="00542675" w:rsidRPr="00D65DBF" w:rsidRDefault="00BA160D" w:rsidP="00E902AC">
            <w:pPr>
              <w:pStyle w:val="Heading2"/>
              <w:numPr>
                <w:ilvl w:val="0"/>
                <w:numId w:val="6"/>
              </w:numPr>
              <w:rPr>
                <w:rFonts w:ascii="Arial" w:hAnsi="Arial"/>
                <w:b w:val="0"/>
                <w:sz w:val="20"/>
                <w:szCs w:val="20"/>
              </w:rPr>
            </w:pPr>
            <w:r w:rsidRPr="00D65DBF">
              <w:rPr>
                <w:rFonts w:ascii="Arial" w:hAnsi="Arial"/>
                <w:b w:val="0"/>
                <w:sz w:val="20"/>
                <w:szCs w:val="20"/>
              </w:rPr>
              <w:t>Keep away from direct light.</w:t>
            </w:r>
          </w:p>
          <w:p w:rsidR="00542675" w:rsidRPr="00D65DBF" w:rsidRDefault="00542675" w:rsidP="00BA160D">
            <w:pPr>
              <w:rPr>
                <w:rFonts w:ascii="Arial" w:hAnsi="Arial" w:cs="Arial"/>
                <w:b/>
                <w:sz w:val="20"/>
                <w:szCs w:val="20"/>
              </w:rPr>
            </w:pPr>
          </w:p>
        </w:tc>
      </w:tr>
      <w:tr w:rsidR="00E902AC" w:rsidRPr="00D65DBF" w:rsidTr="00606516">
        <w:trPr>
          <w:gridAfter w:val="1"/>
          <w:wAfter w:w="127" w:type="dxa"/>
          <w:cantSplit/>
          <w:trHeight w:val="530"/>
        </w:trPr>
        <w:tc>
          <w:tcPr>
            <w:tcW w:w="1798" w:type="dxa"/>
            <w:tcBorders>
              <w:top w:val="nil"/>
              <w:left w:val="nil"/>
              <w:bottom w:val="nil"/>
              <w:right w:val="nil"/>
            </w:tcBorders>
          </w:tcPr>
          <w:p w:rsidR="00E902AC" w:rsidRPr="00D65DBF" w:rsidRDefault="00E902AC">
            <w:pPr>
              <w:jc w:val="left"/>
              <w:rPr>
                <w:rFonts w:ascii="Arial" w:hAnsi="Arial" w:cs="Arial"/>
                <w:b/>
                <w:bCs/>
                <w:color w:val="0000FF"/>
                <w:sz w:val="20"/>
                <w:szCs w:val="20"/>
              </w:rPr>
            </w:pPr>
          </w:p>
        </w:tc>
        <w:tc>
          <w:tcPr>
            <w:tcW w:w="9182" w:type="dxa"/>
            <w:gridSpan w:val="3"/>
            <w:vMerge/>
            <w:tcBorders>
              <w:top w:val="single" w:sz="18" w:space="0" w:color="A6A6A6"/>
              <w:left w:val="nil"/>
              <w:bottom w:val="single" w:sz="18" w:space="0" w:color="A6A6A6"/>
              <w:right w:val="nil"/>
            </w:tcBorders>
          </w:tcPr>
          <w:p w:rsidR="00E902AC" w:rsidRPr="00D65DBF" w:rsidRDefault="00E902AC">
            <w:pPr>
              <w:pStyle w:val="Heading2"/>
              <w:numPr>
                <w:ilvl w:val="0"/>
                <w:numId w:val="0"/>
              </w:numPr>
              <w:rPr>
                <w:rFonts w:ascii="Arial" w:hAnsi="Arial"/>
                <w:b w:val="0"/>
                <w:sz w:val="20"/>
                <w:szCs w:val="20"/>
              </w:rPr>
            </w:pPr>
          </w:p>
        </w:tc>
      </w:tr>
      <w:tr w:rsidR="00E902AC" w:rsidRPr="00D65DBF"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Pr>
        <w:tc>
          <w:tcPr>
            <w:tcW w:w="1798" w:type="dxa"/>
            <w:tcBorders>
              <w:top w:val="nil"/>
              <w:left w:val="nil"/>
              <w:bottom w:val="nil"/>
            </w:tcBorders>
          </w:tcPr>
          <w:p w:rsidR="00E902AC" w:rsidRPr="00D65DBF" w:rsidRDefault="00E902AC">
            <w:pPr>
              <w:rPr>
                <w:rFonts w:ascii="Arial" w:hAnsi="Arial" w:cs="Arial"/>
                <w:b/>
                <w:bCs/>
                <w:color w:val="0000FF"/>
                <w:sz w:val="20"/>
                <w:szCs w:val="20"/>
              </w:rPr>
            </w:pPr>
          </w:p>
          <w:p w:rsidR="00E902AC" w:rsidRPr="00D65DBF" w:rsidRDefault="00E902AC">
            <w:pPr>
              <w:jc w:val="left"/>
              <w:rPr>
                <w:rFonts w:ascii="Arial" w:hAnsi="Arial" w:cs="Arial"/>
                <w:b/>
                <w:bCs/>
                <w:color w:val="0000FF"/>
                <w:sz w:val="20"/>
                <w:szCs w:val="20"/>
              </w:rPr>
            </w:pPr>
            <w:r w:rsidRPr="00D65DBF">
              <w:rPr>
                <w:rFonts w:ascii="Arial" w:hAnsi="Arial" w:cs="Arial"/>
                <w:b/>
                <w:bCs/>
                <w:color w:val="0000FF"/>
                <w:sz w:val="20"/>
                <w:szCs w:val="20"/>
              </w:rPr>
              <w:t>Special Safety Precautions</w:t>
            </w:r>
          </w:p>
          <w:p w:rsidR="00E902AC" w:rsidRPr="00D65DBF" w:rsidRDefault="00E902AC">
            <w:pPr>
              <w:rPr>
                <w:rFonts w:ascii="Arial" w:hAnsi="Arial" w:cs="Arial"/>
                <w:b/>
                <w:bCs/>
                <w:color w:val="0000FF"/>
                <w:sz w:val="20"/>
                <w:szCs w:val="20"/>
              </w:rPr>
            </w:pPr>
          </w:p>
        </w:tc>
        <w:tc>
          <w:tcPr>
            <w:tcW w:w="9182" w:type="dxa"/>
            <w:gridSpan w:val="3"/>
            <w:tcBorders>
              <w:top w:val="single" w:sz="18" w:space="0" w:color="A6A6A6"/>
              <w:bottom w:val="single" w:sz="18" w:space="0" w:color="A6A6A6"/>
              <w:right w:val="nil"/>
            </w:tcBorders>
          </w:tcPr>
          <w:p w:rsidR="00D32512" w:rsidRPr="00D65DBF" w:rsidRDefault="006A2B9D" w:rsidP="00405C23">
            <w:pPr>
              <w:pStyle w:val="Heading2"/>
              <w:numPr>
                <w:ilvl w:val="0"/>
                <w:numId w:val="20"/>
              </w:numPr>
              <w:rPr>
                <w:rFonts w:ascii="Arial" w:hAnsi="Arial"/>
                <w:b w:val="0"/>
                <w:sz w:val="20"/>
                <w:szCs w:val="20"/>
              </w:rPr>
            </w:pPr>
            <w:r>
              <w:rPr>
                <w:rFonts w:ascii="Arial" w:hAnsi="Arial"/>
                <w:b w:val="0"/>
                <w:sz w:val="20"/>
                <w:szCs w:val="20"/>
              </w:rPr>
              <w:t>For a</w:t>
            </w:r>
            <w:r w:rsidR="00F72993" w:rsidRPr="00D65DBF">
              <w:rPr>
                <w:rFonts w:ascii="Arial" w:hAnsi="Arial"/>
                <w:b w:val="0"/>
                <w:sz w:val="20"/>
                <w:szCs w:val="20"/>
              </w:rPr>
              <w:t>dditional</w:t>
            </w:r>
            <w:r w:rsidR="00F7103F">
              <w:rPr>
                <w:rFonts w:ascii="Arial" w:hAnsi="Arial"/>
                <w:b w:val="0"/>
                <w:sz w:val="20"/>
                <w:szCs w:val="20"/>
              </w:rPr>
              <w:t xml:space="preserve"> information</w:t>
            </w:r>
            <w:r>
              <w:rPr>
                <w:rFonts w:ascii="Arial" w:hAnsi="Arial"/>
                <w:b w:val="0"/>
                <w:sz w:val="20"/>
                <w:szCs w:val="20"/>
              </w:rPr>
              <w:t>,</w:t>
            </w:r>
            <w:r w:rsidR="00F7103F">
              <w:rPr>
                <w:rFonts w:ascii="Arial" w:hAnsi="Arial"/>
                <w:b w:val="0"/>
                <w:sz w:val="20"/>
                <w:szCs w:val="20"/>
              </w:rPr>
              <w:t xml:space="preserve"> refer to Safety Data S</w:t>
            </w:r>
            <w:r w:rsidR="00BA160D" w:rsidRPr="00D65DBF">
              <w:rPr>
                <w:rFonts w:ascii="Arial" w:hAnsi="Arial"/>
                <w:b w:val="0"/>
                <w:sz w:val="20"/>
                <w:szCs w:val="20"/>
              </w:rPr>
              <w:t>heet available on Star net.</w:t>
            </w:r>
          </w:p>
          <w:p w:rsidR="00BA160D" w:rsidRPr="00D65DBF" w:rsidRDefault="00051A8F" w:rsidP="00405C23">
            <w:pPr>
              <w:pStyle w:val="Heading2"/>
              <w:numPr>
                <w:ilvl w:val="0"/>
                <w:numId w:val="20"/>
              </w:numPr>
              <w:rPr>
                <w:rFonts w:ascii="Arial" w:hAnsi="Arial"/>
                <w:b w:val="0"/>
                <w:sz w:val="20"/>
                <w:szCs w:val="20"/>
              </w:rPr>
            </w:pPr>
            <w:r w:rsidRPr="00D65DBF">
              <w:rPr>
                <w:rFonts w:ascii="Arial" w:hAnsi="Arial"/>
                <w:b w:val="0"/>
                <w:sz w:val="20"/>
                <w:szCs w:val="20"/>
              </w:rPr>
              <w:t>Reagent i</w:t>
            </w:r>
            <w:r w:rsidR="00405C23" w:rsidRPr="00D65DBF">
              <w:rPr>
                <w:rFonts w:ascii="Arial" w:hAnsi="Arial"/>
                <w:b w:val="0"/>
                <w:sz w:val="20"/>
                <w:szCs w:val="20"/>
              </w:rPr>
              <w:t>ntegral contains: 5-chloro-2-methyl-4-isothiazolin-3-one [EC no. 247-500-7] and 2-methyl-2H -isothiazol-3-one [EC no. 220-239-6] (3:1) (ProClin® 300).</w:t>
            </w:r>
          </w:p>
          <w:p w:rsidR="00405C23" w:rsidRPr="00D65DBF" w:rsidRDefault="00405C23" w:rsidP="00405C23">
            <w:pPr>
              <w:pStyle w:val="Heading2"/>
              <w:numPr>
                <w:ilvl w:val="0"/>
                <w:numId w:val="20"/>
              </w:numPr>
              <w:rPr>
                <w:rFonts w:ascii="Arial" w:hAnsi="Arial"/>
                <w:b w:val="0"/>
                <w:sz w:val="20"/>
                <w:szCs w:val="20"/>
              </w:rPr>
            </w:pPr>
            <w:r w:rsidRPr="00D65DBF">
              <w:rPr>
                <w:rFonts w:ascii="Arial" w:hAnsi="Arial"/>
                <w:b w:val="0"/>
                <w:sz w:val="20"/>
                <w:szCs w:val="20"/>
              </w:rPr>
              <w:t>Avoid direct contact with potentially infected material by wearing appropriate PPE</w:t>
            </w:r>
          </w:p>
          <w:p w:rsidR="00405C23" w:rsidRPr="00D65DBF" w:rsidRDefault="00405C23" w:rsidP="00405C23">
            <w:pPr>
              <w:numPr>
                <w:ilvl w:val="0"/>
                <w:numId w:val="20"/>
              </w:numPr>
              <w:rPr>
                <w:rFonts w:ascii="Arial" w:hAnsi="Arial" w:cs="Arial"/>
                <w:color w:val="000000"/>
                <w:sz w:val="20"/>
                <w:szCs w:val="20"/>
              </w:rPr>
            </w:pPr>
            <w:r w:rsidRPr="00D65DBF">
              <w:rPr>
                <w:rFonts w:ascii="Arial" w:hAnsi="Arial" w:cs="Arial"/>
                <w:color w:val="000000"/>
                <w:sz w:val="20"/>
                <w:szCs w:val="20"/>
              </w:rPr>
              <w:t xml:space="preserve">All samples and reagents containing biological materials used for the assay must be considered as potentially able to transmit infectious agents. </w:t>
            </w:r>
            <w:r w:rsidR="00F7103F">
              <w:rPr>
                <w:rFonts w:ascii="Arial" w:hAnsi="Arial" w:cs="Arial"/>
                <w:color w:val="000000"/>
                <w:sz w:val="20"/>
                <w:szCs w:val="20"/>
              </w:rPr>
              <w:t xml:space="preserve"> </w:t>
            </w:r>
            <w:r w:rsidRPr="00D65DBF">
              <w:rPr>
                <w:rFonts w:ascii="Arial" w:hAnsi="Arial" w:cs="Arial"/>
                <w:color w:val="000000"/>
                <w:sz w:val="20"/>
                <w:szCs w:val="20"/>
              </w:rPr>
              <w:t>The waste must be handled with care and disposed of in compliance with the laboratory guidelines and the statuto</w:t>
            </w:r>
            <w:r w:rsidR="006A2B9D">
              <w:rPr>
                <w:rFonts w:ascii="Arial" w:hAnsi="Arial" w:cs="Arial"/>
                <w:color w:val="000000"/>
                <w:sz w:val="20"/>
                <w:szCs w:val="20"/>
              </w:rPr>
              <w:t>ry provisions in force in each c</w:t>
            </w:r>
            <w:r w:rsidRPr="00D65DBF">
              <w:rPr>
                <w:rFonts w:ascii="Arial" w:hAnsi="Arial" w:cs="Arial"/>
                <w:color w:val="000000"/>
                <w:sz w:val="20"/>
                <w:szCs w:val="20"/>
              </w:rPr>
              <w:t>ountry.</w:t>
            </w:r>
          </w:p>
          <w:p w:rsidR="00405C23" w:rsidRPr="00D65DBF" w:rsidRDefault="00405C23" w:rsidP="00405C23">
            <w:pPr>
              <w:numPr>
                <w:ilvl w:val="0"/>
                <w:numId w:val="20"/>
              </w:numPr>
              <w:rPr>
                <w:rFonts w:ascii="Arial" w:hAnsi="Arial" w:cs="Arial"/>
                <w:sz w:val="20"/>
                <w:szCs w:val="20"/>
              </w:rPr>
            </w:pPr>
            <w:r w:rsidRPr="00D65DBF">
              <w:rPr>
                <w:rFonts w:ascii="Arial" w:hAnsi="Arial" w:cs="Arial"/>
                <w:color w:val="000000"/>
                <w:sz w:val="20"/>
                <w:szCs w:val="20"/>
              </w:rPr>
              <w:t xml:space="preserve">Avoid splashing or forming an aerosol. </w:t>
            </w:r>
            <w:r w:rsidR="00F7103F">
              <w:rPr>
                <w:rFonts w:ascii="Arial" w:hAnsi="Arial" w:cs="Arial"/>
                <w:color w:val="000000"/>
                <w:sz w:val="20"/>
                <w:szCs w:val="20"/>
              </w:rPr>
              <w:t xml:space="preserve"> </w:t>
            </w:r>
            <w:r w:rsidRPr="00D65DBF">
              <w:rPr>
                <w:rFonts w:ascii="Arial" w:hAnsi="Arial" w:cs="Arial"/>
                <w:color w:val="000000"/>
                <w:sz w:val="20"/>
                <w:szCs w:val="20"/>
              </w:rPr>
              <w:t>All drops of biological reagent must be removed with a sodium hypochlorite solution with 0.5% active chlorine, and the means used must be treated as infected waste.</w:t>
            </w:r>
          </w:p>
        </w:tc>
      </w:tr>
      <w:tr w:rsidR="00E902AC" w:rsidRPr="00D65DBF"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Pr>
        <w:tc>
          <w:tcPr>
            <w:tcW w:w="1798" w:type="dxa"/>
            <w:tcBorders>
              <w:top w:val="nil"/>
              <w:left w:val="nil"/>
              <w:bottom w:val="nil"/>
            </w:tcBorders>
          </w:tcPr>
          <w:p w:rsidR="00E902AC" w:rsidRPr="00D65DBF" w:rsidRDefault="00E902AC">
            <w:pPr>
              <w:rPr>
                <w:rFonts w:ascii="Arial" w:hAnsi="Arial" w:cs="Arial"/>
                <w:b/>
                <w:bCs/>
                <w:color w:val="0000FF"/>
                <w:sz w:val="20"/>
                <w:szCs w:val="20"/>
              </w:rPr>
            </w:pPr>
          </w:p>
          <w:p w:rsidR="00E902AC" w:rsidRPr="00D65DBF" w:rsidRDefault="00E902AC">
            <w:pPr>
              <w:jc w:val="left"/>
              <w:rPr>
                <w:rFonts w:ascii="Arial" w:hAnsi="Arial" w:cs="Arial"/>
                <w:b/>
                <w:bCs/>
                <w:color w:val="0000FF"/>
                <w:sz w:val="20"/>
                <w:szCs w:val="20"/>
              </w:rPr>
            </w:pPr>
            <w:r w:rsidRPr="00D65DBF">
              <w:rPr>
                <w:rFonts w:ascii="Arial" w:hAnsi="Arial" w:cs="Arial"/>
                <w:b/>
                <w:bCs/>
                <w:color w:val="0000FF"/>
                <w:sz w:val="20"/>
                <w:szCs w:val="20"/>
              </w:rPr>
              <w:t>Calibration</w:t>
            </w:r>
          </w:p>
        </w:tc>
        <w:tc>
          <w:tcPr>
            <w:tcW w:w="9182" w:type="dxa"/>
            <w:gridSpan w:val="3"/>
            <w:tcBorders>
              <w:top w:val="single" w:sz="18" w:space="0" w:color="A6A6A6"/>
              <w:bottom w:val="single" w:sz="18" w:space="0" w:color="A6A6A6"/>
              <w:right w:val="nil"/>
            </w:tcBorders>
          </w:tcPr>
          <w:p w:rsidR="00E902AC" w:rsidRPr="00D65DBF" w:rsidRDefault="00E902AC">
            <w:pPr>
              <w:autoSpaceDE w:val="0"/>
              <w:autoSpaceDN w:val="0"/>
              <w:adjustRightInd w:val="0"/>
              <w:jc w:val="left"/>
              <w:rPr>
                <w:rFonts w:ascii="Arial" w:hAnsi="Arial" w:cs="Arial"/>
                <w:sz w:val="20"/>
                <w:szCs w:val="20"/>
              </w:rPr>
            </w:pPr>
            <w:r w:rsidRPr="00D65DBF">
              <w:rPr>
                <w:rFonts w:ascii="Arial" w:hAnsi="Arial" w:cs="Arial"/>
                <w:sz w:val="20"/>
                <w:szCs w:val="20"/>
              </w:rPr>
              <w:t>Assay of calibr</w:t>
            </w:r>
            <w:r w:rsidR="00051A8F" w:rsidRPr="00D65DBF">
              <w:rPr>
                <w:rFonts w:ascii="Arial" w:hAnsi="Arial" w:cs="Arial"/>
                <w:sz w:val="20"/>
                <w:szCs w:val="20"/>
              </w:rPr>
              <w:t>ators contained in the reagent integral allows the a</w:t>
            </w:r>
            <w:r w:rsidRPr="00D65DBF">
              <w:rPr>
                <w:rFonts w:ascii="Arial" w:hAnsi="Arial" w:cs="Arial"/>
                <w:sz w:val="20"/>
                <w:szCs w:val="20"/>
              </w:rPr>
              <w:t xml:space="preserve">nalyzer to recalibrate the stored master curve, as indicated by </w:t>
            </w:r>
            <w:r w:rsidR="00D32512" w:rsidRPr="00D65DBF">
              <w:rPr>
                <w:rFonts w:ascii="Arial" w:hAnsi="Arial" w:cs="Arial"/>
                <w:sz w:val="20"/>
                <w:szCs w:val="20"/>
              </w:rPr>
              <w:t>Radio Frequency Identification transponder (RFID Tag)</w:t>
            </w:r>
            <w:r w:rsidR="00051A8F" w:rsidRPr="00D65DBF">
              <w:rPr>
                <w:rFonts w:ascii="Arial" w:hAnsi="Arial" w:cs="Arial"/>
                <w:sz w:val="20"/>
                <w:szCs w:val="20"/>
              </w:rPr>
              <w:t xml:space="preserve"> on the reagent i</w:t>
            </w:r>
            <w:r w:rsidRPr="00D65DBF">
              <w:rPr>
                <w:rFonts w:ascii="Arial" w:hAnsi="Arial" w:cs="Arial"/>
                <w:sz w:val="20"/>
                <w:szCs w:val="20"/>
              </w:rPr>
              <w:t xml:space="preserve">ntegral label. </w:t>
            </w:r>
            <w:r w:rsidR="00F7103F">
              <w:rPr>
                <w:rFonts w:ascii="Arial" w:hAnsi="Arial" w:cs="Arial"/>
                <w:sz w:val="20"/>
                <w:szCs w:val="20"/>
              </w:rPr>
              <w:t xml:space="preserve"> </w:t>
            </w:r>
            <w:r w:rsidRPr="00D65DBF">
              <w:rPr>
                <w:rFonts w:ascii="Arial" w:hAnsi="Arial" w:cs="Arial"/>
                <w:sz w:val="20"/>
                <w:szCs w:val="20"/>
              </w:rPr>
              <w:t xml:space="preserve">Refer to the Operator's Manual or </w:t>
            </w:r>
            <w:r w:rsidR="00F60E6D" w:rsidRPr="00D65DBF">
              <w:rPr>
                <w:rFonts w:ascii="Arial" w:hAnsi="Arial" w:cs="Arial"/>
                <w:sz w:val="20"/>
                <w:szCs w:val="20"/>
              </w:rPr>
              <w:t>LIAISON XL</w:t>
            </w:r>
            <w:r w:rsidRPr="00D65DBF">
              <w:rPr>
                <w:rFonts w:ascii="Arial" w:hAnsi="Arial" w:cs="Arial"/>
                <w:sz w:val="20"/>
                <w:szCs w:val="20"/>
              </w:rPr>
              <w:t>® Quick Guide for calibration instructions.</w:t>
            </w:r>
          </w:p>
          <w:p w:rsidR="00E902AC" w:rsidRPr="00D65DBF" w:rsidRDefault="00E902AC">
            <w:pPr>
              <w:spacing w:before="40" w:after="40"/>
              <w:rPr>
                <w:rFonts w:ascii="Arial" w:hAnsi="Arial" w:cs="Arial"/>
                <w:sz w:val="20"/>
                <w:szCs w:val="20"/>
              </w:rPr>
            </w:pPr>
          </w:p>
          <w:p w:rsidR="00E902AC" w:rsidRPr="00D65DBF" w:rsidRDefault="00051A8F">
            <w:pPr>
              <w:spacing w:before="40" w:after="40"/>
              <w:rPr>
                <w:rFonts w:ascii="Arial" w:hAnsi="Arial" w:cs="Arial"/>
                <w:sz w:val="20"/>
                <w:szCs w:val="20"/>
              </w:rPr>
            </w:pPr>
            <w:r w:rsidRPr="00D65DBF">
              <w:rPr>
                <w:rFonts w:ascii="Arial" w:hAnsi="Arial" w:cs="Arial"/>
                <w:sz w:val="20"/>
                <w:szCs w:val="20"/>
              </w:rPr>
              <w:t>Recalibration</w:t>
            </w:r>
            <w:r w:rsidR="00E902AC" w:rsidRPr="00D65DBF">
              <w:rPr>
                <w:rFonts w:ascii="Arial" w:hAnsi="Arial" w:cs="Arial"/>
                <w:sz w:val="20"/>
                <w:szCs w:val="20"/>
              </w:rPr>
              <w:t xml:space="preserve"> is required:</w:t>
            </w:r>
          </w:p>
          <w:p w:rsidR="00E902AC" w:rsidRPr="00D65DBF" w:rsidRDefault="00051A8F" w:rsidP="00E902AC">
            <w:pPr>
              <w:numPr>
                <w:ilvl w:val="0"/>
                <w:numId w:val="2"/>
              </w:numPr>
              <w:tabs>
                <w:tab w:val="num" w:pos="1080"/>
              </w:tabs>
              <w:ind w:left="1080"/>
              <w:rPr>
                <w:rFonts w:ascii="Arial" w:hAnsi="Arial" w:cs="Arial"/>
                <w:sz w:val="20"/>
                <w:szCs w:val="20"/>
              </w:rPr>
            </w:pPr>
            <w:r w:rsidRPr="00D65DBF">
              <w:rPr>
                <w:rFonts w:ascii="Arial" w:hAnsi="Arial" w:cs="Arial"/>
                <w:sz w:val="20"/>
                <w:szCs w:val="20"/>
              </w:rPr>
              <w:t>With each new lot of reagents (reagent integral or Starter r</w:t>
            </w:r>
            <w:r w:rsidR="00E902AC" w:rsidRPr="00D65DBF">
              <w:rPr>
                <w:rFonts w:ascii="Arial" w:hAnsi="Arial" w:cs="Arial"/>
                <w:sz w:val="20"/>
                <w:szCs w:val="20"/>
              </w:rPr>
              <w:t>eagents).</w:t>
            </w:r>
          </w:p>
          <w:p w:rsidR="00E902AC" w:rsidRPr="00D65DBF" w:rsidRDefault="00E902AC" w:rsidP="00E902AC">
            <w:pPr>
              <w:numPr>
                <w:ilvl w:val="0"/>
                <w:numId w:val="2"/>
              </w:numPr>
              <w:tabs>
                <w:tab w:val="num" w:pos="1080"/>
              </w:tabs>
              <w:ind w:left="1080"/>
              <w:rPr>
                <w:rFonts w:ascii="Arial" w:hAnsi="Arial" w:cs="Arial"/>
                <w:sz w:val="20"/>
                <w:szCs w:val="20"/>
              </w:rPr>
            </w:pPr>
            <w:r w:rsidRPr="00D65DBF">
              <w:rPr>
                <w:rFonts w:ascii="Arial" w:hAnsi="Arial" w:cs="Arial"/>
                <w:sz w:val="20"/>
                <w:szCs w:val="20"/>
              </w:rPr>
              <w:t>Every 14 days.</w:t>
            </w:r>
          </w:p>
          <w:p w:rsidR="00E902AC" w:rsidRPr="00D65DBF" w:rsidRDefault="00E902AC" w:rsidP="00E902AC">
            <w:pPr>
              <w:numPr>
                <w:ilvl w:val="0"/>
                <w:numId w:val="2"/>
              </w:numPr>
              <w:tabs>
                <w:tab w:val="num" w:pos="1080"/>
              </w:tabs>
              <w:ind w:left="1080"/>
              <w:rPr>
                <w:rFonts w:ascii="Arial" w:hAnsi="Arial" w:cs="Arial"/>
                <w:sz w:val="20"/>
                <w:szCs w:val="20"/>
              </w:rPr>
            </w:pPr>
            <w:r w:rsidRPr="00D65DBF">
              <w:rPr>
                <w:rFonts w:ascii="Arial" w:hAnsi="Arial" w:cs="Arial"/>
                <w:sz w:val="20"/>
                <w:szCs w:val="20"/>
              </w:rPr>
              <w:t xml:space="preserve">After servicing the </w:t>
            </w:r>
            <w:r w:rsidR="00F60E6D" w:rsidRPr="00D65DBF">
              <w:rPr>
                <w:rFonts w:ascii="Arial" w:hAnsi="Arial" w:cs="Arial"/>
                <w:sz w:val="20"/>
                <w:szCs w:val="20"/>
              </w:rPr>
              <w:t>LIAISON XL</w:t>
            </w:r>
            <w:r w:rsidRPr="00D65DBF">
              <w:rPr>
                <w:rFonts w:ascii="Arial" w:hAnsi="Arial" w:cs="Arial"/>
                <w:sz w:val="20"/>
                <w:szCs w:val="20"/>
                <w:vertAlign w:val="superscript"/>
              </w:rPr>
              <w:t>®</w:t>
            </w:r>
            <w:r w:rsidRPr="00D65DBF">
              <w:rPr>
                <w:rFonts w:ascii="Arial" w:hAnsi="Arial" w:cs="Arial"/>
                <w:sz w:val="20"/>
                <w:szCs w:val="20"/>
              </w:rPr>
              <w:t xml:space="preserve"> Analyzer.</w:t>
            </w:r>
          </w:p>
          <w:p w:rsidR="00E902AC" w:rsidRPr="00D65DBF" w:rsidRDefault="00E902AC" w:rsidP="00E902AC">
            <w:pPr>
              <w:numPr>
                <w:ilvl w:val="0"/>
                <w:numId w:val="2"/>
              </w:numPr>
              <w:tabs>
                <w:tab w:val="num" w:pos="1080"/>
              </w:tabs>
              <w:ind w:left="1080"/>
              <w:rPr>
                <w:rFonts w:ascii="Arial" w:hAnsi="Arial" w:cs="Arial"/>
                <w:sz w:val="20"/>
                <w:szCs w:val="20"/>
              </w:rPr>
            </w:pPr>
            <w:r w:rsidRPr="00D65DBF">
              <w:rPr>
                <w:rFonts w:ascii="Arial" w:hAnsi="Arial" w:cs="Arial"/>
                <w:sz w:val="20"/>
                <w:szCs w:val="20"/>
              </w:rPr>
              <w:t>If quality controls are out of your acceptable range.</w:t>
            </w:r>
          </w:p>
          <w:p w:rsidR="00E902AC" w:rsidRPr="00D65DBF" w:rsidRDefault="00E902AC">
            <w:pPr>
              <w:tabs>
                <w:tab w:val="num" w:pos="1080"/>
              </w:tabs>
              <w:rPr>
                <w:rFonts w:ascii="Arial" w:hAnsi="Arial" w:cs="Arial"/>
                <w:sz w:val="20"/>
                <w:szCs w:val="20"/>
              </w:rPr>
            </w:pPr>
          </w:p>
          <w:p w:rsidR="00E902AC" w:rsidRPr="00D65DBF" w:rsidRDefault="00E902AC">
            <w:pPr>
              <w:tabs>
                <w:tab w:val="num" w:pos="1080"/>
              </w:tabs>
              <w:rPr>
                <w:rFonts w:ascii="Arial" w:hAnsi="Arial" w:cs="Arial"/>
                <w:sz w:val="20"/>
                <w:szCs w:val="20"/>
              </w:rPr>
            </w:pPr>
            <w:r w:rsidRPr="00D65DBF">
              <w:rPr>
                <w:rFonts w:ascii="Arial" w:hAnsi="Arial" w:cs="Arial"/>
                <w:sz w:val="20"/>
                <w:szCs w:val="20"/>
              </w:rPr>
              <w:t>Verify new reagent lots before use by te</w:t>
            </w:r>
            <w:r w:rsidR="00E30AE3" w:rsidRPr="00D65DBF">
              <w:rPr>
                <w:rFonts w:ascii="Arial" w:hAnsi="Arial" w:cs="Arial"/>
                <w:sz w:val="20"/>
                <w:szCs w:val="20"/>
              </w:rPr>
              <w:t xml:space="preserve">sting Liaison </w:t>
            </w:r>
            <w:r w:rsidR="00D32512" w:rsidRPr="00D65DBF">
              <w:rPr>
                <w:rFonts w:ascii="Arial" w:hAnsi="Arial" w:cs="Arial"/>
                <w:sz w:val="20"/>
                <w:szCs w:val="20"/>
              </w:rPr>
              <w:t>Measles IgG</w:t>
            </w:r>
            <w:r w:rsidR="00051A8F" w:rsidRPr="00D65DBF">
              <w:rPr>
                <w:rFonts w:ascii="Arial" w:hAnsi="Arial" w:cs="Arial"/>
                <w:sz w:val="20"/>
                <w:szCs w:val="20"/>
              </w:rPr>
              <w:t xml:space="preserve"> Controls.  </w:t>
            </w:r>
            <w:r w:rsidRPr="00D65DBF">
              <w:rPr>
                <w:rFonts w:ascii="Arial" w:hAnsi="Arial" w:cs="Arial"/>
                <w:sz w:val="20"/>
                <w:szCs w:val="20"/>
              </w:rPr>
              <w:t>Comparable results verify the new reagent lot.</w:t>
            </w:r>
            <w:r w:rsidR="00F7103F">
              <w:rPr>
                <w:rFonts w:ascii="Arial" w:hAnsi="Arial" w:cs="Arial"/>
                <w:sz w:val="20"/>
                <w:szCs w:val="20"/>
              </w:rPr>
              <w:t xml:space="preserve"> </w:t>
            </w:r>
            <w:r w:rsidRPr="00D65DBF">
              <w:rPr>
                <w:rFonts w:ascii="Arial" w:hAnsi="Arial" w:cs="Arial"/>
                <w:sz w:val="20"/>
                <w:szCs w:val="20"/>
              </w:rPr>
              <w:t xml:space="preserve"> Discrepant results must be resolved before the reagent can be used for patient testing.</w:t>
            </w:r>
          </w:p>
          <w:p w:rsidR="00E902AC" w:rsidRPr="00D65DBF" w:rsidRDefault="00E902AC">
            <w:pPr>
              <w:spacing w:before="40"/>
              <w:rPr>
                <w:rFonts w:ascii="Arial" w:hAnsi="Arial" w:cs="Arial"/>
                <w:iCs/>
                <w:sz w:val="20"/>
                <w:szCs w:val="20"/>
              </w:rPr>
            </w:pPr>
          </w:p>
        </w:tc>
      </w:tr>
      <w:tr w:rsidR="00E902AC" w:rsidRPr="00D65DBF" w:rsidTr="00606516">
        <w:trPr>
          <w:cantSplit/>
          <w:trHeight w:val="945"/>
          <w:tblHeader/>
        </w:trPr>
        <w:tc>
          <w:tcPr>
            <w:tcW w:w="1798" w:type="dxa"/>
            <w:tcBorders>
              <w:top w:val="nil"/>
              <w:left w:val="nil"/>
              <w:bottom w:val="nil"/>
              <w:right w:val="nil"/>
            </w:tcBorders>
          </w:tcPr>
          <w:p w:rsidR="00E902AC" w:rsidRPr="00D65DBF" w:rsidRDefault="00E902AC">
            <w:pPr>
              <w:rPr>
                <w:rFonts w:ascii="Arial" w:hAnsi="Arial" w:cs="Arial"/>
                <w:b/>
                <w:bCs/>
                <w:color w:val="0000FF"/>
                <w:sz w:val="20"/>
                <w:szCs w:val="20"/>
              </w:rPr>
            </w:pPr>
          </w:p>
          <w:p w:rsidR="00E902AC" w:rsidRPr="00D65DBF" w:rsidRDefault="00E902AC">
            <w:pPr>
              <w:rPr>
                <w:rFonts w:ascii="Arial" w:hAnsi="Arial" w:cs="Arial"/>
                <w:b/>
                <w:bCs/>
                <w:color w:val="0000FF"/>
                <w:sz w:val="20"/>
                <w:szCs w:val="20"/>
              </w:rPr>
            </w:pPr>
            <w:r w:rsidRPr="00D65DBF">
              <w:rPr>
                <w:rFonts w:ascii="Arial" w:hAnsi="Arial" w:cs="Arial"/>
                <w:b/>
                <w:bCs/>
                <w:color w:val="0000FF"/>
                <w:sz w:val="20"/>
                <w:szCs w:val="20"/>
              </w:rPr>
              <w:t>Analytical Measuring Range (AMR)</w:t>
            </w:r>
          </w:p>
        </w:tc>
        <w:tc>
          <w:tcPr>
            <w:tcW w:w="9309" w:type="dxa"/>
            <w:gridSpan w:val="4"/>
            <w:tcBorders>
              <w:left w:val="nil"/>
              <w:bottom w:val="single" w:sz="18" w:space="0" w:color="A6A6A6"/>
              <w:right w:val="nil"/>
            </w:tcBorders>
          </w:tcPr>
          <w:p w:rsidR="00E902AC" w:rsidRPr="00D65DBF" w:rsidRDefault="00E902AC">
            <w:pPr>
              <w:rPr>
                <w:rFonts w:ascii="Arial" w:hAnsi="Arial" w:cs="Arial"/>
                <w:sz w:val="20"/>
                <w:szCs w:val="20"/>
              </w:rPr>
            </w:pPr>
          </w:p>
          <w:p w:rsidR="00E902AC" w:rsidRDefault="006A2B9D">
            <w:pPr>
              <w:rPr>
                <w:rFonts w:ascii="Arial" w:hAnsi="Arial" w:cs="Arial"/>
                <w:sz w:val="20"/>
                <w:szCs w:val="20"/>
              </w:rPr>
            </w:pPr>
            <w:r>
              <w:rPr>
                <w:rFonts w:ascii="Arial" w:hAnsi="Arial" w:cs="Arial"/>
                <w:sz w:val="20"/>
                <w:szCs w:val="20"/>
              </w:rPr>
              <w:t>Measles IgG</w:t>
            </w:r>
            <w:bookmarkStart w:id="0" w:name="_GoBack"/>
            <w:bookmarkEnd w:id="0"/>
            <w:r w:rsidR="00405C23" w:rsidRPr="00D65DBF">
              <w:rPr>
                <w:rFonts w:ascii="Arial" w:hAnsi="Arial" w:cs="Arial"/>
                <w:sz w:val="20"/>
                <w:szCs w:val="20"/>
              </w:rPr>
              <w:t xml:space="preserve"> is an FDA-cleared/approved </w:t>
            </w:r>
            <w:r w:rsidR="00405C23" w:rsidRPr="00D65DBF">
              <w:rPr>
                <w:rFonts w:ascii="Arial" w:hAnsi="Arial" w:cs="Arial"/>
                <w:iCs/>
                <w:sz w:val="20"/>
                <w:szCs w:val="20"/>
              </w:rPr>
              <w:t>in vitro</w:t>
            </w:r>
            <w:r w:rsidR="00405C23" w:rsidRPr="00D65DBF">
              <w:rPr>
                <w:rFonts w:ascii="Arial" w:hAnsi="Arial" w:cs="Arial"/>
                <w:sz w:val="20"/>
                <w:szCs w:val="20"/>
              </w:rPr>
              <w:t xml:space="preserve"> diagnostic assay that reports the qualitative result based on a predefined cut-off value. </w:t>
            </w:r>
            <w:r>
              <w:rPr>
                <w:rFonts w:ascii="Arial" w:hAnsi="Arial" w:cs="Arial"/>
                <w:sz w:val="20"/>
                <w:szCs w:val="20"/>
              </w:rPr>
              <w:t xml:space="preserve"> </w:t>
            </w:r>
            <w:r w:rsidR="00405C23" w:rsidRPr="00D65DBF">
              <w:rPr>
                <w:rFonts w:ascii="Arial" w:hAnsi="Arial" w:cs="Arial"/>
                <w:sz w:val="20"/>
                <w:szCs w:val="20"/>
              </w:rPr>
              <w:t>Verification of AMR or the cut-off value is not required by CAP or CLIA</w:t>
            </w:r>
            <w:r w:rsidR="00D65DBF" w:rsidRPr="00D65DBF">
              <w:rPr>
                <w:rFonts w:ascii="Arial" w:hAnsi="Arial" w:cs="Arial"/>
                <w:sz w:val="20"/>
                <w:szCs w:val="20"/>
              </w:rPr>
              <w:t xml:space="preserve">.  The AMR of Measles </w:t>
            </w:r>
            <w:r w:rsidR="00F7103F">
              <w:rPr>
                <w:rFonts w:ascii="Arial" w:hAnsi="Arial" w:cs="Arial"/>
                <w:sz w:val="20"/>
                <w:szCs w:val="20"/>
              </w:rPr>
              <w:t xml:space="preserve">IgG per DiaSorin </w:t>
            </w:r>
            <w:r w:rsidR="00D65DBF" w:rsidRPr="00D65DBF">
              <w:rPr>
                <w:rFonts w:ascii="Arial" w:hAnsi="Arial" w:cs="Arial"/>
                <w:sz w:val="20"/>
                <w:szCs w:val="20"/>
              </w:rPr>
              <w:t>is 5.00-300.00 AU/mL (arbitr</w:t>
            </w:r>
            <w:r w:rsidR="00F7103F">
              <w:rPr>
                <w:rFonts w:ascii="Arial" w:hAnsi="Arial" w:cs="Arial"/>
                <w:sz w:val="20"/>
                <w:szCs w:val="20"/>
              </w:rPr>
              <w:t>ary units</w:t>
            </w:r>
            <w:r w:rsidR="00D65DBF" w:rsidRPr="00D65DBF">
              <w:rPr>
                <w:rFonts w:ascii="Arial" w:hAnsi="Arial" w:cs="Arial"/>
                <w:sz w:val="20"/>
                <w:szCs w:val="20"/>
              </w:rPr>
              <w:t>)</w:t>
            </w:r>
            <w:r w:rsidR="00F7103F">
              <w:rPr>
                <w:rFonts w:ascii="Arial" w:hAnsi="Arial" w:cs="Arial"/>
                <w:sz w:val="20"/>
                <w:szCs w:val="20"/>
              </w:rPr>
              <w:t>.</w:t>
            </w:r>
          </w:p>
          <w:p w:rsidR="006A2B9D" w:rsidRPr="00D65DBF" w:rsidRDefault="006A2B9D">
            <w:pPr>
              <w:rPr>
                <w:rFonts w:ascii="Arial" w:hAnsi="Arial" w:cs="Arial"/>
                <w:sz w:val="20"/>
                <w:szCs w:val="20"/>
              </w:rPr>
            </w:pPr>
          </w:p>
        </w:tc>
      </w:tr>
      <w:tr w:rsidR="00E902AC" w:rsidRPr="00D65DBF"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Height w:val="6111"/>
        </w:trPr>
        <w:tc>
          <w:tcPr>
            <w:tcW w:w="1798" w:type="dxa"/>
            <w:tcBorders>
              <w:top w:val="nil"/>
              <w:left w:val="nil"/>
              <w:bottom w:val="nil"/>
            </w:tcBorders>
          </w:tcPr>
          <w:p w:rsidR="00E902AC" w:rsidRPr="00D65DBF" w:rsidRDefault="00E902AC">
            <w:pPr>
              <w:rPr>
                <w:rFonts w:ascii="Arial" w:hAnsi="Arial" w:cs="Arial"/>
                <w:b/>
                <w:bCs/>
                <w:color w:val="0000FF"/>
                <w:sz w:val="20"/>
                <w:szCs w:val="20"/>
              </w:rPr>
            </w:pPr>
          </w:p>
          <w:p w:rsidR="00E902AC" w:rsidRPr="00D65DBF" w:rsidRDefault="00E902AC">
            <w:pPr>
              <w:jc w:val="left"/>
              <w:rPr>
                <w:rFonts w:ascii="Arial" w:hAnsi="Arial" w:cs="Arial"/>
                <w:b/>
                <w:bCs/>
                <w:color w:val="0000FF"/>
                <w:sz w:val="20"/>
                <w:szCs w:val="20"/>
              </w:rPr>
            </w:pPr>
            <w:r w:rsidRPr="00D65DBF">
              <w:rPr>
                <w:rFonts w:ascii="Arial" w:hAnsi="Arial" w:cs="Arial"/>
                <w:b/>
                <w:bCs/>
                <w:color w:val="0000FF"/>
                <w:sz w:val="20"/>
                <w:szCs w:val="20"/>
              </w:rPr>
              <w:t>Quality Control</w:t>
            </w:r>
          </w:p>
          <w:p w:rsidR="00E902AC" w:rsidRPr="00D65DBF" w:rsidRDefault="00E902AC">
            <w:pPr>
              <w:rPr>
                <w:rFonts w:ascii="Arial" w:hAnsi="Arial" w:cs="Arial"/>
                <w:b/>
                <w:bCs/>
                <w:color w:val="0000FF"/>
                <w:sz w:val="20"/>
                <w:szCs w:val="20"/>
              </w:rPr>
            </w:pPr>
          </w:p>
          <w:p w:rsidR="00234A5A" w:rsidRPr="00D65DBF" w:rsidRDefault="00234A5A" w:rsidP="00234A5A">
            <w:pPr>
              <w:rPr>
                <w:rFonts w:ascii="Arial" w:hAnsi="Arial" w:cs="Arial"/>
                <w:b/>
                <w:bCs/>
                <w:color w:val="0000FF"/>
                <w:sz w:val="20"/>
                <w:szCs w:val="20"/>
              </w:rPr>
            </w:pPr>
          </w:p>
          <w:p w:rsidR="00234A5A" w:rsidRPr="00D65DBF" w:rsidRDefault="00234A5A">
            <w:pPr>
              <w:rPr>
                <w:rFonts w:ascii="Arial" w:hAnsi="Arial" w:cs="Arial"/>
                <w:b/>
                <w:bCs/>
                <w:color w:val="0000FF"/>
                <w:sz w:val="20"/>
                <w:szCs w:val="20"/>
              </w:rPr>
            </w:pPr>
          </w:p>
        </w:tc>
        <w:tc>
          <w:tcPr>
            <w:tcW w:w="9182" w:type="dxa"/>
            <w:gridSpan w:val="3"/>
            <w:tcBorders>
              <w:top w:val="single" w:sz="18" w:space="0" w:color="A6A6A6"/>
              <w:bottom w:val="single" w:sz="18" w:space="0" w:color="A6A6A6"/>
              <w:right w:val="nil"/>
            </w:tcBorders>
          </w:tcPr>
          <w:p w:rsidR="00F541A6" w:rsidRPr="00D65DBF" w:rsidRDefault="00F541A6" w:rsidP="008D393F">
            <w:pPr>
              <w:autoSpaceDE w:val="0"/>
              <w:autoSpaceDN w:val="0"/>
              <w:adjustRightInd w:val="0"/>
              <w:spacing w:before="240"/>
              <w:rPr>
                <w:rFonts w:ascii="Arial" w:hAnsi="Arial" w:cs="Arial"/>
                <w:b/>
                <w:bCs/>
                <w:color w:val="000000"/>
                <w:sz w:val="20"/>
                <w:szCs w:val="20"/>
              </w:rPr>
            </w:pPr>
            <w:r w:rsidRPr="00D65DBF">
              <w:rPr>
                <w:rFonts w:ascii="Arial" w:hAnsi="Arial" w:cs="Arial"/>
                <w:b/>
                <w:bCs/>
                <w:color w:val="000000"/>
                <w:sz w:val="20"/>
                <w:szCs w:val="20"/>
              </w:rPr>
              <w:t>LIAISON® Control Measles IgG (</w:t>
            </w:r>
            <w:r w:rsidRPr="00D65DBF">
              <w:rPr>
                <w:rFonts w:ascii="Arial" w:hAnsi="Arial" w:cs="Arial"/>
                <w:color w:val="000000"/>
                <w:sz w:val="20"/>
                <w:szCs w:val="20"/>
              </w:rPr>
              <w:t xml:space="preserve">[REF] </w:t>
            </w:r>
            <w:r w:rsidRPr="00D65DBF">
              <w:rPr>
                <w:rFonts w:ascii="Arial" w:hAnsi="Arial" w:cs="Arial"/>
                <w:b/>
                <w:bCs/>
                <w:color w:val="000000"/>
                <w:sz w:val="20"/>
                <w:szCs w:val="20"/>
              </w:rPr>
              <w:t>318811</w:t>
            </w:r>
          </w:p>
          <w:p w:rsidR="00F541A6" w:rsidRPr="00D65DBF" w:rsidRDefault="00F541A6" w:rsidP="00F541A6">
            <w:pPr>
              <w:numPr>
                <w:ilvl w:val="0"/>
                <w:numId w:val="10"/>
              </w:numPr>
              <w:autoSpaceDE w:val="0"/>
              <w:autoSpaceDN w:val="0"/>
              <w:adjustRightInd w:val="0"/>
              <w:jc w:val="left"/>
              <w:rPr>
                <w:rFonts w:ascii="Arial" w:hAnsi="Arial" w:cs="Arial"/>
                <w:sz w:val="20"/>
                <w:szCs w:val="20"/>
              </w:rPr>
            </w:pPr>
            <w:r w:rsidRPr="00D65DBF">
              <w:rPr>
                <w:rFonts w:ascii="Arial" w:hAnsi="Arial" w:cs="Arial"/>
                <w:sz w:val="20"/>
                <w:szCs w:val="20"/>
              </w:rPr>
              <w:t>Negative control (0.7 mL x 2 vials) containing a barcode label</w:t>
            </w:r>
          </w:p>
          <w:p w:rsidR="00F541A6" w:rsidRPr="00D65DBF" w:rsidRDefault="00F541A6" w:rsidP="00F541A6">
            <w:pPr>
              <w:numPr>
                <w:ilvl w:val="0"/>
                <w:numId w:val="10"/>
              </w:numPr>
              <w:spacing w:before="20"/>
              <w:rPr>
                <w:rFonts w:ascii="Arial" w:hAnsi="Arial" w:cs="Arial"/>
                <w:sz w:val="20"/>
                <w:szCs w:val="20"/>
              </w:rPr>
            </w:pPr>
            <w:r w:rsidRPr="00D65DBF">
              <w:rPr>
                <w:rFonts w:ascii="Arial" w:hAnsi="Arial" w:cs="Arial"/>
                <w:sz w:val="20"/>
                <w:szCs w:val="20"/>
              </w:rPr>
              <w:t>Positive control (0.7 mL x 2 vials) containing a barcode label</w:t>
            </w:r>
          </w:p>
          <w:p w:rsidR="00F541A6" w:rsidRPr="00D65DBF" w:rsidRDefault="00F541A6" w:rsidP="00F541A6">
            <w:pPr>
              <w:numPr>
                <w:ilvl w:val="0"/>
                <w:numId w:val="3"/>
              </w:numPr>
              <w:rPr>
                <w:rFonts w:ascii="Arial" w:hAnsi="Arial" w:cs="Arial"/>
                <w:sz w:val="20"/>
                <w:szCs w:val="20"/>
              </w:rPr>
            </w:pPr>
            <w:r w:rsidRPr="00D65DBF">
              <w:rPr>
                <w:rFonts w:ascii="Arial" w:hAnsi="Arial" w:cs="Arial"/>
                <w:sz w:val="20"/>
                <w:szCs w:val="20"/>
              </w:rPr>
              <w:t>Allow controls to reach room temperature prior to use. Return controls to the refrigerator immediately after each use.</w:t>
            </w:r>
          </w:p>
          <w:p w:rsidR="00E902AC" w:rsidRPr="00D65DBF" w:rsidRDefault="00E902AC">
            <w:pPr>
              <w:pStyle w:val="Header"/>
              <w:tabs>
                <w:tab w:val="clear" w:pos="4320"/>
                <w:tab w:val="clear" w:pos="8640"/>
              </w:tabs>
              <w:rPr>
                <w:rFonts w:ascii="Arial" w:hAnsi="Arial" w:cs="Arial"/>
                <w:b/>
                <w:bCs/>
                <w:sz w:val="20"/>
                <w:szCs w:val="20"/>
              </w:rPr>
            </w:pPr>
          </w:p>
          <w:p w:rsidR="00E902AC" w:rsidRPr="00D65DBF" w:rsidRDefault="00E902AC">
            <w:pPr>
              <w:pStyle w:val="Header"/>
              <w:tabs>
                <w:tab w:val="clear" w:pos="4320"/>
                <w:tab w:val="clear" w:pos="8640"/>
              </w:tabs>
              <w:rPr>
                <w:rFonts w:ascii="Arial" w:hAnsi="Arial" w:cs="Arial"/>
                <w:sz w:val="20"/>
                <w:szCs w:val="20"/>
              </w:rPr>
            </w:pPr>
            <w:r w:rsidRPr="00D65DBF">
              <w:rPr>
                <w:rFonts w:ascii="Arial" w:hAnsi="Arial" w:cs="Arial"/>
                <w:b/>
                <w:bCs/>
                <w:sz w:val="20"/>
                <w:szCs w:val="20"/>
              </w:rPr>
              <w:t>Frequency:</w:t>
            </w:r>
            <w:r w:rsidRPr="00D65DBF">
              <w:rPr>
                <w:rFonts w:ascii="Arial" w:hAnsi="Arial" w:cs="Arial"/>
                <w:sz w:val="20"/>
                <w:szCs w:val="20"/>
              </w:rPr>
              <w:t xml:space="preserve"> Run 2 levels </w:t>
            </w:r>
            <w:r w:rsidR="00E30AE3" w:rsidRPr="00D65DBF">
              <w:rPr>
                <w:rFonts w:ascii="Arial" w:hAnsi="Arial" w:cs="Arial"/>
                <w:sz w:val="20"/>
                <w:szCs w:val="20"/>
              </w:rPr>
              <w:t>every day of use</w:t>
            </w:r>
            <w:r w:rsidRPr="00D65DBF">
              <w:rPr>
                <w:rFonts w:ascii="Arial" w:hAnsi="Arial" w:cs="Arial"/>
                <w:sz w:val="20"/>
                <w:szCs w:val="20"/>
              </w:rPr>
              <w:t>.</w:t>
            </w:r>
            <w:r w:rsidR="00F7103F">
              <w:rPr>
                <w:rFonts w:ascii="Arial" w:hAnsi="Arial" w:cs="Arial"/>
                <w:sz w:val="20"/>
                <w:szCs w:val="20"/>
              </w:rPr>
              <w:t xml:space="preserve"> </w:t>
            </w:r>
            <w:r w:rsidRPr="00D65DBF">
              <w:rPr>
                <w:rFonts w:ascii="Arial" w:hAnsi="Arial" w:cs="Arial"/>
                <w:sz w:val="20"/>
                <w:szCs w:val="20"/>
              </w:rPr>
              <w:t xml:space="preserve"> Load the bar</w:t>
            </w:r>
            <w:r w:rsidR="008D393F" w:rsidRPr="00D65DBF">
              <w:rPr>
                <w:rFonts w:ascii="Arial" w:hAnsi="Arial" w:cs="Arial"/>
                <w:sz w:val="20"/>
                <w:szCs w:val="20"/>
              </w:rPr>
              <w:t>-coded control vials into the “T</w:t>
            </w:r>
            <w:r w:rsidRPr="00D65DBF">
              <w:rPr>
                <w:rFonts w:ascii="Arial" w:hAnsi="Arial" w:cs="Arial"/>
                <w:sz w:val="20"/>
                <w:szCs w:val="20"/>
              </w:rPr>
              <w:t>” rack on the Liaison</w:t>
            </w:r>
            <w:r w:rsidR="003200F8" w:rsidRPr="00D65DBF">
              <w:rPr>
                <w:rFonts w:ascii="Arial" w:hAnsi="Arial" w:cs="Arial"/>
                <w:sz w:val="20"/>
                <w:szCs w:val="20"/>
              </w:rPr>
              <w:t xml:space="preserve"> XL.</w:t>
            </w:r>
          </w:p>
          <w:p w:rsidR="00E902AC" w:rsidRPr="00D65DBF" w:rsidRDefault="00E902AC">
            <w:pPr>
              <w:rPr>
                <w:rFonts w:ascii="Arial" w:hAnsi="Arial" w:cs="Arial"/>
                <w:sz w:val="20"/>
                <w:szCs w:val="20"/>
              </w:rPr>
            </w:pPr>
          </w:p>
          <w:p w:rsidR="00E902AC" w:rsidRPr="00D65DBF" w:rsidRDefault="00E902AC">
            <w:pPr>
              <w:autoSpaceDE w:val="0"/>
              <w:autoSpaceDN w:val="0"/>
              <w:adjustRightInd w:val="0"/>
              <w:jc w:val="left"/>
              <w:rPr>
                <w:rFonts w:ascii="Arial" w:hAnsi="Arial" w:cs="Arial"/>
                <w:sz w:val="20"/>
                <w:szCs w:val="20"/>
              </w:rPr>
            </w:pPr>
            <w:r w:rsidRPr="00D65DBF">
              <w:rPr>
                <w:rFonts w:ascii="Arial" w:hAnsi="Arial" w:cs="Arial"/>
                <w:b/>
                <w:bCs/>
                <w:sz w:val="20"/>
                <w:szCs w:val="20"/>
              </w:rPr>
              <w:t>Stability:</w:t>
            </w:r>
            <w:r w:rsidRPr="00D65DBF">
              <w:rPr>
                <w:rFonts w:ascii="Arial" w:hAnsi="Arial" w:cs="Arial"/>
                <w:sz w:val="20"/>
                <w:szCs w:val="20"/>
              </w:rPr>
              <w:t xml:space="preserve"> </w:t>
            </w:r>
          </w:p>
          <w:p w:rsidR="00684BE9" w:rsidRPr="00D65DBF" w:rsidRDefault="00E902AC">
            <w:pPr>
              <w:autoSpaceDE w:val="0"/>
              <w:autoSpaceDN w:val="0"/>
              <w:adjustRightInd w:val="0"/>
              <w:jc w:val="left"/>
              <w:rPr>
                <w:rFonts w:ascii="Arial" w:hAnsi="Arial" w:cs="Arial"/>
                <w:sz w:val="20"/>
                <w:szCs w:val="20"/>
              </w:rPr>
            </w:pPr>
            <w:r w:rsidRPr="00D65DBF">
              <w:rPr>
                <w:rFonts w:ascii="Arial" w:hAnsi="Arial" w:cs="Arial"/>
                <w:sz w:val="20"/>
                <w:szCs w:val="20"/>
              </w:rPr>
              <w:t xml:space="preserve">Unopened: </w:t>
            </w:r>
            <w:r w:rsidR="00907763" w:rsidRPr="00D65DBF">
              <w:rPr>
                <w:rFonts w:ascii="Arial" w:hAnsi="Arial" w:cs="Arial"/>
                <w:sz w:val="20"/>
                <w:szCs w:val="20"/>
              </w:rPr>
              <w:t>When controls are stored sealed and kept upright, they are stable</w:t>
            </w:r>
            <w:r w:rsidR="00F72993" w:rsidRPr="00D65DBF">
              <w:rPr>
                <w:rFonts w:ascii="Arial" w:hAnsi="Arial" w:cs="Arial"/>
                <w:sz w:val="20"/>
                <w:szCs w:val="20"/>
              </w:rPr>
              <w:t xml:space="preserve"> </w:t>
            </w:r>
            <w:r w:rsidR="00F541A6" w:rsidRPr="00D65DBF">
              <w:rPr>
                <w:rFonts w:ascii="Arial" w:hAnsi="Arial" w:cs="Arial"/>
                <w:sz w:val="20"/>
                <w:szCs w:val="20"/>
              </w:rPr>
              <w:t>at 2-8°C up to the expiry date.</w:t>
            </w:r>
          </w:p>
          <w:p w:rsidR="00684BE9" w:rsidRPr="00D65DBF" w:rsidRDefault="00696475" w:rsidP="00684BE9">
            <w:pPr>
              <w:autoSpaceDE w:val="0"/>
              <w:autoSpaceDN w:val="0"/>
              <w:adjustRightInd w:val="0"/>
              <w:jc w:val="left"/>
              <w:rPr>
                <w:rFonts w:ascii="Arial" w:hAnsi="Arial" w:cs="Arial"/>
                <w:sz w:val="20"/>
                <w:szCs w:val="20"/>
              </w:rPr>
            </w:pPr>
            <w:r w:rsidRPr="00D65DBF">
              <w:rPr>
                <w:rFonts w:ascii="Arial" w:hAnsi="Arial" w:cs="Arial"/>
                <w:sz w:val="20"/>
                <w:szCs w:val="20"/>
              </w:rPr>
              <w:t xml:space="preserve">Opened: </w:t>
            </w:r>
            <w:r w:rsidR="00907763" w:rsidRPr="00D65DBF">
              <w:rPr>
                <w:rFonts w:ascii="Arial" w:hAnsi="Arial" w:cs="Arial"/>
                <w:sz w:val="20"/>
                <w:szCs w:val="20"/>
              </w:rPr>
              <w:t>Once opened controls are stable for eight weeks when properly stored at 2-8°C.</w:t>
            </w:r>
          </w:p>
          <w:p w:rsidR="00684BE9" w:rsidRPr="00D65DBF" w:rsidRDefault="00684BE9" w:rsidP="00684BE9">
            <w:pPr>
              <w:autoSpaceDE w:val="0"/>
              <w:autoSpaceDN w:val="0"/>
              <w:adjustRightInd w:val="0"/>
              <w:jc w:val="left"/>
              <w:rPr>
                <w:rFonts w:ascii="Arial" w:hAnsi="Arial" w:cs="Arial"/>
                <w:sz w:val="20"/>
                <w:szCs w:val="20"/>
              </w:rPr>
            </w:pPr>
          </w:p>
          <w:p w:rsidR="003200F8" w:rsidRPr="00D65DBF" w:rsidRDefault="003200F8" w:rsidP="00684BE9">
            <w:pPr>
              <w:autoSpaceDE w:val="0"/>
              <w:autoSpaceDN w:val="0"/>
              <w:adjustRightInd w:val="0"/>
              <w:jc w:val="left"/>
              <w:rPr>
                <w:rFonts w:ascii="Arial" w:hAnsi="Arial" w:cs="Arial"/>
                <w:sz w:val="20"/>
                <w:szCs w:val="20"/>
              </w:rPr>
            </w:pPr>
            <w:r w:rsidRPr="00D65DBF">
              <w:rPr>
                <w:rFonts w:ascii="Arial" w:hAnsi="Arial" w:cs="Arial"/>
                <w:b/>
                <w:bCs/>
                <w:sz w:val="20"/>
                <w:szCs w:val="20"/>
              </w:rPr>
              <w:t>Acceptable ranges:</w:t>
            </w:r>
            <w:r w:rsidRPr="00D65DBF">
              <w:rPr>
                <w:rFonts w:ascii="Arial" w:hAnsi="Arial" w:cs="Arial"/>
                <w:sz w:val="20"/>
                <w:szCs w:val="20"/>
              </w:rPr>
              <w:t xml:space="preserve"> </w:t>
            </w:r>
          </w:p>
          <w:p w:rsidR="003200F8" w:rsidRPr="00D65DBF" w:rsidRDefault="003200F8" w:rsidP="003200F8">
            <w:pPr>
              <w:pStyle w:val="ListParagraph"/>
              <w:numPr>
                <w:ilvl w:val="0"/>
                <w:numId w:val="16"/>
              </w:numPr>
              <w:jc w:val="both"/>
              <w:rPr>
                <w:rFonts w:cs="Arial"/>
                <w:szCs w:val="20"/>
              </w:rPr>
            </w:pPr>
            <w:r w:rsidRPr="00D65DBF">
              <w:rPr>
                <w:rFonts w:cs="Arial"/>
                <w:szCs w:val="20"/>
              </w:rPr>
              <w:t xml:space="preserve">Non-Bio-Rad controls will utilize manufacturer ranges and 2 SD Westgard rules.  </w:t>
            </w:r>
          </w:p>
          <w:p w:rsidR="003200F8" w:rsidRPr="00D65DBF" w:rsidRDefault="003200F8" w:rsidP="003200F8">
            <w:pPr>
              <w:pStyle w:val="ListParagraph"/>
              <w:numPr>
                <w:ilvl w:val="0"/>
                <w:numId w:val="16"/>
              </w:numPr>
              <w:jc w:val="both"/>
              <w:rPr>
                <w:rFonts w:cs="Arial"/>
                <w:szCs w:val="20"/>
              </w:rPr>
            </w:pPr>
            <w:r w:rsidRPr="00D65DBF">
              <w:rPr>
                <w:rFonts w:cs="Arial"/>
                <w:szCs w:val="20"/>
              </w:rPr>
              <w:t xml:space="preserve">New lots of Bio-Rad controls should be run for 20 days in parallel with the current lot whenever possible prior to switching to the new lot.  </w:t>
            </w:r>
          </w:p>
          <w:p w:rsidR="003200F8" w:rsidRPr="00D65DBF" w:rsidRDefault="003200F8" w:rsidP="003200F8">
            <w:pPr>
              <w:pStyle w:val="ListParagraph"/>
              <w:numPr>
                <w:ilvl w:val="0"/>
                <w:numId w:val="16"/>
              </w:numPr>
              <w:jc w:val="both"/>
              <w:rPr>
                <w:rFonts w:cs="Arial"/>
                <w:szCs w:val="20"/>
              </w:rPr>
            </w:pPr>
            <w:r w:rsidRPr="00D65DBF">
              <w:rPr>
                <w:rFonts w:cs="Arial"/>
                <w:szCs w:val="20"/>
              </w:rPr>
              <w:t xml:space="preserve">Refer to the </w:t>
            </w:r>
            <w:hyperlink r:id="rId8" w:history="1">
              <w:r w:rsidRPr="00D65DBF">
                <w:rPr>
                  <w:rStyle w:val="Hyperlink"/>
                  <w:rFonts w:cs="Arial"/>
                  <w:szCs w:val="20"/>
                </w:rPr>
                <w:t>Westgard Rules in Chemistry procedure</w:t>
              </w:r>
            </w:hyperlink>
            <w:r w:rsidRPr="00D65DBF">
              <w:rPr>
                <w:rFonts w:cs="Arial"/>
                <w:szCs w:val="20"/>
              </w:rPr>
              <w:t xml:space="preserve"> for current Westgard rules in place for each analyte.  </w:t>
            </w:r>
          </w:p>
          <w:p w:rsidR="003200F8" w:rsidRPr="00D65DBF" w:rsidRDefault="003200F8" w:rsidP="003200F8">
            <w:pPr>
              <w:numPr>
                <w:ilvl w:val="0"/>
                <w:numId w:val="16"/>
              </w:numPr>
              <w:autoSpaceDE w:val="0"/>
              <w:autoSpaceDN w:val="0"/>
              <w:adjustRightInd w:val="0"/>
              <w:rPr>
                <w:rFonts w:ascii="Arial" w:hAnsi="Arial" w:cs="Arial"/>
                <w:sz w:val="20"/>
                <w:szCs w:val="20"/>
              </w:rPr>
            </w:pPr>
            <w:r w:rsidRPr="00D65DBF">
              <w:rPr>
                <w:rFonts w:ascii="Arial" w:hAnsi="Arial" w:cs="Arial"/>
                <w:b/>
                <w:sz w:val="20"/>
                <w:szCs w:val="20"/>
              </w:rPr>
              <w:t>Acceptable ranges are current in Unity Real Time only.</w:t>
            </w:r>
            <w:r w:rsidRPr="00D65DBF">
              <w:rPr>
                <w:rFonts w:ascii="Arial" w:hAnsi="Arial" w:cs="Arial"/>
                <w:sz w:val="20"/>
                <w:szCs w:val="20"/>
              </w:rPr>
              <w:t xml:space="preserve">  Quality Control results must be rejected in Sunquest when the results cross the interface.  </w:t>
            </w:r>
          </w:p>
          <w:p w:rsidR="003200F8" w:rsidRPr="00D65DBF" w:rsidRDefault="003200F8" w:rsidP="003200F8">
            <w:pPr>
              <w:numPr>
                <w:ilvl w:val="0"/>
                <w:numId w:val="16"/>
              </w:numPr>
              <w:autoSpaceDE w:val="0"/>
              <w:autoSpaceDN w:val="0"/>
              <w:adjustRightInd w:val="0"/>
              <w:rPr>
                <w:rFonts w:ascii="Arial" w:hAnsi="Arial" w:cs="Arial"/>
                <w:color w:val="000000"/>
                <w:sz w:val="20"/>
                <w:szCs w:val="20"/>
              </w:rPr>
            </w:pPr>
            <w:r w:rsidRPr="00D65DBF">
              <w:rPr>
                <w:rFonts w:ascii="Arial" w:hAnsi="Arial" w:cs="Arial"/>
                <w:sz w:val="20"/>
                <w:szCs w:val="20"/>
              </w:rPr>
              <w:t xml:space="preserve">In the event of a QC failure, refer to the </w:t>
            </w:r>
            <w:hyperlink r:id="rId9" w:history="1">
              <w:r w:rsidRPr="00D65DBF">
                <w:rPr>
                  <w:rStyle w:val="Hyperlink"/>
                  <w:rFonts w:ascii="Arial" w:hAnsi="Arial" w:cs="Arial"/>
                  <w:sz w:val="20"/>
                  <w:szCs w:val="20"/>
                </w:rPr>
                <w:t>Unity Real Time QC Review, General User</w:t>
              </w:r>
            </w:hyperlink>
            <w:r w:rsidRPr="00D65DBF">
              <w:rPr>
                <w:rFonts w:ascii="Arial" w:hAnsi="Arial" w:cs="Arial"/>
                <w:sz w:val="20"/>
                <w:szCs w:val="20"/>
              </w:rPr>
              <w:t xml:space="preserve"> and navigate to the QC Troubleshooting section.</w:t>
            </w:r>
          </w:p>
          <w:p w:rsidR="003200F8" w:rsidRPr="00D65DBF" w:rsidRDefault="003200F8" w:rsidP="003200F8">
            <w:pPr>
              <w:numPr>
                <w:ilvl w:val="0"/>
                <w:numId w:val="16"/>
              </w:numPr>
              <w:autoSpaceDE w:val="0"/>
              <w:autoSpaceDN w:val="0"/>
              <w:adjustRightInd w:val="0"/>
              <w:rPr>
                <w:rFonts w:ascii="Arial" w:hAnsi="Arial" w:cs="Arial"/>
                <w:color w:val="000000"/>
                <w:sz w:val="20"/>
                <w:szCs w:val="20"/>
              </w:rPr>
            </w:pPr>
            <w:r w:rsidRPr="00D65DBF">
              <w:rPr>
                <w:rFonts w:ascii="Arial" w:hAnsi="Arial" w:cs="Arial"/>
                <w:sz w:val="20"/>
                <w:szCs w:val="20"/>
              </w:rPr>
              <w:t xml:space="preserve">Do not load or release patients until QC is acceptable in Unity Real Time.  </w:t>
            </w:r>
          </w:p>
          <w:p w:rsidR="003200F8" w:rsidRPr="00D65DBF" w:rsidRDefault="003200F8" w:rsidP="003200F8">
            <w:pPr>
              <w:autoSpaceDE w:val="0"/>
              <w:autoSpaceDN w:val="0"/>
              <w:adjustRightInd w:val="0"/>
              <w:ind w:left="360"/>
              <w:rPr>
                <w:rFonts w:ascii="Arial" w:hAnsi="Arial" w:cs="Arial"/>
                <w:color w:val="000000"/>
                <w:sz w:val="20"/>
                <w:szCs w:val="20"/>
              </w:rPr>
            </w:pPr>
          </w:p>
          <w:p w:rsidR="00BD5292" w:rsidRPr="00D65DBF" w:rsidRDefault="00BD5292">
            <w:pPr>
              <w:jc w:val="left"/>
              <w:rPr>
                <w:rFonts w:ascii="Arial" w:hAnsi="Arial" w:cs="Arial"/>
                <w:iCs/>
                <w:sz w:val="20"/>
                <w:szCs w:val="20"/>
              </w:rPr>
            </w:pPr>
          </w:p>
        </w:tc>
      </w:tr>
      <w:tr w:rsidR="00E902AC" w:rsidRPr="00D65DBF" w:rsidTr="00606516">
        <w:trPr>
          <w:gridAfter w:val="1"/>
          <w:wAfter w:w="127" w:type="dxa"/>
          <w:cantSplit/>
        </w:trPr>
        <w:tc>
          <w:tcPr>
            <w:tcW w:w="1798" w:type="dxa"/>
            <w:tcBorders>
              <w:top w:val="nil"/>
              <w:left w:val="nil"/>
              <w:bottom w:val="nil"/>
              <w:right w:val="nil"/>
            </w:tcBorders>
          </w:tcPr>
          <w:p w:rsidR="00E902AC" w:rsidRPr="00D65DBF" w:rsidRDefault="00E902AC">
            <w:pPr>
              <w:rPr>
                <w:rFonts w:ascii="Arial" w:hAnsi="Arial" w:cs="Arial"/>
                <w:b/>
                <w:bCs/>
                <w:color w:val="0000FF"/>
                <w:sz w:val="20"/>
                <w:szCs w:val="20"/>
              </w:rPr>
            </w:pPr>
          </w:p>
          <w:p w:rsidR="00E902AC" w:rsidRPr="00D65DBF" w:rsidRDefault="00E902AC">
            <w:pPr>
              <w:rPr>
                <w:rFonts w:ascii="Arial" w:hAnsi="Arial" w:cs="Arial"/>
                <w:b/>
                <w:bCs/>
                <w:color w:val="0000FF"/>
                <w:sz w:val="20"/>
                <w:szCs w:val="20"/>
              </w:rPr>
            </w:pPr>
            <w:r w:rsidRPr="00D65DBF">
              <w:rPr>
                <w:rFonts w:ascii="Arial" w:hAnsi="Arial" w:cs="Arial"/>
                <w:b/>
                <w:bCs/>
                <w:color w:val="0000FF"/>
                <w:sz w:val="20"/>
                <w:szCs w:val="20"/>
              </w:rPr>
              <w:t>Procedure</w:t>
            </w:r>
          </w:p>
        </w:tc>
        <w:tc>
          <w:tcPr>
            <w:tcW w:w="9182" w:type="dxa"/>
            <w:gridSpan w:val="3"/>
            <w:tcBorders>
              <w:top w:val="single" w:sz="18" w:space="0" w:color="A6A6A6"/>
              <w:left w:val="nil"/>
              <w:bottom w:val="single" w:sz="18" w:space="0" w:color="A6A6A6"/>
              <w:right w:val="nil"/>
            </w:tcBorders>
          </w:tcPr>
          <w:p w:rsidR="00E902AC" w:rsidRPr="00D65DBF" w:rsidRDefault="00E902AC">
            <w:pPr>
              <w:autoSpaceDE w:val="0"/>
              <w:autoSpaceDN w:val="0"/>
              <w:adjustRightInd w:val="0"/>
              <w:jc w:val="left"/>
              <w:rPr>
                <w:rFonts w:ascii="Arial" w:hAnsi="Arial" w:cs="Arial"/>
                <w:b/>
                <w:bCs/>
                <w:sz w:val="20"/>
                <w:szCs w:val="20"/>
              </w:rPr>
            </w:pPr>
          </w:p>
          <w:p w:rsidR="00606516" w:rsidRPr="00D65DBF" w:rsidRDefault="00E902AC" w:rsidP="00606516">
            <w:pPr>
              <w:autoSpaceDE w:val="0"/>
              <w:autoSpaceDN w:val="0"/>
              <w:adjustRightInd w:val="0"/>
              <w:jc w:val="left"/>
              <w:rPr>
                <w:rFonts w:ascii="Arial" w:hAnsi="Arial" w:cs="Arial"/>
                <w:sz w:val="20"/>
                <w:szCs w:val="20"/>
              </w:rPr>
            </w:pPr>
            <w:r w:rsidRPr="00D65DBF">
              <w:rPr>
                <w:rFonts w:ascii="Arial" w:hAnsi="Arial" w:cs="Arial"/>
                <w:sz w:val="20"/>
                <w:szCs w:val="20"/>
              </w:rPr>
              <w:t>Refer to the instrument Operating procedure.</w:t>
            </w:r>
          </w:p>
          <w:p w:rsidR="00606516" w:rsidRPr="00D65DBF" w:rsidRDefault="00606516" w:rsidP="00F72993">
            <w:pPr>
              <w:autoSpaceDE w:val="0"/>
              <w:autoSpaceDN w:val="0"/>
              <w:adjustRightInd w:val="0"/>
              <w:jc w:val="left"/>
              <w:rPr>
                <w:rFonts w:ascii="Arial" w:hAnsi="Arial" w:cs="Arial"/>
                <w:sz w:val="20"/>
                <w:szCs w:val="20"/>
              </w:rPr>
            </w:pPr>
            <w:r w:rsidRPr="00D65DBF">
              <w:rPr>
                <w:rFonts w:ascii="Arial" w:hAnsi="Arial" w:cs="Arial"/>
                <w:sz w:val="20"/>
                <w:szCs w:val="20"/>
              </w:rPr>
              <w:t xml:space="preserve">Strict adherence to the relevant Analyzer Operator’s Manual ensures proper assay performance. </w:t>
            </w:r>
          </w:p>
          <w:p w:rsidR="00907763" w:rsidRPr="00D65DBF" w:rsidRDefault="00907763" w:rsidP="00F72993">
            <w:pPr>
              <w:autoSpaceDE w:val="0"/>
              <w:autoSpaceDN w:val="0"/>
              <w:adjustRightInd w:val="0"/>
              <w:jc w:val="left"/>
              <w:rPr>
                <w:rFonts w:ascii="Arial" w:hAnsi="Arial" w:cs="Arial"/>
                <w:color w:val="000000"/>
                <w:sz w:val="20"/>
                <w:szCs w:val="20"/>
              </w:rPr>
            </w:pPr>
          </w:p>
          <w:p w:rsidR="00907763" w:rsidRPr="00D65DBF" w:rsidRDefault="00907763" w:rsidP="00F72993">
            <w:pPr>
              <w:autoSpaceDE w:val="0"/>
              <w:autoSpaceDN w:val="0"/>
              <w:adjustRightInd w:val="0"/>
              <w:jc w:val="left"/>
              <w:rPr>
                <w:rFonts w:ascii="Arial" w:hAnsi="Arial" w:cs="Arial"/>
                <w:sz w:val="20"/>
                <w:szCs w:val="20"/>
              </w:rPr>
            </w:pPr>
            <w:r w:rsidRPr="00D65DBF">
              <w:rPr>
                <w:rFonts w:ascii="Arial" w:hAnsi="Arial" w:cs="Arial"/>
                <w:b/>
                <w:bCs/>
                <w:sz w:val="20"/>
                <w:szCs w:val="20"/>
              </w:rPr>
              <w:t>LIAISON</w:t>
            </w:r>
            <w:r w:rsidRPr="00D65DBF">
              <w:rPr>
                <w:rFonts w:ascii="Arial" w:hAnsi="Arial" w:cs="Arial"/>
                <w:sz w:val="20"/>
                <w:szCs w:val="20"/>
              </w:rPr>
              <w:t xml:space="preserve">® </w:t>
            </w:r>
            <w:r w:rsidRPr="00D65DBF">
              <w:rPr>
                <w:rFonts w:ascii="Arial" w:hAnsi="Arial" w:cs="Arial"/>
                <w:b/>
                <w:bCs/>
                <w:sz w:val="20"/>
                <w:szCs w:val="20"/>
              </w:rPr>
              <w:t>XL Analyzer</w:t>
            </w:r>
            <w:r w:rsidRPr="00D65DBF">
              <w:rPr>
                <w:rFonts w:ascii="Arial" w:hAnsi="Arial" w:cs="Arial"/>
                <w:sz w:val="20"/>
                <w:szCs w:val="20"/>
              </w:rPr>
              <w:t>.</w:t>
            </w:r>
            <w:r w:rsidRPr="00D65DBF">
              <w:rPr>
                <w:rStyle w:val="SC86022"/>
                <w:rFonts w:ascii="Arial" w:hAnsi="Arial" w:cs="Arial"/>
                <w:b w:val="0"/>
                <w:bCs w:val="0"/>
                <w:sz w:val="20"/>
                <w:szCs w:val="20"/>
              </w:rPr>
              <w:t xml:space="preserve"> </w:t>
            </w:r>
            <w:r w:rsidRPr="00D65DBF">
              <w:rPr>
                <w:rFonts w:ascii="Arial" w:hAnsi="Arial" w:cs="Arial"/>
                <w:sz w:val="20"/>
                <w:szCs w:val="20"/>
              </w:rPr>
              <w:t>Each test parameter is identified via information encoded in the reagent integral Radio Frequency IDentification transponder (RFID Tag). In the event that the RFID Tag cannot be read by the analyzer, the integral cannot be used. Do not discard the reagent integral; contact your local DiaSorin technical support for instruction.</w:t>
            </w:r>
          </w:p>
          <w:p w:rsidR="00907763" w:rsidRPr="00D65DBF" w:rsidRDefault="00907763" w:rsidP="00F72993">
            <w:pPr>
              <w:autoSpaceDE w:val="0"/>
              <w:autoSpaceDN w:val="0"/>
              <w:adjustRightInd w:val="0"/>
              <w:jc w:val="left"/>
              <w:rPr>
                <w:rFonts w:ascii="Arial" w:hAnsi="Arial" w:cs="Arial"/>
                <w:sz w:val="20"/>
                <w:szCs w:val="20"/>
              </w:rPr>
            </w:pPr>
            <w:r w:rsidRPr="00D65DBF">
              <w:rPr>
                <w:rFonts w:ascii="Arial" w:hAnsi="Arial" w:cs="Arial"/>
                <w:sz w:val="20"/>
                <w:szCs w:val="20"/>
              </w:rPr>
              <w:t>The Analyzer operations are as follows:</w:t>
            </w:r>
          </w:p>
          <w:p w:rsidR="00907763" w:rsidRPr="00D65DBF" w:rsidRDefault="00907763" w:rsidP="00F72993">
            <w:pPr>
              <w:autoSpaceDE w:val="0"/>
              <w:autoSpaceDN w:val="0"/>
              <w:adjustRightInd w:val="0"/>
              <w:jc w:val="left"/>
              <w:rPr>
                <w:rFonts w:ascii="Arial" w:hAnsi="Arial" w:cs="Arial"/>
                <w:sz w:val="20"/>
                <w:szCs w:val="20"/>
              </w:rPr>
            </w:pPr>
            <w:r w:rsidRPr="00D65DBF">
              <w:rPr>
                <w:rFonts w:ascii="Arial" w:hAnsi="Arial" w:cs="Arial"/>
                <w:sz w:val="20"/>
                <w:szCs w:val="20"/>
              </w:rPr>
              <w:t>1. Dispense calibrators, controls or specimens into the reaction module.</w:t>
            </w:r>
          </w:p>
          <w:p w:rsidR="00907763" w:rsidRPr="00D65DBF" w:rsidRDefault="00907763" w:rsidP="00F72993">
            <w:pPr>
              <w:autoSpaceDE w:val="0"/>
              <w:autoSpaceDN w:val="0"/>
              <w:adjustRightInd w:val="0"/>
              <w:jc w:val="left"/>
              <w:rPr>
                <w:rFonts w:ascii="Arial" w:hAnsi="Arial" w:cs="Arial"/>
                <w:sz w:val="20"/>
                <w:szCs w:val="20"/>
              </w:rPr>
            </w:pPr>
            <w:r w:rsidRPr="00D65DBF">
              <w:rPr>
                <w:rFonts w:ascii="Arial" w:hAnsi="Arial" w:cs="Arial"/>
                <w:sz w:val="20"/>
                <w:szCs w:val="20"/>
              </w:rPr>
              <w:t xml:space="preserve">2. Dispense specimen diluent </w:t>
            </w:r>
          </w:p>
          <w:p w:rsidR="00907763" w:rsidRPr="00D65DBF" w:rsidRDefault="00907763" w:rsidP="00F72993">
            <w:pPr>
              <w:autoSpaceDE w:val="0"/>
              <w:autoSpaceDN w:val="0"/>
              <w:adjustRightInd w:val="0"/>
              <w:jc w:val="left"/>
              <w:rPr>
                <w:rFonts w:ascii="Arial" w:hAnsi="Arial" w:cs="Arial"/>
                <w:sz w:val="20"/>
                <w:szCs w:val="20"/>
              </w:rPr>
            </w:pPr>
            <w:r w:rsidRPr="00D65DBF">
              <w:rPr>
                <w:rFonts w:ascii="Arial" w:hAnsi="Arial" w:cs="Arial"/>
                <w:sz w:val="20"/>
                <w:szCs w:val="20"/>
              </w:rPr>
              <w:t>3. Dispense magnetic particles.</w:t>
            </w:r>
          </w:p>
          <w:p w:rsidR="00907763" w:rsidRPr="00D65DBF" w:rsidRDefault="00907763" w:rsidP="00F72993">
            <w:pPr>
              <w:autoSpaceDE w:val="0"/>
              <w:autoSpaceDN w:val="0"/>
              <w:adjustRightInd w:val="0"/>
              <w:jc w:val="left"/>
              <w:rPr>
                <w:rFonts w:ascii="Arial" w:hAnsi="Arial" w:cs="Arial"/>
                <w:sz w:val="20"/>
                <w:szCs w:val="20"/>
              </w:rPr>
            </w:pPr>
            <w:r w:rsidRPr="00D65DBF">
              <w:rPr>
                <w:rFonts w:ascii="Arial" w:hAnsi="Arial" w:cs="Arial"/>
                <w:sz w:val="20"/>
                <w:szCs w:val="20"/>
              </w:rPr>
              <w:t xml:space="preserve">4. Incubate. </w:t>
            </w:r>
          </w:p>
          <w:p w:rsidR="00907763" w:rsidRPr="00D65DBF" w:rsidRDefault="00907763" w:rsidP="00F72993">
            <w:pPr>
              <w:autoSpaceDE w:val="0"/>
              <w:autoSpaceDN w:val="0"/>
              <w:adjustRightInd w:val="0"/>
              <w:jc w:val="left"/>
              <w:rPr>
                <w:rFonts w:ascii="Arial" w:hAnsi="Arial" w:cs="Arial"/>
                <w:sz w:val="20"/>
                <w:szCs w:val="20"/>
              </w:rPr>
            </w:pPr>
            <w:r w:rsidRPr="00D65DBF">
              <w:rPr>
                <w:rFonts w:ascii="Arial" w:hAnsi="Arial" w:cs="Arial"/>
                <w:sz w:val="20"/>
                <w:szCs w:val="20"/>
              </w:rPr>
              <w:t>5. Wash with Wash/System liquid.</w:t>
            </w:r>
          </w:p>
          <w:p w:rsidR="00907763" w:rsidRPr="00D65DBF" w:rsidRDefault="00907763" w:rsidP="00F72993">
            <w:pPr>
              <w:autoSpaceDE w:val="0"/>
              <w:autoSpaceDN w:val="0"/>
              <w:adjustRightInd w:val="0"/>
              <w:jc w:val="left"/>
              <w:rPr>
                <w:rFonts w:ascii="Arial" w:hAnsi="Arial" w:cs="Arial"/>
                <w:sz w:val="20"/>
                <w:szCs w:val="20"/>
              </w:rPr>
            </w:pPr>
            <w:r w:rsidRPr="00D65DBF">
              <w:rPr>
                <w:rFonts w:ascii="Arial" w:hAnsi="Arial" w:cs="Arial"/>
                <w:sz w:val="20"/>
                <w:szCs w:val="20"/>
              </w:rPr>
              <w:t>6. Dispense conjugate into the reaction module.</w:t>
            </w:r>
          </w:p>
          <w:p w:rsidR="00907763" w:rsidRPr="00D65DBF" w:rsidRDefault="00907763" w:rsidP="00F72993">
            <w:pPr>
              <w:autoSpaceDE w:val="0"/>
              <w:autoSpaceDN w:val="0"/>
              <w:adjustRightInd w:val="0"/>
              <w:jc w:val="left"/>
              <w:rPr>
                <w:rFonts w:ascii="Arial" w:hAnsi="Arial" w:cs="Arial"/>
                <w:sz w:val="20"/>
                <w:szCs w:val="20"/>
              </w:rPr>
            </w:pPr>
            <w:r w:rsidRPr="00D65DBF">
              <w:rPr>
                <w:rFonts w:ascii="Arial" w:hAnsi="Arial" w:cs="Arial"/>
                <w:sz w:val="20"/>
                <w:szCs w:val="20"/>
              </w:rPr>
              <w:t xml:space="preserve">7. Incubate. </w:t>
            </w:r>
          </w:p>
          <w:p w:rsidR="00907763" w:rsidRPr="00D65DBF" w:rsidRDefault="00907763" w:rsidP="00F72993">
            <w:pPr>
              <w:autoSpaceDE w:val="0"/>
              <w:autoSpaceDN w:val="0"/>
              <w:adjustRightInd w:val="0"/>
              <w:jc w:val="left"/>
              <w:rPr>
                <w:rFonts w:ascii="Arial" w:hAnsi="Arial" w:cs="Arial"/>
                <w:sz w:val="20"/>
                <w:szCs w:val="20"/>
              </w:rPr>
            </w:pPr>
            <w:r w:rsidRPr="00D65DBF">
              <w:rPr>
                <w:rFonts w:ascii="Arial" w:hAnsi="Arial" w:cs="Arial"/>
                <w:sz w:val="20"/>
                <w:szCs w:val="20"/>
              </w:rPr>
              <w:t>8. Wash with Wash/System liquid.</w:t>
            </w:r>
          </w:p>
          <w:p w:rsidR="00684BE9" w:rsidRPr="00D65DBF" w:rsidRDefault="00907763" w:rsidP="00F72993">
            <w:pPr>
              <w:autoSpaceDE w:val="0"/>
              <w:autoSpaceDN w:val="0"/>
              <w:adjustRightInd w:val="0"/>
              <w:jc w:val="left"/>
              <w:rPr>
                <w:rFonts w:ascii="Arial" w:hAnsi="Arial" w:cs="Arial"/>
                <w:sz w:val="20"/>
                <w:szCs w:val="20"/>
              </w:rPr>
            </w:pPr>
            <w:r w:rsidRPr="00D65DBF">
              <w:rPr>
                <w:rFonts w:ascii="Arial" w:hAnsi="Arial" w:cs="Arial"/>
                <w:sz w:val="20"/>
                <w:szCs w:val="20"/>
              </w:rPr>
              <w:t>9. Add the Starter Kit and measure the light emitted.</w:t>
            </w:r>
          </w:p>
        </w:tc>
      </w:tr>
    </w:tbl>
    <w:p w:rsidR="00E902AC" w:rsidRPr="00D65DBF" w:rsidRDefault="00E902AC">
      <w:pPr>
        <w:rPr>
          <w:rFonts w:ascii="Arial" w:hAnsi="Arial" w:cs="Arial"/>
          <w:b/>
          <w:bCs/>
          <w:color w:val="0000FF"/>
          <w:sz w:val="20"/>
          <w:szCs w:val="20"/>
        </w:rPr>
        <w:sectPr w:rsidR="00E902AC" w:rsidRPr="00D65DBF">
          <w:headerReference w:type="default" r:id="rId10"/>
          <w:footerReference w:type="default" r:id="rId11"/>
          <w:type w:val="continuous"/>
          <w:pgSz w:w="12240" w:h="15840" w:code="1"/>
          <w:pgMar w:top="576" w:right="1800" w:bottom="576" w:left="1800" w:header="432" w:footer="432" w:gutter="0"/>
          <w:cols w:space="720" w:equalWidth="0">
            <w:col w:w="9360"/>
          </w:cols>
          <w:docGrid w:linePitch="360"/>
        </w:sect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434"/>
        <w:gridCol w:w="2528"/>
        <w:gridCol w:w="2031"/>
        <w:gridCol w:w="3189"/>
      </w:tblGrid>
      <w:tr w:rsidR="00E902AC" w:rsidRPr="00D65DBF" w:rsidTr="00E65DAB">
        <w:trPr>
          <w:cantSplit/>
          <w:trHeight w:val="705"/>
        </w:trPr>
        <w:tc>
          <w:tcPr>
            <w:tcW w:w="1798" w:type="dxa"/>
            <w:tcBorders>
              <w:top w:val="nil"/>
              <w:left w:val="nil"/>
              <w:bottom w:val="nil"/>
              <w:right w:val="nil"/>
            </w:tcBorders>
          </w:tcPr>
          <w:p w:rsidR="00E902AC" w:rsidRPr="00D65DBF" w:rsidRDefault="00E902AC">
            <w:pPr>
              <w:rPr>
                <w:rFonts w:ascii="Arial" w:hAnsi="Arial" w:cs="Arial"/>
                <w:b/>
                <w:bCs/>
                <w:color w:val="0000FF"/>
                <w:sz w:val="20"/>
                <w:szCs w:val="20"/>
              </w:rPr>
            </w:pPr>
          </w:p>
          <w:p w:rsidR="00E902AC" w:rsidRPr="00D65DBF" w:rsidRDefault="00E902AC">
            <w:pPr>
              <w:jc w:val="left"/>
              <w:rPr>
                <w:rFonts w:ascii="Arial" w:hAnsi="Arial" w:cs="Arial"/>
                <w:b/>
                <w:bCs/>
                <w:color w:val="0000FF"/>
                <w:sz w:val="20"/>
                <w:szCs w:val="20"/>
              </w:rPr>
            </w:pPr>
            <w:r w:rsidRPr="00D65DBF">
              <w:rPr>
                <w:rFonts w:ascii="Arial" w:hAnsi="Arial" w:cs="Arial"/>
                <w:b/>
                <w:bCs/>
                <w:color w:val="0000FF"/>
                <w:sz w:val="20"/>
                <w:szCs w:val="20"/>
              </w:rPr>
              <w:t>Dilutions</w:t>
            </w:r>
          </w:p>
        </w:tc>
        <w:tc>
          <w:tcPr>
            <w:tcW w:w="9182" w:type="dxa"/>
            <w:gridSpan w:val="4"/>
            <w:tcBorders>
              <w:top w:val="single" w:sz="18" w:space="0" w:color="A6A6A6"/>
              <w:left w:val="nil"/>
              <w:bottom w:val="single" w:sz="18" w:space="0" w:color="A6A6A6"/>
              <w:right w:val="nil"/>
            </w:tcBorders>
          </w:tcPr>
          <w:p w:rsidR="00E902AC" w:rsidRPr="00D65DBF" w:rsidRDefault="00E902AC">
            <w:pPr>
              <w:jc w:val="left"/>
              <w:rPr>
                <w:rFonts w:ascii="Arial" w:hAnsi="Arial" w:cs="Arial"/>
                <w:sz w:val="20"/>
                <w:szCs w:val="20"/>
              </w:rPr>
            </w:pPr>
          </w:p>
          <w:p w:rsidR="00E902AC" w:rsidRPr="00D65DBF" w:rsidRDefault="00E902AC">
            <w:pPr>
              <w:pStyle w:val="Heading"/>
              <w:jc w:val="left"/>
              <w:rPr>
                <w:rFonts w:ascii="Arial" w:hAnsi="Arial"/>
                <w:b w:val="0"/>
                <w:bCs w:val="0"/>
                <w:iCs/>
                <w:sz w:val="20"/>
                <w:szCs w:val="20"/>
              </w:rPr>
            </w:pPr>
            <w:r w:rsidRPr="00D65DBF">
              <w:rPr>
                <w:rFonts w:ascii="Arial" w:hAnsi="Arial"/>
                <w:b w:val="0"/>
                <w:bCs w:val="0"/>
                <w:iCs/>
                <w:sz w:val="20"/>
                <w:szCs w:val="20"/>
              </w:rPr>
              <w:t>Do not dilute. See result Reporting.</w:t>
            </w:r>
          </w:p>
          <w:p w:rsidR="00E902AC" w:rsidRPr="00D65DBF" w:rsidRDefault="00E902AC">
            <w:pPr>
              <w:jc w:val="left"/>
              <w:rPr>
                <w:rFonts w:ascii="Arial" w:hAnsi="Arial" w:cs="Arial"/>
                <w:sz w:val="20"/>
                <w:szCs w:val="20"/>
              </w:rPr>
            </w:pPr>
          </w:p>
        </w:tc>
      </w:tr>
      <w:tr w:rsidR="00E902AC" w:rsidRPr="00D65DBF" w:rsidTr="00542675">
        <w:trPr>
          <w:cantSplit/>
          <w:trHeight w:val="800"/>
        </w:trPr>
        <w:tc>
          <w:tcPr>
            <w:tcW w:w="1798" w:type="dxa"/>
            <w:tcBorders>
              <w:top w:val="nil"/>
              <w:left w:val="nil"/>
              <w:bottom w:val="nil"/>
              <w:right w:val="nil"/>
            </w:tcBorders>
          </w:tcPr>
          <w:p w:rsidR="00E902AC" w:rsidRPr="00D65DBF" w:rsidRDefault="00E902AC">
            <w:pPr>
              <w:rPr>
                <w:rFonts w:ascii="Arial" w:hAnsi="Arial" w:cs="Arial"/>
                <w:b/>
                <w:color w:val="0000FF"/>
                <w:sz w:val="20"/>
                <w:szCs w:val="20"/>
              </w:rPr>
            </w:pPr>
          </w:p>
          <w:p w:rsidR="00E902AC" w:rsidRPr="00D65DBF" w:rsidRDefault="00E902AC">
            <w:pPr>
              <w:jc w:val="left"/>
              <w:rPr>
                <w:rFonts w:ascii="Arial" w:hAnsi="Arial" w:cs="Arial"/>
                <w:b/>
                <w:sz w:val="20"/>
                <w:szCs w:val="20"/>
              </w:rPr>
            </w:pPr>
            <w:r w:rsidRPr="00D65DBF">
              <w:rPr>
                <w:rFonts w:ascii="Arial" w:hAnsi="Arial" w:cs="Arial"/>
                <w:b/>
                <w:color w:val="0000FF"/>
                <w:sz w:val="20"/>
                <w:szCs w:val="20"/>
              </w:rPr>
              <w:t>Reference Intervals</w:t>
            </w:r>
          </w:p>
        </w:tc>
        <w:tc>
          <w:tcPr>
            <w:tcW w:w="9182" w:type="dxa"/>
            <w:gridSpan w:val="4"/>
            <w:tcBorders>
              <w:top w:val="single" w:sz="18" w:space="0" w:color="A6A6A6"/>
              <w:left w:val="nil"/>
              <w:bottom w:val="single" w:sz="18" w:space="0" w:color="A6A6A6"/>
              <w:right w:val="nil"/>
            </w:tcBorders>
          </w:tcPr>
          <w:p w:rsidR="00907763" w:rsidRPr="00D65DBF" w:rsidRDefault="00907763" w:rsidP="00907763">
            <w:pPr>
              <w:autoSpaceDE w:val="0"/>
              <w:autoSpaceDN w:val="0"/>
              <w:adjustRightInd w:val="0"/>
              <w:spacing w:after="40"/>
              <w:rPr>
                <w:rFonts w:ascii="Arial" w:hAnsi="Arial" w:cs="Arial"/>
                <w:color w:val="000000"/>
                <w:sz w:val="20"/>
                <w:szCs w:val="20"/>
              </w:rPr>
            </w:pPr>
          </w:p>
          <w:p w:rsidR="00606516" w:rsidRPr="00D65DBF" w:rsidRDefault="00907763" w:rsidP="00907763">
            <w:pPr>
              <w:autoSpaceDE w:val="0"/>
              <w:autoSpaceDN w:val="0"/>
              <w:adjustRightInd w:val="0"/>
              <w:jc w:val="left"/>
              <w:rPr>
                <w:rFonts w:ascii="Arial" w:hAnsi="Arial" w:cs="Arial"/>
                <w:sz w:val="20"/>
                <w:szCs w:val="20"/>
              </w:rPr>
            </w:pPr>
            <w:r w:rsidRPr="00D65DBF">
              <w:rPr>
                <w:rFonts w:ascii="Arial" w:hAnsi="Arial" w:cs="Arial"/>
                <w:color w:val="000000"/>
                <w:sz w:val="20"/>
                <w:szCs w:val="20"/>
              </w:rPr>
              <w:t xml:space="preserve">The assay cutoff was determined as follows: Based on available clinical and laboratory data, the samples were classified as expected positive or negative for measles virus IgG and evaluated with the LIAISON® Measles IgG assay. </w:t>
            </w:r>
            <w:r w:rsidR="00742249">
              <w:rPr>
                <w:rFonts w:ascii="Arial" w:hAnsi="Arial" w:cs="Arial"/>
                <w:color w:val="000000"/>
                <w:sz w:val="20"/>
                <w:szCs w:val="20"/>
              </w:rPr>
              <w:t xml:space="preserve"> </w:t>
            </w:r>
            <w:r w:rsidRPr="00D65DBF">
              <w:rPr>
                <w:rFonts w:ascii="Arial" w:hAnsi="Arial" w:cs="Arial"/>
                <w:color w:val="000000"/>
                <w:sz w:val="20"/>
                <w:szCs w:val="20"/>
              </w:rPr>
              <w:t>A positive cutoff of 30.0 AU/mL with an equivocal zone from 25.0 to 30.0 AU/mL was determined to provide the best sensitivity and specificity for the tested clinical samples.</w:t>
            </w:r>
          </w:p>
          <w:p w:rsidR="00684BE9" w:rsidRPr="00D65DBF" w:rsidRDefault="00684BE9" w:rsidP="00606516">
            <w:pPr>
              <w:autoSpaceDE w:val="0"/>
              <w:autoSpaceDN w:val="0"/>
              <w:adjustRightInd w:val="0"/>
              <w:jc w:val="left"/>
              <w:rPr>
                <w:rFonts w:ascii="Arial" w:hAnsi="Arial" w:cs="Arial"/>
                <w:sz w:val="20"/>
                <w:szCs w:val="20"/>
              </w:rPr>
            </w:pPr>
          </w:p>
          <w:p w:rsidR="00907763" w:rsidRPr="00D65DBF" w:rsidRDefault="00907763" w:rsidP="00606516">
            <w:pPr>
              <w:autoSpaceDE w:val="0"/>
              <w:autoSpaceDN w:val="0"/>
              <w:adjustRightInd w:val="0"/>
              <w:jc w:val="left"/>
              <w:rPr>
                <w:rFonts w:ascii="Arial" w:hAnsi="Arial" w:cs="Arial"/>
                <w:sz w:val="20"/>
                <w:szCs w:val="20"/>
              </w:rPr>
            </w:pPr>
            <w:r w:rsidRPr="00D65DBF">
              <w:rPr>
                <w:rFonts w:ascii="Arial" w:hAnsi="Arial" w:cs="Arial"/>
                <w:sz w:val="20"/>
                <w:szCs w:val="20"/>
              </w:rPr>
              <w:t xml:space="preserve">&lt; 25.0 AU/mL: Absence of detectable measles virus IgG antibodies. </w:t>
            </w:r>
            <w:r w:rsidR="00742249">
              <w:rPr>
                <w:rFonts w:ascii="Arial" w:hAnsi="Arial" w:cs="Arial"/>
                <w:sz w:val="20"/>
                <w:szCs w:val="20"/>
              </w:rPr>
              <w:t xml:space="preserve"> </w:t>
            </w:r>
            <w:r w:rsidRPr="00D65DBF">
              <w:rPr>
                <w:rFonts w:ascii="Arial" w:hAnsi="Arial" w:cs="Arial"/>
                <w:sz w:val="20"/>
                <w:szCs w:val="20"/>
              </w:rPr>
              <w:t xml:space="preserve">A negative result generally indicates that the patient has not been infected and is susceptible to measles. </w:t>
            </w:r>
            <w:r w:rsidR="00742249">
              <w:rPr>
                <w:rFonts w:ascii="Arial" w:hAnsi="Arial" w:cs="Arial"/>
                <w:sz w:val="20"/>
                <w:szCs w:val="20"/>
              </w:rPr>
              <w:t xml:space="preserve"> </w:t>
            </w:r>
            <w:r w:rsidRPr="00D65DBF">
              <w:rPr>
                <w:rFonts w:ascii="Arial" w:hAnsi="Arial" w:cs="Arial"/>
                <w:sz w:val="20"/>
                <w:szCs w:val="20"/>
              </w:rPr>
              <w:t>If the subject has no history of measles, has not been previously vaccinated and exposure to measles virus is suspected despite a negative finding, a second sample should be collected and tested within one to two weeks later.</w:t>
            </w:r>
          </w:p>
          <w:p w:rsidR="00907763" w:rsidRPr="00D65DBF" w:rsidRDefault="00907763" w:rsidP="00606516">
            <w:pPr>
              <w:autoSpaceDE w:val="0"/>
              <w:autoSpaceDN w:val="0"/>
              <w:adjustRightInd w:val="0"/>
              <w:jc w:val="left"/>
              <w:rPr>
                <w:rFonts w:ascii="Arial" w:hAnsi="Arial" w:cs="Arial"/>
                <w:sz w:val="20"/>
                <w:szCs w:val="20"/>
              </w:rPr>
            </w:pPr>
          </w:p>
          <w:p w:rsidR="00907763" w:rsidRPr="00D65DBF" w:rsidRDefault="00907763" w:rsidP="00907763">
            <w:pPr>
              <w:autoSpaceDE w:val="0"/>
              <w:autoSpaceDN w:val="0"/>
              <w:adjustRightInd w:val="0"/>
              <w:jc w:val="left"/>
              <w:rPr>
                <w:rFonts w:ascii="Arial" w:hAnsi="Arial" w:cs="Arial"/>
                <w:sz w:val="20"/>
                <w:szCs w:val="20"/>
              </w:rPr>
            </w:pPr>
            <w:r w:rsidRPr="00D65DBF">
              <w:rPr>
                <w:rFonts w:ascii="Arial" w:hAnsi="Arial" w:cs="Arial"/>
                <w:sz w:val="20"/>
                <w:szCs w:val="20"/>
              </w:rPr>
              <w:t xml:space="preserve">≥ 25.0 AU/mL and&lt; 30.0 AU/mL: Equivocal samples should be retested. </w:t>
            </w:r>
            <w:r w:rsidR="00742249">
              <w:rPr>
                <w:rFonts w:ascii="Arial" w:hAnsi="Arial" w:cs="Arial"/>
                <w:sz w:val="20"/>
                <w:szCs w:val="20"/>
              </w:rPr>
              <w:t xml:space="preserve"> </w:t>
            </w:r>
            <w:r w:rsidRPr="00D65DBF">
              <w:rPr>
                <w:rFonts w:ascii="Arial" w:hAnsi="Arial" w:cs="Arial"/>
                <w:sz w:val="20"/>
                <w:szCs w:val="20"/>
              </w:rPr>
              <w:t>If the result remains equivocal after repeat testing, a second sample should be collected no less than one to two weeks later.</w:t>
            </w:r>
          </w:p>
          <w:p w:rsidR="00907763" w:rsidRPr="00D65DBF" w:rsidRDefault="00907763" w:rsidP="00907763">
            <w:pPr>
              <w:autoSpaceDE w:val="0"/>
              <w:autoSpaceDN w:val="0"/>
              <w:adjustRightInd w:val="0"/>
              <w:jc w:val="left"/>
              <w:rPr>
                <w:rFonts w:ascii="Arial" w:hAnsi="Arial" w:cs="Arial"/>
                <w:sz w:val="20"/>
                <w:szCs w:val="20"/>
              </w:rPr>
            </w:pPr>
          </w:p>
          <w:p w:rsidR="00907763" w:rsidRPr="00D65DBF" w:rsidRDefault="00907763" w:rsidP="00907763">
            <w:pPr>
              <w:autoSpaceDE w:val="0"/>
              <w:autoSpaceDN w:val="0"/>
              <w:adjustRightInd w:val="0"/>
              <w:jc w:val="left"/>
              <w:rPr>
                <w:rFonts w:ascii="Arial" w:hAnsi="Arial" w:cs="Arial"/>
                <w:sz w:val="20"/>
                <w:szCs w:val="20"/>
              </w:rPr>
            </w:pPr>
            <w:r w:rsidRPr="00D65DBF">
              <w:rPr>
                <w:rFonts w:ascii="Arial" w:hAnsi="Arial" w:cs="Arial"/>
                <w:sz w:val="20"/>
                <w:szCs w:val="20"/>
              </w:rPr>
              <w:t xml:space="preserve">≥ 30.0 AU/mL: Presence of detectable measles virus IgG antibodies. </w:t>
            </w:r>
            <w:r w:rsidR="00742249">
              <w:rPr>
                <w:rFonts w:ascii="Arial" w:hAnsi="Arial" w:cs="Arial"/>
                <w:sz w:val="20"/>
                <w:szCs w:val="20"/>
              </w:rPr>
              <w:t xml:space="preserve"> </w:t>
            </w:r>
            <w:r w:rsidRPr="00D65DBF">
              <w:rPr>
                <w:rFonts w:ascii="Arial" w:hAnsi="Arial" w:cs="Arial"/>
                <w:sz w:val="20"/>
                <w:szCs w:val="20"/>
              </w:rPr>
              <w:t>A positive result generally indicates exposure to measles virus or previous vaccination.</w:t>
            </w:r>
          </w:p>
          <w:p w:rsidR="00907763" w:rsidRPr="00D65DBF" w:rsidRDefault="00907763" w:rsidP="00907763">
            <w:pPr>
              <w:autoSpaceDE w:val="0"/>
              <w:autoSpaceDN w:val="0"/>
              <w:adjustRightInd w:val="0"/>
              <w:jc w:val="left"/>
              <w:rPr>
                <w:rFonts w:ascii="Arial" w:hAnsi="Arial" w:cs="Arial"/>
                <w:sz w:val="20"/>
                <w:szCs w:val="20"/>
              </w:rPr>
            </w:pPr>
          </w:p>
          <w:p w:rsidR="00907763" w:rsidRPr="00D65DBF" w:rsidRDefault="00907763" w:rsidP="00907763">
            <w:pPr>
              <w:autoSpaceDE w:val="0"/>
              <w:autoSpaceDN w:val="0"/>
              <w:adjustRightInd w:val="0"/>
              <w:jc w:val="left"/>
              <w:rPr>
                <w:rFonts w:ascii="Arial" w:hAnsi="Arial" w:cs="Arial"/>
                <w:sz w:val="20"/>
                <w:szCs w:val="20"/>
              </w:rPr>
            </w:pPr>
            <w:r w:rsidRPr="00D65DBF">
              <w:rPr>
                <w:rFonts w:ascii="Arial" w:hAnsi="Arial" w:cs="Arial"/>
                <w:sz w:val="20"/>
                <w:szCs w:val="20"/>
              </w:rPr>
              <w:t>Diagnosis of infectious diseases should not be established on the basis of a single test result, but should be determined in conjunction with previous infection history, clinical findings and other diagnostic procedures as well as in association with medical judgment</w:t>
            </w:r>
          </w:p>
          <w:p w:rsidR="00907763" w:rsidRPr="00D65DBF" w:rsidRDefault="00907763" w:rsidP="00907763">
            <w:pPr>
              <w:autoSpaceDE w:val="0"/>
              <w:autoSpaceDN w:val="0"/>
              <w:adjustRightInd w:val="0"/>
              <w:spacing w:after="40"/>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220"/>
            </w:tblGrid>
            <w:tr w:rsidR="00907763" w:rsidRPr="00D65DBF">
              <w:trPr>
                <w:trHeight w:val="360"/>
              </w:trPr>
              <w:tc>
                <w:tcPr>
                  <w:tcW w:w="10220" w:type="dxa"/>
                </w:tcPr>
                <w:p w:rsidR="00907763" w:rsidRDefault="00907763" w:rsidP="00742249">
                  <w:pPr>
                    <w:autoSpaceDE w:val="0"/>
                    <w:autoSpaceDN w:val="0"/>
                    <w:adjustRightInd w:val="0"/>
                    <w:ind w:right="1146"/>
                    <w:rPr>
                      <w:rFonts w:ascii="Arial" w:hAnsi="Arial" w:cs="Arial"/>
                      <w:color w:val="000000"/>
                      <w:sz w:val="20"/>
                      <w:szCs w:val="20"/>
                    </w:rPr>
                  </w:pPr>
                  <w:r w:rsidRPr="00D65DBF">
                    <w:rPr>
                      <w:rFonts w:ascii="Arial" w:hAnsi="Arial" w:cs="Arial"/>
                      <w:b/>
                      <w:bCs/>
                      <w:color w:val="000000"/>
                      <w:sz w:val="20"/>
                      <w:szCs w:val="20"/>
                    </w:rPr>
                    <w:t xml:space="preserve">Warning </w:t>
                  </w:r>
                  <w:r w:rsidRPr="00D65DBF">
                    <w:rPr>
                      <w:rFonts w:ascii="Arial" w:hAnsi="Arial" w:cs="Arial"/>
                      <w:color w:val="000000"/>
                      <w:sz w:val="20"/>
                      <w:szCs w:val="20"/>
                    </w:rPr>
                    <w:t xml:space="preserve">- </w:t>
                  </w:r>
                  <w:r w:rsidRPr="00D65DBF">
                    <w:rPr>
                      <w:rFonts w:ascii="Arial" w:hAnsi="Arial" w:cs="Arial"/>
                      <w:sz w:val="20"/>
                      <w:szCs w:val="20"/>
                    </w:rPr>
                    <w:t xml:space="preserve">If the sample result displays “Invalid RLU” and an exclamation mark (!) flag, the result obtained lies below the assay signal range. </w:t>
                  </w:r>
                  <w:r w:rsidR="00742249">
                    <w:rPr>
                      <w:rFonts w:ascii="Arial" w:hAnsi="Arial" w:cs="Arial"/>
                      <w:sz w:val="20"/>
                      <w:szCs w:val="20"/>
                    </w:rPr>
                    <w:t xml:space="preserve"> </w:t>
                  </w:r>
                  <w:r w:rsidRPr="00D65DBF">
                    <w:rPr>
                      <w:rFonts w:ascii="Arial" w:hAnsi="Arial" w:cs="Arial"/>
                      <w:sz w:val="20"/>
                      <w:szCs w:val="20"/>
                    </w:rPr>
                    <w:t>The sample must be retested.</w:t>
                  </w:r>
                  <w:r w:rsidR="00742249">
                    <w:rPr>
                      <w:rFonts w:ascii="Arial" w:hAnsi="Arial" w:cs="Arial"/>
                      <w:sz w:val="20"/>
                      <w:szCs w:val="20"/>
                    </w:rPr>
                    <w:t xml:space="preserve"> </w:t>
                  </w:r>
                  <w:r w:rsidRPr="00D65DBF">
                    <w:rPr>
                      <w:rFonts w:ascii="Arial" w:hAnsi="Arial" w:cs="Arial"/>
                      <w:sz w:val="20"/>
                      <w:szCs w:val="20"/>
                    </w:rPr>
                    <w:t xml:space="preserve"> If the sample result upon retest still displays “Invalid RLU”, call DiaSorin Technical Support.</w:t>
                  </w:r>
                  <w:r w:rsidRPr="00D65DBF">
                    <w:rPr>
                      <w:rFonts w:ascii="Arial" w:hAnsi="Arial" w:cs="Arial"/>
                      <w:color w:val="000000"/>
                      <w:sz w:val="20"/>
                      <w:szCs w:val="20"/>
                    </w:rPr>
                    <w:t xml:space="preserve"> </w:t>
                  </w:r>
                </w:p>
                <w:p w:rsidR="00742249" w:rsidRPr="00D65DBF" w:rsidRDefault="00742249" w:rsidP="00742249">
                  <w:pPr>
                    <w:autoSpaceDE w:val="0"/>
                    <w:autoSpaceDN w:val="0"/>
                    <w:adjustRightInd w:val="0"/>
                    <w:ind w:right="1146"/>
                    <w:rPr>
                      <w:rFonts w:ascii="Arial" w:hAnsi="Arial" w:cs="Arial"/>
                      <w:color w:val="000000"/>
                      <w:sz w:val="20"/>
                      <w:szCs w:val="20"/>
                    </w:rPr>
                  </w:pPr>
                </w:p>
              </w:tc>
            </w:tr>
          </w:tbl>
          <w:p w:rsidR="00907763" w:rsidRPr="00D65DBF" w:rsidRDefault="00907763">
            <w:pPr>
              <w:autoSpaceDE w:val="0"/>
              <w:autoSpaceDN w:val="0"/>
              <w:adjustRightInd w:val="0"/>
              <w:jc w:val="left"/>
              <w:rPr>
                <w:rFonts w:ascii="Arial" w:hAnsi="Arial" w:cs="Arial"/>
                <w:b/>
                <w:bCs/>
                <w:iCs/>
                <w:sz w:val="20"/>
                <w:szCs w:val="20"/>
              </w:rPr>
            </w:pPr>
          </w:p>
        </w:tc>
      </w:tr>
      <w:tr w:rsidR="00E902AC" w:rsidRPr="00D65DBF" w:rsidTr="00E65DAB">
        <w:trPr>
          <w:cantSplit/>
        </w:trPr>
        <w:tc>
          <w:tcPr>
            <w:tcW w:w="1798" w:type="dxa"/>
            <w:tcBorders>
              <w:top w:val="nil"/>
              <w:left w:val="nil"/>
              <w:bottom w:val="nil"/>
              <w:right w:val="nil"/>
            </w:tcBorders>
          </w:tcPr>
          <w:p w:rsidR="00E902AC" w:rsidRPr="00D65DBF" w:rsidRDefault="00E902AC">
            <w:pPr>
              <w:rPr>
                <w:rFonts w:ascii="Arial" w:hAnsi="Arial" w:cs="Arial"/>
                <w:sz w:val="20"/>
                <w:szCs w:val="20"/>
              </w:rPr>
            </w:pPr>
          </w:p>
          <w:p w:rsidR="00E902AC" w:rsidRPr="00D65DBF" w:rsidRDefault="00E902AC">
            <w:pPr>
              <w:pStyle w:val="BodyText3"/>
              <w:jc w:val="left"/>
              <w:rPr>
                <w:rFonts w:ascii="Arial" w:hAnsi="Arial" w:cs="Arial"/>
                <w:sz w:val="20"/>
                <w:szCs w:val="20"/>
              </w:rPr>
            </w:pPr>
            <w:r w:rsidRPr="00D65DBF">
              <w:rPr>
                <w:rFonts w:ascii="Arial" w:hAnsi="Arial" w:cs="Arial"/>
                <w:sz w:val="20"/>
                <w:szCs w:val="20"/>
              </w:rPr>
              <w:t>Limitations</w:t>
            </w:r>
          </w:p>
          <w:p w:rsidR="00E902AC" w:rsidRPr="00D65DBF" w:rsidRDefault="00E902AC">
            <w:pPr>
              <w:rPr>
                <w:rFonts w:ascii="Arial" w:hAnsi="Arial" w:cs="Arial"/>
                <w:sz w:val="20"/>
                <w:szCs w:val="20"/>
              </w:rPr>
            </w:pPr>
          </w:p>
        </w:tc>
        <w:tc>
          <w:tcPr>
            <w:tcW w:w="9182" w:type="dxa"/>
            <w:gridSpan w:val="4"/>
            <w:tcBorders>
              <w:top w:val="single" w:sz="18" w:space="0" w:color="A6A6A6"/>
              <w:left w:val="nil"/>
              <w:bottom w:val="single" w:sz="18" w:space="0" w:color="A6A6A6"/>
              <w:right w:val="nil"/>
            </w:tcBorders>
          </w:tcPr>
          <w:p w:rsidR="00606516" w:rsidRPr="00D65DBF" w:rsidRDefault="00606516" w:rsidP="00816C23">
            <w:pPr>
              <w:rPr>
                <w:rFonts w:ascii="Arial" w:hAnsi="Arial" w:cs="Arial"/>
                <w:sz w:val="20"/>
                <w:szCs w:val="20"/>
              </w:rPr>
            </w:pPr>
          </w:p>
          <w:p w:rsidR="00E902AC" w:rsidRPr="00D65DBF" w:rsidRDefault="00907763" w:rsidP="001F6E1B">
            <w:pPr>
              <w:autoSpaceDE w:val="0"/>
              <w:autoSpaceDN w:val="0"/>
              <w:adjustRightInd w:val="0"/>
              <w:jc w:val="left"/>
              <w:rPr>
                <w:rFonts w:ascii="Arial" w:hAnsi="Arial" w:cs="Arial"/>
                <w:sz w:val="20"/>
                <w:szCs w:val="20"/>
              </w:rPr>
            </w:pPr>
            <w:r w:rsidRPr="00D65DBF">
              <w:rPr>
                <w:rFonts w:ascii="Arial" w:hAnsi="Arial" w:cs="Arial"/>
                <w:sz w:val="20"/>
                <w:szCs w:val="20"/>
              </w:rPr>
              <w:t>False negative results may occur if samples are collected early in the disease.</w:t>
            </w:r>
          </w:p>
          <w:p w:rsidR="00907763" w:rsidRPr="00D65DBF" w:rsidRDefault="00907763" w:rsidP="001F6E1B">
            <w:pPr>
              <w:autoSpaceDE w:val="0"/>
              <w:autoSpaceDN w:val="0"/>
              <w:adjustRightInd w:val="0"/>
              <w:jc w:val="left"/>
              <w:rPr>
                <w:rFonts w:ascii="Arial" w:hAnsi="Arial" w:cs="Arial"/>
                <w:sz w:val="20"/>
                <w:szCs w:val="20"/>
              </w:rPr>
            </w:pPr>
          </w:p>
          <w:p w:rsidR="00684BE9" w:rsidRPr="00D65DBF" w:rsidRDefault="00907763" w:rsidP="001F6E1B">
            <w:pPr>
              <w:autoSpaceDE w:val="0"/>
              <w:autoSpaceDN w:val="0"/>
              <w:adjustRightInd w:val="0"/>
              <w:jc w:val="left"/>
              <w:rPr>
                <w:rFonts w:ascii="Arial" w:hAnsi="Arial" w:cs="Arial"/>
                <w:sz w:val="20"/>
                <w:szCs w:val="20"/>
              </w:rPr>
            </w:pPr>
            <w:r w:rsidRPr="00D65DBF">
              <w:rPr>
                <w:rFonts w:ascii="Arial" w:hAnsi="Arial" w:cs="Arial"/>
                <w:sz w:val="20"/>
                <w:szCs w:val="20"/>
              </w:rPr>
              <w:t>Specimens from patients receiving preparations of mouse monoclonal antibodies for therapy or diagnosis may contain human anti-mouse antibodies (HAMA). Such specimens may interfere in a monoclonal antibody-based immunoassay and their results should be evaluated with care.</w:t>
            </w:r>
          </w:p>
          <w:p w:rsidR="00907763" w:rsidRPr="00D65DBF" w:rsidRDefault="00907763" w:rsidP="001F6E1B">
            <w:pPr>
              <w:autoSpaceDE w:val="0"/>
              <w:autoSpaceDN w:val="0"/>
              <w:adjustRightInd w:val="0"/>
              <w:jc w:val="left"/>
              <w:rPr>
                <w:rFonts w:ascii="Arial" w:hAnsi="Arial" w:cs="Arial"/>
                <w:sz w:val="20"/>
                <w:szCs w:val="20"/>
              </w:rPr>
            </w:pPr>
          </w:p>
          <w:p w:rsidR="00907763" w:rsidRDefault="00907763" w:rsidP="001F6E1B">
            <w:pPr>
              <w:autoSpaceDE w:val="0"/>
              <w:autoSpaceDN w:val="0"/>
              <w:adjustRightInd w:val="0"/>
              <w:jc w:val="left"/>
              <w:rPr>
                <w:rFonts w:ascii="Arial" w:hAnsi="Arial" w:cs="Arial"/>
                <w:sz w:val="20"/>
                <w:szCs w:val="20"/>
              </w:rPr>
            </w:pPr>
            <w:r w:rsidRPr="00D65DBF">
              <w:rPr>
                <w:rFonts w:ascii="Arial" w:hAnsi="Arial" w:cs="Arial"/>
                <w:sz w:val="20"/>
                <w:szCs w:val="20"/>
              </w:rPr>
              <w:t>Bacterial contamination or heat inactivation of the specimens may affect the test results.</w:t>
            </w:r>
          </w:p>
          <w:p w:rsidR="00742249" w:rsidRPr="00D65DBF" w:rsidRDefault="00742249" w:rsidP="001F6E1B">
            <w:pPr>
              <w:autoSpaceDE w:val="0"/>
              <w:autoSpaceDN w:val="0"/>
              <w:adjustRightInd w:val="0"/>
              <w:jc w:val="left"/>
              <w:rPr>
                <w:rFonts w:ascii="Arial" w:hAnsi="Arial" w:cs="Arial"/>
                <w:sz w:val="20"/>
                <w:szCs w:val="20"/>
              </w:rPr>
            </w:pPr>
          </w:p>
        </w:tc>
      </w:tr>
      <w:tr w:rsidR="00E902AC" w:rsidRPr="00D65DBF" w:rsidTr="001F6E1B">
        <w:trPr>
          <w:cantSplit/>
          <w:trHeight w:val="3285"/>
        </w:trPr>
        <w:tc>
          <w:tcPr>
            <w:tcW w:w="1798" w:type="dxa"/>
            <w:tcBorders>
              <w:top w:val="nil"/>
              <w:left w:val="nil"/>
              <w:bottom w:val="nil"/>
              <w:right w:val="nil"/>
            </w:tcBorders>
          </w:tcPr>
          <w:p w:rsidR="00E902AC" w:rsidRPr="00D65DBF" w:rsidRDefault="00E902AC">
            <w:pPr>
              <w:rPr>
                <w:rFonts w:ascii="Arial" w:hAnsi="Arial" w:cs="Arial"/>
                <w:b/>
                <w:bCs/>
                <w:color w:val="0000FF"/>
                <w:sz w:val="20"/>
                <w:szCs w:val="20"/>
              </w:rPr>
            </w:pPr>
          </w:p>
          <w:p w:rsidR="00E902AC" w:rsidRPr="00D65DBF" w:rsidRDefault="00E902AC">
            <w:pPr>
              <w:jc w:val="left"/>
              <w:rPr>
                <w:rFonts w:ascii="Arial" w:hAnsi="Arial" w:cs="Arial"/>
                <w:b/>
                <w:bCs/>
                <w:color w:val="0000FF"/>
                <w:sz w:val="20"/>
                <w:szCs w:val="20"/>
              </w:rPr>
            </w:pPr>
            <w:r w:rsidRPr="00D65DBF">
              <w:rPr>
                <w:rFonts w:ascii="Arial" w:hAnsi="Arial" w:cs="Arial"/>
                <w:b/>
                <w:bCs/>
                <w:color w:val="0000FF"/>
                <w:sz w:val="20"/>
                <w:szCs w:val="20"/>
              </w:rPr>
              <w:t>Result Reporting</w:t>
            </w:r>
          </w:p>
          <w:p w:rsidR="00E902AC" w:rsidRPr="00D65DBF" w:rsidRDefault="00E902AC">
            <w:pPr>
              <w:rPr>
                <w:rFonts w:ascii="Arial" w:hAnsi="Arial" w:cs="Arial"/>
                <w:b/>
                <w:bCs/>
                <w:sz w:val="20"/>
                <w:szCs w:val="20"/>
              </w:rPr>
            </w:pPr>
          </w:p>
        </w:tc>
        <w:tc>
          <w:tcPr>
            <w:tcW w:w="9182" w:type="dxa"/>
            <w:gridSpan w:val="4"/>
            <w:tcBorders>
              <w:top w:val="single" w:sz="18" w:space="0" w:color="A6A6A6"/>
              <w:left w:val="nil"/>
              <w:bottom w:val="single" w:sz="18" w:space="0" w:color="A6A6A6"/>
              <w:right w:val="nil"/>
            </w:tcBorders>
          </w:tcPr>
          <w:p w:rsidR="00E902AC" w:rsidRPr="00D65DBF" w:rsidRDefault="00E902AC">
            <w:pPr>
              <w:autoSpaceDE w:val="0"/>
              <w:autoSpaceDN w:val="0"/>
              <w:adjustRightInd w:val="0"/>
              <w:jc w:val="left"/>
              <w:rPr>
                <w:rFonts w:ascii="Arial" w:hAnsi="Arial" w:cs="Arial"/>
                <w:iCs/>
                <w:sz w:val="20"/>
                <w:szCs w:val="20"/>
              </w:rPr>
            </w:pPr>
          </w:p>
          <w:p w:rsidR="00684BE9" w:rsidRPr="00D65DBF" w:rsidRDefault="00907763">
            <w:pPr>
              <w:autoSpaceDE w:val="0"/>
              <w:autoSpaceDN w:val="0"/>
              <w:adjustRightInd w:val="0"/>
              <w:jc w:val="left"/>
              <w:rPr>
                <w:rFonts w:ascii="Arial" w:hAnsi="Arial" w:cs="Arial"/>
                <w:sz w:val="20"/>
                <w:szCs w:val="20"/>
              </w:rPr>
            </w:pPr>
            <w:r w:rsidRPr="00D65DBF">
              <w:rPr>
                <w:rFonts w:ascii="Arial" w:hAnsi="Arial" w:cs="Arial"/>
                <w:sz w:val="20"/>
                <w:szCs w:val="20"/>
              </w:rPr>
              <w:t>Test results are reported qualitatively. However, diagnosis of a disease should be established based on the patient’s anamnesis, in conjunction with clinical findings and in association with medical judgment. Any therapeutic decision must also be taken on a case-by-case basis.</w:t>
            </w:r>
          </w:p>
          <w:p w:rsidR="002C48DA" w:rsidRPr="00D65DBF" w:rsidRDefault="002C48DA">
            <w:pPr>
              <w:autoSpaceDE w:val="0"/>
              <w:autoSpaceDN w:val="0"/>
              <w:adjustRightInd w:val="0"/>
              <w:jc w:val="left"/>
              <w:rPr>
                <w:rFonts w:ascii="Arial" w:hAnsi="Arial" w:cs="Arial"/>
                <w:sz w:val="20"/>
                <w:szCs w:val="20"/>
              </w:rPr>
            </w:pPr>
          </w:p>
          <w:p w:rsidR="002C48DA" w:rsidRPr="00D65DBF" w:rsidRDefault="002C48DA">
            <w:pPr>
              <w:autoSpaceDE w:val="0"/>
              <w:autoSpaceDN w:val="0"/>
              <w:adjustRightInd w:val="0"/>
              <w:jc w:val="left"/>
              <w:rPr>
                <w:rFonts w:ascii="Arial" w:hAnsi="Arial" w:cs="Arial"/>
                <w:sz w:val="20"/>
                <w:szCs w:val="20"/>
              </w:rPr>
            </w:pPr>
            <w:r w:rsidRPr="00D65DBF">
              <w:rPr>
                <w:rFonts w:ascii="Arial" w:hAnsi="Arial" w:cs="Arial"/>
                <w:sz w:val="20"/>
                <w:szCs w:val="20"/>
              </w:rPr>
              <w:t>Results &lt;25 AU/mL without error messages are reported with the numerical result, and interpreted as Negative.</w:t>
            </w:r>
            <w:r w:rsidR="00F72993" w:rsidRPr="00D65DBF">
              <w:rPr>
                <w:rFonts w:ascii="Arial" w:hAnsi="Arial" w:cs="Arial"/>
                <w:sz w:val="20"/>
                <w:szCs w:val="20"/>
              </w:rPr>
              <w:t xml:space="preserve"> </w:t>
            </w:r>
          </w:p>
          <w:p w:rsidR="002C48DA" w:rsidRPr="00D65DBF" w:rsidRDefault="002C48DA">
            <w:pPr>
              <w:autoSpaceDE w:val="0"/>
              <w:autoSpaceDN w:val="0"/>
              <w:adjustRightInd w:val="0"/>
              <w:jc w:val="left"/>
              <w:rPr>
                <w:rFonts w:ascii="Arial" w:hAnsi="Arial" w:cs="Arial"/>
                <w:sz w:val="20"/>
                <w:szCs w:val="20"/>
              </w:rPr>
            </w:pPr>
          </w:p>
          <w:p w:rsidR="002C48DA" w:rsidRPr="00D65DBF" w:rsidRDefault="002C48DA">
            <w:pPr>
              <w:autoSpaceDE w:val="0"/>
              <w:autoSpaceDN w:val="0"/>
              <w:adjustRightInd w:val="0"/>
              <w:jc w:val="left"/>
              <w:rPr>
                <w:rFonts w:ascii="Arial" w:hAnsi="Arial" w:cs="Arial"/>
                <w:sz w:val="20"/>
                <w:szCs w:val="20"/>
              </w:rPr>
            </w:pPr>
            <w:r w:rsidRPr="00D65DBF">
              <w:rPr>
                <w:rFonts w:ascii="Arial" w:hAnsi="Arial" w:cs="Arial"/>
                <w:sz w:val="20"/>
                <w:szCs w:val="20"/>
              </w:rPr>
              <w:t xml:space="preserve">Results between 25 and 29.9 AU/mL must be repeated </w:t>
            </w:r>
            <w:r w:rsidR="00742249">
              <w:rPr>
                <w:rFonts w:ascii="Arial" w:hAnsi="Arial" w:cs="Arial"/>
                <w:sz w:val="20"/>
                <w:szCs w:val="20"/>
              </w:rPr>
              <w:t>prior to reporting.  If test remains in this range after repeat, results is</w:t>
            </w:r>
            <w:r w:rsidRPr="00D65DBF">
              <w:rPr>
                <w:rFonts w:ascii="Arial" w:hAnsi="Arial" w:cs="Arial"/>
                <w:sz w:val="20"/>
                <w:szCs w:val="20"/>
              </w:rPr>
              <w:t xml:space="preserve"> rep</w:t>
            </w:r>
            <w:r w:rsidR="00742249">
              <w:rPr>
                <w:rFonts w:ascii="Arial" w:hAnsi="Arial" w:cs="Arial"/>
                <w:sz w:val="20"/>
                <w:szCs w:val="20"/>
              </w:rPr>
              <w:t>orted with the numerical result</w:t>
            </w:r>
            <w:r w:rsidRPr="00D65DBF">
              <w:rPr>
                <w:rFonts w:ascii="Arial" w:hAnsi="Arial" w:cs="Arial"/>
                <w:sz w:val="20"/>
                <w:szCs w:val="20"/>
              </w:rPr>
              <w:t xml:space="preserve"> and interpreted as Equivocal.</w:t>
            </w:r>
            <w:r w:rsidR="00F72993" w:rsidRPr="00D65DBF">
              <w:rPr>
                <w:rFonts w:ascii="Arial" w:hAnsi="Arial" w:cs="Arial"/>
                <w:sz w:val="20"/>
                <w:szCs w:val="20"/>
              </w:rPr>
              <w:t xml:space="preserve"> </w:t>
            </w:r>
          </w:p>
          <w:p w:rsidR="002C48DA" w:rsidRPr="00D65DBF" w:rsidRDefault="002C48DA">
            <w:pPr>
              <w:autoSpaceDE w:val="0"/>
              <w:autoSpaceDN w:val="0"/>
              <w:adjustRightInd w:val="0"/>
              <w:jc w:val="left"/>
              <w:rPr>
                <w:rFonts w:ascii="Arial" w:hAnsi="Arial" w:cs="Arial"/>
                <w:sz w:val="20"/>
                <w:szCs w:val="20"/>
              </w:rPr>
            </w:pPr>
          </w:p>
          <w:p w:rsidR="002C48DA" w:rsidRPr="00D65DBF" w:rsidRDefault="002C48DA" w:rsidP="0014755C">
            <w:pPr>
              <w:autoSpaceDE w:val="0"/>
              <w:autoSpaceDN w:val="0"/>
              <w:adjustRightInd w:val="0"/>
              <w:jc w:val="left"/>
              <w:rPr>
                <w:rFonts w:ascii="Arial" w:hAnsi="Arial" w:cs="Arial"/>
                <w:iCs/>
                <w:sz w:val="20"/>
                <w:szCs w:val="20"/>
              </w:rPr>
            </w:pPr>
            <w:r w:rsidRPr="00D65DBF">
              <w:rPr>
                <w:rFonts w:ascii="Arial" w:hAnsi="Arial" w:cs="Arial"/>
                <w:sz w:val="20"/>
                <w:szCs w:val="20"/>
              </w:rPr>
              <w:t>Results ≥30 AU/mL without error messages are reported with the numerical result, and interpreted as Positive</w:t>
            </w:r>
            <w:r w:rsidR="00F72993" w:rsidRPr="00D65DBF">
              <w:rPr>
                <w:rFonts w:ascii="Arial" w:hAnsi="Arial" w:cs="Arial"/>
                <w:sz w:val="20"/>
                <w:szCs w:val="20"/>
              </w:rPr>
              <w:t xml:space="preserve">. </w:t>
            </w:r>
          </w:p>
        </w:tc>
      </w:tr>
      <w:tr w:rsidR="00E902AC" w:rsidRPr="00D65DBF" w:rsidTr="00542675">
        <w:tblPrEx>
          <w:tblBorders>
            <w:top w:val="none" w:sz="0" w:space="0" w:color="auto"/>
            <w:left w:val="none" w:sz="0" w:space="0" w:color="auto"/>
            <w:right w:val="none" w:sz="0" w:space="0" w:color="auto"/>
            <w:insideH w:val="none" w:sz="0" w:space="0" w:color="auto"/>
            <w:insideV w:val="none" w:sz="0" w:space="0" w:color="auto"/>
          </w:tblBorders>
        </w:tblPrEx>
        <w:trPr>
          <w:cantSplit/>
          <w:trHeight w:val="525"/>
        </w:trPr>
        <w:tc>
          <w:tcPr>
            <w:tcW w:w="1798" w:type="dxa"/>
            <w:tcBorders>
              <w:top w:val="nil"/>
              <w:left w:val="nil"/>
              <w:bottom w:val="nil"/>
            </w:tcBorders>
          </w:tcPr>
          <w:p w:rsidR="00E902AC" w:rsidRPr="00D65DBF" w:rsidRDefault="00E902AC">
            <w:pPr>
              <w:rPr>
                <w:rFonts w:ascii="Arial" w:hAnsi="Arial" w:cs="Arial"/>
                <w:b/>
                <w:color w:val="0000FF"/>
                <w:sz w:val="20"/>
                <w:szCs w:val="20"/>
              </w:rPr>
            </w:pPr>
          </w:p>
          <w:p w:rsidR="00E902AC" w:rsidRPr="00D65DBF" w:rsidRDefault="00E902AC">
            <w:pPr>
              <w:rPr>
                <w:rFonts w:ascii="Arial" w:hAnsi="Arial" w:cs="Arial"/>
                <w:b/>
                <w:color w:val="0000FF"/>
                <w:sz w:val="20"/>
                <w:szCs w:val="20"/>
              </w:rPr>
            </w:pPr>
            <w:r w:rsidRPr="00D65DBF">
              <w:rPr>
                <w:rFonts w:ascii="Arial" w:hAnsi="Arial" w:cs="Arial"/>
                <w:b/>
                <w:color w:val="0000FF"/>
                <w:sz w:val="20"/>
                <w:szCs w:val="20"/>
              </w:rPr>
              <w:t>Alternate Methods</w:t>
            </w:r>
          </w:p>
        </w:tc>
        <w:tc>
          <w:tcPr>
            <w:tcW w:w="9182" w:type="dxa"/>
            <w:gridSpan w:val="4"/>
            <w:tcBorders>
              <w:top w:val="single" w:sz="18" w:space="0" w:color="A6A6A6"/>
              <w:bottom w:val="single" w:sz="18" w:space="0" w:color="A6A6A6"/>
              <w:right w:val="nil"/>
            </w:tcBorders>
          </w:tcPr>
          <w:p w:rsidR="00E902AC" w:rsidRPr="00D65DBF" w:rsidRDefault="00E902AC">
            <w:pPr>
              <w:jc w:val="left"/>
              <w:rPr>
                <w:rFonts w:ascii="Arial" w:hAnsi="Arial" w:cs="Arial"/>
                <w:sz w:val="20"/>
                <w:szCs w:val="20"/>
              </w:rPr>
            </w:pPr>
          </w:p>
          <w:p w:rsidR="00E902AC" w:rsidRPr="00D65DBF" w:rsidRDefault="002C48DA">
            <w:pPr>
              <w:jc w:val="left"/>
              <w:rPr>
                <w:rFonts w:ascii="Arial" w:hAnsi="Arial" w:cs="Arial"/>
                <w:sz w:val="20"/>
                <w:szCs w:val="20"/>
              </w:rPr>
            </w:pPr>
            <w:r w:rsidRPr="00D65DBF">
              <w:rPr>
                <w:rFonts w:ascii="Arial" w:hAnsi="Arial" w:cs="Arial"/>
                <w:sz w:val="20"/>
                <w:szCs w:val="20"/>
              </w:rPr>
              <w:t xml:space="preserve">RUBES: To Mayo Medical Laboratory. </w:t>
            </w:r>
          </w:p>
          <w:p w:rsidR="00684BE9" w:rsidRPr="00D65DBF" w:rsidRDefault="00684BE9">
            <w:pPr>
              <w:jc w:val="left"/>
              <w:rPr>
                <w:rFonts w:ascii="Arial" w:hAnsi="Arial" w:cs="Arial"/>
                <w:sz w:val="20"/>
                <w:szCs w:val="20"/>
              </w:rPr>
            </w:pPr>
          </w:p>
        </w:tc>
      </w:tr>
      <w:tr w:rsidR="00E902AC" w:rsidRPr="00D65DBF" w:rsidTr="00542675">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8" w:type="dxa"/>
            <w:tcBorders>
              <w:left w:val="nil"/>
              <w:bottom w:val="nil"/>
            </w:tcBorders>
          </w:tcPr>
          <w:p w:rsidR="00E902AC" w:rsidRPr="00D65DBF" w:rsidRDefault="00E902AC">
            <w:pPr>
              <w:rPr>
                <w:rFonts w:ascii="Arial" w:hAnsi="Arial" w:cs="Arial"/>
                <w:b/>
                <w:bCs/>
                <w:sz w:val="20"/>
                <w:szCs w:val="20"/>
              </w:rPr>
            </w:pPr>
          </w:p>
          <w:p w:rsidR="00E902AC" w:rsidRPr="00D65DBF" w:rsidRDefault="00E902AC">
            <w:pPr>
              <w:jc w:val="left"/>
              <w:rPr>
                <w:rFonts w:ascii="Arial" w:hAnsi="Arial" w:cs="Arial"/>
                <w:b/>
                <w:bCs/>
                <w:color w:val="0000FF"/>
                <w:sz w:val="20"/>
                <w:szCs w:val="20"/>
              </w:rPr>
            </w:pPr>
            <w:r w:rsidRPr="00D65DBF">
              <w:rPr>
                <w:rFonts w:ascii="Arial" w:hAnsi="Arial" w:cs="Arial"/>
                <w:b/>
                <w:bCs/>
                <w:color w:val="0000FF"/>
                <w:sz w:val="20"/>
                <w:szCs w:val="20"/>
              </w:rPr>
              <w:t>References</w:t>
            </w:r>
          </w:p>
        </w:tc>
        <w:tc>
          <w:tcPr>
            <w:tcW w:w="9182" w:type="dxa"/>
            <w:gridSpan w:val="4"/>
            <w:tcBorders>
              <w:top w:val="single" w:sz="18" w:space="0" w:color="A6A6A6"/>
              <w:bottom w:val="single" w:sz="18" w:space="0" w:color="A6A6A6"/>
              <w:right w:val="nil"/>
            </w:tcBorders>
          </w:tcPr>
          <w:p w:rsidR="00E902AC" w:rsidRPr="00D65DBF" w:rsidRDefault="00E902AC">
            <w:pPr>
              <w:pStyle w:val="TableText"/>
              <w:autoSpaceDE/>
              <w:autoSpaceDN/>
              <w:rPr>
                <w:rFonts w:ascii="Arial" w:hAnsi="Arial" w:cs="Arial"/>
                <w:szCs w:val="20"/>
              </w:rPr>
            </w:pPr>
          </w:p>
          <w:p w:rsidR="00E902AC" w:rsidRPr="00D65DBF" w:rsidRDefault="002C48DA" w:rsidP="00E902AC">
            <w:pPr>
              <w:numPr>
                <w:ilvl w:val="0"/>
                <w:numId w:val="11"/>
              </w:numPr>
              <w:jc w:val="left"/>
              <w:rPr>
                <w:rFonts w:ascii="Arial" w:hAnsi="Arial" w:cs="Arial"/>
                <w:sz w:val="20"/>
                <w:szCs w:val="20"/>
              </w:rPr>
            </w:pPr>
            <w:r w:rsidRPr="00D65DBF">
              <w:rPr>
                <w:rFonts w:ascii="Arial" w:hAnsi="Arial" w:cs="Arial"/>
                <w:sz w:val="20"/>
                <w:szCs w:val="20"/>
              </w:rPr>
              <w:t>LIAISON® Measles IgG ([REF] 318810)</w:t>
            </w:r>
            <w:r w:rsidR="00E902AC" w:rsidRPr="00D65DBF">
              <w:rPr>
                <w:rFonts w:ascii="Arial" w:hAnsi="Arial" w:cs="Arial"/>
                <w:sz w:val="20"/>
                <w:szCs w:val="20"/>
              </w:rPr>
              <w:t xml:space="preserve"> Directions for Use, DiaSorin, Inc</w:t>
            </w:r>
            <w:r w:rsidR="00D65DBF" w:rsidRPr="00D65DBF">
              <w:rPr>
                <w:rFonts w:ascii="Arial" w:hAnsi="Arial" w:cs="Arial"/>
                <w:sz w:val="20"/>
                <w:szCs w:val="20"/>
              </w:rPr>
              <w:t>.</w:t>
            </w:r>
            <w:r w:rsidR="00E902AC" w:rsidRPr="00D65DBF">
              <w:rPr>
                <w:rFonts w:ascii="Arial" w:hAnsi="Arial" w:cs="Arial"/>
                <w:sz w:val="20"/>
                <w:szCs w:val="20"/>
              </w:rPr>
              <w:t>, Stillwater, MN 55082,</w:t>
            </w:r>
            <w:r w:rsidR="00631438" w:rsidRPr="00D65DBF">
              <w:rPr>
                <w:rFonts w:ascii="Arial" w:hAnsi="Arial" w:cs="Arial"/>
                <w:sz w:val="20"/>
                <w:szCs w:val="20"/>
              </w:rPr>
              <w:t xml:space="preserve"> </w:t>
            </w:r>
            <w:r w:rsidRPr="00D65DBF">
              <w:rPr>
                <w:rFonts w:ascii="Arial" w:hAnsi="Arial" w:cs="Arial"/>
                <w:sz w:val="20"/>
                <w:szCs w:val="20"/>
              </w:rPr>
              <w:t>September 2016</w:t>
            </w:r>
          </w:p>
          <w:p w:rsidR="00E902AC" w:rsidRPr="00D65DBF" w:rsidRDefault="002C48DA" w:rsidP="002C48DA">
            <w:pPr>
              <w:numPr>
                <w:ilvl w:val="0"/>
                <w:numId w:val="11"/>
              </w:numPr>
              <w:jc w:val="left"/>
              <w:rPr>
                <w:rFonts w:ascii="Arial" w:hAnsi="Arial" w:cs="Arial"/>
                <w:iCs/>
                <w:sz w:val="20"/>
                <w:szCs w:val="20"/>
              </w:rPr>
            </w:pPr>
            <w:r w:rsidRPr="00D65DBF">
              <w:rPr>
                <w:rFonts w:ascii="Arial" w:hAnsi="Arial" w:cs="Arial"/>
                <w:sz w:val="20"/>
                <w:szCs w:val="20"/>
              </w:rPr>
              <w:t>LIAISON® Control Measles IgG ([REF] 318811)</w:t>
            </w:r>
            <w:r w:rsidR="00684BE9" w:rsidRPr="00D65DBF">
              <w:rPr>
                <w:rFonts w:ascii="Arial" w:hAnsi="Arial" w:cs="Arial"/>
                <w:sz w:val="20"/>
                <w:szCs w:val="20"/>
              </w:rPr>
              <w:t>QC</w:t>
            </w:r>
            <w:r w:rsidR="00E902AC" w:rsidRPr="00D65DBF">
              <w:rPr>
                <w:rFonts w:ascii="Arial" w:hAnsi="Arial" w:cs="Arial"/>
                <w:iCs/>
                <w:sz w:val="20"/>
                <w:szCs w:val="20"/>
              </w:rPr>
              <w:t xml:space="preserve"> Directions for Use</w:t>
            </w:r>
            <w:r w:rsidR="00E902AC" w:rsidRPr="00D65DBF">
              <w:rPr>
                <w:rFonts w:ascii="Arial" w:hAnsi="Arial" w:cs="Arial"/>
                <w:sz w:val="20"/>
                <w:szCs w:val="20"/>
              </w:rPr>
              <w:t xml:space="preserve">, </w:t>
            </w:r>
            <w:r w:rsidR="00E902AC" w:rsidRPr="00D65DBF">
              <w:rPr>
                <w:rFonts w:ascii="Arial" w:hAnsi="Arial" w:cs="Arial"/>
                <w:iCs/>
                <w:sz w:val="20"/>
                <w:szCs w:val="20"/>
              </w:rPr>
              <w:t>DiaSorin, In</w:t>
            </w:r>
            <w:r w:rsidR="00696475" w:rsidRPr="00D65DBF">
              <w:rPr>
                <w:rFonts w:ascii="Arial" w:hAnsi="Arial" w:cs="Arial"/>
                <w:iCs/>
                <w:sz w:val="20"/>
                <w:szCs w:val="20"/>
              </w:rPr>
              <w:t>c</w:t>
            </w:r>
            <w:r w:rsidR="00D65DBF" w:rsidRPr="00D65DBF">
              <w:rPr>
                <w:rFonts w:ascii="Arial" w:hAnsi="Arial" w:cs="Arial"/>
                <w:iCs/>
                <w:sz w:val="20"/>
                <w:szCs w:val="20"/>
              </w:rPr>
              <w:t>.</w:t>
            </w:r>
            <w:r w:rsidR="00696475" w:rsidRPr="00D65DBF">
              <w:rPr>
                <w:rFonts w:ascii="Arial" w:hAnsi="Arial" w:cs="Arial"/>
                <w:iCs/>
                <w:sz w:val="20"/>
                <w:szCs w:val="20"/>
              </w:rPr>
              <w:t>, Stillwater, MN 55082</w:t>
            </w:r>
            <w:r w:rsidRPr="00D65DBF">
              <w:rPr>
                <w:rFonts w:ascii="Arial" w:hAnsi="Arial" w:cs="Arial"/>
                <w:iCs/>
                <w:sz w:val="20"/>
                <w:szCs w:val="20"/>
              </w:rPr>
              <w:t>, September 2016</w:t>
            </w:r>
          </w:p>
          <w:p w:rsidR="00E902AC" w:rsidRPr="00D65DBF" w:rsidRDefault="00E902AC">
            <w:pPr>
              <w:jc w:val="left"/>
              <w:rPr>
                <w:rFonts w:ascii="Arial" w:hAnsi="Arial" w:cs="Arial"/>
                <w:iCs/>
                <w:sz w:val="20"/>
                <w:szCs w:val="20"/>
              </w:rPr>
            </w:pPr>
          </w:p>
        </w:tc>
      </w:tr>
      <w:tr w:rsidR="00E902AC" w:rsidRPr="00D65DBF" w:rsidTr="00542675">
        <w:tblPrEx>
          <w:tblBorders>
            <w:top w:val="none" w:sz="0" w:space="0" w:color="auto"/>
            <w:left w:val="none" w:sz="0" w:space="0" w:color="auto"/>
            <w:right w:val="none" w:sz="0" w:space="0" w:color="auto"/>
            <w:insideH w:val="none" w:sz="0" w:space="0" w:color="auto"/>
            <w:insideV w:val="none" w:sz="0" w:space="0" w:color="auto"/>
          </w:tblBorders>
        </w:tblPrEx>
        <w:trPr>
          <w:trHeight w:val="197"/>
        </w:trPr>
        <w:tc>
          <w:tcPr>
            <w:tcW w:w="1798" w:type="dxa"/>
            <w:tcBorders>
              <w:top w:val="nil"/>
              <w:left w:val="nil"/>
              <w:bottom w:val="nil"/>
            </w:tcBorders>
          </w:tcPr>
          <w:p w:rsidR="00E902AC" w:rsidRPr="00D65DBF" w:rsidRDefault="00E902AC">
            <w:pPr>
              <w:rPr>
                <w:rFonts w:ascii="Arial" w:hAnsi="Arial" w:cs="Arial"/>
                <w:b/>
                <w:bCs/>
                <w:color w:val="0000FF"/>
                <w:sz w:val="20"/>
                <w:szCs w:val="20"/>
              </w:rPr>
            </w:pPr>
          </w:p>
        </w:tc>
        <w:tc>
          <w:tcPr>
            <w:tcW w:w="9182" w:type="dxa"/>
            <w:gridSpan w:val="4"/>
            <w:tcBorders>
              <w:top w:val="single" w:sz="18" w:space="0" w:color="A6A6A6"/>
              <w:bottom w:val="single" w:sz="4" w:space="0" w:color="auto"/>
              <w:right w:val="nil"/>
            </w:tcBorders>
          </w:tcPr>
          <w:p w:rsidR="00E902AC" w:rsidRPr="00D65DBF" w:rsidRDefault="00E902AC">
            <w:pPr>
              <w:jc w:val="left"/>
              <w:rPr>
                <w:rFonts w:ascii="Arial" w:hAnsi="Arial" w:cs="Arial"/>
                <w:sz w:val="20"/>
                <w:szCs w:val="20"/>
              </w:rPr>
            </w:pPr>
          </w:p>
        </w:tc>
      </w:tr>
      <w:tr w:rsidR="00E902AC" w:rsidRPr="00D65DB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8" w:type="dxa"/>
            <w:vMerge w:val="restart"/>
            <w:tcBorders>
              <w:left w:val="nil"/>
              <w:bottom w:val="nil"/>
              <w:right w:val="single" w:sz="4" w:space="0" w:color="auto"/>
            </w:tcBorders>
          </w:tcPr>
          <w:p w:rsidR="00E902AC" w:rsidRPr="00D65DBF" w:rsidRDefault="00E902AC">
            <w:pPr>
              <w:jc w:val="left"/>
              <w:rPr>
                <w:rFonts w:ascii="Arial" w:hAnsi="Arial" w:cs="Arial"/>
                <w:b/>
                <w:bCs/>
                <w:color w:val="3366FF"/>
                <w:sz w:val="20"/>
                <w:szCs w:val="20"/>
              </w:rPr>
            </w:pPr>
            <w:r w:rsidRPr="00D65DBF">
              <w:rPr>
                <w:rFonts w:ascii="Arial" w:hAnsi="Arial" w:cs="Arial"/>
                <w:b/>
                <w:bCs/>
                <w:color w:val="0000FF"/>
                <w:sz w:val="20"/>
                <w:szCs w:val="20"/>
              </w:rPr>
              <w:t>Historical Record</w:t>
            </w:r>
          </w:p>
        </w:tc>
        <w:tc>
          <w:tcPr>
            <w:tcW w:w="1434" w:type="dxa"/>
            <w:tcBorders>
              <w:top w:val="single" w:sz="4" w:space="0" w:color="auto"/>
              <w:left w:val="single" w:sz="4" w:space="0" w:color="auto"/>
              <w:bottom w:val="single" w:sz="4" w:space="0" w:color="auto"/>
              <w:right w:val="single" w:sz="4" w:space="0" w:color="auto"/>
            </w:tcBorders>
          </w:tcPr>
          <w:p w:rsidR="00E902AC" w:rsidRPr="00D65DBF" w:rsidRDefault="00E902AC">
            <w:pPr>
              <w:jc w:val="left"/>
              <w:rPr>
                <w:rFonts w:ascii="Arial" w:hAnsi="Arial" w:cs="Arial"/>
                <w:b/>
                <w:bCs/>
                <w:sz w:val="20"/>
                <w:szCs w:val="20"/>
              </w:rPr>
            </w:pPr>
            <w:r w:rsidRPr="00D65DBF">
              <w:rPr>
                <w:rFonts w:ascii="Arial" w:hAnsi="Arial" w:cs="Arial"/>
                <w:b/>
                <w:bCs/>
                <w:sz w:val="20"/>
                <w:szCs w:val="20"/>
              </w:rPr>
              <w:t>Version</w:t>
            </w:r>
          </w:p>
        </w:tc>
        <w:tc>
          <w:tcPr>
            <w:tcW w:w="2528" w:type="dxa"/>
            <w:tcBorders>
              <w:top w:val="single" w:sz="4" w:space="0" w:color="auto"/>
              <w:left w:val="single" w:sz="4" w:space="0" w:color="auto"/>
              <w:bottom w:val="single" w:sz="4" w:space="0" w:color="auto"/>
              <w:right w:val="single" w:sz="4" w:space="0" w:color="auto"/>
            </w:tcBorders>
          </w:tcPr>
          <w:p w:rsidR="00E902AC" w:rsidRPr="00D65DBF" w:rsidRDefault="00E902AC">
            <w:pPr>
              <w:rPr>
                <w:rFonts w:ascii="Arial" w:hAnsi="Arial" w:cs="Arial"/>
                <w:b/>
                <w:bCs/>
                <w:iCs/>
                <w:sz w:val="20"/>
                <w:szCs w:val="20"/>
              </w:rPr>
            </w:pPr>
            <w:r w:rsidRPr="00D65DBF">
              <w:rPr>
                <w:rFonts w:ascii="Arial" w:hAnsi="Arial" w:cs="Arial"/>
                <w:b/>
                <w:bCs/>
                <w:iCs/>
                <w:sz w:val="20"/>
                <w:szCs w:val="20"/>
              </w:rPr>
              <w:t>Written/Revised by:</w:t>
            </w:r>
          </w:p>
        </w:tc>
        <w:tc>
          <w:tcPr>
            <w:tcW w:w="2031" w:type="dxa"/>
            <w:tcBorders>
              <w:top w:val="single" w:sz="4" w:space="0" w:color="auto"/>
              <w:left w:val="single" w:sz="4" w:space="0" w:color="auto"/>
              <w:bottom w:val="single" w:sz="4" w:space="0" w:color="auto"/>
              <w:right w:val="single" w:sz="4" w:space="0" w:color="auto"/>
            </w:tcBorders>
          </w:tcPr>
          <w:p w:rsidR="00E902AC" w:rsidRPr="00D65DBF" w:rsidRDefault="00E902AC">
            <w:pPr>
              <w:jc w:val="left"/>
              <w:rPr>
                <w:rFonts w:ascii="Arial" w:hAnsi="Arial" w:cs="Arial"/>
                <w:b/>
                <w:bCs/>
                <w:iCs/>
                <w:sz w:val="20"/>
                <w:szCs w:val="20"/>
              </w:rPr>
            </w:pPr>
            <w:r w:rsidRPr="00D65DBF">
              <w:rPr>
                <w:rFonts w:ascii="Arial" w:hAnsi="Arial" w:cs="Arial"/>
                <w:b/>
                <w:bCs/>
                <w:iCs/>
                <w:sz w:val="20"/>
                <w:szCs w:val="20"/>
              </w:rPr>
              <w:t>Effective Date:</w:t>
            </w:r>
          </w:p>
        </w:tc>
        <w:tc>
          <w:tcPr>
            <w:tcW w:w="3189" w:type="dxa"/>
            <w:tcBorders>
              <w:top w:val="single" w:sz="4" w:space="0" w:color="auto"/>
              <w:left w:val="single" w:sz="4" w:space="0" w:color="auto"/>
              <w:bottom w:val="single" w:sz="4" w:space="0" w:color="auto"/>
              <w:right w:val="single" w:sz="4" w:space="0" w:color="auto"/>
            </w:tcBorders>
          </w:tcPr>
          <w:p w:rsidR="00E902AC" w:rsidRPr="00D65DBF" w:rsidRDefault="00E902AC">
            <w:pPr>
              <w:jc w:val="left"/>
              <w:rPr>
                <w:rFonts w:ascii="Arial" w:hAnsi="Arial" w:cs="Arial"/>
                <w:b/>
                <w:bCs/>
                <w:iCs/>
                <w:sz w:val="20"/>
                <w:szCs w:val="20"/>
              </w:rPr>
            </w:pPr>
            <w:r w:rsidRPr="00D65DBF">
              <w:rPr>
                <w:rFonts w:ascii="Arial" w:hAnsi="Arial" w:cs="Arial"/>
                <w:b/>
                <w:bCs/>
                <w:iCs/>
                <w:sz w:val="20"/>
                <w:szCs w:val="20"/>
              </w:rPr>
              <w:t>Summary of Revisions</w:t>
            </w:r>
          </w:p>
        </w:tc>
      </w:tr>
      <w:tr w:rsidR="00E902AC" w:rsidRPr="00D65DB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E902AC" w:rsidRPr="00D65DBF" w:rsidRDefault="00E902AC">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E902AC" w:rsidRPr="00D65DBF" w:rsidRDefault="00E902AC" w:rsidP="00E902AC">
            <w:pPr>
              <w:numPr>
                <w:ilvl w:val="0"/>
                <w:numId w:val="14"/>
              </w:numPr>
              <w:jc w:val="left"/>
              <w:rPr>
                <w:rFonts w:ascii="Arial" w:hAnsi="Arial" w:cs="Arial"/>
                <w:sz w:val="20"/>
                <w:szCs w:val="20"/>
              </w:rPr>
            </w:pPr>
          </w:p>
        </w:tc>
        <w:tc>
          <w:tcPr>
            <w:tcW w:w="2528" w:type="dxa"/>
            <w:tcBorders>
              <w:top w:val="single" w:sz="4" w:space="0" w:color="auto"/>
              <w:left w:val="single" w:sz="4" w:space="0" w:color="auto"/>
              <w:bottom w:val="single" w:sz="4" w:space="0" w:color="auto"/>
              <w:right w:val="single" w:sz="4" w:space="0" w:color="auto"/>
            </w:tcBorders>
          </w:tcPr>
          <w:p w:rsidR="00E902AC" w:rsidRPr="00D65DBF" w:rsidRDefault="002C48DA">
            <w:pPr>
              <w:jc w:val="left"/>
              <w:rPr>
                <w:rFonts w:ascii="Arial" w:hAnsi="Arial" w:cs="Arial"/>
                <w:iCs/>
                <w:sz w:val="20"/>
                <w:szCs w:val="20"/>
              </w:rPr>
            </w:pPr>
            <w:r w:rsidRPr="00D65DBF">
              <w:rPr>
                <w:rFonts w:ascii="Arial" w:hAnsi="Arial" w:cs="Arial"/>
                <w:iCs/>
                <w:sz w:val="20"/>
                <w:szCs w:val="20"/>
              </w:rPr>
              <w:t>Stephen Gripentrog</w:t>
            </w:r>
            <w:r w:rsidR="00D65DBF" w:rsidRPr="00D65DBF">
              <w:rPr>
                <w:rFonts w:ascii="Arial" w:hAnsi="Arial" w:cs="Arial"/>
                <w:iCs/>
                <w:sz w:val="20"/>
                <w:szCs w:val="20"/>
              </w:rPr>
              <w:t>, Erin Bartos</w:t>
            </w:r>
          </w:p>
        </w:tc>
        <w:tc>
          <w:tcPr>
            <w:tcW w:w="2031" w:type="dxa"/>
            <w:tcBorders>
              <w:top w:val="single" w:sz="4" w:space="0" w:color="auto"/>
              <w:left w:val="single" w:sz="4" w:space="0" w:color="auto"/>
              <w:bottom w:val="single" w:sz="4" w:space="0" w:color="auto"/>
              <w:right w:val="single" w:sz="4" w:space="0" w:color="auto"/>
            </w:tcBorders>
          </w:tcPr>
          <w:p w:rsidR="00E902AC" w:rsidRPr="00D65DBF" w:rsidRDefault="00F72993" w:rsidP="00F72993">
            <w:pPr>
              <w:jc w:val="left"/>
              <w:rPr>
                <w:rFonts w:ascii="Arial" w:hAnsi="Arial" w:cs="Arial"/>
                <w:iCs/>
                <w:sz w:val="20"/>
                <w:szCs w:val="20"/>
              </w:rPr>
            </w:pPr>
            <w:r w:rsidRPr="00D65DBF">
              <w:rPr>
                <w:rFonts w:ascii="Arial" w:hAnsi="Arial" w:cs="Arial"/>
                <w:iCs/>
                <w:sz w:val="20"/>
                <w:szCs w:val="20"/>
              </w:rPr>
              <w:t>August 13, 2019</w:t>
            </w:r>
          </w:p>
        </w:tc>
        <w:tc>
          <w:tcPr>
            <w:tcW w:w="3189" w:type="dxa"/>
            <w:tcBorders>
              <w:top w:val="single" w:sz="4" w:space="0" w:color="auto"/>
              <w:left w:val="single" w:sz="4" w:space="0" w:color="auto"/>
              <w:bottom w:val="single" w:sz="4" w:space="0" w:color="auto"/>
              <w:right w:val="single" w:sz="4" w:space="0" w:color="auto"/>
            </w:tcBorders>
          </w:tcPr>
          <w:p w:rsidR="00E902AC" w:rsidRPr="00D65DBF" w:rsidRDefault="00684BE9">
            <w:pPr>
              <w:jc w:val="left"/>
              <w:rPr>
                <w:rFonts w:ascii="Arial" w:hAnsi="Arial" w:cs="Arial"/>
                <w:iCs/>
                <w:sz w:val="20"/>
                <w:szCs w:val="20"/>
              </w:rPr>
            </w:pPr>
            <w:r w:rsidRPr="00D65DBF">
              <w:rPr>
                <w:rFonts w:ascii="Arial" w:hAnsi="Arial" w:cs="Arial"/>
                <w:iCs/>
                <w:sz w:val="20"/>
                <w:szCs w:val="20"/>
              </w:rPr>
              <w:t>Initial Procedure</w:t>
            </w:r>
          </w:p>
        </w:tc>
      </w:tr>
      <w:tr w:rsidR="00E902AC" w:rsidRPr="00D65DB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E902AC" w:rsidRPr="00D65DBF" w:rsidRDefault="00E902AC">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E902AC" w:rsidRPr="00D65DBF" w:rsidRDefault="00E902AC" w:rsidP="00E902AC">
            <w:pPr>
              <w:numPr>
                <w:ilvl w:val="0"/>
                <w:numId w:val="14"/>
              </w:numPr>
              <w:jc w:val="left"/>
              <w:rPr>
                <w:rFonts w:ascii="Arial" w:hAnsi="Arial" w:cs="Arial"/>
                <w:i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E902AC" w:rsidRPr="00D65DBF" w:rsidRDefault="00E902AC">
            <w:pPr>
              <w:jc w:val="left"/>
              <w:rPr>
                <w:rFonts w:ascii="Arial" w:hAnsi="Arial" w:cs="Arial"/>
                <w:iCs/>
                <w:sz w:val="20"/>
                <w:szCs w:val="20"/>
              </w:rPr>
            </w:pPr>
          </w:p>
        </w:tc>
        <w:tc>
          <w:tcPr>
            <w:tcW w:w="2031" w:type="dxa"/>
            <w:tcBorders>
              <w:top w:val="single" w:sz="4" w:space="0" w:color="auto"/>
              <w:left w:val="single" w:sz="4" w:space="0" w:color="auto"/>
              <w:bottom w:val="single" w:sz="4" w:space="0" w:color="auto"/>
              <w:right w:val="single" w:sz="4" w:space="0" w:color="auto"/>
            </w:tcBorders>
          </w:tcPr>
          <w:p w:rsidR="00E902AC" w:rsidRPr="00D65DBF" w:rsidRDefault="00E902AC">
            <w:pPr>
              <w:jc w:val="left"/>
              <w:rPr>
                <w:rFonts w:ascii="Arial" w:hAnsi="Arial" w:cs="Arial"/>
                <w:iCs/>
                <w:sz w:val="20"/>
                <w:szCs w:val="20"/>
              </w:rPr>
            </w:pPr>
          </w:p>
        </w:tc>
        <w:tc>
          <w:tcPr>
            <w:tcW w:w="3189" w:type="dxa"/>
            <w:tcBorders>
              <w:top w:val="single" w:sz="4" w:space="0" w:color="auto"/>
              <w:left w:val="single" w:sz="4" w:space="0" w:color="auto"/>
              <w:bottom w:val="single" w:sz="4" w:space="0" w:color="auto"/>
              <w:right w:val="single" w:sz="4" w:space="0" w:color="auto"/>
            </w:tcBorders>
          </w:tcPr>
          <w:p w:rsidR="00E902AC" w:rsidRPr="00D65DBF" w:rsidRDefault="00E902AC">
            <w:pPr>
              <w:jc w:val="left"/>
              <w:rPr>
                <w:rFonts w:ascii="Arial" w:hAnsi="Arial" w:cs="Arial"/>
                <w:iCs/>
                <w:sz w:val="20"/>
                <w:szCs w:val="20"/>
              </w:rPr>
            </w:pPr>
          </w:p>
        </w:tc>
      </w:tr>
      <w:tr w:rsidR="00E902AC" w:rsidTr="00542675">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798" w:type="dxa"/>
            <w:vMerge/>
            <w:tcBorders>
              <w:left w:val="nil"/>
              <w:bottom w:val="nil"/>
              <w:right w:val="nil"/>
            </w:tcBorders>
          </w:tcPr>
          <w:p w:rsidR="00E902AC" w:rsidRDefault="00E902AC">
            <w:pPr>
              <w:rPr>
                <w:rFonts w:ascii="Arial" w:hAnsi="Arial" w:cs="Arial"/>
                <w:b/>
                <w:bCs/>
                <w:color w:val="3366FF"/>
                <w:sz w:val="20"/>
              </w:rPr>
            </w:pPr>
          </w:p>
        </w:tc>
        <w:tc>
          <w:tcPr>
            <w:tcW w:w="9182" w:type="dxa"/>
            <w:gridSpan w:val="4"/>
            <w:tcBorders>
              <w:top w:val="single" w:sz="4" w:space="0" w:color="auto"/>
              <w:left w:val="nil"/>
              <w:bottom w:val="single" w:sz="18" w:space="0" w:color="A6A6A6"/>
              <w:right w:val="nil"/>
            </w:tcBorders>
          </w:tcPr>
          <w:p w:rsidR="00E902AC" w:rsidRDefault="00E902AC">
            <w:pPr>
              <w:jc w:val="left"/>
              <w:rPr>
                <w:rFonts w:ascii="Arial" w:hAnsi="Arial" w:cs="Arial"/>
                <w:b/>
                <w:bCs/>
                <w:iCs/>
                <w:sz w:val="20"/>
              </w:rPr>
            </w:pPr>
          </w:p>
        </w:tc>
      </w:tr>
    </w:tbl>
    <w:p w:rsidR="00E902AC" w:rsidRDefault="00E902AC">
      <w:pPr>
        <w:rPr>
          <w:rFonts w:ascii="Arial" w:hAnsi="Arial" w:cs="Arial"/>
          <w:sz w:val="20"/>
        </w:rPr>
      </w:pPr>
    </w:p>
    <w:sectPr w:rsidR="00E902AC">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740" w:rsidRDefault="00200740">
      <w:r>
        <w:separator/>
      </w:r>
    </w:p>
  </w:endnote>
  <w:endnote w:type="continuationSeparator" w:id="0">
    <w:p w:rsidR="00200740" w:rsidRDefault="0020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Arial"/>
    <w:panose1 w:val="00000000000000000000"/>
    <w:charset w:val="00"/>
    <w:family w:val="swiss"/>
    <w:notTrueType/>
    <w:pitch w:val="default"/>
    <w:sig w:usb0="00000083" w:usb1="00000000" w:usb2="00000000" w:usb3="00000000" w:csb0="00000009"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OHJMG E+ Times">
    <w:altName w:val="Times New Roman"/>
    <w:panose1 w:val="00000000000000000000"/>
    <w:charset w:val="00"/>
    <w:family w:val="roman"/>
    <w:notTrueType/>
    <w:pitch w:val="default"/>
    <w:sig w:usb0="00000003" w:usb1="00000000" w:usb2="00000000" w:usb3="00000000" w:csb0="00000001" w:csb1="00000000"/>
  </w:font>
  <w:font w:name="IVD Arial">
    <w:altName w:val="IVD 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9D" w:rsidRDefault="0064549D" w:rsidP="00542675">
    <w:pPr>
      <w:ind w:left="-1260" w:right="-1260"/>
      <w:rPr>
        <w:rFonts w:ascii="Arial" w:hAnsi="Arial" w:cs="Arial"/>
        <w:sz w:val="16"/>
      </w:rPr>
    </w:pPr>
    <w:r>
      <w:rPr>
        <w:rFonts w:ascii="Arial" w:hAnsi="Arial" w:cs="Arial"/>
        <w:sz w:val="16"/>
      </w:rPr>
      <w:t>Laboratory, Chi</w:t>
    </w:r>
    <w:r w:rsidR="00886799">
      <w:rPr>
        <w:rFonts w:ascii="Arial" w:hAnsi="Arial" w:cs="Arial"/>
        <w:sz w:val="16"/>
      </w:rPr>
      <w:t>ldren’s</w:t>
    </w:r>
    <w:r>
      <w:rPr>
        <w:rFonts w:ascii="Arial" w:hAnsi="Arial" w:cs="Arial"/>
        <w:sz w:val="16"/>
      </w:rPr>
      <w:t xml:space="preserve">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A2B9D">
      <w:rPr>
        <w:rFonts w:ascii="Arial" w:hAnsi="Arial" w:cs="Arial"/>
        <w:noProof/>
        <w:sz w:val="16"/>
      </w:rPr>
      <w:t>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A2B9D">
      <w:rPr>
        <w:rFonts w:ascii="Arial" w:hAnsi="Arial" w:cs="Arial"/>
        <w:noProof/>
        <w:sz w:val="16"/>
      </w:rPr>
      <w:t>6</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740" w:rsidRDefault="00200740">
      <w:r>
        <w:separator/>
      </w:r>
    </w:p>
  </w:footnote>
  <w:footnote w:type="continuationSeparator" w:id="0">
    <w:p w:rsidR="00200740" w:rsidRDefault="00200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9D" w:rsidRDefault="00E06101">
    <w:pPr>
      <w:ind w:left="-1260" w:right="-1260"/>
      <w:rPr>
        <w:rFonts w:ascii="Arial" w:hAnsi="Arial" w:cs="Arial"/>
        <w:sz w:val="18"/>
      </w:rPr>
    </w:pPr>
    <w:r>
      <w:rPr>
        <w:rFonts w:ascii="Arial" w:hAnsi="Arial" w:cs="Arial"/>
        <w:sz w:val="18"/>
      </w:rPr>
      <w:t>CH 6.58</w:t>
    </w:r>
    <w:r w:rsidR="0064549D">
      <w:rPr>
        <w:rFonts w:ascii="Arial" w:hAnsi="Arial" w:cs="Arial"/>
        <w:sz w:val="18"/>
      </w:rPr>
      <w:t xml:space="preserve"> </w:t>
    </w:r>
    <w:r w:rsidR="00F72993">
      <w:rPr>
        <w:rFonts w:ascii="Arial" w:hAnsi="Arial" w:cs="Arial"/>
        <w:sz w:val="18"/>
      </w:rPr>
      <w:t>Measles IgG</w:t>
    </w:r>
    <w:r w:rsidR="0064549D">
      <w:rPr>
        <w:rFonts w:ascii="Arial" w:hAnsi="Arial" w:cs="Arial"/>
        <w:sz w:val="18"/>
      </w:rPr>
      <w:t xml:space="preserve"> </w:t>
    </w:r>
  </w:p>
  <w:p w:rsidR="0064549D" w:rsidRDefault="00E06101">
    <w:pPr>
      <w:ind w:left="-1260" w:right="-1260"/>
      <w:rPr>
        <w:rFonts w:ascii="Arial" w:hAnsi="Arial" w:cs="Arial"/>
        <w:sz w:val="18"/>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-131445</wp:posOffset>
          </wp:positionV>
          <wp:extent cx="1078865" cy="348615"/>
          <wp:effectExtent l="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sidR="00684BE9">
      <w:rPr>
        <w:rFonts w:ascii="Arial" w:hAnsi="Arial" w:cs="Arial"/>
        <w:sz w:val="18"/>
      </w:rPr>
      <w:t xml:space="preserve">Version </w:t>
    </w:r>
    <w:r w:rsidR="00F72993">
      <w:rPr>
        <w:rFonts w:ascii="Arial" w:hAnsi="Arial" w:cs="Arial"/>
        <w:sz w:val="18"/>
      </w:rPr>
      <w:t>1</w:t>
    </w:r>
  </w:p>
  <w:p w:rsidR="0064549D" w:rsidRDefault="0064549D">
    <w:pPr>
      <w:ind w:left="-1260" w:right="-1260"/>
      <w:rPr>
        <w:rFonts w:ascii="Arial" w:hAnsi="Arial" w:cs="Arial"/>
        <w:sz w:val="18"/>
      </w:rPr>
    </w:pPr>
    <w:r>
      <w:rPr>
        <w:rFonts w:ascii="Arial" w:hAnsi="Arial" w:cs="Arial"/>
        <w:sz w:val="18"/>
      </w:rPr>
      <w:t>Effective Date</w:t>
    </w:r>
    <w:r w:rsidR="00F72993">
      <w:rPr>
        <w:rFonts w:ascii="Arial" w:hAnsi="Arial" w:cs="Arial"/>
        <w:sz w:val="18"/>
      </w:rPr>
      <w:t>: August 13, 2</w:t>
    </w:r>
    <w:r w:rsidR="00E06101">
      <w:rPr>
        <w:rFonts w:ascii="Arial" w:hAnsi="Arial" w:cs="Arial"/>
        <w:sz w:val="18"/>
      </w:rPr>
      <w:t>0</w:t>
    </w:r>
    <w:r w:rsidR="00F72993">
      <w:rPr>
        <w:rFonts w:ascii="Arial" w:hAnsi="Arial" w:cs="Arial"/>
        <w:sz w:val="18"/>
      </w:rPr>
      <w:t xml:space="preserve">19 </w:t>
    </w:r>
  </w:p>
  <w:p w:rsidR="0064549D" w:rsidRDefault="0064549D">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62DFE"/>
    <w:multiLevelType w:val="hybridMultilevel"/>
    <w:tmpl w:val="641E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259E1"/>
    <w:multiLevelType w:val="hybridMultilevel"/>
    <w:tmpl w:val="A760C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1B180DB7"/>
    <w:multiLevelType w:val="hybridMultilevel"/>
    <w:tmpl w:val="BF6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30387C"/>
    <w:multiLevelType w:val="hybridMultilevel"/>
    <w:tmpl w:val="4F8C1D74"/>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463FB"/>
    <w:multiLevelType w:val="hybridMultilevel"/>
    <w:tmpl w:val="E11C6C5C"/>
    <w:lvl w:ilvl="0" w:tplc="DA02FA0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A3C7288"/>
    <w:multiLevelType w:val="hybridMultilevel"/>
    <w:tmpl w:val="4D8ED7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50D1C"/>
    <w:multiLevelType w:val="hybridMultilevel"/>
    <w:tmpl w:val="2828FAF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F3380C"/>
    <w:multiLevelType w:val="hybridMultilevel"/>
    <w:tmpl w:val="E3A02CA6"/>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9"/>
  </w:num>
  <w:num w:numId="5">
    <w:abstractNumId w:val="8"/>
  </w:num>
  <w:num w:numId="6">
    <w:abstractNumId w:val="3"/>
  </w:num>
  <w:num w:numId="7">
    <w:abstractNumId w:val="12"/>
  </w:num>
  <w:num w:numId="8">
    <w:abstractNumId w:val="15"/>
  </w:num>
  <w:num w:numId="9">
    <w:abstractNumId w:val="6"/>
  </w:num>
  <w:num w:numId="10">
    <w:abstractNumId w:val="7"/>
  </w:num>
  <w:num w:numId="11">
    <w:abstractNumId w:val="4"/>
  </w:num>
  <w:num w:numId="12">
    <w:abstractNumId w:val="11"/>
  </w:num>
  <w:num w:numId="13">
    <w:abstractNumId w:val="13"/>
  </w:num>
  <w:num w:numId="14">
    <w:abstractNumId w:val="5"/>
  </w:num>
  <w:num w:numId="15">
    <w:abstractNumId w:val="16"/>
  </w:num>
  <w:num w:numId="16">
    <w:abstractNumId w:val="10"/>
  </w:num>
  <w:num w:numId="17">
    <w:abstractNumId w:val="0"/>
  </w:num>
  <w:num w:numId="18">
    <w:abstractNumId w:val="0"/>
  </w:num>
  <w:num w:numId="19">
    <w:abstractNumId w:val="0"/>
  </w:num>
  <w:num w:numId="2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E2"/>
    <w:rsid w:val="0000222E"/>
    <w:rsid w:val="00051A8F"/>
    <w:rsid w:val="000960BA"/>
    <w:rsid w:val="000E2556"/>
    <w:rsid w:val="0014755C"/>
    <w:rsid w:val="001F6E1B"/>
    <w:rsid w:val="00200740"/>
    <w:rsid w:val="00234A5A"/>
    <w:rsid w:val="0028556F"/>
    <w:rsid w:val="002C48DA"/>
    <w:rsid w:val="003200F8"/>
    <w:rsid w:val="00351E2D"/>
    <w:rsid w:val="003B5E50"/>
    <w:rsid w:val="00405C23"/>
    <w:rsid w:val="00471506"/>
    <w:rsid w:val="004C37C2"/>
    <w:rsid w:val="004E593B"/>
    <w:rsid w:val="00542675"/>
    <w:rsid w:val="0055355A"/>
    <w:rsid w:val="005B186A"/>
    <w:rsid w:val="00601BB4"/>
    <w:rsid w:val="00606516"/>
    <w:rsid w:val="00631438"/>
    <w:rsid w:val="0064549D"/>
    <w:rsid w:val="00684BE9"/>
    <w:rsid w:val="00696475"/>
    <w:rsid w:val="006A2B9D"/>
    <w:rsid w:val="00742249"/>
    <w:rsid w:val="00764634"/>
    <w:rsid w:val="007C4B0B"/>
    <w:rsid w:val="00816C23"/>
    <w:rsid w:val="008227E2"/>
    <w:rsid w:val="00847874"/>
    <w:rsid w:val="00886799"/>
    <w:rsid w:val="008B0BC7"/>
    <w:rsid w:val="008B240F"/>
    <w:rsid w:val="008D393F"/>
    <w:rsid w:val="00907763"/>
    <w:rsid w:val="00A62DA7"/>
    <w:rsid w:val="00AD4A10"/>
    <w:rsid w:val="00AF54C6"/>
    <w:rsid w:val="00B7370D"/>
    <w:rsid w:val="00BA160D"/>
    <w:rsid w:val="00BD5292"/>
    <w:rsid w:val="00CC010E"/>
    <w:rsid w:val="00D12B84"/>
    <w:rsid w:val="00D31EDF"/>
    <w:rsid w:val="00D32512"/>
    <w:rsid w:val="00D65DBF"/>
    <w:rsid w:val="00D66860"/>
    <w:rsid w:val="00E06101"/>
    <w:rsid w:val="00E30AE3"/>
    <w:rsid w:val="00E4154D"/>
    <w:rsid w:val="00E65DAB"/>
    <w:rsid w:val="00E902AC"/>
    <w:rsid w:val="00EA4C69"/>
    <w:rsid w:val="00EA6D54"/>
    <w:rsid w:val="00EF54CC"/>
    <w:rsid w:val="00F35AF9"/>
    <w:rsid w:val="00F4531B"/>
    <w:rsid w:val="00F541A6"/>
    <w:rsid w:val="00F60E6D"/>
    <w:rsid w:val="00F7103F"/>
    <w:rsid w:val="00F72993"/>
    <w:rsid w:val="00FC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5D4CD49-DE92-46C2-B505-EC1670C5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qFormat/>
    <w:rPr>
      <w:b/>
      <w:bCs/>
    </w:rPr>
  </w:style>
  <w:style w:type="paragraph" w:customStyle="1" w:styleId="Default">
    <w:name w:val="Default"/>
    <w:rsid w:val="008B0BC7"/>
    <w:pPr>
      <w:autoSpaceDE w:val="0"/>
      <w:autoSpaceDN w:val="0"/>
      <w:adjustRightInd w:val="0"/>
    </w:pPr>
    <w:rPr>
      <w:rFonts w:ascii="Arial" w:hAnsi="Arial" w:cs="Arial"/>
      <w:color w:val="000000"/>
      <w:sz w:val="24"/>
      <w:szCs w:val="24"/>
    </w:rPr>
  </w:style>
  <w:style w:type="paragraph" w:customStyle="1" w:styleId="SP200747">
    <w:name w:val="SP200747"/>
    <w:basedOn w:val="Default"/>
    <w:next w:val="Default"/>
    <w:uiPriority w:val="99"/>
    <w:rsid w:val="008B0BC7"/>
    <w:rPr>
      <w:color w:val="auto"/>
    </w:rPr>
  </w:style>
  <w:style w:type="character" w:customStyle="1" w:styleId="SC1645">
    <w:name w:val="SC1645"/>
    <w:uiPriority w:val="99"/>
    <w:rsid w:val="008B0BC7"/>
    <w:rPr>
      <w:color w:val="000000"/>
      <w:sz w:val="18"/>
      <w:szCs w:val="18"/>
    </w:rPr>
  </w:style>
  <w:style w:type="paragraph" w:styleId="BalloonText">
    <w:name w:val="Balloon Text"/>
    <w:basedOn w:val="Normal"/>
    <w:link w:val="BalloonTextChar"/>
    <w:uiPriority w:val="99"/>
    <w:semiHidden/>
    <w:unhideWhenUsed/>
    <w:rsid w:val="008D393F"/>
    <w:rPr>
      <w:rFonts w:ascii="Segoe UI" w:hAnsi="Segoe UI" w:cs="Segoe UI"/>
      <w:sz w:val="18"/>
      <w:szCs w:val="18"/>
    </w:rPr>
  </w:style>
  <w:style w:type="character" w:customStyle="1" w:styleId="BalloonTextChar">
    <w:name w:val="Balloon Text Char"/>
    <w:link w:val="BalloonText"/>
    <w:uiPriority w:val="99"/>
    <w:semiHidden/>
    <w:rsid w:val="008D393F"/>
    <w:rPr>
      <w:rFonts w:ascii="Segoe UI" w:hAnsi="Segoe UI" w:cs="Segoe UI"/>
      <w:sz w:val="18"/>
      <w:szCs w:val="18"/>
    </w:rPr>
  </w:style>
  <w:style w:type="character" w:customStyle="1" w:styleId="SC1608">
    <w:name w:val="SC1608"/>
    <w:uiPriority w:val="99"/>
    <w:rsid w:val="008D393F"/>
    <w:rPr>
      <w:b/>
      <w:bCs/>
      <w:color w:val="000000"/>
      <w:sz w:val="10"/>
      <w:szCs w:val="10"/>
    </w:rPr>
  </w:style>
  <w:style w:type="paragraph" w:styleId="ListParagraph">
    <w:name w:val="List Paragraph"/>
    <w:basedOn w:val="Normal"/>
    <w:uiPriority w:val="34"/>
    <w:qFormat/>
    <w:rsid w:val="003200F8"/>
    <w:pPr>
      <w:ind w:left="720"/>
      <w:contextualSpacing/>
      <w:jc w:val="left"/>
    </w:pPr>
    <w:rPr>
      <w:rFonts w:ascii="Arial" w:hAnsi="Arial"/>
      <w:sz w:val="20"/>
    </w:rPr>
  </w:style>
  <w:style w:type="character" w:styleId="Hyperlink">
    <w:name w:val="Hyperlink"/>
    <w:uiPriority w:val="99"/>
    <w:unhideWhenUsed/>
    <w:rsid w:val="003200F8"/>
    <w:rPr>
      <w:color w:val="0000FF"/>
      <w:u w:val="single"/>
    </w:rPr>
  </w:style>
  <w:style w:type="paragraph" w:customStyle="1" w:styleId="SP200770">
    <w:name w:val="SP200770"/>
    <w:basedOn w:val="Default"/>
    <w:next w:val="Default"/>
    <w:uiPriority w:val="99"/>
    <w:rsid w:val="00606516"/>
    <w:rPr>
      <w:color w:val="auto"/>
    </w:rPr>
  </w:style>
  <w:style w:type="paragraph" w:customStyle="1" w:styleId="SP200764">
    <w:name w:val="SP200764"/>
    <w:basedOn w:val="Default"/>
    <w:next w:val="Default"/>
    <w:uiPriority w:val="99"/>
    <w:rsid w:val="00606516"/>
    <w:rPr>
      <w:color w:val="auto"/>
    </w:rPr>
  </w:style>
  <w:style w:type="character" w:customStyle="1" w:styleId="SC1652">
    <w:name w:val="SC1652"/>
    <w:uiPriority w:val="99"/>
    <w:rsid w:val="00606516"/>
    <w:rPr>
      <w:color w:val="000000"/>
      <w:sz w:val="18"/>
      <w:szCs w:val="18"/>
    </w:rPr>
  </w:style>
  <w:style w:type="paragraph" w:customStyle="1" w:styleId="SP200750">
    <w:name w:val="SP200750"/>
    <w:basedOn w:val="Default"/>
    <w:next w:val="Default"/>
    <w:uiPriority w:val="99"/>
    <w:rsid w:val="00606516"/>
    <w:rPr>
      <w:color w:val="auto"/>
    </w:rPr>
  </w:style>
  <w:style w:type="paragraph" w:customStyle="1" w:styleId="SP270848">
    <w:name w:val="SP270848"/>
    <w:basedOn w:val="Default"/>
    <w:next w:val="Default"/>
    <w:uiPriority w:val="99"/>
    <w:rsid w:val="00BA160D"/>
    <w:rPr>
      <w:color w:val="auto"/>
    </w:rPr>
  </w:style>
  <w:style w:type="character" w:customStyle="1" w:styleId="SC86045">
    <w:name w:val="SC86045"/>
    <w:uiPriority w:val="99"/>
    <w:rsid w:val="00BA160D"/>
    <w:rPr>
      <w:color w:val="000000"/>
      <w:sz w:val="18"/>
      <w:szCs w:val="18"/>
    </w:rPr>
  </w:style>
  <w:style w:type="paragraph" w:customStyle="1" w:styleId="SP270776">
    <w:name w:val="SP270776"/>
    <w:basedOn w:val="Default"/>
    <w:next w:val="Default"/>
    <w:uiPriority w:val="99"/>
    <w:rsid w:val="00BA160D"/>
    <w:rPr>
      <w:color w:val="auto"/>
    </w:rPr>
  </w:style>
  <w:style w:type="character" w:customStyle="1" w:styleId="SC86075">
    <w:name w:val="SC86075"/>
    <w:uiPriority w:val="99"/>
    <w:rsid w:val="00F541A6"/>
    <w:rPr>
      <w:rFonts w:ascii="OHJMG E+ Times" w:hAnsi="OHJMG E+ Times" w:cs="OHJMG E+ Times"/>
      <w:b/>
      <w:bCs/>
      <w:color w:val="000000"/>
      <w:sz w:val="10"/>
      <w:szCs w:val="10"/>
    </w:rPr>
  </w:style>
  <w:style w:type="character" w:customStyle="1" w:styleId="SC86021">
    <w:name w:val="SC86021"/>
    <w:uiPriority w:val="99"/>
    <w:rsid w:val="00F541A6"/>
    <w:rPr>
      <w:rFonts w:ascii="IVD Arial" w:hAnsi="IVD Arial" w:cs="IVD Arial"/>
      <w:color w:val="000000"/>
      <w:sz w:val="17"/>
      <w:szCs w:val="17"/>
    </w:rPr>
  </w:style>
  <w:style w:type="character" w:customStyle="1" w:styleId="SC86022">
    <w:name w:val="SC86022"/>
    <w:uiPriority w:val="99"/>
    <w:rsid w:val="00907763"/>
    <w:rPr>
      <w:b/>
      <w:bCs/>
      <w:color w:val="000000"/>
      <w:sz w:val="18"/>
      <w:szCs w:val="18"/>
    </w:rPr>
  </w:style>
  <w:style w:type="character" w:customStyle="1" w:styleId="SC86055">
    <w:name w:val="SC86055"/>
    <w:uiPriority w:val="99"/>
    <w:rsid w:val="00907763"/>
    <w:rPr>
      <w:color w:val="000000"/>
      <w:sz w:val="10"/>
      <w:szCs w:val="10"/>
    </w:rPr>
  </w:style>
  <w:style w:type="paragraph" w:customStyle="1" w:styleId="SP270797">
    <w:name w:val="SP270797"/>
    <w:basedOn w:val="Default"/>
    <w:next w:val="Default"/>
    <w:uiPriority w:val="99"/>
    <w:rsid w:val="00907763"/>
    <w:rPr>
      <w:color w:val="auto"/>
    </w:rPr>
  </w:style>
  <w:style w:type="paragraph" w:customStyle="1" w:styleId="SP270772">
    <w:name w:val="SP270772"/>
    <w:basedOn w:val="Default"/>
    <w:next w:val="Default"/>
    <w:uiPriority w:val="99"/>
    <w:rsid w:val="0090776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8-westgard-rules-in-chemistr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91CE-A7DF-4A39-93D7-A3C45107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2141</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CMV IgM</vt:lpstr>
    </vt:vector>
  </TitlesOfParts>
  <Company>Children's Hospitals and Clinics of MN</Company>
  <LinksUpToDate>false</LinksUpToDate>
  <CharactersWithSpaces>14501</CharactersWithSpaces>
  <SharedDoc>false</SharedDoc>
  <HLinks>
    <vt:vector size="12" baseType="variant">
      <vt:variant>
        <vt:i4>720974</vt:i4>
      </vt:variant>
      <vt:variant>
        <vt:i4>3</vt:i4>
      </vt:variant>
      <vt:variant>
        <vt:i4>0</vt:i4>
      </vt:variant>
      <vt:variant>
        <vt:i4>5</vt:i4>
      </vt:variant>
      <vt:variant>
        <vt:lpwstr>https://starnet.childrenshc.org/References/labsop/chem/quality/ch-2.17-unity-real-time-qc-review-general-user.pdf</vt:lpwstr>
      </vt:variant>
      <vt:variant>
        <vt:lpwstr/>
      </vt:variant>
      <vt:variant>
        <vt:i4>2228261</vt:i4>
      </vt:variant>
      <vt:variant>
        <vt:i4>0</vt:i4>
      </vt:variant>
      <vt:variant>
        <vt:i4>0</vt:i4>
      </vt:variant>
      <vt:variant>
        <vt:i4>5</vt:i4>
      </vt:variant>
      <vt:variant>
        <vt:lpwstr>https://starnet.childrenshc.org/References/labsop/chem/quality/ch-2.18-westgard-rules-in-chemistry.pdf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CMV IgM</dc:title>
  <dc:subject/>
  <dc:creator>Stephen Gripentrog</dc:creator>
  <cp:keywords/>
  <cp:lastModifiedBy>Erin Bartos</cp:lastModifiedBy>
  <cp:revision>8</cp:revision>
  <cp:lastPrinted>2011-08-22T19:25:00Z</cp:lastPrinted>
  <dcterms:created xsi:type="dcterms:W3CDTF">2019-08-12T13:39:00Z</dcterms:created>
  <dcterms:modified xsi:type="dcterms:W3CDTF">2019-08-12T14:27:00Z</dcterms:modified>
</cp:coreProperties>
</file>