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440"/>
        <w:gridCol w:w="2700"/>
        <w:gridCol w:w="378"/>
        <w:gridCol w:w="1425"/>
        <w:gridCol w:w="3422"/>
        <w:gridCol w:w="2699"/>
        <w:gridCol w:w="2699"/>
      </w:tblGrid>
      <w:tr w:rsidR="00F97305" w:rsidTr="002869BF">
        <w:trPr>
          <w:gridAfter w:val="2"/>
          <w:wAfter w:w="5398" w:type="dxa"/>
          <w:cantSplit/>
        </w:trPr>
        <w:tc>
          <w:tcPr>
            <w:tcW w:w="11162" w:type="dxa"/>
            <w:gridSpan w:val="6"/>
            <w:tcBorders>
              <w:top w:val="nil"/>
              <w:left w:val="nil"/>
              <w:bottom w:val="nil"/>
              <w:right w:val="nil"/>
            </w:tcBorders>
          </w:tcPr>
          <w:p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TV Assay</w:t>
            </w:r>
          </w:p>
          <w:p w:rsidR="00F97305" w:rsidRDefault="00F97305" w:rsidP="002869BF">
            <w:pPr>
              <w:pStyle w:val="Custom"/>
            </w:pPr>
          </w:p>
        </w:tc>
      </w:tr>
      <w:tr w:rsidR="00F97305" w:rsidTr="002869BF">
        <w:trPr>
          <w:gridAfter w:val="2"/>
          <w:wAfter w:w="5398" w:type="dxa"/>
          <w:cantSplit/>
          <w:trHeight w:val="1025"/>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F97305" w:rsidRDefault="00F97305" w:rsidP="002869BF">
            <w:pPr>
              <w:jc w:val="left"/>
              <w:rPr>
                <w:rFonts w:ascii="Arial" w:hAnsi="Arial"/>
              </w:rPr>
            </w:pPr>
          </w:p>
          <w:p w:rsidR="00F97305" w:rsidRDefault="00F97305" w:rsidP="00F97305">
            <w:pPr>
              <w:pStyle w:val="TableText"/>
              <w:autoSpaceDE/>
              <w:autoSpaceDN/>
              <w:rPr>
                <w:rFonts w:ascii="Arial" w:hAnsi="Arial"/>
              </w:rPr>
            </w:pPr>
            <w:r>
              <w:rPr>
                <w:rFonts w:ascii="Arial" w:hAnsi="Arial"/>
              </w:rPr>
              <w:t xml:space="preserve">This procedure provides instructions for performing the </w:t>
            </w:r>
            <w:proofErr w:type="spellStart"/>
            <w:r>
              <w:rPr>
                <w:rFonts w:ascii="Arial" w:hAnsi="Arial"/>
              </w:rPr>
              <w:t>Xpert</w:t>
            </w:r>
            <w:proofErr w:type="spellEnd"/>
            <w:r>
              <w:rPr>
                <w:rFonts w:ascii="Arial" w:hAnsi="Arial"/>
              </w:rPr>
              <w:t xml:space="preserve"> TV assay on the Cepheid </w:t>
            </w:r>
            <w:proofErr w:type="spellStart"/>
            <w:r>
              <w:rPr>
                <w:rFonts w:ascii="Arial" w:hAnsi="Arial"/>
              </w:rPr>
              <w:t>GeneXpert</w:t>
            </w:r>
            <w:proofErr w:type="spellEnd"/>
            <w:r>
              <w:rPr>
                <w:rFonts w:ascii="Arial" w:hAnsi="Arial"/>
              </w:rPr>
              <w:t xml:space="preserve"> system.</w:t>
            </w:r>
          </w:p>
        </w:tc>
      </w:tr>
      <w:tr w:rsidR="00F97305" w:rsidTr="002869BF">
        <w:trPr>
          <w:gridAfter w:val="2"/>
          <w:wAfter w:w="5398" w:type="dxa"/>
          <w:trHeight w:val="330"/>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F97305" w:rsidRDefault="00F97305" w:rsidP="002869BF">
            <w:pPr>
              <w:tabs>
                <w:tab w:val="left" w:pos="252"/>
              </w:tabs>
              <w:jc w:val="left"/>
              <w:rPr>
                <w:rFonts w:ascii="Arial" w:hAnsi="Arial"/>
                <w:sz w:val="20"/>
              </w:rPr>
            </w:pPr>
          </w:p>
          <w:p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rsidR="00F97305" w:rsidRDefault="00F97305" w:rsidP="002869BF">
            <w:pPr>
              <w:ind w:left="360"/>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right w:val="nil"/>
            </w:tcBorders>
          </w:tcPr>
          <w:p w:rsidR="00F97305" w:rsidRDefault="00F97305" w:rsidP="002869BF">
            <w:pPr>
              <w:jc w:val="left"/>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Principle and Clinical Significance</w:t>
            </w:r>
          </w:p>
          <w:p w:rsidR="00F97305" w:rsidRDefault="00F97305" w:rsidP="002869BF">
            <w:pPr>
              <w:jc w:val="left"/>
              <w:rPr>
                <w:rFonts w:ascii="Arial" w:hAnsi="Arial"/>
                <w:b/>
                <w:color w:val="0000FF"/>
                <w:sz w:val="20"/>
              </w:rPr>
            </w:pPr>
          </w:p>
        </w:tc>
        <w:tc>
          <w:tcPr>
            <w:tcW w:w="9365" w:type="dxa"/>
            <w:gridSpan w:val="5"/>
            <w:tcBorders>
              <w:top w:val="nil"/>
              <w:left w:val="nil"/>
              <w:bottom w:val="single" w:sz="4" w:space="0" w:color="auto"/>
              <w:right w:val="nil"/>
            </w:tcBorders>
          </w:tcPr>
          <w:p w:rsidR="000132B3" w:rsidRDefault="000132B3" w:rsidP="000132B3">
            <w:pPr>
              <w:autoSpaceDE w:val="0"/>
              <w:autoSpaceDN w:val="0"/>
              <w:adjustRightInd w:val="0"/>
              <w:jc w:val="left"/>
              <w:rPr>
                <w:rFonts w:ascii="Arial" w:eastAsiaTheme="minorHAnsi" w:hAnsi="Arial" w:cs="Arial"/>
                <w:sz w:val="20"/>
                <w:szCs w:val="20"/>
              </w:rPr>
            </w:pPr>
          </w:p>
          <w:p w:rsidR="000132B3"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The</w:t>
            </w:r>
            <w:r>
              <w:rPr>
                <w:rFonts w:ascii="Arial" w:eastAsiaTheme="minorHAnsi" w:hAnsi="Arial" w:cs="Arial"/>
                <w:sz w:val="20"/>
                <w:szCs w:val="20"/>
              </w:rPr>
              <w:t xml:space="preserv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TV</w:t>
            </w:r>
            <w:r w:rsidRPr="00375D20">
              <w:rPr>
                <w:rFonts w:ascii="Arial" w:eastAsiaTheme="minorHAnsi" w:hAnsi="Arial" w:cs="Arial"/>
                <w:sz w:val="20"/>
                <w:szCs w:val="20"/>
              </w:rPr>
              <w:t xml:space="preserve"> Assay is intended to aid in the diagnosis of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in symptomatic or asymptomatic individuals</w:t>
            </w:r>
            <w:r>
              <w:rPr>
                <w:rFonts w:ascii="Arial" w:eastAsiaTheme="minorHAnsi" w:hAnsi="Arial" w:cs="Arial"/>
                <w:sz w:val="20"/>
                <w:szCs w:val="20"/>
              </w:rPr>
              <w:t>.</w:t>
            </w:r>
          </w:p>
          <w:p w:rsidR="000132B3" w:rsidRDefault="000132B3" w:rsidP="000132B3">
            <w:pPr>
              <w:autoSpaceDE w:val="0"/>
              <w:autoSpaceDN w:val="0"/>
              <w:adjustRightInd w:val="0"/>
              <w:jc w:val="left"/>
              <w:rPr>
                <w:rFonts w:ascii="Arial" w:eastAsiaTheme="minorHAnsi" w:hAnsi="Arial" w:cs="Arial"/>
                <w:sz w:val="20"/>
                <w:szCs w:val="20"/>
              </w:rPr>
            </w:pPr>
          </w:p>
          <w:p w:rsidR="00326A46" w:rsidRDefault="000132B3" w:rsidP="000132B3">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 xml:space="preserve">The protozoan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 xml:space="preserve">is responsible for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which is a common sexually transmitted infection that can infect both men and women. There are 7.4 million cases of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annually in the United States.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infections can be symptomatic or asymptomatic.  In women,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is one of a range of conditions that comprise vaginal discharge. Symptoms in females can include itching, burning, redness, or soreness of the genitals, unusual odor, discomfort with urination, or a thin clear, white, yellow, or green discharge.</w:t>
            </w:r>
            <w:r w:rsidR="00326A46">
              <w:rPr>
                <w:rFonts w:ascii="Arial" w:eastAsiaTheme="minorHAnsi" w:hAnsi="Arial" w:cs="Arial"/>
                <w:sz w:val="20"/>
                <w:szCs w:val="20"/>
              </w:rPr>
              <w:t xml:space="preserve">  </w:t>
            </w:r>
            <w:r w:rsidRPr="00375D20">
              <w:rPr>
                <w:rFonts w:ascii="Arial" w:eastAsiaTheme="minorHAnsi" w:hAnsi="Arial" w:cs="Arial"/>
                <w:sz w:val="20"/>
                <w:szCs w:val="20"/>
              </w:rPr>
              <w:t xml:space="preserve">In men, </w:t>
            </w:r>
            <w:proofErr w:type="spellStart"/>
            <w:r w:rsidRPr="00375D20">
              <w:rPr>
                <w:rFonts w:ascii="Arial" w:eastAsiaTheme="minorHAnsi" w:hAnsi="Arial" w:cs="Arial"/>
                <w:sz w:val="20"/>
                <w:szCs w:val="20"/>
              </w:rPr>
              <w:t>trichomoniasis</w:t>
            </w:r>
            <w:proofErr w:type="spellEnd"/>
            <w:r w:rsidRPr="00375D20">
              <w:rPr>
                <w:rFonts w:ascii="Arial" w:eastAsiaTheme="minorHAnsi" w:hAnsi="Arial" w:cs="Arial"/>
                <w:sz w:val="20"/>
                <w:szCs w:val="20"/>
              </w:rPr>
              <w:t xml:space="preserve"> may cause non-gonococcal urethritis (NGU). Symptoms in males can include itching or burning inside the penis, burning after ejaculation or urination, or penile discharge.</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(1)</w:t>
            </w:r>
            <w:r w:rsidR="00326A46">
              <w:rPr>
                <w:rFonts w:ascii="Arial" w:eastAsiaTheme="minorHAnsi" w:hAnsi="Arial" w:cs="Arial"/>
                <w:sz w:val="20"/>
                <w:szCs w:val="20"/>
              </w:rPr>
              <w:fldChar w:fldCharType="end"/>
            </w:r>
            <w:r w:rsidR="00326A46">
              <w:rPr>
                <w:rFonts w:ascii="Arial" w:eastAsiaTheme="minorHAnsi" w:hAnsi="Arial" w:cs="Arial"/>
                <w:sz w:val="20"/>
                <w:szCs w:val="20"/>
              </w:rPr>
              <w:t xml:space="preserve">  Infection can increase the risk of getting or spreading HIV, and pregnant women are more likely to have their babies too early and with a low birth weight.</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&lt;EndNote&gt;&lt;Cite&gt;&lt;RecNum&gt;2&lt;/RecNum&gt;&lt;DisplayText&gt;(2)&lt;/DisplayText&gt;&lt;record&gt;&lt;rec-number&gt;2&lt;/rec-number&gt;&lt;foreign-keys&gt;&lt;key app="EN" db-id="x5vw05verzwpsee5drupe9xs9fpwa52rra90" timestamp="1560523583"&gt;2&lt;/key&gt;&lt;/foreign-keys&gt;&lt;ref-type name="Web Page"&gt;12&lt;/ref-type&gt;&lt;contributors&gt;&lt;/contributors&gt;&lt;titles&gt;&lt;title&gt;Trichomoniasis Statistics &lt;/title&gt;&lt;/titles&gt;&lt;dates&gt;&lt;pub-dates&gt;&lt;date&gt;January 2017&lt;/date&gt;&lt;/pub-dates&gt;&lt;/dates&gt;&lt;pub-location&gt;GA&lt;/pub-location&gt;&lt;publisher&gt;CDC&lt;/publisher&gt;&lt;urls&gt;&lt;related-urls&gt;&lt;url&gt;&lt;style face="underline" font="default" size="100%"&gt;https://www.cdc.gov/std/trichomonas/stats.htm&lt;/style&gt;&lt;/url&gt;&lt;/related-urls&gt;&lt;/urls&gt;&lt;/record&gt;&lt;/Cite&gt;&lt;/EndNote&gt;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(2)</w:t>
            </w:r>
            <w:r w:rsidR="00326A46">
              <w:rPr>
                <w:rFonts w:ascii="Arial" w:eastAsiaTheme="minorHAnsi" w:hAnsi="Arial" w:cs="Arial"/>
                <w:sz w:val="20"/>
                <w:szCs w:val="20"/>
              </w:rPr>
              <w:fldChar w:fldCharType="end"/>
            </w:r>
            <w:r w:rsidR="00326A46">
              <w:rPr>
                <w:rFonts w:ascii="Arial" w:eastAsiaTheme="minorHAnsi" w:hAnsi="Arial" w:cs="Arial"/>
                <w:sz w:val="20"/>
                <w:szCs w:val="20"/>
              </w:rPr>
              <w:t xml:space="preserve"> </w:t>
            </w:r>
          </w:p>
          <w:p w:rsidR="00326A46" w:rsidRDefault="00326A46" w:rsidP="000132B3">
            <w:pPr>
              <w:autoSpaceDE w:val="0"/>
              <w:autoSpaceDN w:val="0"/>
              <w:adjustRightInd w:val="0"/>
              <w:jc w:val="left"/>
              <w:rPr>
                <w:rFonts w:ascii="Arial" w:eastAsiaTheme="minorHAnsi" w:hAnsi="Arial" w:cs="Arial"/>
                <w:sz w:val="20"/>
                <w:szCs w:val="20"/>
              </w:rPr>
            </w:pPr>
          </w:p>
          <w:p w:rsidR="000132B3" w:rsidRPr="000132B3" w:rsidRDefault="000132B3" w:rsidP="000132B3">
            <w:pPr>
              <w:autoSpaceDE w:val="0"/>
              <w:autoSpaceDN w:val="0"/>
              <w:adjustRightInd w:val="0"/>
              <w:jc w:val="left"/>
              <w:rPr>
                <w:rFonts w:ascii="Arial" w:eastAsiaTheme="minorHAnsi" w:hAnsi="Arial" w:cs="Arial"/>
                <w:b/>
                <w:bCs/>
                <w:sz w:val="20"/>
                <w:szCs w:val="20"/>
              </w:rPr>
            </w:pPr>
            <w:r w:rsidRPr="00375D20">
              <w:rPr>
                <w:rFonts w:ascii="Arial" w:eastAsiaTheme="minorHAnsi" w:hAnsi="Arial" w:cs="Arial"/>
                <w:sz w:val="20"/>
                <w:szCs w:val="20"/>
              </w:rPr>
              <w:t xml:space="preserve">The Cepheid </w:t>
            </w:r>
            <w:proofErr w:type="spellStart"/>
            <w:r w:rsidRPr="00375D20">
              <w:rPr>
                <w:rFonts w:ascii="Arial" w:eastAsiaTheme="minorHAnsi" w:hAnsi="Arial" w:cs="Arial"/>
                <w:sz w:val="20"/>
                <w:szCs w:val="20"/>
              </w:rPr>
              <w:t>Xpert</w:t>
            </w:r>
            <w:proofErr w:type="spellEnd"/>
            <w:r w:rsidRPr="00375D20">
              <w:rPr>
                <w:rFonts w:ascii="Arial" w:eastAsiaTheme="minorHAnsi" w:hAnsi="Arial" w:cs="Arial"/>
                <w:sz w:val="20"/>
                <w:szCs w:val="20"/>
              </w:rPr>
              <w:t xml:space="preserve"> TV Assay, performed on the </w:t>
            </w:r>
            <w:proofErr w:type="spellStart"/>
            <w:r w:rsidRPr="00375D20">
              <w:rPr>
                <w:rFonts w:ascii="Arial" w:eastAsiaTheme="minorHAnsi" w:hAnsi="Arial" w:cs="Arial"/>
                <w:sz w:val="20"/>
                <w:szCs w:val="20"/>
              </w:rPr>
              <w:t>GeneXpert</w:t>
            </w:r>
            <w:proofErr w:type="spellEnd"/>
            <w:r w:rsidRPr="00375D20">
              <w:rPr>
                <w:rFonts w:ascii="Arial" w:eastAsiaTheme="minorHAnsi" w:hAnsi="Arial" w:cs="Arial"/>
                <w:sz w:val="20"/>
                <w:szCs w:val="20"/>
              </w:rPr>
              <w:t xml:space="preserve">  Instrument Systems, is a qualitative </w:t>
            </w:r>
            <w:r w:rsidRPr="00375D20">
              <w:rPr>
                <w:rFonts w:ascii="Arial" w:eastAsiaTheme="minorHAnsi" w:hAnsi="Arial" w:cs="Arial"/>
                <w:i/>
                <w:iCs/>
                <w:sz w:val="20"/>
                <w:szCs w:val="20"/>
              </w:rPr>
              <w:t xml:space="preserve">in vitro </w:t>
            </w:r>
            <w:r w:rsidRPr="00375D20">
              <w:rPr>
                <w:rFonts w:ascii="Arial" w:eastAsiaTheme="minorHAnsi" w:hAnsi="Arial" w:cs="Arial"/>
                <w:sz w:val="20"/>
                <w:szCs w:val="20"/>
              </w:rPr>
              <w:t xml:space="preserve">diagnostic test for the detection of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 xml:space="preserve">genomic DNA.  The test utilizes automated </w:t>
            </w:r>
            <w:r>
              <w:rPr>
                <w:rFonts w:ascii="Arial" w:eastAsiaTheme="minorHAnsi" w:hAnsi="Arial" w:cs="Arial"/>
                <w:sz w:val="20"/>
                <w:szCs w:val="20"/>
              </w:rPr>
              <w:t xml:space="preserve">nucleic acid extraction and </w:t>
            </w:r>
            <w:r w:rsidRPr="00375D20">
              <w:rPr>
                <w:rFonts w:ascii="Arial" w:eastAsiaTheme="minorHAnsi" w:hAnsi="Arial" w:cs="Arial"/>
                <w:sz w:val="20"/>
                <w:szCs w:val="20"/>
              </w:rPr>
              <w:t xml:space="preserve">real-time polymerase chain reaction (PCR) to detect </w:t>
            </w:r>
            <w:r w:rsidRPr="00375D20">
              <w:rPr>
                <w:rFonts w:ascii="Arial" w:eastAsiaTheme="minorHAnsi" w:hAnsi="Arial" w:cs="Arial"/>
                <w:i/>
                <w:iCs/>
                <w:sz w:val="20"/>
                <w:szCs w:val="20"/>
              </w:rPr>
              <w:t xml:space="preserve">Trichomonas vaginalis </w:t>
            </w:r>
            <w:r w:rsidRPr="00375D20">
              <w:rPr>
                <w:rFonts w:ascii="Arial" w:eastAsiaTheme="minorHAnsi" w:hAnsi="Arial" w:cs="Arial"/>
                <w:sz w:val="20"/>
                <w:szCs w:val="20"/>
              </w:rPr>
              <w:t>genomic DNA.</w:t>
            </w:r>
            <w:r>
              <w:rPr>
                <w:rFonts w:ascii="Arial" w:eastAsiaTheme="minorHAnsi" w:hAnsi="Arial" w:cs="Arial"/>
                <w:sz w:val="20"/>
                <w:szCs w:val="20"/>
              </w:rPr>
              <w:t xml:space="preserve">  </w:t>
            </w:r>
            <w:r w:rsidRPr="00375D20">
              <w:rPr>
                <w:rFonts w:ascii="Arial" w:eastAsiaTheme="minorHAnsi" w:hAnsi="Arial" w:cs="Arial"/>
                <w:sz w:val="20"/>
                <w:szCs w:val="20"/>
              </w:rPr>
              <w:t>An Early Assay Termination function provides positive results if target DNA reaches a predetermined threshold before the full 45 PCR cycles have been completed.</w:t>
            </w:r>
            <w:r w:rsidR="00326A46">
              <w:rPr>
                <w:rFonts w:ascii="Arial" w:eastAsiaTheme="minorHAnsi" w:hAnsi="Arial" w:cs="Arial"/>
                <w:sz w:val="20"/>
                <w:szCs w:val="20"/>
              </w:rPr>
              <w:fldChar w:fldCharType="begin"/>
            </w:r>
            <w:r w:rsidR="00326A46">
              <w:rPr>
                <w:rFonts w:ascii="Arial" w:eastAsiaTheme="minorHAnsi" w:hAnsi="Arial" w:cs="Arial"/>
                <w:sz w:val="20"/>
                <w:szCs w:val="20"/>
              </w:rPr>
              <w:instrText xml:space="preserve"> ADDIN EN.CITE &lt;EndNote&gt;&lt;Cite&gt;&lt;Year&gt;September 2016&lt;/Year&gt;&lt;RecNum&gt;1&lt;/RecNum&gt;&lt;DisplayText&gt;(1)&lt;/DisplayText&gt;&lt;record&gt;&lt;rec-number&gt;1&lt;/rec-number&gt;&lt;foreign-keys&gt;&lt;key app="EN" db-id="x5vw05verzwpsee5drupe9xs9fpwa52rra90" timestamp="1560167612"&gt;1&lt;/key&gt;&lt;/foreign-keys&gt;&lt;ref-type name="Pamphlet"&gt;24&lt;/ref-type&gt;&lt;contributors&gt;&lt;/contributors&gt;&lt;titles&gt;&lt;title&gt;Xpert TV Package Insert 301-2887, Rev. B&lt;/title&gt;&lt;/titles&gt;&lt;dates&gt;&lt;year&gt;September 2016&lt;/year&gt;&lt;/dates&gt;&lt;pub-location&gt;Sunnyvale, CA&lt;/pub-location&gt;&lt;publisher&gt;Cepheid&lt;/publisher&gt;&lt;urls&gt;&lt;/urls&gt;&lt;/record&gt;&lt;/Cite&gt;&lt;/EndNote&gt;</w:instrText>
            </w:r>
            <w:r w:rsidR="00326A46">
              <w:rPr>
                <w:rFonts w:ascii="Arial" w:eastAsiaTheme="minorHAnsi" w:hAnsi="Arial" w:cs="Arial"/>
                <w:sz w:val="20"/>
                <w:szCs w:val="20"/>
              </w:rPr>
              <w:fldChar w:fldCharType="separate"/>
            </w:r>
            <w:r w:rsidR="00326A46">
              <w:rPr>
                <w:rFonts w:ascii="Arial" w:eastAsiaTheme="minorHAnsi" w:hAnsi="Arial" w:cs="Arial"/>
                <w:noProof/>
                <w:sz w:val="20"/>
                <w:szCs w:val="20"/>
              </w:rPr>
              <w:t>(1)</w:t>
            </w:r>
            <w:r w:rsidR="00326A46">
              <w:rPr>
                <w:rFonts w:ascii="Arial" w:eastAsiaTheme="minorHAnsi" w:hAnsi="Arial" w:cs="Arial"/>
                <w:sz w:val="20"/>
                <w:szCs w:val="20"/>
              </w:rPr>
              <w:fldChar w:fldCharType="end"/>
            </w:r>
            <w:r w:rsidRPr="00375D20">
              <w:rPr>
                <w:rFonts w:ascii="Arial" w:eastAsiaTheme="minorHAnsi" w:hAnsi="Arial" w:cs="Arial"/>
                <w:sz w:val="20"/>
                <w:szCs w:val="20"/>
              </w:rPr>
              <w:t xml:space="preserve"> </w:t>
            </w:r>
          </w:p>
          <w:p w:rsidR="000132B3" w:rsidRDefault="000132B3" w:rsidP="00F97305">
            <w:pPr>
              <w:autoSpaceDE w:val="0"/>
              <w:autoSpaceDN w:val="0"/>
              <w:adjustRightInd w:val="0"/>
              <w:jc w:val="left"/>
              <w:rPr>
                <w:rFonts w:ascii="Arial" w:eastAsiaTheme="minorHAnsi" w:hAnsi="Arial" w:cs="Arial"/>
                <w:sz w:val="20"/>
                <w:szCs w:val="20"/>
              </w:rPr>
            </w:pPr>
            <w:r w:rsidRPr="00375D20">
              <w:rPr>
                <w:rFonts w:ascii="Arial" w:eastAsiaTheme="minorHAnsi" w:hAnsi="Arial" w:cs="Arial"/>
                <w:sz w:val="20"/>
                <w:szCs w:val="20"/>
              </w:rPr>
              <w:t xml:space="preserve"> </w:t>
            </w:r>
          </w:p>
          <w:p w:rsidR="00F97305" w:rsidRPr="007D1C87" w:rsidRDefault="00F97305" w:rsidP="002869BF">
            <w:pPr>
              <w:tabs>
                <w:tab w:val="left" w:pos="3382"/>
              </w:tabs>
              <w:rPr>
                <w:rFonts w:ascii="Arial" w:hAnsi="Arial"/>
                <w:sz w:val="20"/>
              </w:rPr>
            </w:pPr>
            <w:r>
              <w:rPr>
                <w:rFonts w:ascii="Arial" w:hAnsi="Arial"/>
                <w:sz w:val="20"/>
              </w:rPr>
              <w:t xml:space="preserve"> </w:t>
            </w: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F97305" w:rsidRDefault="00F97305" w:rsidP="002869BF">
            <w:pPr>
              <w:jc w:val="left"/>
              <w:rPr>
                <w:rFonts w:ascii="Arial" w:hAnsi="Arial"/>
                <w:b/>
                <w:color w:val="0000FF"/>
                <w:sz w:val="20"/>
              </w:rPr>
            </w:pPr>
            <w:r>
              <w:rPr>
                <w:rFonts w:ascii="Arial" w:hAnsi="Arial"/>
                <w:b/>
                <w:color w:val="0000FF"/>
                <w:sz w:val="20"/>
              </w:rPr>
              <w:t>Test Code</w:t>
            </w:r>
          </w:p>
          <w:p w:rsidR="00F97305" w:rsidRDefault="00F97305" w:rsidP="002869BF">
            <w:pPr>
              <w:jc w:val="left"/>
              <w:rPr>
                <w:rFonts w:ascii="Arial" w:hAnsi="Arial"/>
                <w:b/>
                <w:color w:val="0000FF"/>
                <w:sz w:val="20"/>
              </w:rPr>
            </w:pPr>
          </w:p>
        </w:tc>
        <w:tc>
          <w:tcPr>
            <w:tcW w:w="9365" w:type="dxa"/>
            <w:gridSpan w:val="5"/>
            <w:tcBorders>
              <w:top w:val="single" w:sz="4" w:space="0" w:color="auto"/>
              <w:left w:val="nil"/>
              <w:bottom w:val="single" w:sz="4" w:space="0" w:color="auto"/>
              <w:right w:val="nil"/>
            </w:tcBorders>
          </w:tcPr>
          <w:p w:rsidR="009F35F7" w:rsidRDefault="009F35F7" w:rsidP="002869BF">
            <w:pPr>
              <w:tabs>
                <w:tab w:val="left" w:pos="3382"/>
              </w:tabs>
              <w:rPr>
                <w:rFonts w:ascii="Arial" w:hAnsi="Arial"/>
                <w:b/>
                <w:sz w:val="20"/>
                <w:highlight w:val="yellow"/>
              </w:rPr>
            </w:pPr>
          </w:p>
          <w:p w:rsidR="00651AB4" w:rsidRPr="00651AB4" w:rsidRDefault="00651AB4" w:rsidP="00651AB4">
            <w:pPr>
              <w:tabs>
                <w:tab w:val="left" w:pos="3382"/>
              </w:tabs>
              <w:rPr>
                <w:rFonts w:ascii="Arial" w:hAnsi="Arial"/>
                <w:b/>
                <w:sz w:val="20"/>
              </w:rPr>
            </w:pPr>
            <w:r w:rsidRPr="00651AB4">
              <w:rPr>
                <w:rFonts w:ascii="Arial" w:hAnsi="Arial"/>
                <w:b/>
                <w:sz w:val="20"/>
              </w:rPr>
              <w:t>TVPCR</w:t>
            </w:r>
          </w:p>
          <w:p w:rsidR="009F35F7" w:rsidRPr="005F3F13" w:rsidRDefault="00651AB4" w:rsidP="00651AB4">
            <w:pPr>
              <w:tabs>
                <w:tab w:val="left" w:pos="3382"/>
              </w:tabs>
              <w:rPr>
                <w:rFonts w:ascii="Arial" w:hAnsi="Arial"/>
                <w:b/>
                <w:sz w:val="20"/>
              </w:rPr>
            </w:pPr>
            <w:r w:rsidRPr="005F3F13">
              <w:rPr>
                <w:rFonts w:ascii="Arial" w:hAnsi="Arial"/>
                <w:b/>
                <w:sz w:val="20"/>
              </w:rPr>
              <w:t xml:space="preserve"> </w:t>
            </w:r>
          </w:p>
        </w:tc>
      </w:tr>
      <w:tr w:rsidR="00F97305" w:rsidTr="002869BF">
        <w:trPr>
          <w:gridAfter w:val="2"/>
          <w:wAfter w:w="5398" w:type="dxa"/>
        </w:trPr>
        <w:tc>
          <w:tcPr>
            <w:tcW w:w="1797" w:type="dxa"/>
            <w:tcBorders>
              <w:top w:val="nil"/>
              <w:left w:val="nil"/>
              <w:bottom w:val="nil"/>
              <w:right w:val="nil"/>
            </w:tcBorders>
          </w:tcPr>
          <w:p w:rsidR="00F97305" w:rsidRDefault="00F97305" w:rsidP="002869BF">
            <w:pPr>
              <w:pStyle w:val="Custom2"/>
            </w:pPr>
          </w:p>
          <w:p w:rsidR="00F97305" w:rsidRDefault="00F97305" w:rsidP="002869BF">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 xml:space="preserve">Acceptable specimens: </w:t>
            </w: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t xml:space="preserve">First-catch male and female urine specimens in urine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Collection Tube </w:t>
            </w:r>
          </w:p>
          <w:p w:rsidR="00F97305" w:rsidRPr="005F3F13" w:rsidRDefault="00F97305" w:rsidP="002869BF">
            <w:pPr>
              <w:pStyle w:val="ListParagraph"/>
              <w:numPr>
                <w:ilvl w:val="0"/>
                <w:numId w:val="5"/>
              </w:numPr>
              <w:jc w:val="left"/>
              <w:rPr>
                <w:rFonts w:ascii="Arial" w:hAnsi="Arial"/>
                <w:sz w:val="20"/>
                <w:szCs w:val="20"/>
              </w:rPr>
            </w:pP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and vaginal swabs collected with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Specimen Collection Kit or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F97305" w:rsidRPr="005F3F13" w:rsidRDefault="00F97305" w:rsidP="002869BF">
            <w:pPr>
              <w:jc w:val="left"/>
              <w:rPr>
                <w:rFonts w:ascii="Arial" w:hAnsi="Arial"/>
                <w:b/>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UR</w:t>
            </w:r>
            <w:r w:rsidRPr="005F3F13">
              <w:rPr>
                <w:rFonts w:ascii="Arial" w:hAnsi="Arial"/>
                <w:sz w:val="20"/>
                <w:szCs w:val="20"/>
              </w:rPr>
              <w:t>- Urine, collect method not specified</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VOID</w:t>
            </w:r>
            <w:r w:rsidRPr="005F3F13">
              <w:rPr>
                <w:rFonts w:ascii="Arial" w:hAnsi="Arial"/>
                <w:sz w:val="20"/>
                <w:szCs w:val="20"/>
              </w:rPr>
              <w:t>- Voided urine</w:t>
            </w:r>
          </w:p>
          <w:p w:rsidR="00F97305" w:rsidRPr="005F3F13"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VAG</w:t>
            </w:r>
            <w:r w:rsidRPr="005F3F13">
              <w:rPr>
                <w:rFonts w:ascii="Arial" w:hAnsi="Arial"/>
                <w:sz w:val="20"/>
                <w:szCs w:val="20"/>
              </w:rPr>
              <w:t>-Vagina</w:t>
            </w:r>
          </w:p>
          <w:p w:rsidR="00F97305" w:rsidRDefault="00F97305" w:rsidP="00F97305">
            <w:pPr>
              <w:pStyle w:val="ListParagraph"/>
              <w:numPr>
                <w:ilvl w:val="0"/>
                <w:numId w:val="15"/>
              </w:numPr>
              <w:jc w:val="left"/>
              <w:rPr>
                <w:rFonts w:ascii="Arial" w:hAnsi="Arial"/>
                <w:sz w:val="20"/>
                <w:szCs w:val="20"/>
              </w:rPr>
            </w:pPr>
            <w:r w:rsidRPr="005F3F13">
              <w:rPr>
                <w:rFonts w:ascii="Arial" w:hAnsi="Arial"/>
                <w:b/>
                <w:sz w:val="20"/>
                <w:szCs w:val="20"/>
              </w:rPr>
              <w:t>CERV</w:t>
            </w:r>
            <w:r w:rsidRPr="005F3F13">
              <w:rPr>
                <w:rFonts w:ascii="Arial" w:hAnsi="Arial"/>
                <w:sz w:val="20"/>
                <w:szCs w:val="20"/>
              </w:rPr>
              <w:t>-Cervix</w:t>
            </w:r>
          </w:p>
          <w:p w:rsidR="00985B05" w:rsidRPr="005F3F13" w:rsidRDefault="00985B05" w:rsidP="00F97305">
            <w:pPr>
              <w:pStyle w:val="ListParagraph"/>
              <w:numPr>
                <w:ilvl w:val="0"/>
                <w:numId w:val="15"/>
              </w:numPr>
              <w:jc w:val="left"/>
              <w:rPr>
                <w:rFonts w:ascii="Arial" w:hAnsi="Arial"/>
                <w:sz w:val="20"/>
                <w:szCs w:val="20"/>
              </w:rPr>
            </w:pPr>
            <w:r>
              <w:rPr>
                <w:rFonts w:ascii="Arial" w:hAnsi="Arial"/>
                <w:b/>
                <w:sz w:val="20"/>
                <w:szCs w:val="20"/>
              </w:rPr>
              <w:t>ENDC</w:t>
            </w:r>
            <w:r>
              <w:rPr>
                <w:rFonts w:ascii="Arial" w:hAnsi="Arial"/>
                <w:sz w:val="20"/>
                <w:szCs w:val="20"/>
              </w:rPr>
              <w:t>-</w:t>
            </w:r>
            <w:proofErr w:type="spellStart"/>
            <w:r>
              <w:rPr>
                <w:rFonts w:ascii="Arial" w:hAnsi="Arial"/>
                <w:sz w:val="20"/>
                <w:szCs w:val="20"/>
              </w:rPr>
              <w:t>Endocervix</w:t>
            </w:r>
            <w:proofErr w:type="spellEnd"/>
          </w:p>
          <w:p w:rsidR="00F97305" w:rsidRPr="005F3F13" w:rsidRDefault="00F97305" w:rsidP="002869BF">
            <w:pPr>
              <w:pStyle w:val="ListParagraph"/>
              <w:ind w:left="1080"/>
              <w:jc w:val="left"/>
              <w:rPr>
                <w:rFonts w:ascii="Arial" w:hAnsi="Arial"/>
                <w:b/>
                <w:sz w:val="20"/>
                <w:szCs w:val="20"/>
              </w:rPr>
            </w:pPr>
          </w:p>
          <w:p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rsidR="00F97305" w:rsidRPr="005F3F13" w:rsidRDefault="00F97305" w:rsidP="002869BF">
            <w:pPr>
              <w:jc w:val="left"/>
              <w:rPr>
                <w:rFonts w:ascii="Arial" w:hAnsi="Arial"/>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Pr="005F3F13">
              <w:rPr>
                <w:rFonts w:ascii="Arial" w:hAnsi="Arial"/>
                <w:i/>
                <w:sz w:val="20"/>
                <w:szCs w:val="20"/>
              </w:rPr>
              <w:t>Specimen Rejection Criteria.</w:t>
            </w:r>
          </w:p>
          <w:p w:rsidR="00F97305" w:rsidRPr="005F3F13" w:rsidRDefault="00F97305" w:rsidP="002869BF">
            <w:pPr>
              <w:jc w:val="left"/>
              <w:rPr>
                <w:rFonts w:ascii="Arial" w:hAnsi="Arial"/>
                <w:sz w:val="20"/>
                <w:szCs w:val="20"/>
              </w:rPr>
            </w:pPr>
          </w:p>
          <w:p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Storage</w:t>
            </w:r>
          </w:p>
          <w:p w:rsidR="00F97305" w:rsidRPr="005F3F13" w:rsidRDefault="00F97305" w:rsidP="002869BF">
            <w:pPr>
              <w:pStyle w:val="ListParagraph"/>
              <w:numPr>
                <w:ilvl w:val="0"/>
                <w:numId w:val="5"/>
              </w:numPr>
              <w:jc w:val="left"/>
              <w:rPr>
                <w:rFonts w:ascii="Arial" w:hAnsi="Arial"/>
                <w:sz w:val="20"/>
                <w:szCs w:val="20"/>
              </w:rPr>
            </w:pPr>
            <w:r w:rsidRPr="005F3F13">
              <w:rPr>
                <w:rFonts w:ascii="Arial" w:hAnsi="Arial" w:cs="Arial"/>
                <w:sz w:val="20"/>
                <w:szCs w:val="20"/>
              </w:rPr>
              <w:lastRenderedPageBreak/>
              <w:t>First-catch male and female urine:</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cs="Arial"/>
                <w:sz w:val="20"/>
                <w:szCs w:val="20"/>
              </w:rPr>
              <w:t>Stability, NEAT:</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Room temp (2-28°C): 4</w:t>
            </w:r>
            <w:r w:rsidR="00F97305" w:rsidRPr="005F3F13">
              <w:rPr>
                <w:rFonts w:ascii="Arial" w:hAnsi="Arial" w:cs="Arial"/>
                <w:sz w:val="20"/>
                <w:szCs w:val="20"/>
              </w:rPr>
              <w:t xml:space="preserve"> hours </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4°C: 4</w:t>
            </w:r>
            <w:r w:rsidR="00F97305" w:rsidRPr="005F3F13">
              <w:rPr>
                <w:rFonts w:ascii="Arial" w:hAnsi="Arial" w:cs="Arial"/>
                <w:sz w:val="20"/>
                <w:szCs w:val="20"/>
              </w:rPr>
              <w:t xml:space="preserve"> days</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cs="Arial"/>
                <w:sz w:val="20"/>
                <w:szCs w:val="20"/>
              </w:rPr>
              <w:t xml:space="preserve">Stability, in Cepheid Sample Transport Reagent (7mL): </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Room temp (2-28°C): 14</w:t>
            </w:r>
            <w:r w:rsidR="00F97305" w:rsidRPr="005F3F13">
              <w:rPr>
                <w:rFonts w:ascii="Arial" w:hAnsi="Arial" w:cs="Arial"/>
                <w:sz w:val="20"/>
                <w:szCs w:val="20"/>
              </w:rPr>
              <w:t xml:space="preserve"> days</w:t>
            </w:r>
          </w:p>
          <w:p w:rsidR="00F97305" w:rsidRPr="005F3F13" w:rsidRDefault="00375D20" w:rsidP="002869BF">
            <w:pPr>
              <w:pStyle w:val="ListParagraph"/>
              <w:numPr>
                <w:ilvl w:val="2"/>
                <w:numId w:val="5"/>
              </w:numPr>
              <w:jc w:val="left"/>
              <w:rPr>
                <w:rFonts w:ascii="Arial" w:hAnsi="Arial"/>
                <w:sz w:val="20"/>
                <w:szCs w:val="20"/>
              </w:rPr>
            </w:pPr>
            <w:r>
              <w:rPr>
                <w:rFonts w:ascii="Arial" w:hAnsi="Arial" w:cs="Arial"/>
                <w:sz w:val="20"/>
                <w:szCs w:val="20"/>
              </w:rPr>
              <w:t>2-15°C: 28</w:t>
            </w:r>
            <w:r w:rsidR="00F97305" w:rsidRPr="005F3F13">
              <w:rPr>
                <w:rFonts w:ascii="Arial" w:hAnsi="Arial" w:cs="Arial"/>
                <w:sz w:val="20"/>
                <w:szCs w:val="20"/>
              </w:rPr>
              <w:t xml:space="preserve"> days </w:t>
            </w:r>
          </w:p>
          <w:p w:rsidR="00F97305" w:rsidRPr="005F3F13" w:rsidRDefault="00F97305" w:rsidP="002869BF">
            <w:pPr>
              <w:pStyle w:val="ListParagraph"/>
              <w:numPr>
                <w:ilvl w:val="0"/>
                <w:numId w:val="4"/>
              </w:numPr>
              <w:jc w:val="left"/>
              <w:rPr>
                <w:rFonts w:ascii="Arial" w:hAnsi="Arial"/>
                <w:b/>
                <w:sz w:val="20"/>
                <w:szCs w:val="20"/>
              </w:rPr>
            </w:pPr>
            <w:r w:rsidRPr="005F3F13">
              <w:rPr>
                <w:rFonts w:ascii="Arial" w:hAnsi="Arial"/>
                <w:sz w:val="20"/>
                <w:szCs w:val="20"/>
              </w:rPr>
              <w:t xml:space="preserve">Transfer NEAT urines to Cepheid Sample Transport Reagent as soon as possible after collection. </w:t>
            </w:r>
          </w:p>
          <w:p w:rsidR="00F97305" w:rsidRPr="005F3F13" w:rsidRDefault="00F97305" w:rsidP="002869BF">
            <w:pPr>
              <w:pStyle w:val="ListParagraph"/>
              <w:ind w:left="2520"/>
              <w:jc w:val="left"/>
              <w:rPr>
                <w:rFonts w:ascii="Arial" w:hAnsi="Arial"/>
                <w:sz w:val="20"/>
                <w:szCs w:val="20"/>
              </w:rPr>
            </w:pPr>
          </w:p>
          <w:p w:rsidR="00F97305" w:rsidRPr="005F3F13" w:rsidRDefault="00F97305" w:rsidP="002869BF">
            <w:pPr>
              <w:pStyle w:val="ListParagraph"/>
              <w:numPr>
                <w:ilvl w:val="0"/>
                <w:numId w:val="5"/>
              </w:numPr>
              <w:jc w:val="left"/>
              <w:rPr>
                <w:rFonts w:ascii="Arial" w:hAnsi="Arial"/>
                <w:sz w:val="20"/>
                <w:szCs w:val="20"/>
              </w:rPr>
            </w:pP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and vaginal swabs collected with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Specimen Collection Kit, and the </w:t>
            </w:r>
            <w:proofErr w:type="spellStart"/>
            <w:r w:rsidRPr="005F3F13">
              <w:rPr>
                <w:rFonts w:ascii="Arial" w:hAnsi="Arial" w:cs="Arial"/>
                <w:sz w:val="20"/>
                <w:szCs w:val="20"/>
              </w:rPr>
              <w:t>Xpert</w:t>
            </w:r>
            <w:proofErr w:type="spellEnd"/>
            <w:r w:rsidRPr="005F3F13">
              <w:rPr>
                <w:rFonts w:ascii="Arial" w:hAnsi="Arial" w:cs="Arial"/>
                <w:sz w:val="20"/>
                <w:szCs w:val="20"/>
              </w:rPr>
              <w:t xml:space="preserve"> Vaginal/</w:t>
            </w:r>
            <w:proofErr w:type="spellStart"/>
            <w:r w:rsidRPr="005F3F13">
              <w:rPr>
                <w:rFonts w:ascii="Arial" w:hAnsi="Arial" w:cs="Arial"/>
                <w:sz w:val="20"/>
                <w:szCs w:val="20"/>
              </w:rPr>
              <w:t>Endocervical</w:t>
            </w:r>
            <w:proofErr w:type="spellEnd"/>
            <w:r w:rsidRPr="005F3F13">
              <w:rPr>
                <w:rFonts w:ascii="Arial" w:hAnsi="Arial" w:cs="Arial"/>
                <w:sz w:val="20"/>
                <w:szCs w:val="20"/>
              </w:rPr>
              <w:t xml:space="preserve"> Collection Kit</w:t>
            </w:r>
          </w:p>
          <w:p w:rsidR="00F97305" w:rsidRPr="005F3F13" w:rsidRDefault="00F97305" w:rsidP="002869BF">
            <w:pPr>
              <w:pStyle w:val="ListParagraph"/>
              <w:numPr>
                <w:ilvl w:val="1"/>
                <w:numId w:val="5"/>
              </w:numPr>
              <w:jc w:val="left"/>
              <w:rPr>
                <w:rFonts w:ascii="Arial" w:hAnsi="Arial"/>
                <w:sz w:val="20"/>
                <w:szCs w:val="20"/>
              </w:rPr>
            </w:pPr>
            <w:r w:rsidRPr="005F3F13">
              <w:rPr>
                <w:rFonts w:ascii="Arial" w:hAnsi="Arial"/>
                <w:sz w:val="20"/>
                <w:szCs w:val="20"/>
              </w:rPr>
              <w:t>Stability in Cepheid Sample transport reagent:</w:t>
            </w:r>
          </w:p>
          <w:p w:rsidR="00F97305" w:rsidRPr="005F3F13" w:rsidRDefault="00F97305" w:rsidP="002869BF">
            <w:pPr>
              <w:pStyle w:val="ListParagraph"/>
              <w:numPr>
                <w:ilvl w:val="2"/>
                <w:numId w:val="5"/>
              </w:numPr>
              <w:jc w:val="left"/>
              <w:rPr>
                <w:rFonts w:ascii="Arial" w:hAnsi="Arial"/>
                <w:sz w:val="20"/>
                <w:szCs w:val="20"/>
              </w:rPr>
            </w:pPr>
            <w:r w:rsidRPr="005F3F13">
              <w:rPr>
                <w:rFonts w:ascii="Arial" w:hAnsi="Arial"/>
                <w:sz w:val="20"/>
                <w:szCs w:val="20"/>
              </w:rPr>
              <w:t>2-30</w:t>
            </w:r>
            <w:r w:rsidRPr="005F3F13">
              <w:rPr>
                <w:rFonts w:ascii="Arial" w:hAnsi="Arial" w:cs="Arial"/>
                <w:sz w:val="20"/>
                <w:szCs w:val="20"/>
              </w:rPr>
              <w:t>°</w:t>
            </w:r>
            <w:r w:rsidRPr="005F3F13">
              <w:rPr>
                <w:rFonts w:ascii="Arial" w:hAnsi="Arial"/>
                <w:sz w:val="20"/>
                <w:szCs w:val="20"/>
              </w:rPr>
              <w:t>C: 60 days</w:t>
            </w:r>
          </w:p>
          <w:p w:rsidR="00F97305" w:rsidRPr="005F3F13" w:rsidRDefault="00F97305" w:rsidP="002869BF">
            <w:pPr>
              <w:pStyle w:val="ListParagraph"/>
              <w:ind w:left="2520"/>
              <w:jc w:val="left"/>
              <w:rPr>
                <w:rFonts w:ascii="Arial" w:hAnsi="Arial"/>
                <w:sz w:val="20"/>
                <w:szCs w:val="20"/>
              </w:rPr>
            </w:pPr>
          </w:p>
          <w:p w:rsidR="00F97305" w:rsidRPr="005F3F13" w:rsidRDefault="00F97305" w:rsidP="002869BF">
            <w:pPr>
              <w:pStyle w:val="ListParagraph"/>
              <w:numPr>
                <w:ilvl w:val="0"/>
                <w:numId w:val="4"/>
              </w:numPr>
              <w:jc w:val="left"/>
              <w:rPr>
                <w:rFonts w:ascii="Arial" w:hAnsi="Arial"/>
                <w:b/>
                <w:sz w:val="20"/>
                <w:szCs w:val="20"/>
              </w:rPr>
            </w:pPr>
            <w:r w:rsidRPr="005F3F13">
              <w:rPr>
                <w:rFonts w:ascii="Arial" w:hAnsi="Arial"/>
                <w:sz w:val="20"/>
                <w:szCs w:val="20"/>
              </w:rPr>
              <w:t>Specimens should be stored at 4-8</w:t>
            </w:r>
            <w:r w:rsidRPr="005F3F13">
              <w:rPr>
                <w:rFonts w:ascii="Arial" w:hAnsi="Arial" w:cs="Arial"/>
                <w:sz w:val="20"/>
                <w:szCs w:val="20"/>
              </w:rPr>
              <w:t>°</w:t>
            </w:r>
            <w:r w:rsidRPr="005F3F13">
              <w:rPr>
                <w:rFonts w:ascii="Arial" w:hAnsi="Arial"/>
                <w:sz w:val="20"/>
                <w:szCs w:val="20"/>
              </w:rPr>
              <w:t>C (refrigerated)</w:t>
            </w:r>
          </w:p>
          <w:p w:rsidR="00F97305" w:rsidRPr="005F3F13"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Default="00F97305" w:rsidP="002869BF">
            <w:pPr>
              <w:jc w:val="left"/>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Special Safety Precautions</w:t>
            </w:r>
          </w:p>
          <w:p w:rsidR="00F97305" w:rsidRDefault="00F97305" w:rsidP="002869BF">
            <w:pPr>
              <w:jc w:val="left"/>
              <w:rPr>
                <w:rFonts w:ascii="Arial" w:hAnsi="Arial"/>
                <w:b/>
                <w:color w:val="0000FF"/>
                <w:sz w:val="20"/>
              </w:rPr>
            </w:pPr>
          </w:p>
        </w:tc>
        <w:tc>
          <w:tcPr>
            <w:tcW w:w="9365" w:type="dxa"/>
            <w:gridSpan w:val="5"/>
            <w:tcBorders>
              <w:top w:val="single" w:sz="4" w:space="0" w:color="auto"/>
              <w:bottom w:val="single" w:sz="4" w:space="0" w:color="auto"/>
              <w:right w:val="nil"/>
            </w:tcBorders>
          </w:tcPr>
          <w:p w:rsidR="00F97305" w:rsidRPr="00251640" w:rsidRDefault="00F97305" w:rsidP="002869BF">
            <w:pPr>
              <w:jc w:val="left"/>
              <w:rPr>
                <w:rFonts w:ascii="Arial" w:hAnsi="Arial"/>
                <w:b/>
                <w:sz w:val="20"/>
              </w:rPr>
            </w:pPr>
          </w:p>
          <w:p w:rsidR="00F97305" w:rsidRPr="00251640" w:rsidRDefault="00F97305" w:rsidP="002869BF">
            <w:pPr>
              <w:jc w:val="left"/>
              <w:rPr>
                <w:rFonts w:ascii="Arial" w:hAnsi="Arial"/>
                <w:b/>
                <w:sz w:val="20"/>
              </w:rPr>
            </w:pPr>
          </w:p>
          <w:p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rsidR="00F97305" w:rsidRDefault="00F97305" w:rsidP="002869BF">
            <w:pPr>
              <w:jc w:val="left"/>
              <w:rPr>
                <w:rFonts w:ascii="Arial" w:hAnsi="Arial" w:cs="Arial"/>
                <w:b/>
                <w:sz w:val="20"/>
                <w:szCs w:val="20"/>
              </w:rPr>
            </w:pPr>
          </w:p>
          <w:p w:rsidR="00F97305" w:rsidRPr="00251640" w:rsidRDefault="00F97305" w:rsidP="00375D20">
            <w:pPr>
              <w:jc w:val="left"/>
              <w:rPr>
                <w:rFonts w:ascii="Arial" w:hAnsi="Arial"/>
                <w:b/>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rsidR="00F97305" w:rsidRDefault="00F97305" w:rsidP="002869BF">
            <w:pPr>
              <w:pStyle w:val="NoSpacing"/>
              <w:rPr>
                <w:u w:val="single"/>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rsidTr="002869BF">
              <w:tc>
                <w:tcPr>
                  <w:tcW w:w="3044" w:type="dxa"/>
                </w:tcPr>
                <w:p w:rsidR="00F97305" w:rsidRDefault="00F97305" w:rsidP="002869BF">
                  <w:pPr>
                    <w:jc w:val="left"/>
                    <w:rPr>
                      <w:rFonts w:ascii="Arial" w:hAnsi="Arial"/>
                      <w:sz w:val="20"/>
                    </w:rPr>
                  </w:pPr>
                  <w:r>
                    <w:rPr>
                      <w:rFonts w:ascii="Arial" w:hAnsi="Arial"/>
                      <w:sz w:val="20"/>
                    </w:rPr>
                    <w:t>Reagents</w:t>
                  </w:r>
                </w:p>
              </w:tc>
              <w:tc>
                <w:tcPr>
                  <w:tcW w:w="3045" w:type="dxa"/>
                </w:tcPr>
                <w:p w:rsidR="00F97305" w:rsidRDefault="00F97305" w:rsidP="002869BF">
                  <w:pPr>
                    <w:jc w:val="left"/>
                    <w:rPr>
                      <w:rFonts w:ascii="Arial" w:hAnsi="Arial"/>
                      <w:sz w:val="20"/>
                    </w:rPr>
                  </w:pPr>
                  <w:r>
                    <w:rPr>
                      <w:rFonts w:ascii="Arial" w:hAnsi="Arial"/>
                      <w:sz w:val="20"/>
                    </w:rPr>
                    <w:t>Supplies</w:t>
                  </w:r>
                </w:p>
              </w:tc>
              <w:tc>
                <w:tcPr>
                  <w:tcW w:w="3045" w:type="dxa"/>
                </w:tcPr>
                <w:p w:rsidR="00F97305" w:rsidRDefault="00F97305" w:rsidP="002869BF">
                  <w:pPr>
                    <w:jc w:val="left"/>
                    <w:rPr>
                      <w:rFonts w:ascii="Arial" w:hAnsi="Arial"/>
                      <w:sz w:val="20"/>
                    </w:rPr>
                  </w:pPr>
                  <w:r>
                    <w:rPr>
                      <w:rFonts w:ascii="Arial" w:hAnsi="Arial"/>
                      <w:sz w:val="20"/>
                    </w:rPr>
                    <w:t>Equipment</w:t>
                  </w:r>
                </w:p>
              </w:tc>
            </w:tr>
            <w:tr w:rsidR="00F97305" w:rsidTr="002869BF">
              <w:tc>
                <w:tcPr>
                  <w:tcW w:w="3044" w:type="dxa"/>
                </w:tcPr>
                <w:p w:rsidR="00F97305" w:rsidRDefault="00F97305" w:rsidP="00F97305">
                  <w:pPr>
                    <w:pStyle w:val="ListParagraph"/>
                    <w:numPr>
                      <w:ilvl w:val="0"/>
                      <w:numId w:val="2"/>
                    </w:numPr>
                    <w:jc w:val="left"/>
                    <w:rPr>
                      <w:rFonts w:ascii="Arial" w:hAnsi="Arial"/>
                      <w:sz w:val="20"/>
                    </w:rPr>
                  </w:pPr>
                  <w:r>
                    <w:rPr>
                      <w:rFonts w:ascii="Arial" w:hAnsi="Arial"/>
                      <w:sz w:val="20"/>
                    </w:rPr>
                    <w:t>10% bleach</w:t>
                  </w:r>
                </w:p>
                <w:p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rsidR="00F97305" w:rsidRDefault="000132B3"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Vaginal/</w:t>
                  </w:r>
                  <w:proofErr w:type="spellStart"/>
                  <w:r>
                    <w:rPr>
                      <w:rFonts w:ascii="Arial" w:hAnsi="Arial"/>
                      <w:sz w:val="20"/>
                    </w:rPr>
                    <w:t>E</w:t>
                  </w:r>
                  <w:r w:rsidR="00F97305">
                    <w:rPr>
                      <w:rFonts w:ascii="Arial" w:hAnsi="Arial"/>
                      <w:sz w:val="20"/>
                    </w:rPr>
                    <w:t>ndocervical</w:t>
                  </w:r>
                  <w:proofErr w:type="spellEnd"/>
                  <w:r w:rsidR="00F97305">
                    <w:rPr>
                      <w:rFonts w:ascii="Arial" w:hAnsi="Arial"/>
                      <w:sz w:val="20"/>
                    </w:rPr>
                    <w:t xml:space="preserve"> Specimen Collection Kits</w:t>
                  </w:r>
                </w:p>
                <w:p w:rsidR="00F97305" w:rsidRDefault="000132B3"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Urine Specimen</w:t>
                  </w:r>
                  <w:r w:rsidR="00F97305">
                    <w:rPr>
                      <w:rFonts w:ascii="Arial" w:hAnsi="Arial"/>
                      <w:sz w:val="20"/>
                    </w:rPr>
                    <w:t xml:space="preserve"> Collection Kits</w:t>
                  </w:r>
                </w:p>
                <w:p w:rsidR="00F97305" w:rsidRDefault="00F97305" w:rsidP="00F97305">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375D20">
                    <w:rPr>
                      <w:rFonts w:ascii="Arial" w:hAnsi="Arial"/>
                      <w:sz w:val="20"/>
                    </w:rPr>
                    <w:t>TV</w:t>
                  </w:r>
                  <w:r>
                    <w:rPr>
                      <w:rFonts w:ascii="Arial" w:hAnsi="Arial"/>
                      <w:sz w:val="20"/>
                    </w:rPr>
                    <w:t xml:space="preserve"> Assay cartridges</w:t>
                  </w:r>
                </w:p>
                <w:p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rsidR="00F97305" w:rsidRDefault="00F97305" w:rsidP="00F97305">
                  <w:pPr>
                    <w:pStyle w:val="ListParagraph"/>
                    <w:numPr>
                      <w:ilvl w:val="0"/>
                      <w:numId w:val="2"/>
                    </w:numPr>
                    <w:jc w:val="left"/>
                    <w:rPr>
                      <w:rFonts w:ascii="Arial" w:hAnsi="Arial"/>
                      <w:sz w:val="20"/>
                    </w:rPr>
                  </w:pPr>
                  <w:r>
                    <w:rPr>
                      <w:rFonts w:ascii="Arial" w:hAnsi="Arial"/>
                      <w:sz w:val="20"/>
                    </w:rPr>
                    <w:t>Simple racks</w:t>
                  </w:r>
                </w:p>
                <w:p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rsidR="00F97305" w:rsidRDefault="00F97305" w:rsidP="002869BF">
                  <w:pPr>
                    <w:pStyle w:val="ListParagraph"/>
                    <w:jc w:val="left"/>
                    <w:rPr>
                      <w:rFonts w:ascii="Arial" w:hAnsi="Arial"/>
                      <w:sz w:val="20"/>
                    </w:rPr>
                  </w:pPr>
                </w:p>
                <w:p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rsidR="00F97305" w:rsidRPr="002D18B2" w:rsidRDefault="00F97305" w:rsidP="00375D20">
                  <w:pPr>
                    <w:pStyle w:val="ListParagraph"/>
                    <w:ind w:left="1080"/>
                    <w:jc w:val="left"/>
                    <w:rPr>
                      <w:rFonts w:ascii="Arial" w:hAnsi="Arial" w:cs="Arial"/>
                      <w:sz w:val="20"/>
                      <w:szCs w:val="20"/>
                    </w:rPr>
                  </w:pPr>
                </w:p>
              </w:tc>
            </w:tr>
          </w:tbl>
          <w:p w:rsidR="00F97305" w:rsidRDefault="00F97305" w:rsidP="002869BF">
            <w:pPr>
              <w:jc w:val="left"/>
              <w:rPr>
                <w:rFonts w:ascii="Arial" w:hAnsi="Arial"/>
                <w:sz w:val="20"/>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p w:rsidR="00F97305"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F97305" w:rsidRDefault="00F97305" w:rsidP="002869BF">
            <w:pPr>
              <w:jc w:val="left"/>
              <w:rPr>
                <w:rFonts w:ascii="Arial" w:hAnsi="Arial"/>
                <w:sz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365" w:type="dxa"/>
            <w:gridSpan w:val="5"/>
            <w:tcBorders>
              <w:top w:val="single" w:sz="6" w:space="0" w:color="auto"/>
              <w:bottom w:val="single" w:sz="4" w:space="0" w:color="auto"/>
              <w:right w:val="nil"/>
            </w:tcBorders>
          </w:tcPr>
          <w:p w:rsidR="000F4971" w:rsidRDefault="000F4971" w:rsidP="002869BF">
            <w:pPr>
              <w:jc w:val="left"/>
              <w:rPr>
                <w:rFonts w:ascii="Arial" w:hAnsi="Arial" w:cs="Arial"/>
                <w:sz w:val="20"/>
                <w:szCs w:val="20"/>
              </w:rPr>
            </w:pPr>
          </w:p>
          <w:p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rsidR="00375D20" w:rsidRPr="00071275" w:rsidRDefault="00375D20" w:rsidP="002869BF">
            <w:pPr>
              <w:jc w:val="left"/>
              <w:rPr>
                <w:rFonts w:ascii="Arial" w:hAnsi="Arial" w:cs="Arial"/>
                <w:sz w:val="20"/>
                <w:szCs w:val="20"/>
              </w:rPr>
            </w:pPr>
          </w:p>
        </w:tc>
      </w:tr>
      <w:tr w:rsidR="00F97305" w:rsidTr="002869B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trPr>
        <w:tc>
          <w:tcPr>
            <w:tcW w:w="1797" w:type="dxa"/>
            <w:tcBorders>
              <w:top w:val="nil"/>
              <w:left w:val="nil"/>
              <w:bottom w:val="nil"/>
            </w:tcBorders>
          </w:tcPr>
          <w:p w:rsidR="00F97305" w:rsidRPr="00D75935" w:rsidRDefault="00F97305" w:rsidP="002869BF">
            <w:pPr>
              <w:rPr>
                <w:rFonts w:ascii="Arial" w:hAnsi="Arial"/>
                <w:color w:val="0000FF"/>
                <w:sz w:val="20"/>
              </w:rPr>
            </w:pPr>
          </w:p>
          <w:p w:rsidR="00F97305" w:rsidRPr="00183E20" w:rsidRDefault="00F97305" w:rsidP="002869BF">
            <w:pPr>
              <w:rPr>
                <w:rFonts w:ascii="Arial" w:hAnsi="Arial"/>
                <w:b/>
                <w:color w:val="0000FF"/>
                <w:sz w:val="20"/>
              </w:rPr>
            </w:pPr>
            <w:r w:rsidRPr="00183E20">
              <w:rPr>
                <w:rFonts w:ascii="Arial" w:hAnsi="Arial"/>
                <w:b/>
                <w:color w:val="0000FF"/>
                <w:sz w:val="20"/>
              </w:rPr>
              <w:lastRenderedPageBreak/>
              <w:t>Quality Control</w:t>
            </w:r>
          </w:p>
          <w:p w:rsidR="00F97305" w:rsidRPr="00D75935" w:rsidRDefault="00F97305" w:rsidP="002869BF">
            <w:pPr>
              <w:rPr>
                <w:rFonts w:ascii="Arial" w:hAnsi="Arial"/>
                <w:color w:val="0000FF"/>
                <w:sz w:val="20"/>
              </w:rPr>
            </w:pPr>
          </w:p>
        </w:tc>
        <w:tc>
          <w:tcPr>
            <w:tcW w:w="9365" w:type="dxa"/>
            <w:gridSpan w:val="5"/>
            <w:tcBorders>
              <w:top w:val="single" w:sz="6" w:space="0" w:color="auto"/>
              <w:bottom w:val="single" w:sz="4" w:space="0" w:color="auto"/>
              <w:right w:val="nil"/>
            </w:tcBorders>
          </w:tcPr>
          <w:p w:rsidR="00F97305" w:rsidRDefault="00F97305" w:rsidP="002869BF">
            <w:pPr>
              <w:jc w:val="left"/>
              <w:rPr>
                <w:rFonts w:ascii="Arial" w:hAnsi="Arial" w:cs="Arial"/>
                <w:b/>
                <w:sz w:val="20"/>
                <w:szCs w:val="20"/>
              </w:rPr>
            </w:pPr>
            <w:r>
              <w:rPr>
                <w:rFonts w:ascii="Arial" w:hAnsi="Arial" w:cs="Arial"/>
                <w:b/>
                <w:sz w:val="20"/>
                <w:szCs w:val="20"/>
              </w:rPr>
              <w:lastRenderedPageBreak/>
              <w:t>Dail</w:t>
            </w:r>
            <w:r w:rsidRPr="00D75935">
              <w:rPr>
                <w:rFonts w:ascii="Arial" w:hAnsi="Arial" w:cs="Arial"/>
                <w:b/>
                <w:sz w:val="20"/>
                <w:szCs w:val="20"/>
              </w:rPr>
              <w:t>y Quality Control:</w:t>
            </w:r>
          </w:p>
          <w:p w:rsidR="000132B3" w:rsidRPr="00D75935" w:rsidRDefault="000132B3" w:rsidP="002869BF">
            <w:pPr>
              <w:jc w:val="left"/>
              <w:rPr>
                <w:rFonts w:ascii="Arial" w:hAnsi="Arial" w:cs="Arial"/>
                <w:b/>
                <w:sz w:val="20"/>
                <w:szCs w:val="20"/>
              </w:rPr>
            </w:pPr>
          </w:p>
          <w:p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F97305" w:rsidRDefault="00F97305" w:rsidP="002869BF">
            <w:pPr>
              <w:jc w:val="left"/>
              <w:rPr>
                <w:rFonts w:ascii="Arial" w:hAnsi="Arial" w:cs="Arial"/>
                <w:sz w:val="20"/>
                <w:szCs w:val="20"/>
              </w:rPr>
            </w:pPr>
          </w:p>
          <w:p w:rsidR="00F97305" w:rsidRPr="00D75935" w:rsidRDefault="00F97305" w:rsidP="002869BF">
            <w:pPr>
              <w:jc w:val="left"/>
              <w:rPr>
                <w:rFonts w:ascii="Arial" w:hAnsi="Arial" w:cs="Arial"/>
                <w:sz w:val="20"/>
                <w:szCs w:val="20"/>
              </w:rPr>
            </w:pPr>
            <w:r w:rsidRPr="00D75935">
              <w:rPr>
                <w:rFonts w:ascii="Arial" w:hAnsi="Arial" w:cs="Arial"/>
                <w:sz w:val="20"/>
                <w:szCs w:val="20"/>
              </w:rPr>
              <w:t xml:space="preserve">Each test includes a Sample Processing Control (SPC), a Sample Adequacy Control (SAC), and a Probe Check Control (PCC). </w:t>
            </w:r>
          </w:p>
          <w:p w:rsidR="00F97305" w:rsidRPr="00D7593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SPC: Ensures the sample was correctly processed.  It contains DNA from </w:t>
            </w:r>
            <w:r w:rsidRPr="00D75935">
              <w:rPr>
                <w:rFonts w:ascii="Arial" w:hAnsi="Arial" w:cs="Arial"/>
                <w:i/>
                <w:iCs/>
                <w:sz w:val="20"/>
                <w:szCs w:val="20"/>
              </w:rPr>
              <w:t xml:space="preserve">Bacillus </w:t>
            </w:r>
            <w:proofErr w:type="spellStart"/>
            <w:r w:rsidRPr="00D75935">
              <w:rPr>
                <w:rFonts w:ascii="Arial" w:hAnsi="Arial" w:cs="Arial"/>
                <w:i/>
                <w:iCs/>
                <w:sz w:val="20"/>
                <w:szCs w:val="20"/>
              </w:rPr>
              <w:t>globigii</w:t>
            </w:r>
            <w:proofErr w:type="spellEnd"/>
            <w:r w:rsidRPr="00D75935">
              <w:rPr>
                <w:rFonts w:ascii="Arial" w:hAnsi="Arial" w:cs="Arial"/>
                <w:i/>
                <w:iCs/>
                <w:sz w:val="20"/>
                <w:szCs w:val="20"/>
              </w:rPr>
              <w:t xml:space="preserve"> </w:t>
            </w:r>
            <w:r w:rsidRPr="00D75935">
              <w:rPr>
                <w:rFonts w:ascii="Arial" w:hAnsi="Arial" w:cs="Arial"/>
                <w:sz w:val="20"/>
                <w:szCs w:val="20"/>
              </w:rPr>
              <w:t xml:space="preserve">and verifies the sample processing and target amplification.  The SPC verifies that binding and elution of target DNA have occurred if the organisms are present and verifies that sample processing is adequate.  Additionally, this control detects sample-associated inhibition of the real-time PCR assay.  The SPC should be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and can be negative OR positive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positive sample.  </w:t>
            </w:r>
          </w:p>
          <w:p w:rsidR="00F97305" w:rsidRPr="00D7593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SAC: Ensures that the sample contains human cells or human DNA.  The SAC signal is only to be considered in an </w:t>
            </w:r>
            <w:proofErr w:type="spellStart"/>
            <w:r w:rsidRPr="00D75935">
              <w:rPr>
                <w:rFonts w:ascii="Arial" w:hAnsi="Arial" w:cs="Arial"/>
                <w:sz w:val="20"/>
                <w:szCs w:val="20"/>
              </w:rPr>
              <w:t>analyte</w:t>
            </w:r>
            <w:proofErr w:type="spellEnd"/>
            <w:r w:rsidRPr="00D75935">
              <w:rPr>
                <w:rFonts w:ascii="Arial" w:hAnsi="Arial" w:cs="Arial"/>
                <w:sz w:val="20"/>
                <w:szCs w:val="20"/>
              </w:rPr>
              <w:t xml:space="preserve"> negative sample.  A negative SAC indicates that no human cells are present in the sample due to insufficient mixing of the sample or because of an inadequately taken sample.  </w:t>
            </w:r>
          </w:p>
          <w:p w:rsidR="00F97305" w:rsidRDefault="00F97305" w:rsidP="00F97305">
            <w:pPr>
              <w:pStyle w:val="Default"/>
              <w:numPr>
                <w:ilvl w:val="0"/>
                <w:numId w:val="6"/>
              </w:numPr>
              <w:spacing w:after="247"/>
              <w:rPr>
                <w:rFonts w:ascii="Arial" w:hAnsi="Arial" w:cs="Arial"/>
                <w:sz w:val="20"/>
                <w:szCs w:val="20"/>
              </w:rPr>
            </w:pPr>
            <w:r w:rsidRPr="00D75935">
              <w:rPr>
                <w:rFonts w:ascii="Arial" w:hAnsi="Arial" w:cs="Arial"/>
                <w:sz w:val="20"/>
                <w:szCs w:val="20"/>
              </w:rPr>
              <w:t xml:space="preserve">PCC: Performs a check on the amplification portion of the assay.  Before the PCR reaction starts, the </w:t>
            </w:r>
            <w:proofErr w:type="spellStart"/>
            <w:r w:rsidRPr="00D75935">
              <w:rPr>
                <w:rFonts w:ascii="Arial" w:hAnsi="Arial" w:cs="Arial"/>
                <w:sz w:val="20"/>
                <w:szCs w:val="20"/>
              </w:rPr>
              <w:t>GeneXpert</w:t>
            </w:r>
            <w:proofErr w:type="spellEnd"/>
            <w:r w:rsidRPr="00D75935">
              <w:rPr>
                <w:rFonts w:ascii="Arial" w:hAnsi="Arial" w:cs="Arial"/>
                <w:sz w:val="20"/>
                <w:szCs w:val="20"/>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F97305" w:rsidRPr="000F4971" w:rsidRDefault="000F4971" w:rsidP="000F4971">
            <w:pPr>
              <w:pStyle w:val="Default"/>
              <w:spacing w:after="247"/>
              <w:ind w:left="720"/>
              <w:rPr>
                <w:rFonts w:ascii="Arial" w:hAnsi="Arial" w:cs="Arial"/>
                <w:b/>
                <w:sz w:val="20"/>
                <w:szCs w:val="20"/>
              </w:rPr>
            </w:pPr>
            <w:r>
              <w:rPr>
                <w:rFonts w:ascii="Arial" w:hAnsi="Arial" w:cs="Arial"/>
                <w:b/>
                <w:sz w:val="20"/>
                <w:szCs w:val="20"/>
              </w:rPr>
              <w:t xml:space="preserve">NOTE: </w:t>
            </w:r>
            <w:r w:rsidRPr="000F4971">
              <w:rPr>
                <w:rFonts w:ascii="Arial" w:hAnsi="Arial" w:cs="Arial"/>
                <w:color w:val="auto"/>
                <w:sz w:val="20"/>
                <w:szCs w:val="20"/>
              </w:rPr>
              <w:t xml:space="preserve">When TV levels are high enough to generate very early </w:t>
            </w:r>
            <w:proofErr w:type="spellStart"/>
            <w:r w:rsidRPr="000F4971">
              <w:rPr>
                <w:rFonts w:ascii="Arial" w:hAnsi="Arial" w:cs="Arial"/>
                <w:color w:val="auto"/>
                <w:sz w:val="20"/>
                <w:szCs w:val="20"/>
              </w:rPr>
              <w:t>Cts</w:t>
            </w:r>
            <w:proofErr w:type="spellEnd"/>
            <w:r w:rsidRPr="000F4971">
              <w:rPr>
                <w:rFonts w:ascii="Arial" w:hAnsi="Arial" w:cs="Arial"/>
                <w:color w:val="auto"/>
                <w:sz w:val="20"/>
                <w:szCs w:val="20"/>
              </w:rPr>
              <w:t>, neither the SAC nor SPC amplification curves will be seen and their results will not be reported.</w:t>
            </w:r>
          </w:p>
          <w:p w:rsidR="00F97305" w:rsidRDefault="00F97305" w:rsidP="002869BF">
            <w:pPr>
              <w:jc w:val="left"/>
              <w:rPr>
                <w:rFonts w:ascii="Arial" w:hAnsi="Arial"/>
                <w:b/>
                <w:sz w:val="20"/>
              </w:rPr>
            </w:pPr>
            <w:r>
              <w:rPr>
                <w:rFonts w:ascii="Arial" w:hAnsi="Arial"/>
                <w:b/>
                <w:sz w:val="20"/>
              </w:rPr>
              <w:t>External Quality Control:</w:t>
            </w:r>
          </w:p>
          <w:p w:rsidR="00F97305" w:rsidRDefault="00F97305" w:rsidP="002869BF">
            <w:pPr>
              <w:pStyle w:val="ListParagraph"/>
              <w:numPr>
                <w:ilvl w:val="0"/>
                <w:numId w:val="2"/>
              </w:numPr>
              <w:jc w:val="left"/>
              <w:rPr>
                <w:rFonts w:ascii="Arial" w:hAnsi="Arial"/>
                <w:sz w:val="20"/>
              </w:rPr>
            </w:pPr>
            <w:r>
              <w:rPr>
                <w:rFonts w:ascii="Arial" w:hAnsi="Arial"/>
                <w:sz w:val="20"/>
              </w:rPr>
              <w:t xml:space="preserve">Perform QC using external positive and negative controls every 30 days.  Record results in the </w:t>
            </w:r>
            <w:proofErr w:type="spellStart"/>
            <w:r>
              <w:rPr>
                <w:rFonts w:ascii="Arial" w:hAnsi="Arial"/>
                <w:sz w:val="20"/>
              </w:rPr>
              <w:t>GeneXpert</w:t>
            </w:r>
            <w:proofErr w:type="spellEnd"/>
            <w:r>
              <w:rPr>
                <w:rFonts w:ascii="Arial" w:hAnsi="Arial"/>
                <w:sz w:val="20"/>
              </w:rPr>
              <w:t xml:space="preserve"> assay binder on the Log.</w:t>
            </w:r>
          </w:p>
          <w:p w:rsidR="00F97305" w:rsidRDefault="00F97305" w:rsidP="002869BF">
            <w:pPr>
              <w:pStyle w:val="ListParagraph"/>
              <w:numPr>
                <w:ilvl w:val="0"/>
                <w:numId w:val="2"/>
              </w:numPr>
              <w:jc w:val="left"/>
              <w:rPr>
                <w:rFonts w:ascii="Arial" w:hAnsi="Arial"/>
                <w:sz w:val="20"/>
              </w:rPr>
            </w:pPr>
            <w:r>
              <w:rPr>
                <w:rFonts w:ascii="Arial" w:hAnsi="Arial"/>
                <w:sz w:val="20"/>
              </w:rPr>
              <w:t>See IQCP document.</w:t>
            </w:r>
          </w:p>
          <w:p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Pr="00D75935" w:rsidRDefault="00F97305" w:rsidP="002869BF">
            <w:pPr>
              <w:jc w:val="left"/>
              <w:rPr>
                <w:rFonts w:ascii="Arial" w:hAnsi="Arial"/>
                <w:sz w:val="20"/>
              </w:rPr>
            </w:pPr>
          </w:p>
          <w:p w:rsidR="00F97305" w:rsidRDefault="00F97305" w:rsidP="002869BF">
            <w:pPr>
              <w:jc w:val="left"/>
              <w:rPr>
                <w:rFonts w:ascii="Arial" w:hAnsi="Arial"/>
                <w:b/>
                <w:sz w:val="20"/>
              </w:rPr>
            </w:pPr>
            <w:r w:rsidRPr="00D75935">
              <w:rPr>
                <w:rFonts w:ascii="Arial" w:hAnsi="Arial"/>
                <w:b/>
                <w:sz w:val="20"/>
              </w:rPr>
              <w:t>New Lot/Shipment Quality control:</w:t>
            </w:r>
          </w:p>
          <w:p w:rsidR="00F97305" w:rsidRDefault="00F97305" w:rsidP="002869BF">
            <w:pPr>
              <w:pStyle w:val="ListParagraph"/>
              <w:numPr>
                <w:ilvl w:val="0"/>
                <w:numId w:val="2"/>
              </w:numPr>
              <w:jc w:val="left"/>
              <w:rPr>
                <w:rFonts w:ascii="Arial" w:hAnsi="Arial"/>
                <w:sz w:val="20"/>
              </w:rPr>
            </w:pPr>
            <w:r>
              <w:rPr>
                <w:rFonts w:ascii="Arial" w:hAnsi="Arial"/>
                <w:sz w:val="20"/>
              </w:rPr>
              <w:t xml:space="preserve">Perform QC using external positive and negative controls with each new lot or shipment before putting into service.  Record results in the </w:t>
            </w:r>
            <w:proofErr w:type="spellStart"/>
            <w:r>
              <w:rPr>
                <w:rFonts w:ascii="Arial" w:hAnsi="Arial"/>
                <w:sz w:val="20"/>
              </w:rPr>
              <w:t>GeneXpert</w:t>
            </w:r>
            <w:proofErr w:type="spellEnd"/>
            <w:r>
              <w:rPr>
                <w:rFonts w:ascii="Arial" w:hAnsi="Arial"/>
                <w:sz w:val="20"/>
              </w:rPr>
              <w:t xml:space="preserve"> assay binder on the Log.</w:t>
            </w:r>
          </w:p>
          <w:p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Default="00F97305" w:rsidP="002869BF">
            <w:pPr>
              <w:jc w:val="left"/>
              <w:rPr>
                <w:rFonts w:ascii="Arial" w:hAnsi="Arial"/>
                <w:sz w:val="20"/>
              </w:rPr>
            </w:pPr>
          </w:p>
          <w:p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p>
          <w:p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rsidR="00F97305" w:rsidRDefault="00F97305" w:rsidP="002869BF">
            <w:pPr>
              <w:jc w:val="left"/>
              <w:rPr>
                <w:rFonts w:ascii="Arial" w:hAnsi="Arial"/>
                <w:sz w:val="20"/>
              </w:rPr>
            </w:pPr>
          </w:p>
          <w:p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rsidR="00F97305" w:rsidRPr="00F13698" w:rsidRDefault="00F97305" w:rsidP="002869BF">
            <w:pPr>
              <w:jc w:val="left"/>
              <w:rPr>
                <w:rFonts w:ascii="Arial" w:hAnsi="Arial"/>
                <w:sz w:val="20"/>
              </w:rPr>
            </w:pPr>
          </w:p>
          <w:p w:rsidR="00F97305" w:rsidRPr="00D75935" w:rsidRDefault="00F97305" w:rsidP="002869BF">
            <w:pPr>
              <w:pStyle w:val="ListParagraph"/>
              <w:ind w:left="1080"/>
              <w:jc w:val="left"/>
              <w:rPr>
                <w:rFonts w:ascii="Arial" w:hAnsi="Arial"/>
                <w:sz w:val="20"/>
              </w:rPr>
            </w:pPr>
          </w:p>
        </w:tc>
      </w:tr>
      <w:tr w:rsidR="00F97305" w:rsidTr="002869BF">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F97305" w:rsidRDefault="00F97305" w:rsidP="002869BF">
            <w:pPr>
              <w:pStyle w:val="NoSpacing"/>
              <w:rPr>
                <w:rFonts w:ascii="Arial" w:hAnsi="Arial" w:cs="Arial"/>
                <w:b/>
                <w:sz w:val="20"/>
                <w:szCs w:val="20"/>
              </w:rPr>
            </w:pPr>
          </w:p>
          <w:p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lastRenderedPageBreak/>
              <w:t xml:space="preserve">Obtain a </w:t>
            </w:r>
            <w:r w:rsidR="009F35F7">
              <w:rPr>
                <w:rFonts w:ascii="Arial" w:hAnsi="Arial" w:cs="Arial"/>
                <w:sz w:val="20"/>
                <w:szCs w:val="20"/>
              </w:rPr>
              <w:t>TV</w:t>
            </w:r>
            <w:r w:rsidRPr="00144E5C">
              <w:rPr>
                <w:rFonts w:ascii="Arial" w:hAnsi="Arial" w:cs="Arial"/>
                <w:sz w:val="20"/>
                <w:szCs w:val="20"/>
              </w:rPr>
              <w:t xml:space="preserve"> Assay cartridge, transfer pipette, and sample</w:t>
            </w:r>
            <w:r>
              <w:rPr>
                <w:rFonts w:ascii="Arial" w:hAnsi="Arial" w:cs="Arial"/>
                <w:sz w:val="20"/>
                <w:szCs w:val="20"/>
              </w:rPr>
              <w:t xml:space="preserve"> transport tube</w:t>
            </w:r>
            <w:r w:rsidRPr="00144E5C">
              <w:rPr>
                <w:rFonts w:ascii="Arial" w:hAnsi="Arial" w:cs="Arial"/>
                <w:sz w:val="20"/>
                <w:szCs w:val="20"/>
              </w:rPr>
              <w:t xml:space="preserve"> to be tested.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rsidR="00F97305" w:rsidRPr="00144E5C" w:rsidRDefault="000B32C3" w:rsidP="00F97305">
            <w:pPr>
              <w:pStyle w:val="NoSpacing"/>
              <w:numPr>
                <w:ilvl w:val="0"/>
                <w:numId w:val="7"/>
              </w:numPr>
              <w:jc w:val="left"/>
              <w:rPr>
                <w:rFonts w:ascii="Arial" w:hAnsi="Arial" w:cs="Arial"/>
                <w:sz w:val="20"/>
                <w:szCs w:val="20"/>
              </w:rPr>
            </w:pPr>
            <w:r>
              <w:rPr>
                <w:rFonts w:ascii="Arial" w:hAnsi="Arial" w:cs="Arial"/>
                <w:sz w:val="20"/>
                <w:szCs w:val="20"/>
              </w:rPr>
              <w:t>Vortex the sample 5-10 seconds</w:t>
            </w:r>
            <w:r w:rsidR="00F97305" w:rsidRPr="00144E5C">
              <w:rPr>
                <w:rFonts w:ascii="Arial" w:hAnsi="Arial" w:cs="Arial"/>
                <w:sz w:val="20"/>
                <w:szCs w:val="20"/>
              </w:rPr>
              <w:t>.</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Open the transport tube lid and draw up specimen</w:t>
            </w:r>
            <w:r>
              <w:rPr>
                <w:rFonts w:ascii="Arial" w:hAnsi="Arial" w:cs="Arial"/>
                <w:sz w:val="20"/>
                <w:szCs w:val="20"/>
              </w:rPr>
              <w:t xml:space="preserve"> in the transfer pipette</w:t>
            </w:r>
            <w:r w:rsidR="009F35F7">
              <w:rPr>
                <w:rFonts w:ascii="Arial" w:hAnsi="Arial" w:cs="Arial"/>
                <w:sz w:val="20"/>
                <w:szCs w:val="20"/>
              </w:rPr>
              <w:t xml:space="preserve"> until the </w:t>
            </w:r>
            <w:r w:rsidRPr="00144E5C">
              <w:rPr>
                <w:rFonts w:ascii="Arial" w:hAnsi="Arial" w:cs="Arial"/>
                <w:sz w:val="20"/>
                <w:szCs w:val="20"/>
              </w:rPr>
              <w:t>fill mark is reached</w:t>
            </w:r>
            <w:r w:rsidR="009F35F7">
              <w:rPr>
                <w:rFonts w:ascii="Arial" w:hAnsi="Arial" w:cs="Arial"/>
                <w:sz w:val="20"/>
                <w:szCs w:val="20"/>
              </w:rPr>
              <w:t xml:space="preserve"> (500uL)</w:t>
            </w:r>
            <w:r w:rsidRPr="00144E5C">
              <w:rPr>
                <w:rFonts w:ascii="Arial" w:hAnsi="Arial" w:cs="Arial"/>
                <w:sz w:val="20"/>
                <w:szCs w:val="20"/>
              </w:rPr>
              <w:t xml:space="preserve">. </w:t>
            </w:r>
          </w:p>
          <w:p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Insert the pipette to the bottom of the well in the cartridge and empty the pipette’s content into the cartridge. </w:t>
            </w:r>
          </w:p>
          <w:p w:rsidR="00F97305" w:rsidRPr="00144E5C" w:rsidRDefault="00F97305" w:rsidP="002869BF">
            <w:pPr>
              <w:pStyle w:val="NoSpacing"/>
              <w:ind w:left="360"/>
              <w:jc w:val="left"/>
              <w:rPr>
                <w:rFonts w:ascii="Arial" w:hAnsi="Arial" w:cs="Arial"/>
                <w:sz w:val="20"/>
                <w:szCs w:val="20"/>
              </w:rPr>
            </w:pPr>
          </w:p>
          <w:p w:rsidR="00F97305" w:rsidRPr="00144E5C" w:rsidRDefault="009F35F7" w:rsidP="002869BF">
            <w:pPr>
              <w:pStyle w:val="NoSpacing"/>
              <w:jc w:val="center"/>
              <w:rPr>
                <w:rFonts w:ascii="Arial" w:hAnsi="Arial" w:cs="Arial"/>
                <w:sz w:val="20"/>
                <w:szCs w:val="20"/>
              </w:rPr>
            </w:pPr>
            <w:r>
              <w:rPr>
                <w:noProof/>
              </w:rPr>
              <w:drawing>
                <wp:inline distT="0" distB="0" distL="0" distR="0">
                  <wp:extent cx="2152577" cy="3125522"/>
                  <wp:effectExtent l="0" t="0" r="0" b="0"/>
                  <wp:docPr id="3" name="Picture 3" descr="C:\Users\CE156920\AppData\Local\Temp\SNAGHTMLc82f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156920\AppData\Local\Temp\SNAGHTMLc82f5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545" cy="3153063"/>
                          </a:xfrm>
                          <a:prstGeom prst="rect">
                            <a:avLst/>
                          </a:prstGeom>
                          <a:noFill/>
                          <a:ln>
                            <a:noFill/>
                          </a:ln>
                        </pic:spPr>
                      </pic:pic>
                    </a:graphicData>
                  </a:graphic>
                </wp:inline>
              </w:drawing>
            </w:r>
          </w:p>
          <w:p w:rsidR="00F97305" w:rsidRPr="00144E5C" w:rsidRDefault="00F97305" w:rsidP="002869BF">
            <w:pPr>
              <w:pStyle w:val="NoSpacing"/>
              <w:jc w:val="left"/>
              <w:rPr>
                <w:rFonts w:ascii="Arial" w:hAnsi="Arial" w:cs="Arial"/>
                <w:sz w:val="20"/>
                <w:szCs w:val="20"/>
              </w:rPr>
            </w:pP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rsidR="00F97305" w:rsidRPr="00144E5C" w:rsidRDefault="00F97305" w:rsidP="002869BF">
            <w:pPr>
              <w:pStyle w:val="NoSpacing"/>
              <w:ind w:left="720"/>
              <w:rPr>
                <w:rFonts w:ascii="Arial" w:hAnsi="Arial" w:cs="Arial"/>
                <w:sz w:val="20"/>
                <w:szCs w:val="20"/>
              </w:rPr>
            </w:pP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rsidR="00F97305" w:rsidRPr="00144E5C" w:rsidRDefault="00F97305" w:rsidP="002869BF">
            <w:pPr>
              <w:pStyle w:val="NoSpacing"/>
              <w:rPr>
                <w:rFonts w:ascii="Arial" w:hAnsi="Arial" w:cs="Arial"/>
                <w:sz w:val="20"/>
                <w:szCs w:val="20"/>
              </w:rPr>
            </w:pPr>
          </w:p>
          <w:p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Pr>
                <w:rFonts w:ascii="Arial" w:hAnsi="Arial" w:cs="Arial"/>
                <w:sz w:val="20"/>
                <w:szCs w:val="20"/>
              </w:rPr>
              <w:t>lab1</w:t>
            </w:r>
          </w:p>
          <w:p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labstaff4</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software.</w:t>
            </w:r>
          </w:p>
          <w:p w:rsidR="00F97305" w:rsidRDefault="00F97305" w:rsidP="00F97305">
            <w:pPr>
              <w:pStyle w:val="NoSpacing"/>
              <w:numPr>
                <w:ilvl w:val="1"/>
                <w:numId w:val="8"/>
              </w:numPr>
              <w:jc w:val="left"/>
              <w:rPr>
                <w:rFonts w:ascii="Arial" w:hAnsi="Arial" w:cs="Arial"/>
                <w:sz w:val="20"/>
                <w:szCs w:val="20"/>
              </w:rPr>
            </w:pPr>
            <w:r>
              <w:rPr>
                <w:rFonts w:ascii="Arial" w:hAnsi="Arial" w:cs="Arial"/>
                <w:sz w:val="20"/>
                <w:szCs w:val="20"/>
              </w:rPr>
              <w:t>User: First 6 letters of your first and last name (combined)</w:t>
            </w:r>
          </w:p>
          <w:p w:rsidR="00F97305" w:rsidRPr="00144E5C" w:rsidRDefault="00F97305" w:rsidP="00F97305">
            <w:pPr>
              <w:pStyle w:val="NoSpacing"/>
              <w:numPr>
                <w:ilvl w:val="1"/>
                <w:numId w:val="8"/>
              </w:numPr>
              <w:jc w:val="left"/>
              <w:rPr>
                <w:rFonts w:ascii="Arial" w:hAnsi="Arial" w:cs="Arial"/>
                <w:sz w:val="20"/>
                <w:szCs w:val="20"/>
              </w:rPr>
            </w:pPr>
            <w:r>
              <w:rPr>
                <w:rFonts w:ascii="Arial" w:hAnsi="Arial" w:cs="Arial"/>
                <w:sz w:val="20"/>
                <w:szCs w:val="20"/>
              </w:rPr>
              <w:t>Password: First 6 letters of your first and last name (combined)</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Navigate to the </w:t>
            </w:r>
            <w:r w:rsidRPr="00144E5C">
              <w:rPr>
                <w:rFonts w:ascii="Arial" w:hAnsi="Arial" w:cs="Arial"/>
                <w:b/>
                <w:sz w:val="20"/>
                <w:szCs w:val="20"/>
              </w:rPr>
              <w:t>Sample ID</w:t>
            </w:r>
            <w:r>
              <w:rPr>
                <w:rFonts w:ascii="Arial" w:hAnsi="Arial" w:cs="Arial"/>
                <w:sz w:val="20"/>
                <w:szCs w:val="20"/>
              </w:rPr>
              <w:t xml:space="preserve"> box.  Scan or type in </w:t>
            </w:r>
            <w:r w:rsidRPr="00144E5C">
              <w:rPr>
                <w:rFonts w:ascii="Arial" w:hAnsi="Arial" w:cs="Arial"/>
                <w:sz w:val="20"/>
                <w:szCs w:val="20"/>
              </w:rPr>
              <w:t xml:space="preserve">the sample ID.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Scan the barcode on the cartridge. </w:t>
            </w:r>
          </w:p>
          <w:p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rsidR="00F97305" w:rsidRPr="00144E5C" w:rsidRDefault="0058198F" w:rsidP="00F97305">
            <w:pPr>
              <w:pStyle w:val="NoSpacing"/>
              <w:numPr>
                <w:ilvl w:val="0"/>
                <w:numId w:val="8"/>
              </w:numPr>
              <w:jc w:val="left"/>
              <w:rPr>
                <w:rFonts w:ascii="Arial" w:hAnsi="Arial" w:cs="Arial"/>
                <w:sz w:val="20"/>
                <w:szCs w:val="20"/>
              </w:rPr>
            </w:pPr>
            <w:r>
              <w:rPr>
                <w:rFonts w:ascii="Arial" w:hAnsi="Arial" w:cs="Arial"/>
                <w:sz w:val="20"/>
                <w:szCs w:val="20"/>
              </w:rPr>
              <w:lastRenderedPageBreak/>
              <w:t>If prompted, s</w:t>
            </w:r>
            <w:r w:rsidR="00F97305" w:rsidRPr="0058198F">
              <w:rPr>
                <w:rFonts w:ascii="Arial" w:hAnsi="Arial" w:cs="Arial"/>
                <w:sz w:val="20"/>
                <w:szCs w:val="20"/>
              </w:rPr>
              <w:t xml:space="preserve">elect </w:t>
            </w:r>
            <w:proofErr w:type="spellStart"/>
            <w:r w:rsidR="00F97305" w:rsidRPr="0058198F">
              <w:rPr>
                <w:rFonts w:ascii="Arial" w:hAnsi="Arial" w:cs="Arial"/>
                <w:sz w:val="20"/>
                <w:szCs w:val="20"/>
              </w:rPr>
              <w:t>Xpert</w:t>
            </w:r>
            <w:proofErr w:type="spellEnd"/>
            <w:r w:rsidR="00F97305" w:rsidRPr="0058198F">
              <w:rPr>
                <w:rFonts w:ascii="Arial" w:hAnsi="Arial" w:cs="Arial"/>
                <w:sz w:val="20"/>
                <w:szCs w:val="20"/>
              </w:rPr>
              <w:t xml:space="preserve"> </w:t>
            </w:r>
            <w:r>
              <w:rPr>
                <w:rFonts w:ascii="Arial" w:hAnsi="Arial" w:cs="Arial"/>
                <w:sz w:val="20"/>
                <w:szCs w:val="20"/>
              </w:rPr>
              <w:t>TV</w:t>
            </w:r>
            <w:r w:rsidR="00F97305" w:rsidRPr="00144E5C">
              <w:rPr>
                <w:rFonts w:ascii="Arial" w:hAnsi="Arial" w:cs="Arial"/>
                <w:sz w:val="20"/>
                <w:szCs w:val="20"/>
              </w:rPr>
              <w:t xml:space="preserve"> from the </w:t>
            </w:r>
            <w:r w:rsidR="00F97305" w:rsidRPr="00144E5C">
              <w:rPr>
                <w:rFonts w:ascii="Arial" w:hAnsi="Arial" w:cs="Arial"/>
                <w:b/>
                <w:sz w:val="20"/>
                <w:szCs w:val="20"/>
              </w:rPr>
              <w:t xml:space="preserve">Select Assay MENU.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Select t</w:t>
            </w:r>
            <w:r>
              <w:rPr>
                <w:rFonts w:ascii="Arial" w:hAnsi="Arial" w:cs="Arial"/>
                <w:sz w:val="20"/>
                <w:szCs w:val="20"/>
              </w:rPr>
              <w:t>he appropriate test type for</w:t>
            </w:r>
            <w:r w:rsidRPr="00144E5C">
              <w:rPr>
                <w:rFonts w:ascii="Arial" w:hAnsi="Arial" w:cs="Arial"/>
                <w:sz w:val="20"/>
                <w:szCs w:val="20"/>
              </w:rPr>
              <w:t xml:space="preserve"> samples or controls.</w:t>
            </w:r>
          </w:p>
          <w:p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 in the “notes” field (day of QC, collect date, etc.)</w:t>
            </w:r>
            <w:r>
              <w:rPr>
                <w:rFonts w:ascii="Arial" w:hAnsi="Arial" w:cs="Arial"/>
                <w:sz w:val="20"/>
                <w:szCs w:val="20"/>
              </w:rPr>
              <w:t xml:space="preserve"> if needed.</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Pr="00144E5C">
              <w:rPr>
                <w:rFonts w:ascii="Arial" w:hAnsi="Arial" w:cs="Arial"/>
                <w:sz w:val="20"/>
                <w:szCs w:val="20"/>
              </w:rPr>
              <w:t xml:space="preserve">.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Wait for the test to start and the light to stop blinking.  The test will run for 90 minutes.</w:t>
            </w:r>
          </w:p>
          <w:p w:rsidR="005960E3" w:rsidRDefault="005960E3" w:rsidP="005960E3">
            <w:pPr>
              <w:pStyle w:val="NoSpacing"/>
              <w:ind w:left="720"/>
              <w:jc w:val="left"/>
              <w:rPr>
                <w:rFonts w:ascii="Arial" w:hAnsi="Arial" w:cs="Arial"/>
                <w:sz w:val="20"/>
                <w:szCs w:val="20"/>
              </w:rPr>
            </w:pPr>
            <w:r>
              <w:rPr>
                <w:rFonts w:ascii="Arial" w:hAnsi="Arial" w:cs="Arial"/>
                <w:sz w:val="20"/>
                <w:szCs w:val="20"/>
              </w:rPr>
              <w:t xml:space="preserve">NOTE: </w:t>
            </w:r>
            <w:r w:rsidR="00420669">
              <w:rPr>
                <w:rFonts w:ascii="Arial" w:hAnsi="Arial" w:cs="Arial"/>
                <w:sz w:val="20"/>
                <w:szCs w:val="20"/>
              </w:rPr>
              <w:t>Early assay positive call out can happen as early as 40 minutes into the run</w:t>
            </w:r>
          </w:p>
          <w:p w:rsidR="00F97305" w:rsidRPr="00144E5C" w:rsidRDefault="00F97305" w:rsidP="00F97305">
            <w:pPr>
              <w:pStyle w:val="NoSpacing"/>
              <w:numPr>
                <w:ilvl w:val="0"/>
                <w:numId w:val="8"/>
              </w:numPr>
              <w:jc w:val="left"/>
              <w:rPr>
                <w:rFonts w:ascii="Arial" w:hAnsi="Arial" w:cs="Arial"/>
                <w:sz w:val="20"/>
                <w:szCs w:val="20"/>
              </w:rPr>
            </w:pPr>
            <w:r>
              <w:rPr>
                <w:rFonts w:ascii="Arial" w:hAnsi="Arial" w:cs="Arial"/>
                <w:sz w:val="20"/>
                <w:szCs w:val="20"/>
              </w:rPr>
              <w:t>Turn printer on.</w:t>
            </w:r>
            <w:r w:rsidRPr="00144E5C">
              <w:rPr>
                <w:rFonts w:ascii="Arial" w:hAnsi="Arial" w:cs="Arial"/>
                <w:sz w:val="20"/>
                <w:szCs w:val="20"/>
              </w:rPr>
              <w:t xml:space="preserve"> </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Remove the cartridge when testing is finished (the light will be off and the system will release the door lock).</w:t>
            </w:r>
          </w:p>
          <w:p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Dispose of used cartridges into bio-bags and place into biohazard sharps bins.</w:t>
            </w:r>
          </w:p>
          <w:p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rsidR="00F97305" w:rsidRDefault="00F97305" w:rsidP="002869BF">
            <w:pPr>
              <w:rPr>
                <w:rFonts w:ascii="Arial" w:hAnsi="Arial"/>
                <w:sz w:val="20"/>
              </w:rPr>
            </w:pPr>
          </w:p>
        </w:tc>
      </w:tr>
      <w:tr w:rsidR="00F97305" w:rsidTr="0055247C">
        <w:trPr>
          <w:gridAfter w:val="2"/>
          <w:wAfter w:w="5398" w:type="dxa"/>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br w:type="page"/>
            </w:r>
          </w:p>
          <w:p w:rsidR="00F97305" w:rsidRDefault="00F97305" w:rsidP="002869BF">
            <w:pPr>
              <w:rPr>
                <w:rFonts w:ascii="Arial" w:hAnsi="Arial"/>
                <w:b/>
                <w:color w:val="0000FF"/>
                <w:sz w:val="20"/>
              </w:rPr>
            </w:pPr>
            <w:r>
              <w:rPr>
                <w:rFonts w:ascii="Arial" w:hAnsi="Arial"/>
                <w:b/>
                <w:color w:val="0000FF"/>
                <w:sz w:val="20"/>
              </w:rPr>
              <w:t xml:space="preserve">Interpretation/ Results </w:t>
            </w:r>
          </w:p>
        </w:tc>
        <w:tc>
          <w:tcPr>
            <w:tcW w:w="9365" w:type="dxa"/>
            <w:gridSpan w:val="5"/>
            <w:tcBorders>
              <w:left w:val="nil"/>
              <w:right w:val="nil"/>
            </w:tcBorders>
          </w:tcPr>
          <w:p w:rsidR="0055247C" w:rsidRDefault="0055247C" w:rsidP="0055247C">
            <w:pPr>
              <w:pStyle w:val="NoSpacing"/>
              <w:ind w:left="720"/>
              <w:jc w:val="left"/>
              <w:rPr>
                <w:rFonts w:ascii="Arial" w:hAnsi="Arial" w:cs="Arial"/>
                <w:sz w:val="20"/>
                <w:szCs w:val="20"/>
              </w:rPr>
            </w:pP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w:t>
            </w:r>
            <w:r w:rsidRPr="00BE001F">
              <w:rPr>
                <w:rFonts w:ascii="Arial" w:hAnsi="Arial" w:cs="Arial"/>
                <w:b/>
                <w:sz w:val="20"/>
                <w:szCs w:val="20"/>
              </w:rPr>
              <w:t xml:space="preserve">View Results </w:t>
            </w:r>
            <w:r w:rsidRPr="00BE001F">
              <w:rPr>
                <w:rFonts w:ascii="Arial" w:hAnsi="Arial" w:cs="Arial"/>
                <w:sz w:val="20"/>
                <w:szCs w:val="20"/>
              </w:rPr>
              <w:t xml:space="preserve">on the top drop-down menu bar and select </w:t>
            </w:r>
            <w:r w:rsidRPr="00BE001F">
              <w:rPr>
                <w:rFonts w:ascii="Arial" w:hAnsi="Arial" w:cs="Arial"/>
                <w:b/>
                <w:sz w:val="20"/>
                <w:szCs w:val="20"/>
              </w:rPr>
              <w:t>View Test</w:t>
            </w:r>
            <w:r w:rsidRPr="00BE001F">
              <w:rPr>
                <w:rFonts w:ascii="Arial" w:hAnsi="Arial" w:cs="Arial"/>
                <w:sz w:val="20"/>
                <w:szCs w:val="20"/>
              </w:rPr>
              <w:t>.</w:t>
            </w: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Select the result you would like to review: Click </w:t>
            </w:r>
            <w:r w:rsidRPr="00BE001F">
              <w:rPr>
                <w:rFonts w:ascii="Arial" w:hAnsi="Arial" w:cs="Arial"/>
                <w:b/>
                <w:sz w:val="20"/>
                <w:szCs w:val="20"/>
              </w:rPr>
              <w:t>OK</w:t>
            </w:r>
            <w:r w:rsidRPr="00BE001F">
              <w:rPr>
                <w:rFonts w:ascii="Arial" w:hAnsi="Arial" w:cs="Arial"/>
                <w:sz w:val="20"/>
                <w:szCs w:val="20"/>
              </w:rPr>
              <w:t>.</w:t>
            </w:r>
          </w:p>
          <w:p w:rsidR="00F97305" w:rsidRPr="00BE001F"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Review result interpretations and amplification curves for exponential growth. </w:t>
            </w:r>
          </w:p>
          <w:p w:rsidR="00F97305" w:rsidRPr="00BE001F" w:rsidRDefault="00F97305" w:rsidP="00F97305">
            <w:pPr>
              <w:pStyle w:val="NoSpacing"/>
              <w:numPr>
                <w:ilvl w:val="1"/>
                <w:numId w:val="9"/>
              </w:numPr>
              <w:jc w:val="left"/>
              <w:rPr>
                <w:rFonts w:ascii="Arial" w:hAnsi="Arial" w:cs="Arial"/>
                <w:sz w:val="20"/>
                <w:szCs w:val="20"/>
              </w:rPr>
            </w:pPr>
            <w:r w:rsidRPr="00BE001F">
              <w:rPr>
                <w:rFonts w:ascii="Arial" w:hAnsi="Arial" w:cs="Arial"/>
                <w:sz w:val="20"/>
                <w:szCs w:val="20"/>
              </w:rPr>
              <w:t xml:space="preserve">NOTE: SAC and SPC do not need to pass for a positive result to be valid. </w:t>
            </w:r>
          </w:p>
          <w:p w:rsidR="00F97305" w:rsidRPr="00BE001F" w:rsidRDefault="00F97305" w:rsidP="00F97305">
            <w:pPr>
              <w:pStyle w:val="NoSpacing"/>
              <w:numPr>
                <w:ilvl w:val="1"/>
                <w:numId w:val="9"/>
              </w:numPr>
              <w:jc w:val="left"/>
              <w:rPr>
                <w:rFonts w:ascii="Arial" w:hAnsi="Arial" w:cs="Arial"/>
                <w:sz w:val="20"/>
                <w:szCs w:val="20"/>
              </w:rPr>
            </w:pPr>
            <w:r w:rsidRPr="00BE001F">
              <w:rPr>
                <w:rFonts w:ascii="Arial" w:hAnsi="Arial" w:cs="Arial"/>
                <w:sz w:val="20"/>
                <w:szCs w:val="20"/>
              </w:rPr>
              <w:t>NOTE: SAC and SPC do need to pass for a negative result to be valid.</w:t>
            </w:r>
          </w:p>
          <w:p w:rsidR="00F97305" w:rsidRPr="00BE001F" w:rsidRDefault="00F97305" w:rsidP="002869BF">
            <w:pPr>
              <w:pStyle w:val="NoSpacing"/>
              <w:ind w:left="1440"/>
              <w:jc w:val="left"/>
              <w:rPr>
                <w:rFonts w:ascii="Arial" w:hAnsi="Arial" w:cs="Arial"/>
                <w:sz w:val="20"/>
                <w:szCs w:val="20"/>
              </w:rPr>
            </w:pPr>
          </w:p>
          <w:p w:rsidR="00F97305" w:rsidRPr="00BE001F" w:rsidRDefault="0055247C" w:rsidP="0055247C">
            <w:pPr>
              <w:pStyle w:val="NoSpacing"/>
              <w:jc w:val="center"/>
              <w:rPr>
                <w:rFonts w:ascii="Arial" w:hAnsi="Arial" w:cs="Arial"/>
                <w:sz w:val="20"/>
                <w:szCs w:val="20"/>
              </w:rPr>
            </w:pPr>
            <w:r>
              <w:rPr>
                <w:noProof/>
              </w:rPr>
              <w:drawing>
                <wp:inline distT="0" distB="0" distL="0" distR="0" wp14:anchorId="59E098EC" wp14:editId="05108865">
                  <wp:extent cx="5076825" cy="3338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5851" cy="3344065"/>
                          </a:xfrm>
                          <a:prstGeom prst="rect">
                            <a:avLst/>
                          </a:prstGeom>
                        </pic:spPr>
                      </pic:pic>
                    </a:graphicData>
                  </a:graphic>
                </wp:inline>
              </w:drawing>
            </w:r>
          </w:p>
          <w:p w:rsidR="00F97305" w:rsidRPr="00BE001F" w:rsidRDefault="00F97305" w:rsidP="002869BF">
            <w:pPr>
              <w:pStyle w:val="NoSpacing"/>
              <w:ind w:left="1440"/>
              <w:jc w:val="center"/>
              <w:rPr>
                <w:rFonts w:ascii="Arial" w:hAnsi="Arial" w:cs="Arial"/>
                <w:sz w:val="20"/>
                <w:szCs w:val="20"/>
              </w:rPr>
            </w:pPr>
          </w:p>
          <w:p w:rsidR="00F97305" w:rsidRPr="001E5203" w:rsidRDefault="00F97305" w:rsidP="00F97305">
            <w:pPr>
              <w:pStyle w:val="NoSpacing"/>
              <w:numPr>
                <w:ilvl w:val="0"/>
                <w:numId w:val="9"/>
              </w:numPr>
              <w:jc w:val="left"/>
              <w:rPr>
                <w:rFonts w:ascii="Arial" w:hAnsi="Arial" w:cs="Arial"/>
                <w:sz w:val="20"/>
                <w:szCs w:val="20"/>
              </w:rPr>
            </w:pPr>
            <w:r w:rsidRPr="00BE001F">
              <w:rPr>
                <w:rFonts w:ascii="Arial" w:hAnsi="Arial" w:cs="Arial"/>
                <w:sz w:val="20"/>
                <w:szCs w:val="20"/>
              </w:rPr>
              <w:t xml:space="preserve">Click on the </w:t>
            </w:r>
            <w:r w:rsidRPr="00BE001F">
              <w:rPr>
                <w:rFonts w:ascii="Arial" w:hAnsi="Arial" w:cs="Arial"/>
                <w:b/>
                <w:sz w:val="20"/>
                <w:szCs w:val="20"/>
              </w:rPr>
              <w:t>Errors</w:t>
            </w:r>
            <w:r w:rsidRPr="00BE001F">
              <w:rPr>
                <w:rFonts w:ascii="Arial" w:hAnsi="Arial" w:cs="Arial"/>
                <w:sz w:val="20"/>
                <w:szCs w:val="20"/>
              </w:rPr>
              <w:t xml:space="preserve"> tab to ensure no errors occurred during testing.  (Section 9.18.2 in Operator Manual provides error code descriptions)</w:t>
            </w:r>
          </w:p>
          <w:p w:rsidR="00F97305" w:rsidRPr="00BE001F" w:rsidRDefault="00F97305" w:rsidP="002869BF">
            <w:pPr>
              <w:pStyle w:val="NoSpacing"/>
              <w:rPr>
                <w:rFonts w:ascii="Arial" w:hAnsi="Arial" w:cs="Arial"/>
                <w:b/>
                <w:sz w:val="20"/>
                <w:szCs w:val="20"/>
              </w:rPr>
            </w:pPr>
          </w:p>
          <w:p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INVALID result</w:t>
            </w:r>
            <w:r w:rsidR="0055247C">
              <w:rPr>
                <w:rFonts w:ascii="Arial" w:hAnsi="Arial" w:cs="Arial"/>
                <w:sz w:val="20"/>
                <w:szCs w:val="20"/>
              </w:rPr>
              <w:t xml:space="preserve"> (SPC and/or SAC failure)</w:t>
            </w:r>
            <w:r w:rsidRPr="00BE001F">
              <w:rPr>
                <w:rFonts w:ascii="Arial" w:hAnsi="Arial" w:cs="Arial"/>
                <w:sz w:val="20"/>
                <w:szCs w:val="20"/>
              </w:rPr>
              <w:t>.  This may indicate: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The sample was inadequate.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sample was not properly processed.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lastRenderedPageBreak/>
              <w:t xml:space="preserve">PCR was inhibited. </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An ERROR result.  This may indicate:</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reaction tube was filled improperly.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reagent probe integrity problem was detected.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The maximum pressure limit was exceeded. </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 xml:space="preserve">A valve positioning error was detected. </w:t>
            </w:r>
          </w:p>
          <w:p w:rsidR="00F97305" w:rsidRPr="00BE001F" w:rsidRDefault="00F97305" w:rsidP="00F97305">
            <w:pPr>
              <w:pStyle w:val="NoSpacing"/>
              <w:numPr>
                <w:ilvl w:val="0"/>
                <w:numId w:val="10"/>
              </w:numPr>
              <w:jc w:val="left"/>
              <w:rPr>
                <w:rFonts w:ascii="Arial" w:hAnsi="Arial" w:cs="Arial"/>
                <w:sz w:val="20"/>
                <w:szCs w:val="20"/>
              </w:rPr>
            </w:pPr>
            <w:r w:rsidRPr="00BE001F">
              <w:rPr>
                <w:rFonts w:ascii="Arial" w:hAnsi="Arial" w:cs="Arial"/>
                <w:sz w:val="20"/>
                <w:szCs w:val="20"/>
              </w:rPr>
              <w:t>NO RESULT:</w:t>
            </w:r>
          </w:p>
          <w:p w:rsidR="00F97305" w:rsidRPr="00BE001F" w:rsidRDefault="00F97305" w:rsidP="00F97305">
            <w:pPr>
              <w:pStyle w:val="NoSpacing"/>
              <w:numPr>
                <w:ilvl w:val="1"/>
                <w:numId w:val="10"/>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 test stopped while in progress or power failure occurred</w:t>
            </w:r>
            <w:r>
              <w:rPr>
                <w:rFonts w:ascii="Arial" w:hAnsi="Arial" w:cs="Arial"/>
                <w:sz w:val="20"/>
                <w:szCs w:val="20"/>
              </w:rPr>
              <w:t>).</w:t>
            </w:r>
            <w:r w:rsidRPr="00BE001F">
              <w:rPr>
                <w:rFonts w:ascii="Arial" w:hAnsi="Arial" w:cs="Arial"/>
                <w:sz w:val="20"/>
                <w:szCs w:val="20"/>
              </w:rPr>
              <w:t xml:space="preserve"> </w:t>
            </w:r>
          </w:p>
          <w:p w:rsidR="00F97305" w:rsidRPr="00BE001F" w:rsidRDefault="00F97305" w:rsidP="002869BF">
            <w:pPr>
              <w:pStyle w:val="NoSpacing"/>
              <w:ind w:left="1440"/>
              <w:rPr>
                <w:rFonts w:ascii="Arial" w:hAnsi="Arial" w:cs="Arial"/>
                <w:sz w:val="20"/>
                <w:szCs w:val="20"/>
              </w:rPr>
            </w:pPr>
          </w:p>
          <w:p w:rsidR="00F97305" w:rsidRPr="00BE001F" w:rsidRDefault="00F97305" w:rsidP="002869BF">
            <w:pPr>
              <w:pStyle w:val="NoSpacing"/>
              <w:rPr>
                <w:rFonts w:ascii="Arial" w:hAnsi="Arial" w:cs="Arial"/>
                <w:sz w:val="20"/>
                <w:szCs w:val="20"/>
              </w:rPr>
            </w:pPr>
            <w:r w:rsidRPr="00BE001F">
              <w:rPr>
                <w:rFonts w:ascii="Arial" w:hAnsi="Arial" w:cs="Arial"/>
                <w:sz w:val="20"/>
                <w:szCs w:val="20"/>
              </w:rPr>
              <w:t>NOTE: Record any failures on the “</w:t>
            </w:r>
            <w:proofErr w:type="spellStart"/>
            <w:r w:rsidRPr="00BE001F">
              <w:rPr>
                <w:rFonts w:ascii="Arial" w:hAnsi="Arial" w:cs="Arial"/>
                <w:sz w:val="20"/>
                <w:szCs w:val="20"/>
              </w:rPr>
              <w:t>GeneXpert</w:t>
            </w:r>
            <w:proofErr w:type="spellEnd"/>
            <w:r w:rsidRPr="00BE001F">
              <w:rPr>
                <w:rFonts w:ascii="Arial" w:hAnsi="Arial" w:cs="Arial"/>
                <w:sz w:val="20"/>
                <w:szCs w:val="20"/>
              </w:rPr>
              <w:t xml:space="preserve"> Service and Error Log” log. </w:t>
            </w:r>
          </w:p>
          <w:p w:rsidR="00F97305" w:rsidRDefault="00F97305" w:rsidP="002869BF">
            <w:pPr>
              <w:pStyle w:val="TableText"/>
              <w:autoSpaceDE/>
              <w:autoSpaceDN/>
              <w:rPr>
                <w:rFonts w:ascii="Arial" w:hAnsi="Arial"/>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t>Result Reporting</w:t>
            </w:r>
          </w:p>
          <w:p w:rsidR="00F97305" w:rsidRDefault="00F97305" w:rsidP="002869BF">
            <w:pPr>
              <w:rPr>
                <w:rFonts w:ascii="Arial" w:hAnsi="Arial"/>
                <w:b/>
                <w:color w:val="0000FF"/>
                <w:sz w:val="20"/>
              </w:rPr>
            </w:pPr>
          </w:p>
        </w:tc>
        <w:tc>
          <w:tcPr>
            <w:tcW w:w="9365" w:type="dxa"/>
            <w:gridSpan w:val="5"/>
            <w:tcBorders>
              <w:left w:val="nil"/>
              <w:right w:val="nil"/>
            </w:tcBorders>
          </w:tcPr>
          <w:p w:rsidR="0082374A" w:rsidRDefault="0082374A" w:rsidP="0082374A">
            <w:pPr>
              <w:pStyle w:val="NoSpacing"/>
              <w:ind w:left="720"/>
              <w:jc w:val="left"/>
              <w:rPr>
                <w:rFonts w:ascii="Arial" w:hAnsi="Arial" w:cs="Arial"/>
                <w:sz w:val="20"/>
                <w:szCs w:val="20"/>
              </w:rPr>
            </w:pPr>
          </w:p>
          <w:p w:rsidR="00F97305" w:rsidRPr="00BE001F" w:rsidRDefault="00F97305" w:rsidP="00F97305">
            <w:pPr>
              <w:pStyle w:val="NoSpacing"/>
              <w:numPr>
                <w:ilvl w:val="0"/>
                <w:numId w:val="16"/>
              </w:numPr>
              <w:jc w:val="left"/>
              <w:rPr>
                <w:rFonts w:ascii="Arial" w:hAnsi="Arial" w:cs="Arial"/>
                <w:sz w:val="20"/>
                <w:szCs w:val="20"/>
              </w:rPr>
            </w:pPr>
            <w:r w:rsidRPr="00BE001F">
              <w:rPr>
                <w:rFonts w:ascii="Arial" w:hAnsi="Arial" w:cs="Arial"/>
                <w:sz w:val="20"/>
                <w:szCs w:val="20"/>
              </w:rPr>
              <w:t xml:space="preserve">Ensure that the printer is turned on. </w:t>
            </w:r>
          </w:p>
          <w:p w:rsidR="00F97305" w:rsidRDefault="00F97305" w:rsidP="00F97305">
            <w:pPr>
              <w:pStyle w:val="NoSpacing"/>
              <w:numPr>
                <w:ilvl w:val="1"/>
                <w:numId w:val="16"/>
              </w:numPr>
              <w:jc w:val="left"/>
              <w:rPr>
                <w:rFonts w:ascii="Arial" w:hAnsi="Arial" w:cs="Arial"/>
                <w:sz w:val="20"/>
                <w:szCs w:val="20"/>
              </w:rPr>
            </w:pPr>
            <w:r w:rsidRPr="00BE001F">
              <w:rPr>
                <w:rFonts w:ascii="Arial" w:hAnsi="Arial" w:cs="Arial"/>
                <w:sz w:val="20"/>
                <w:szCs w:val="20"/>
              </w:rPr>
              <w:t>Reports will print automatically.</w:t>
            </w:r>
          </w:p>
          <w:p w:rsidR="000B32C3" w:rsidRPr="000B32C3" w:rsidRDefault="000B32C3" w:rsidP="000B32C3">
            <w:pPr>
              <w:pStyle w:val="NoSpacing"/>
              <w:numPr>
                <w:ilvl w:val="1"/>
                <w:numId w:val="16"/>
              </w:numPr>
              <w:jc w:val="left"/>
              <w:rPr>
                <w:rFonts w:ascii="Arial" w:hAnsi="Arial" w:cs="Arial"/>
                <w:sz w:val="20"/>
                <w:szCs w:val="20"/>
              </w:rPr>
            </w:pPr>
            <w:r>
              <w:rPr>
                <w:rFonts w:ascii="Arial" w:hAnsi="Arial" w:cs="Arial"/>
                <w:sz w:val="20"/>
                <w:szCs w:val="20"/>
              </w:rPr>
              <w:t>Place a large patient label on report.</w:t>
            </w:r>
          </w:p>
          <w:p w:rsidR="00F97305"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Results will automatically transmit to the LIS. </w:t>
            </w:r>
          </w:p>
          <w:p w:rsidR="00F97305"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rsidR="00F97305" w:rsidRDefault="00F97305" w:rsidP="00F97305">
            <w:pPr>
              <w:pStyle w:val="NoSpacing"/>
              <w:numPr>
                <w:ilvl w:val="0"/>
                <w:numId w:val="16"/>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extent cx="753745" cy="815340"/>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753745" cy="815340"/>
                          </a:xfrm>
                          <a:prstGeom prst="rect">
                            <a:avLst/>
                          </a:prstGeom>
                          <a:noFill/>
                          <a:ln w="9525">
                            <a:noFill/>
                            <a:miter lim="800000"/>
                            <a:headEnd/>
                            <a:tailEnd/>
                          </a:ln>
                        </pic:spPr>
                      </pic:pic>
                    </a:graphicData>
                  </a:graphic>
                </wp:inline>
              </w:drawing>
            </w:r>
          </w:p>
          <w:p w:rsidR="00F97305" w:rsidRPr="001E5203" w:rsidRDefault="00F97305" w:rsidP="00F97305">
            <w:pPr>
              <w:pStyle w:val="NoSpacing"/>
              <w:numPr>
                <w:ilvl w:val="0"/>
                <w:numId w:val="16"/>
              </w:numPr>
              <w:jc w:val="left"/>
              <w:rPr>
                <w:rFonts w:ascii="Arial" w:hAnsi="Arial" w:cs="Arial"/>
                <w:sz w:val="20"/>
                <w:szCs w:val="20"/>
              </w:rPr>
            </w:pPr>
            <w:r w:rsidRPr="001E5203">
              <w:rPr>
                <w:rFonts w:ascii="Arial" w:hAnsi="Arial" w:cs="Arial"/>
                <w:sz w:val="20"/>
                <w:szCs w:val="20"/>
              </w:rPr>
              <w:t xml:space="preserve">In the Configuration field select </w:t>
            </w:r>
            <w:r w:rsidRPr="00651AB4">
              <w:rPr>
                <w:rFonts w:ascii="Arial" w:hAnsi="Arial" w:cs="Arial"/>
                <w:sz w:val="20"/>
                <w:szCs w:val="20"/>
              </w:rPr>
              <w:t>CGX</w:t>
            </w:r>
            <w:r w:rsidRPr="001E5203">
              <w:rPr>
                <w:rFonts w:ascii="Arial" w:hAnsi="Arial" w:cs="Arial"/>
                <w:sz w:val="20"/>
                <w:szCs w:val="20"/>
              </w:rPr>
              <w:t xml:space="preserve"> from the dropdown box.</w:t>
            </w:r>
          </w:p>
          <w:p w:rsidR="00F97305"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 xml:space="preserve">Click on the  </w:t>
            </w:r>
            <w:r w:rsidRPr="00545A04">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1" o:title=""/>
                </v:shape>
                <o:OLEObject Type="Embed" ProgID="PBrush" ShapeID="_x0000_i1025" DrawAspect="Content" ObjectID="_1632122799" r:id="rId12"/>
              </w:object>
            </w:r>
            <w:r w:rsidRPr="00D54241">
              <w:rPr>
                <w:rFonts w:ascii="Arial" w:hAnsi="Arial" w:cs="Arial"/>
                <w:sz w:val="20"/>
                <w:szCs w:val="20"/>
              </w:rPr>
              <w:t xml:space="preserve"> button located in the lower right corner to populate the transmitted results.</w:t>
            </w:r>
          </w:p>
          <w:p w:rsidR="00F97305" w:rsidRPr="00545A04" w:rsidRDefault="00F97305" w:rsidP="002869BF">
            <w:pPr>
              <w:rPr>
                <w:rFonts w:ascii="Arial" w:hAnsi="Arial" w:cs="Arial"/>
                <w:sz w:val="20"/>
                <w:szCs w:val="20"/>
              </w:rPr>
            </w:pPr>
          </w:p>
          <w:p w:rsidR="00F97305" w:rsidRPr="0055247C" w:rsidRDefault="00F97305" w:rsidP="002869BF">
            <w:pPr>
              <w:pStyle w:val="ListParagraph"/>
              <w:numPr>
                <w:ilvl w:val="0"/>
                <w:numId w:val="16"/>
              </w:numPr>
              <w:rPr>
                <w:rFonts w:ascii="Arial" w:hAnsi="Arial" w:cs="Arial"/>
                <w:sz w:val="20"/>
                <w:szCs w:val="20"/>
              </w:rPr>
            </w:pPr>
            <w:r w:rsidRPr="00D54241">
              <w:rPr>
                <w:rFonts w:ascii="Arial" w:hAnsi="Arial" w:cs="Arial"/>
                <w:sz w:val="20"/>
                <w:szCs w:val="20"/>
              </w:rPr>
              <w:t xml:space="preserve"> Review messages located on the top and results. Compare results to the GeneXpert report.</w:t>
            </w:r>
          </w:p>
          <w:p w:rsidR="00F97305" w:rsidRDefault="00F97305" w:rsidP="002869BF">
            <w:pPr>
              <w:rPr>
                <w:rFonts w:ascii="Arial" w:hAnsi="Arial" w:cs="Arial"/>
                <w:sz w:val="20"/>
                <w:szCs w:val="20"/>
              </w:rPr>
            </w:pPr>
          </w:p>
          <w:p w:rsidR="00F97305" w:rsidRPr="00BE001F" w:rsidRDefault="00F97305" w:rsidP="002869BF">
            <w:pPr>
              <w:pStyle w:val="NoSpacing"/>
              <w:ind w:left="720"/>
              <w:jc w:val="left"/>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p>
        </w:tc>
        <w:tc>
          <w:tcPr>
            <w:tcW w:w="9365" w:type="dxa"/>
            <w:gridSpan w:val="5"/>
            <w:tcBorders>
              <w:left w:val="nil"/>
              <w:right w:val="nil"/>
            </w:tcBorders>
          </w:tcPr>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extent cx="647700" cy="600075"/>
                  <wp:effectExtent l="1905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 xml:space="preserve">Click  </w:t>
            </w:r>
            <w:r w:rsidRPr="00545A04">
              <w:object w:dxaOrig="1140" w:dyaOrig="420">
                <v:shape id="_x0000_i1026" type="#_x0000_t75" style="width:42.75pt;height:15.75pt" o:ole="">
                  <v:imagedata r:id="rId14" o:title=""/>
                </v:shape>
                <o:OLEObject Type="Embed" ProgID="PBrush" ShapeID="_x0000_i1026" DrawAspect="Content" ObjectID="_1632122800" r:id="rId15"/>
              </w:object>
            </w:r>
            <w:r w:rsidRPr="00D54241">
              <w:rPr>
                <w:rFonts w:ascii="Arial" w:hAnsi="Arial" w:cs="Arial"/>
                <w:sz w:val="20"/>
                <w:szCs w:val="20"/>
              </w:rPr>
              <w:t xml:space="preserve">  button located on the lower left corner. Click </w:t>
            </w:r>
            <w:r w:rsidRPr="00545A04">
              <w:rPr>
                <w:noProof/>
              </w:rPr>
              <w:drawing>
                <wp:inline distT="0" distB="0" distL="0" distR="0">
                  <wp:extent cx="628650" cy="238125"/>
                  <wp:effectExtent l="1905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rsidR="00F97305" w:rsidRPr="00545A04"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Call a completed worksheet for</w:t>
            </w:r>
            <w:r w:rsidR="00651AB4">
              <w:rPr>
                <w:rFonts w:ascii="Arial" w:hAnsi="Arial" w:cs="Arial"/>
                <w:sz w:val="20"/>
                <w:szCs w:val="20"/>
              </w:rPr>
              <w:t xml:space="preserve"> TVPCR</w:t>
            </w:r>
            <w:r w:rsidRPr="00D54241">
              <w:rPr>
                <w:rFonts w:ascii="Arial" w:hAnsi="Arial" w:cs="Arial"/>
                <w:sz w:val="20"/>
                <w:szCs w:val="20"/>
              </w:rPr>
              <w:t>, ch</w:t>
            </w:r>
            <w:r>
              <w:rPr>
                <w:rFonts w:ascii="Arial" w:hAnsi="Arial" w:cs="Arial"/>
                <w:sz w:val="20"/>
                <w:szCs w:val="20"/>
              </w:rPr>
              <w:t>eck results, and staple to GeneX</w:t>
            </w:r>
            <w:r w:rsidRPr="00D54241">
              <w:rPr>
                <w:rFonts w:ascii="Arial" w:hAnsi="Arial" w:cs="Arial"/>
                <w:sz w:val="20"/>
                <w:szCs w:val="20"/>
              </w:rPr>
              <w:t xml:space="preserve">pert Report. Place in the GeneXpert </w:t>
            </w:r>
            <w:r w:rsidR="0055247C">
              <w:rPr>
                <w:rFonts w:ascii="Arial" w:hAnsi="Arial" w:cs="Arial"/>
                <w:sz w:val="20"/>
                <w:szCs w:val="20"/>
              </w:rPr>
              <w:t>TV</w:t>
            </w:r>
            <w:r w:rsidRPr="00D54241">
              <w:rPr>
                <w:rFonts w:ascii="Arial" w:hAnsi="Arial" w:cs="Arial"/>
                <w:sz w:val="20"/>
                <w:szCs w:val="20"/>
              </w:rPr>
              <w:t xml:space="preserve"> result binder.</w:t>
            </w:r>
          </w:p>
          <w:p w:rsidR="00F97305" w:rsidRDefault="00F97305" w:rsidP="002869BF">
            <w:pPr>
              <w:rPr>
                <w:rFonts w:ascii="Arial" w:hAnsi="Arial" w:cs="Arial"/>
                <w:sz w:val="20"/>
                <w:szCs w:val="20"/>
              </w:rPr>
            </w:pPr>
          </w:p>
          <w:p w:rsidR="00F97305" w:rsidRPr="00D54241" w:rsidRDefault="00F97305" w:rsidP="00F97305">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rsidR="00F97305" w:rsidRDefault="00F97305" w:rsidP="00F97305">
            <w:pPr>
              <w:pStyle w:val="NoSpacing"/>
              <w:numPr>
                <w:ilvl w:val="1"/>
                <w:numId w:val="16"/>
              </w:numPr>
              <w:jc w:val="left"/>
              <w:rPr>
                <w:rFonts w:ascii="Arial" w:hAnsi="Arial" w:cs="Arial"/>
                <w:sz w:val="20"/>
                <w:szCs w:val="20"/>
              </w:rPr>
            </w:pPr>
            <w:r w:rsidRPr="00545A04">
              <w:rPr>
                <w:rFonts w:ascii="Arial" w:hAnsi="Arial" w:cs="Arial"/>
                <w:sz w:val="20"/>
                <w:szCs w:val="20"/>
              </w:rPr>
              <w:t>Mark positive samples on side of caps (</w:t>
            </w:r>
            <w:r w:rsidR="0055247C" w:rsidRPr="0055247C">
              <w:rPr>
                <w:rFonts w:ascii="Arial" w:hAnsi="Arial" w:cs="Arial"/>
                <w:color w:val="FF0000"/>
                <w:sz w:val="20"/>
                <w:szCs w:val="20"/>
              </w:rPr>
              <w:t>red</w:t>
            </w:r>
            <w:r w:rsidR="0055247C">
              <w:rPr>
                <w:rFonts w:ascii="Arial" w:hAnsi="Arial" w:cs="Arial"/>
                <w:sz w:val="20"/>
                <w:szCs w:val="20"/>
              </w:rPr>
              <w:t xml:space="preserve"> marker line for TV positive</w:t>
            </w:r>
            <w:r w:rsidRPr="00545A04">
              <w:rPr>
                <w:rFonts w:ascii="Arial" w:hAnsi="Arial" w:cs="Arial"/>
                <w:sz w:val="20"/>
                <w:szCs w:val="20"/>
              </w:rPr>
              <w:t>).</w:t>
            </w:r>
          </w:p>
          <w:p w:rsidR="00F97305" w:rsidRDefault="00F97305" w:rsidP="002869BF">
            <w:pPr>
              <w:pStyle w:val="NoSpacing"/>
              <w:jc w:val="left"/>
              <w:rPr>
                <w:rFonts w:ascii="Arial" w:hAnsi="Arial" w:cs="Arial"/>
                <w:sz w:val="20"/>
                <w:szCs w:val="20"/>
              </w:rPr>
            </w:pPr>
          </w:p>
          <w:p w:rsidR="00F97305" w:rsidRPr="00982550" w:rsidRDefault="00F97305" w:rsidP="00F97305">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2 weeks.  </w:t>
            </w:r>
          </w:p>
          <w:p w:rsidR="00F97305" w:rsidRPr="00BE001F" w:rsidRDefault="00F97305" w:rsidP="002869BF">
            <w:pPr>
              <w:pStyle w:val="NoSpacing"/>
              <w:ind w:left="720"/>
              <w:jc w:val="left"/>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Critical Results</w:t>
            </w:r>
          </w:p>
        </w:tc>
        <w:tc>
          <w:tcPr>
            <w:tcW w:w="9365" w:type="dxa"/>
            <w:gridSpan w:val="5"/>
            <w:tcBorders>
              <w:left w:val="nil"/>
              <w:right w:val="nil"/>
            </w:tcBorders>
          </w:tcPr>
          <w:p w:rsidR="00F97305" w:rsidRDefault="00F97305" w:rsidP="002869BF">
            <w:pPr>
              <w:rPr>
                <w:rFonts w:ascii="Arial" w:hAnsi="Arial" w:cs="Arial"/>
                <w:sz w:val="20"/>
                <w:szCs w:val="20"/>
              </w:rPr>
            </w:pPr>
          </w:p>
          <w:p w:rsidR="00F97305" w:rsidRPr="00545A04" w:rsidRDefault="0055247C" w:rsidP="002869BF">
            <w:pPr>
              <w:rPr>
                <w:rFonts w:ascii="Arial" w:hAnsi="Arial" w:cs="Arial"/>
                <w:sz w:val="20"/>
                <w:szCs w:val="20"/>
              </w:rPr>
            </w:pPr>
            <w:r>
              <w:rPr>
                <w:rFonts w:ascii="Arial" w:hAnsi="Arial" w:cs="Arial"/>
                <w:sz w:val="20"/>
                <w:szCs w:val="20"/>
              </w:rPr>
              <w:t xml:space="preserve">No critical result values. </w:t>
            </w:r>
          </w:p>
          <w:p w:rsidR="00F97305" w:rsidRPr="00545A04" w:rsidRDefault="00F97305" w:rsidP="002869BF">
            <w:pPr>
              <w:rPr>
                <w:rFonts w:ascii="Arial" w:hAnsi="Arial" w:cs="Arial"/>
                <w:sz w:val="20"/>
                <w:szCs w:val="20"/>
              </w:rPr>
            </w:pPr>
          </w:p>
        </w:tc>
      </w:tr>
      <w:tr w:rsidR="00F97305" w:rsidTr="002869BF">
        <w:trPr>
          <w:gridAfter w:val="2"/>
          <w:wAfter w:w="5398" w:type="dxa"/>
          <w:cantSplit/>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lastRenderedPageBreak/>
              <w:t>Invalid Results</w:t>
            </w:r>
          </w:p>
        </w:tc>
        <w:tc>
          <w:tcPr>
            <w:tcW w:w="9365" w:type="dxa"/>
            <w:gridSpan w:val="5"/>
            <w:tcBorders>
              <w:left w:val="nil"/>
              <w:right w:val="nil"/>
            </w:tcBorders>
          </w:tcPr>
          <w:p w:rsidR="00F97305" w:rsidRPr="00545A04" w:rsidRDefault="00F97305" w:rsidP="002869BF">
            <w:pPr>
              <w:rPr>
                <w:rFonts w:ascii="Arial" w:hAnsi="Arial" w:cs="Arial"/>
                <w:sz w:val="20"/>
                <w:szCs w:val="20"/>
              </w:rPr>
            </w:pPr>
          </w:p>
          <w:p w:rsidR="00F97305" w:rsidRPr="00545A04" w:rsidRDefault="00F97305" w:rsidP="00F97305">
            <w:pPr>
              <w:pStyle w:val="ListParagraph"/>
              <w:numPr>
                <w:ilvl w:val="0"/>
                <w:numId w:val="18"/>
              </w:numPr>
              <w:jc w:val="left"/>
              <w:rPr>
                <w:rFonts w:ascii="Arial" w:hAnsi="Arial" w:cs="Arial"/>
                <w:sz w:val="20"/>
                <w:szCs w:val="20"/>
              </w:rPr>
            </w:pPr>
            <w:r w:rsidRPr="00545A04">
              <w:rPr>
                <w:rFonts w:ascii="Arial" w:hAnsi="Arial" w:cs="Arial"/>
                <w:sz w:val="20"/>
                <w:szCs w:val="20"/>
              </w:rPr>
              <w:t xml:space="preserve">IF an invalid result is repeated AND a </w:t>
            </w:r>
            <w:r w:rsidRPr="00545A04">
              <w:rPr>
                <w:rFonts w:ascii="Arial" w:hAnsi="Arial" w:cs="Arial"/>
                <w:b/>
                <w:sz w:val="20"/>
                <w:szCs w:val="20"/>
              </w:rPr>
              <w:t>valid</w:t>
            </w:r>
            <w:r w:rsidRPr="00545A04">
              <w:rPr>
                <w:rFonts w:ascii="Arial" w:hAnsi="Arial" w:cs="Arial"/>
                <w:sz w:val="20"/>
                <w:szCs w:val="20"/>
              </w:rPr>
              <w:t xml:space="preserve"> result is obtained, select and only release the valid result interpretation in the LIS. </w:t>
            </w:r>
          </w:p>
          <w:p w:rsidR="00F97305" w:rsidRPr="00545A04" w:rsidRDefault="00F97305" w:rsidP="002869BF">
            <w:pPr>
              <w:rPr>
                <w:rFonts w:ascii="Arial" w:hAnsi="Arial" w:cs="Arial"/>
                <w:sz w:val="20"/>
                <w:szCs w:val="20"/>
              </w:rPr>
            </w:pPr>
          </w:p>
          <w:p w:rsidR="00F97305" w:rsidRPr="00545A04" w:rsidRDefault="00F97305" w:rsidP="00F97305">
            <w:pPr>
              <w:pStyle w:val="ListParagraph"/>
              <w:numPr>
                <w:ilvl w:val="0"/>
                <w:numId w:val="18"/>
              </w:numPr>
              <w:jc w:val="left"/>
              <w:rPr>
                <w:rFonts w:ascii="Arial" w:hAnsi="Arial" w:cs="Arial"/>
                <w:sz w:val="20"/>
                <w:szCs w:val="20"/>
              </w:rPr>
            </w:pPr>
            <w:r w:rsidRPr="00545A04">
              <w:rPr>
                <w:rFonts w:ascii="Arial" w:hAnsi="Arial" w:cs="Arial"/>
                <w:sz w:val="20"/>
                <w:szCs w:val="20"/>
              </w:rPr>
              <w:t xml:space="preserve">IF an invalid result is repeated AND an </w:t>
            </w:r>
            <w:r w:rsidRPr="00545A04">
              <w:rPr>
                <w:rFonts w:ascii="Arial" w:hAnsi="Arial" w:cs="Arial"/>
                <w:b/>
                <w:sz w:val="20"/>
                <w:szCs w:val="20"/>
              </w:rPr>
              <w:t>invalid</w:t>
            </w:r>
            <w:r w:rsidRPr="00545A04">
              <w:rPr>
                <w:rFonts w:ascii="Arial" w:hAnsi="Arial" w:cs="Arial"/>
                <w:sz w:val="20"/>
                <w:szCs w:val="20"/>
              </w:rPr>
              <w:t xml:space="preserve"> result is obtained, select only one of the invalid results to verify.  The provider must be notified of these results.  </w:t>
            </w:r>
          </w:p>
          <w:p w:rsidR="00F97305" w:rsidRPr="00545A04" w:rsidRDefault="00F97305" w:rsidP="002869BF">
            <w:pPr>
              <w:pStyle w:val="ListParagraph"/>
              <w:rPr>
                <w:rFonts w:ascii="Arial" w:hAnsi="Arial" w:cs="Arial"/>
                <w:sz w:val="20"/>
                <w:szCs w:val="20"/>
              </w:rPr>
            </w:pPr>
          </w:p>
          <w:p w:rsidR="00F97305" w:rsidRPr="00545A04" w:rsidRDefault="00F97305" w:rsidP="002869BF">
            <w:pPr>
              <w:pStyle w:val="ListParagraph"/>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rsidR="00F97305" w:rsidRPr="00545A04" w:rsidRDefault="00F97305" w:rsidP="002869BF">
            <w:pPr>
              <w:pStyle w:val="ListParagraph"/>
              <w:rPr>
                <w:rFonts w:ascii="Arial" w:hAnsi="Arial" w:cs="Arial"/>
                <w:sz w:val="20"/>
                <w:szCs w:val="20"/>
              </w:rPr>
            </w:pPr>
          </w:p>
          <w:p w:rsidR="00F97305" w:rsidRPr="00545A04" w:rsidRDefault="00F97305" w:rsidP="0055247C">
            <w:pPr>
              <w:pStyle w:val="ListParagraph"/>
              <w:rPr>
                <w:rFonts w:ascii="Arial" w:hAnsi="Arial" w:cs="Arial"/>
                <w:sz w:val="20"/>
                <w:szCs w:val="20"/>
              </w:rPr>
            </w:pPr>
            <w:r w:rsidRPr="00545A04">
              <w:rPr>
                <w:rFonts w:ascii="Arial" w:hAnsi="Arial" w:cs="Arial"/>
                <w:sz w:val="20"/>
                <w:szCs w:val="20"/>
              </w:rPr>
              <w:t xml:space="preserve">Add the code CAL, press tab, enter semi-colon record who the result was relayed to and the date/time.   </w:t>
            </w:r>
            <w:r w:rsidRPr="00545A04">
              <w:rPr>
                <w:rFonts w:ascii="Arial" w:hAnsi="Arial" w:cs="Arial"/>
                <w:noProof/>
                <w:sz w:val="20"/>
                <w:szCs w:val="20"/>
              </w:rPr>
              <w:t xml:space="preserve"> </w:t>
            </w:r>
          </w:p>
          <w:p w:rsidR="00F97305" w:rsidRDefault="00F97305" w:rsidP="002869BF">
            <w:pPr>
              <w:rPr>
                <w:rFonts w:ascii="Arial" w:hAnsi="Arial" w:cs="Arial"/>
                <w:sz w:val="20"/>
                <w:szCs w:val="20"/>
              </w:rPr>
            </w:pPr>
          </w:p>
        </w:tc>
      </w:tr>
      <w:tr w:rsidR="00F97305" w:rsidTr="002869BF">
        <w:trPr>
          <w:gridAfter w:val="2"/>
          <w:wAfter w:w="5398" w:type="dxa"/>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r>
              <w:rPr>
                <w:rFonts w:ascii="Arial" w:hAnsi="Arial"/>
                <w:b/>
                <w:color w:val="0000FF"/>
                <w:sz w:val="20"/>
              </w:rPr>
              <w:t>Correcting Results</w:t>
            </w:r>
          </w:p>
        </w:tc>
        <w:tc>
          <w:tcPr>
            <w:tcW w:w="9365" w:type="dxa"/>
            <w:gridSpan w:val="5"/>
            <w:tcBorders>
              <w:left w:val="nil"/>
              <w:right w:val="nil"/>
            </w:tcBorders>
          </w:tcPr>
          <w:p w:rsidR="00F97305" w:rsidRPr="00545A04" w:rsidRDefault="00F97305" w:rsidP="002869BF">
            <w:pPr>
              <w:rPr>
                <w:rFonts w:ascii="Arial" w:hAnsi="Arial" w:cs="Arial"/>
                <w:color w:val="FF0000"/>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sidR="0055247C">
              <w:rPr>
                <w:rFonts w:ascii="Arial" w:hAnsi="Arial" w:cs="Arial"/>
                <w:sz w:val="20"/>
                <w:szCs w:val="20"/>
              </w:rPr>
              <w:t>the TV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rsidR="00F97305" w:rsidRPr="00545A04" w:rsidRDefault="00F97305" w:rsidP="002869BF">
            <w:pPr>
              <w:rPr>
                <w:rFonts w:ascii="Arial" w:hAnsi="Arial" w:cs="Arial"/>
                <w:color w:val="FF0000"/>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Enter the Specimen ID, enter Tab and click Yes to modify the result.</w:t>
            </w:r>
          </w:p>
          <w:p w:rsidR="00F97305" w:rsidRPr="00545A04" w:rsidRDefault="00F97305" w:rsidP="002869BF">
            <w:pPr>
              <w:rPr>
                <w:rFonts w:ascii="Arial" w:hAnsi="Arial" w:cs="Arial"/>
                <w:color w:val="FF0000"/>
                <w:sz w:val="20"/>
                <w:szCs w:val="20"/>
              </w:rPr>
            </w:pPr>
          </w:p>
          <w:p w:rsidR="00F97305" w:rsidRPr="00545A04" w:rsidRDefault="00F97305" w:rsidP="002869BF">
            <w:pPr>
              <w:rPr>
                <w:rFonts w:ascii="Arial" w:hAnsi="Arial" w:cs="Arial"/>
                <w:color w:val="FF0000"/>
                <w:sz w:val="20"/>
                <w:szCs w:val="20"/>
              </w:rPr>
            </w:pPr>
            <w:r w:rsidRPr="00545A04">
              <w:rPr>
                <w:rFonts w:ascii="Arial" w:hAnsi="Arial" w:cs="Arial"/>
                <w:noProof/>
                <w:color w:val="FF0000"/>
                <w:sz w:val="20"/>
                <w:szCs w:val="20"/>
              </w:rPr>
              <w:drawing>
                <wp:inline distT="0" distB="0" distL="0" distR="0">
                  <wp:extent cx="5486400" cy="1978090"/>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5486400" cy="1978090"/>
                          </a:xfrm>
                          <a:prstGeom prst="rect">
                            <a:avLst/>
                          </a:prstGeom>
                          <a:noFill/>
                          <a:ln w="9525">
                            <a:noFill/>
                            <a:miter lim="800000"/>
                            <a:headEnd/>
                            <a:tailEnd/>
                          </a:ln>
                        </pic:spPr>
                      </pic:pic>
                    </a:graphicData>
                  </a:graphic>
                </wp:inline>
              </w:drawing>
            </w:r>
          </w:p>
          <w:p w:rsidR="00F97305" w:rsidRDefault="00F97305" w:rsidP="002869BF">
            <w:pPr>
              <w:rPr>
                <w:rFonts w:ascii="Arial" w:hAnsi="Arial" w:cs="Arial"/>
                <w:sz w:val="20"/>
                <w:szCs w:val="20"/>
              </w:rPr>
            </w:pPr>
          </w:p>
        </w:tc>
      </w:tr>
      <w:tr w:rsidR="00F97305" w:rsidTr="0055247C">
        <w:trPr>
          <w:gridAfter w:val="2"/>
          <w:wAfter w:w="5398" w:type="dxa"/>
          <w:trHeight w:val="541"/>
        </w:trPr>
        <w:tc>
          <w:tcPr>
            <w:tcW w:w="1797" w:type="dxa"/>
            <w:tcBorders>
              <w:top w:val="nil"/>
              <w:left w:val="nil"/>
              <w:bottom w:val="nil"/>
              <w:right w:val="nil"/>
            </w:tcBorders>
          </w:tcPr>
          <w:p w:rsidR="00F97305" w:rsidRDefault="00F97305" w:rsidP="002869BF">
            <w:pPr>
              <w:rPr>
                <w:rFonts w:ascii="Arial" w:hAnsi="Arial"/>
                <w:b/>
                <w:color w:val="0000FF"/>
                <w:sz w:val="20"/>
              </w:rPr>
            </w:pPr>
          </w:p>
        </w:tc>
        <w:tc>
          <w:tcPr>
            <w:tcW w:w="9365" w:type="dxa"/>
            <w:gridSpan w:val="5"/>
            <w:tcBorders>
              <w:left w:val="nil"/>
              <w:right w:val="nil"/>
            </w:tcBorders>
          </w:tcPr>
          <w:p w:rsidR="00F97305" w:rsidRDefault="00F97305" w:rsidP="002869BF">
            <w:pPr>
              <w:pStyle w:val="ListParagraph"/>
              <w:jc w:val="left"/>
              <w:rPr>
                <w:rFonts w:ascii="Arial" w:hAnsi="Arial" w:cs="Arial"/>
                <w:sz w:val="20"/>
                <w:szCs w:val="20"/>
              </w:rPr>
            </w:pP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rsidR="00F97305" w:rsidRPr="00545A04" w:rsidRDefault="00F97305" w:rsidP="002869BF">
            <w:pPr>
              <w:rPr>
                <w:rFonts w:ascii="Arial" w:hAnsi="Arial" w:cs="Arial"/>
                <w:sz w:val="20"/>
                <w:szCs w:val="20"/>
              </w:rPr>
            </w:pPr>
            <w:r w:rsidRPr="00545A04">
              <w:rPr>
                <w:rFonts w:ascii="Arial" w:hAnsi="Arial" w:cs="Arial"/>
                <w:sz w:val="20"/>
                <w:szCs w:val="20"/>
              </w:rPr>
              <w:t xml:space="preserve"> </w:t>
            </w:r>
          </w:p>
          <w:p w:rsidR="00F97305" w:rsidRPr="00545A04" w:rsidRDefault="00F97305"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rsidR="00F97305" w:rsidRPr="00545A04" w:rsidRDefault="00F97305" w:rsidP="002869BF">
            <w:pPr>
              <w:rPr>
                <w:rFonts w:ascii="Arial" w:hAnsi="Arial" w:cs="Arial"/>
                <w:color w:val="FF0000"/>
                <w:sz w:val="20"/>
                <w:szCs w:val="20"/>
              </w:rPr>
            </w:pPr>
          </w:p>
        </w:tc>
      </w:tr>
      <w:tr w:rsidR="00F97305" w:rsidTr="002869BF">
        <w:trPr>
          <w:gridAfter w:val="2"/>
          <w:wAfter w:w="5398" w:type="dxa"/>
          <w:cantSplit/>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Limitations</w:t>
            </w:r>
          </w:p>
          <w:p w:rsidR="00F97305" w:rsidRDefault="00F97305" w:rsidP="002869BF">
            <w:pPr>
              <w:rPr>
                <w:rFonts w:ascii="Arial" w:hAnsi="Arial"/>
                <w:b/>
                <w:color w:val="0000FF"/>
                <w:sz w:val="20"/>
              </w:rPr>
            </w:pPr>
          </w:p>
        </w:tc>
        <w:tc>
          <w:tcPr>
            <w:tcW w:w="9365" w:type="dxa"/>
            <w:gridSpan w:val="5"/>
            <w:tcBorders>
              <w:left w:val="nil"/>
              <w:right w:val="nil"/>
            </w:tcBorders>
          </w:tcPr>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only been validated with the following specimen types, collected with the Xpert Vaginal/Endocervical Specimen Collection Kit or the Xpert Urine Specimen Collection Kit:</w:t>
            </w:r>
            <w:r w:rsidR="00BC3844">
              <w:rPr>
                <w:rFonts w:ascii="Arial" w:eastAsiaTheme="minorHAnsi" w:hAnsi="Arial" w:cs="Arial"/>
                <w:sz w:val="20"/>
                <w:szCs w:val="20"/>
              </w:rPr>
              <w:t xml:space="preserve"> Endocervical swabs, </w:t>
            </w:r>
            <w:r w:rsidRPr="00BC3844">
              <w:rPr>
                <w:rFonts w:ascii="Arial" w:eastAsiaTheme="minorHAnsi" w:hAnsi="Arial" w:cs="Arial"/>
                <w:sz w:val="20"/>
                <w:szCs w:val="20"/>
              </w:rPr>
              <w:t>Patient-collected vaginal swabs</w:t>
            </w:r>
            <w:r w:rsidR="00BC3844">
              <w:rPr>
                <w:rFonts w:ascii="Arial" w:eastAsiaTheme="minorHAnsi" w:hAnsi="Arial" w:cs="Arial"/>
                <w:sz w:val="20"/>
                <w:szCs w:val="20"/>
              </w:rPr>
              <w:t xml:space="preserve">, </w:t>
            </w:r>
            <w:r w:rsidRPr="00BC3844">
              <w:rPr>
                <w:rFonts w:ascii="Arial" w:eastAsiaTheme="minorHAnsi" w:hAnsi="Arial" w:cs="Arial"/>
                <w:sz w:val="20"/>
                <w:szCs w:val="20"/>
              </w:rPr>
              <w:t>Female and male first-catch urine</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A negative test result does not exclude the possibility of infection because test results may be affected by improper specimen</w:t>
            </w:r>
            <w:r w:rsidR="00BC3844">
              <w:rPr>
                <w:rFonts w:ascii="Arial" w:eastAsiaTheme="minorHAnsi" w:hAnsi="Arial" w:cs="Arial"/>
                <w:sz w:val="20"/>
                <w:szCs w:val="20"/>
              </w:rPr>
              <w:t xml:space="preserve"> </w:t>
            </w:r>
            <w:r w:rsidRPr="00BC3844">
              <w:rPr>
                <w:rFonts w:ascii="Arial" w:eastAsiaTheme="minorHAnsi" w:hAnsi="Arial" w:cs="Arial"/>
                <w:sz w:val="20"/>
                <w:szCs w:val="20"/>
              </w:rPr>
              <w:t>collection, technical error, sample mix-up, or because the number of organisms in the sample is below the limit of detection</w:t>
            </w:r>
            <w:r w:rsidR="00BC3844">
              <w:rPr>
                <w:rFonts w:ascii="Arial" w:eastAsiaTheme="minorHAnsi" w:hAnsi="Arial" w:cs="Arial"/>
                <w:sz w:val="20"/>
                <w:szCs w:val="20"/>
              </w:rPr>
              <w:t xml:space="preserve"> </w:t>
            </w:r>
            <w:r w:rsidRPr="00BC3844">
              <w:rPr>
                <w:rFonts w:ascii="Arial" w:eastAsiaTheme="minorHAnsi" w:hAnsi="Arial" w:cs="Arial"/>
                <w:sz w:val="20"/>
                <w:szCs w:val="20"/>
              </w:rPr>
              <w:t>of the test.</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 Careful compliance with the instructions in this package insert and in the Xpert Vaginal/Endocervical Specimen Collection</w:t>
            </w:r>
            <w:r w:rsidR="00BC3844">
              <w:rPr>
                <w:rFonts w:ascii="Arial" w:eastAsiaTheme="minorHAnsi" w:hAnsi="Arial" w:cs="Arial"/>
                <w:sz w:val="20"/>
                <w:szCs w:val="20"/>
              </w:rPr>
              <w:t xml:space="preserve"> </w:t>
            </w:r>
            <w:r w:rsidRPr="00BC3844">
              <w:rPr>
                <w:rFonts w:ascii="Arial" w:eastAsiaTheme="minorHAnsi" w:hAnsi="Arial" w:cs="Arial"/>
                <w:sz w:val="20"/>
                <w:szCs w:val="20"/>
              </w:rPr>
              <w:t>Kit and Xpert Urine Specimen Collection Kit package inserts is necessary to avoid erroneous results.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been validated using the procedures provided in this package insert only. Modifications to these</w:t>
            </w:r>
            <w:r w:rsidR="00BC3844">
              <w:rPr>
                <w:rFonts w:ascii="Arial" w:eastAsiaTheme="minorHAnsi" w:hAnsi="Arial" w:cs="Arial"/>
                <w:sz w:val="20"/>
                <w:szCs w:val="20"/>
              </w:rPr>
              <w:t xml:space="preserve"> </w:t>
            </w:r>
            <w:r w:rsidRPr="00BC3844">
              <w:rPr>
                <w:rFonts w:ascii="Arial" w:eastAsiaTheme="minorHAnsi" w:hAnsi="Arial" w:cs="Arial"/>
                <w:sz w:val="20"/>
                <w:szCs w:val="20"/>
              </w:rPr>
              <w:t>procedures may alter the performance of the test.</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Because the detection of </w:t>
            </w:r>
            <w:r w:rsidRPr="00BC3844">
              <w:rPr>
                <w:rFonts w:ascii="Arial" w:eastAsiaTheme="minorHAnsi" w:hAnsi="Arial" w:cs="Arial"/>
                <w:i/>
                <w:iCs/>
                <w:sz w:val="20"/>
                <w:szCs w:val="20"/>
              </w:rPr>
              <w:t xml:space="preserve">Trichomonas vaginalis </w:t>
            </w:r>
            <w:r w:rsidRPr="00BC3844">
              <w:rPr>
                <w:rFonts w:ascii="Arial" w:eastAsiaTheme="minorHAnsi" w:hAnsi="Arial" w:cs="Arial"/>
                <w:sz w:val="20"/>
                <w:szCs w:val="20"/>
              </w:rPr>
              <w:t>is dependent on the organism’s DNA present in the sample, reliable results</w:t>
            </w:r>
            <w:r w:rsidR="00BC3844">
              <w:rPr>
                <w:rFonts w:ascii="Arial" w:eastAsiaTheme="minorHAnsi" w:hAnsi="Arial" w:cs="Arial"/>
                <w:sz w:val="20"/>
                <w:szCs w:val="20"/>
              </w:rPr>
              <w:t xml:space="preserve"> </w:t>
            </w:r>
            <w:r w:rsidRPr="00BC3844">
              <w:rPr>
                <w:rFonts w:ascii="Arial" w:eastAsiaTheme="minorHAnsi" w:hAnsi="Arial" w:cs="Arial"/>
                <w:sz w:val="20"/>
                <w:szCs w:val="20"/>
              </w:rPr>
              <w:t>are dependent on proper sample collection, handling, and storage.</w:t>
            </w:r>
          </w:p>
          <w:p w:rsidR="00BC3844" w:rsidRDefault="00BC3844"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i/>
                <w:sz w:val="20"/>
                <w:szCs w:val="20"/>
              </w:rPr>
              <w:t>T</w:t>
            </w:r>
            <w:r w:rsidR="0055247C" w:rsidRPr="00BC3844">
              <w:rPr>
                <w:rFonts w:ascii="Arial" w:eastAsiaTheme="minorHAnsi" w:hAnsi="Arial" w:cs="Arial"/>
                <w:i/>
                <w:iCs/>
                <w:sz w:val="20"/>
                <w:szCs w:val="20"/>
              </w:rPr>
              <w:t xml:space="preserve">richomonas tenax </w:t>
            </w:r>
            <w:r w:rsidR="0055247C" w:rsidRPr="00BC3844">
              <w:rPr>
                <w:rFonts w:ascii="Arial" w:eastAsiaTheme="minorHAnsi" w:hAnsi="Arial" w:cs="Arial"/>
                <w:sz w:val="20"/>
                <w:szCs w:val="20"/>
              </w:rPr>
              <w:t xml:space="preserve">was found to cross-react with the Xpert TV Assay at levels above 1.0 x 102 cells/mL. </w:t>
            </w:r>
            <w:r w:rsidR="0055247C" w:rsidRPr="00BC3844">
              <w:rPr>
                <w:rFonts w:ascii="Arial" w:eastAsiaTheme="minorHAnsi" w:hAnsi="Arial" w:cs="Arial"/>
                <w:i/>
                <w:iCs/>
                <w:sz w:val="20"/>
                <w:szCs w:val="20"/>
              </w:rPr>
              <w:t xml:space="preserve">T. tenax </w:t>
            </w:r>
            <w:r w:rsidR="0055247C" w:rsidRPr="00BC3844">
              <w:rPr>
                <w:rFonts w:ascii="Arial" w:eastAsiaTheme="minorHAnsi" w:hAnsi="Arial" w:cs="Arial"/>
                <w:sz w:val="20"/>
                <w:szCs w:val="20"/>
              </w:rPr>
              <w:t>is a</w:t>
            </w:r>
            <w:r>
              <w:rPr>
                <w:rFonts w:ascii="Arial" w:eastAsiaTheme="minorHAnsi" w:hAnsi="Arial" w:cs="Arial"/>
                <w:sz w:val="20"/>
                <w:szCs w:val="20"/>
              </w:rPr>
              <w:t xml:space="preserve"> </w:t>
            </w:r>
            <w:r w:rsidR="0055247C" w:rsidRPr="00BC3844">
              <w:rPr>
                <w:rFonts w:ascii="Arial" w:eastAsiaTheme="minorHAnsi" w:hAnsi="Arial" w:cs="Arial"/>
                <w:sz w:val="20"/>
                <w:szCs w:val="20"/>
              </w:rPr>
              <w:t>commensal of the oral cavity. See Xpert TV Analytical Specificity for details.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With endocervical and patient-collected vaginal specimens, assay interference may be observed in the presence of blood</w:t>
            </w:r>
            <w:r w:rsidR="00BC3844">
              <w:rPr>
                <w:rFonts w:ascii="Arial" w:eastAsiaTheme="minorHAnsi" w:hAnsi="Arial" w:cs="Arial"/>
                <w:sz w:val="20"/>
                <w:szCs w:val="20"/>
              </w:rPr>
              <w:t xml:space="preserve"> </w:t>
            </w:r>
            <w:r w:rsidRPr="00BC3844">
              <w:rPr>
                <w:rFonts w:ascii="Arial" w:eastAsiaTheme="minorHAnsi" w:hAnsi="Arial" w:cs="Arial"/>
                <w:sz w:val="20"/>
                <w:szCs w:val="20"/>
              </w:rPr>
              <w:t>(&gt;60% v/v).</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As with many diagnostic tests, results from the Xpert TV Assay should be interpreted in conjunction with other laboratory</w:t>
            </w:r>
            <w:r w:rsidR="00BC3844">
              <w:rPr>
                <w:rFonts w:ascii="Arial" w:eastAsiaTheme="minorHAnsi" w:hAnsi="Arial" w:cs="Arial"/>
                <w:sz w:val="20"/>
                <w:szCs w:val="20"/>
              </w:rPr>
              <w:t xml:space="preserve"> </w:t>
            </w:r>
            <w:r w:rsidRPr="00BC3844">
              <w:rPr>
                <w:rFonts w:ascii="Arial" w:eastAsiaTheme="minorHAnsi" w:hAnsi="Arial" w:cs="Arial"/>
                <w:sz w:val="20"/>
                <w:szCs w:val="20"/>
              </w:rPr>
              <w:t>and clinical data available to the clinician.</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patient-collected vaginal swab specimens are an option for screening women when a pelvic exam is not otherwise</w:t>
            </w:r>
            <w:r w:rsidR="00BC3844">
              <w:rPr>
                <w:rFonts w:ascii="Arial" w:eastAsiaTheme="minorHAnsi" w:hAnsi="Arial" w:cs="Arial"/>
                <w:sz w:val="20"/>
                <w:szCs w:val="20"/>
              </w:rPr>
              <w:t xml:space="preserve"> </w:t>
            </w:r>
            <w:r w:rsidRPr="00BC3844">
              <w:rPr>
                <w:rFonts w:ascii="Arial" w:eastAsiaTheme="minorHAnsi" w:hAnsi="Arial" w:cs="Arial"/>
                <w:sz w:val="20"/>
                <w:szCs w:val="20"/>
              </w:rPr>
              <w:t>indicated.</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has not been validated for use with vaginal swab specimens collected by patients at home. The patient</w:t>
            </w:r>
            <w:r w:rsidR="00BC3844">
              <w:rPr>
                <w:rFonts w:ascii="Arial" w:eastAsiaTheme="minorHAnsi" w:hAnsi="Arial" w:cs="Arial"/>
                <w:sz w:val="20"/>
                <w:szCs w:val="20"/>
              </w:rPr>
              <w:t xml:space="preserve"> </w:t>
            </w:r>
            <w:r w:rsidRPr="00BC3844">
              <w:rPr>
                <w:rFonts w:ascii="Arial" w:eastAsiaTheme="minorHAnsi" w:hAnsi="Arial" w:cs="Arial"/>
                <w:sz w:val="20"/>
                <w:szCs w:val="20"/>
              </w:rPr>
              <w:t>collected vaginal swab specimen application is limited to healthcare facilities where support/counseling is available to</w:t>
            </w:r>
            <w:r w:rsidR="00BC3844">
              <w:rPr>
                <w:rFonts w:ascii="Arial" w:eastAsiaTheme="minorHAnsi" w:hAnsi="Arial" w:cs="Arial"/>
                <w:sz w:val="20"/>
                <w:szCs w:val="20"/>
              </w:rPr>
              <w:t xml:space="preserve"> </w:t>
            </w:r>
            <w:r w:rsidRPr="00BC3844">
              <w:rPr>
                <w:rFonts w:ascii="Arial" w:eastAsiaTheme="minorHAnsi" w:hAnsi="Arial" w:cs="Arial"/>
                <w:sz w:val="20"/>
                <w:szCs w:val="20"/>
              </w:rPr>
              <w:t>explain procedures and precautions.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provides qualitative results. No correlation can be drawn between the magnitude of the Ct value and the</w:t>
            </w:r>
            <w:r w:rsidR="00BC3844">
              <w:rPr>
                <w:rFonts w:ascii="Arial" w:eastAsiaTheme="minorHAnsi" w:hAnsi="Arial" w:cs="Arial"/>
                <w:sz w:val="20"/>
                <w:szCs w:val="20"/>
              </w:rPr>
              <w:t xml:space="preserve"> </w:t>
            </w:r>
            <w:r w:rsidRPr="00BC3844">
              <w:rPr>
                <w:rFonts w:ascii="Arial" w:eastAsiaTheme="minorHAnsi" w:hAnsi="Arial" w:cs="Arial"/>
                <w:sz w:val="20"/>
                <w:szCs w:val="20"/>
              </w:rPr>
              <w:t>number of cells in an infected sample.</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The Xpert TV Assay should not be used for the evaluation of suspected sexual abuse or for other medico-legal indications.</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 xml:space="preserve">The predictive value of an assay depends on the prevalence of the disease in any particular population. </w:t>
            </w:r>
          </w:p>
          <w:p w:rsidR="00BC3844" w:rsidRDefault="0055247C" w:rsidP="0055247C">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Mutations or nucleotide polymorphisms in primer or probe binding regions may affect detection of new or unknown</w:t>
            </w:r>
            <w:r w:rsidR="00BC3844">
              <w:rPr>
                <w:rFonts w:ascii="Arial" w:eastAsiaTheme="minorHAnsi" w:hAnsi="Arial" w:cs="Arial"/>
                <w:sz w:val="20"/>
                <w:szCs w:val="20"/>
              </w:rPr>
              <w:t xml:space="preserve"> </w:t>
            </w:r>
            <w:r w:rsidRPr="00BC3844">
              <w:rPr>
                <w:rFonts w:ascii="Arial" w:eastAsiaTheme="minorHAnsi" w:hAnsi="Arial" w:cs="Arial"/>
                <w:i/>
                <w:iCs/>
                <w:sz w:val="20"/>
                <w:szCs w:val="20"/>
              </w:rPr>
              <w:t xml:space="preserve">Trichomonas vaginalis </w:t>
            </w:r>
            <w:r w:rsidRPr="00BC3844">
              <w:rPr>
                <w:rFonts w:ascii="Arial" w:eastAsiaTheme="minorHAnsi" w:hAnsi="Arial" w:cs="Arial"/>
                <w:sz w:val="20"/>
                <w:szCs w:val="20"/>
              </w:rPr>
              <w:t>variants resulting in a false negative result.</w:t>
            </w:r>
          </w:p>
          <w:p w:rsidR="005D0088" w:rsidRDefault="0055247C" w:rsidP="005D0088">
            <w:pPr>
              <w:pStyle w:val="ListParagraph"/>
              <w:numPr>
                <w:ilvl w:val="0"/>
                <w:numId w:val="20"/>
              </w:numPr>
              <w:autoSpaceDE w:val="0"/>
              <w:autoSpaceDN w:val="0"/>
              <w:adjustRightInd w:val="0"/>
              <w:jc w:val="left"/>
              <w:rPr>
                <w:rFonts w:ascii="Arial" w:eastAsiaTheme="minorHAnsi" w:hAnsi="Arial" w:cs="Arial"/>
                <w:sz w:val="20"/>
                <w:szCs w:val="20"/>
              </w:rPr>
            </w:pPr>
            <w:r w:rsidRPr="00BC3844">
              <w:rPr>
                <w:rFonts w:ascii="Arial" w:eastAsiaTheme="minorHAnsi" w:hAnsi="Arial" w:cs="Arial"/>
                <w:sz w:val="20"/>
                <w:szCs w:val="20"/>
              </w:rPr>
              <w:t>Xpert TV Assay performance has not been evaluated in pregnant women, or in patients with a history of hysterectomy.</w:t>
            </w:r>
          </w:p>
          <w:p w:rsidR="006D5D46" w:rsidRPr="005D0088" w:rsidRDefault="005D0088" w:rsidP="005D0088">
            <w:pPr>
              <w:pStyle w:val="ListParagraph"/>
              <w:numPr>
                <w:ilvl w:val="0"/>
                <w:numId w:val="20"/>
              </w:numPr>
              <w:autoSpaceDE w:val="0"/>
              <w:autoSpaceDN w:val="0"/>
              <w:adjustRightInd w:val="0"/>
              <w:jc w:val="left"/>
              <w:rPr>
                <w:rFonts w:ascii="Arial" w:eastAsiaTheme="minorHAnsi" w:hAnsi="Arial" w:cs="Arial"/>
                <w:sz w:val="20"/>
                <w:szCs w:val="20"/>
              </w:rPr>
            </w:pPr>
            <w:r w:rsidRPr="005D0088">
              <w:rPr>
                <w:rFonts w:ascii="Arial" w:hAnsi="Arial" w:cs="Arial"/>
                <w:sz w:val="20"/>
                <w:szCs w:val="20"/>
              </w:rPr>
              <w:t xml:space="preserve">Xpert TV Assay performance has not been evaluated in patients less than 18 years of age or older than 78 years of age.  During the verification testing a total of 15 patients under the age of 18 had samples submitted for testing (10 urine and 5 vaginal).  All sample results were in agreement with the comparator method, with the exception of one urine for which the arbitrated results agreed. Due to a low frequency of testing this population and availability of resources, a more thorough evaluation was not possible. </w:t>
            </w:r>
          </w:p>
        </w:tc>
      </w:tr>
      <w:tr w:rsidR="00F97305" w:rsidTr="00BC3844">
        <w:trPr>
          <w:gridAfter w:val="2"/>
          <w:wAfter w:w="5398" w:type="dxa"/>
          <w:cantSplit/>
        </w:trPr>
        <w:tc>
          <w:tcPr>
            <w:tcW w:w="1797" w:type="dxa"/>
            <w:tcBorders>
              <w:top w:val="nil"/>
              <w:left w:val="nil"/>
              <w:bottom w:val="nil"/>
              <w:righ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t>Method Performance Specifications</w:t>
            </w:r>
          </w:p>
          <w:p w:rsidR="00F97305" w:rsidRDefault="00F97305" w:rsidP="002869BF">
            <w:pPr>
              <w:rPr>
                <w:rFonts w:ascii="Arial" w:hAnsi="Arial"/>
                <w:b/>
                <w:color w:val="0000FF"/>
                <w:sz w:val="20"/>
              </w:rPr>
            </w:pPr>
          </w:p>
        </w:tc>
        <w:tc>
          <w:tcPr>
            <w:tcW w:w="9365" w:type="dxa"/>
            <w:gridSpan w:val="5"/>
            <w:tcBorders>
              <w:left w:val="nil"/>
              <w:right w:val="nil"/>
            </w:tcBorders>
          </w:tcPr>
          <w:p w:rsidR="006D5D46" w:rsidRDefault="006D5D46" w:rsidP="002869BF">
            <w:pPr>
              <w:jc w:val="left"/>
              <w:rPr>
                <w:rFonts w:ascii="Arial" w:hAnsi="Arial"/>
                <w:sz w:val="20"/>
              </w:rPr>
            </w:pPr>
          </w:p>
          <w:p w:rsidR="00F97305" w:rsidRPr="003A3374" w:rsidRDefault="00F97305" w:rsidP="002869BF">
            <w:pPr>
              <w:jc w:val="left"/>
              <w:rPr>
                <w:rFonts w:ascii="Arial" w:hAnsi="Arial"/>
                <w:b/>
                <w:sz w:val="20"/>
              </w:rPr>
            </w:pPr>
            <w:r>
              <w:rPr>
                <w:rFonts w:ascii="Arial" w:hAnsi="Arial"/>
                <w:sz w:val="20"/>
              </w:rPr>
              <w:t>According to the manufacturer (per the package insert)</w:t>
            </w:r>
            <w:r w:rsidR="00BC3844">
              <w:rPr>
                <w:rFonts w:ascii="Arial" w:hAnsi="Arial"/>
                <w:sz w:val="20"/>
              </w:rPr>
              <w:t xml:space="preserve"> – Overall specifications (both symptomatic and asymptomatic)</w:t>
            </w:r>
            <w:r>
              <w:rPr>
                <w:rFonts w:ascii="Arial" w:hAnsi="Arial"/>
                <w:sz w:val="20"/>
              </w:rPr>
              <w:t>:</w:t>
            </w:r>
          </w:p>
          <w:tbl>
            <w:tblPr>
              <w:tblStyle w:val="TableGrid"/>
              <w:tblW w:w="0" w:type="auto"/>
              <w:tblLook w:val="04A0" w:firstRow="1" w:lastRow="0" w:firstColumn="1" w:lastColumn="0" w:noHBand="0" w:noVBand="1"/>
            </w:tblPr>
            <w:tblGrid>
              <w:gridCol w:w="2590"/>
              <w:gridCol w:w="2250"/>
              <w:gridCol w:w="2250"/>
            </w:tblGrid>
            <w:tr w:rsidR="00BC3844" w:rsidTr="00BC3844">
              <w:tc>
                <w:tcPr>
                  <w:tcW w:w="2590" w:type="dxa"/>
                </w:tcPr>
                <w:p w:rsidR="00BC3844" w:rsidRDefault="00BC3844" w:rsidP="002869BF">
                  <w:pPr>
                    <w:jc w:val="left"/>
                    <w:rPr>
                      <w:rFonts w:ascii="Arial" w:hAnsi="Arial"/>
                      <w:sz w:val="20"/>
                    </w:rPr>
                  </w:pPr>
                </w:p>
              </w:tc>
              <w:tc>
                <w:tcPr>
                  <w:tcW w:w="2250" w:type="dxa"/>
                </w:tcPr>
                <w:p w:rsidR="00BC3844" w:rsidRPr="00BC3844" w:rsidRDefault="00BC3844" w:rsidP="002869BF">
                  <w:pPr>
                    <w:jc w:val="left"/>
                    <w:rPr>
                      <w:rFonts w:ascii="Arial" w:hAnsi="Arial"/>
                      <w:b/>
                      <w:sz w:val="20"/>
                    </w:rPr>
                  </w:pPr>
                  <w:r w:rsidRPr="00BC3844">
                    <w:rPr>
                      <w:rFonts w:ascii="Arial" w:hAnsi="Arial"/>
                      <w:b/>
                      <w:sz w:val="20"/>
                    </w:rPr>
                    <w:t>Sensitivity (95% CI)</w:t>
                  </w:r>
                </w:p>
              </w:tc>
              <w:tc>
                <w:tcPr>
                  <w:tcW w:w="2250" w:type="dxa"/>
                </w:tcPr>
                <w:p w:rsidR="00BC3844" w:rsidRPr="00BC3844" w:rsidRDefault="00BC3844" w:rsidP="002869BF">
                  <w:pPr>
                    <w:jc w:val="left"/>
                    <w:rPr>
                      <w:rFonts w:ascii="Arial" w:hAnsi="Arial"/>
                      <w:b/>
                      <w:sz w:val="20"/>
                    </w:rPr>
                  </w:pPr>
                  <w:r w:rsidRPr="00BC3844">
                    <w:rPr>
                      <w:rFonts w:ascii="Arial" w:hAnsi="Arial"/>
                      <w:b/>
                      <w:sz w:val="20"/>
                    </w:rPr>
                    <w:t>Specificity (95% CI)</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Endocervical Swab</w:t>
                  </w:r>
                </w:p>
              </w:tc>
              <w:tc>
                <w:tcPr>
                  <w:tcW w:w="2250" w:type="dxa"/>
                </w:tcPr>
                <w:p w:rsidR="00BC3844" w:rsidRDefault="00BC3844" w:rsidP="002869BF">
                  <w:pPr>
                    <w:jc w:val="left"/>
                    <w:rPr>
                      <w:rFonts w:ascii="Arial" w:hAnsi="Arial"/>
                      <w:sz w:val="20"/>
                    </w:rPr>
                  </w:pPr>
                  <w:r>
                    <w:rPr>
                      <w:rFonts w:ascii="Arial" w:hAnsi="Arial"/>
                      <w:sz w:val="20"/>
                    </w:rPr>
                    <w:t>98.9% (96.0 - 99.9%)</w:t>
                  </w:r>
                </w:p>
              </w:tc>
              <w:tc>
                <w:tcPr>
                  <w:tcW w:w="2250" w:type="dxa"/>
                </w:tcPr>
                <w:p w:rsidR="00BC3844" w:rsidRDefault="00BC3844" w:rsidP="002869BF">
                  <w:pPr>
                    <w:jc w:val="left"/>
                    <w:rPr>
                      <w:rFonts w:ascii="Arial" w:hAnsi="Arial"/>
                      <w:sz w:val="20"/>
                    </w:rPr>
                  </w:pPr>
                  <w:r>
                    <w:rPr>
                      <w:rFonts w:ascii="Arial" w:hAnsi="Arial"/>
                      <w:sz w:val="20"/>
                    </w:rPr>
                    <w:t>98.9% (98.3 - 99.3%)</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Pt. Collected Vaginal Swab</w:t>
                  </w:r>
                </w:p>
              </w:tc>
              <w:tc>
                <w:tcPr>
                  <w:tcW w:w="2250" w:type="dxa"/>
                </w:tcPr>
                <w:p w:rsidR="00BC3844" w:rsidRDefault="00BC3844" w:rsidP="002869BF">
                  <w:pPr>
                    <w:jc w:val="left"/>
                    <w:rPr>
                      <w:rFonts w:ascii="Arial" w:hAnsi="Arial"/>
                      <w:sz w:val="20"/>
                    </w:rPr>
                  </w:pPr>
                  <w:r>
                    <w:rPr>
                      <w:rFonts w:ascii="Arial" w:hAnsi="Arial"/>
                      <w:sz w:val="20"/>
                    </w:rPr>
                    <w:t>96.4% (92.7 – 98.5%)</w:t>
                  </w:r>
                </w:p>
              </w:tc>
              <w:tc>
                <w:tcPr>
                  <w:tcW w:w="2250" w:type="dxa"/>
                </w:tcPr>
                <w:p w:rsidR="00BC3844" w:rsidRDefault="00BC3844" w:rsidP="002869BF">
                  <w:pPr>
                    <w:jc w:val="left"/>
                    <w:rPr>
                      <w:rFonts w:ascii="Arial" w:hAnsi="Arial"/>
                      <w:sz w:val="20"/>
                    </w:rPr>
                  </w:pPr>
                  <w:r>
                    <w:rPr>
                      <w:rFonts w:ascii="Arial" w:hAnsi="Arial"/>
                      <w:sz w:val="20"/>
                    </w:rPr>
                    <w:t>99.6% (99.1 – 99.8%)</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Urine: Female</w:t>
                  </w:r>
                </w:p>
              </w:tc>
              <w:tc>
                <w:tcPr>
                  <w:tcW w:w="2250" w:type="dxa"/>
                </w:tcPr>
                <w:p w:rsidR="00BC3844" w:rsidRDefault="00702608" w:rsidP="002869BF">
                  <w:pPr>
                    <w:jc w:val="left"/>
                    <w:rPr>
                      <w:rFonts w:ascii="Arial" w:hAnsi="Arial"/>
                      <w:sz w:val="20"/>
                    </w:rPr>
                  </w:pPr>
                  <w:r>
                    <w:rPr>
                      <w:rFonts w:ascii="Arial" w:hAnsi="Arial"/>
                      <w:sz w:val="20"/>
                    </w:rPr>
                    <w:t>98.4% (95.3 – 99.7%)</w:t>
                  </w:r>
                </w:p>
              </w:tc>
              <w:tc>
                <w:tcPr>
                  <w:tcW w:w="2250" w:type="dxa"/>
                </w:tcPr>
                <w:p w:rsidR="00BC3844" w:rsidRDefault="00702608" w:rsidP="002869BF">
                  <w:pPr>
                    <w:jc w:val="left"/>
                    <w:rPr>
                      <w:rFonts w:ascii="Arial" w:hAnsi="Arial"/>
                      <w:sz w:val="20"/>
                    </w:rPr>
                  </w:pPr>
                  <w:r>
                    <w:rPr>
                      <w:rFonts w:ascii="Arial" w:hAnsi="Arial"/>
                      <w:sz w:val="20"/>
                    </w:rPr>
                    <w:t>99.7% (99.3 -99.9%)</w:t>
                  </w:r>
                </w:p>
              </w:tc>
            </w:tr>
            <w:tr w:rsidR="00BC3844" w:rsidTr="00BC3844">
              <w:tc>
                <w:tcPr>
                  <w:tcW w:w="2590" w:type="dxa"/>
                </w:tcPr>
                <w:p w:rsidR="00BC3844" w:rsidRPr="00BC3844" w:rsidRDefault="00BC3844" w:rsidP="002869BF">
                  <w:pPr>
                    <w:jc w:val="left"/>
                    <w:rPr>
                      <w:rFonts w:ascii="Arial" w:hAnsi="Arial"/>
                      <w:b/>
                      <w:sz w:val="20"/>
                    </w:rPr>
                  </w:pPr>
                  <w:r w:rsidRPr="00BC3844">
                    <w:rPr>
                      <w:rFonts w:ascii="Arial" w:hAnsi="Arial"/>
                      <w:b/>
                      <w:sz w:val="20"/>
                    </w:rPr>
                    <w:t>Urine: Male</w:t>
                  </w:r>
                </w:p>
              </w:tc>
              <w:tc>
                <w:tcPr>
                  <w:tcW w:w="2250" w:type="dxa"/>
                </w:tcPr>
                <w:p w:rsidR="00BC3844" w:rsidRDefault="00702608" w:rsidP="002869BF">
                  <w:pPr>
                    <w:jc w:val="left"/>
                    <w:rPr>
                      <w:rFonts w:ascii="Arial" w:hAnsi="Arial"/>
                      <w:sz w:val="20"/>
                    </w:rPr>
                  </w:pPr>
                  <w:r>
                    <w:rPr>
                      <w:rFonts w:ascii="Arial" w:hAnsi="Arial"/>
                      <w:sz w:val="20"/>
                    </w:rPr>
                    <w:t>89.6% (83.0 -93.8%)</w:t>
                  </w:r>
                </w:p>
              </w:tc>
              <w:tc>
                <w:tcPr>
                  <w:tcW w:w="2250" w:type="dxa"/>
                </w:tcPr>
                <w:p w:rsidR="00BC3844" w:rsidRDefault="00702608" w:rsidP="002869BF">
                  <w:pPr>
                    <w:jc w:val="left"/>
                    <w:rPr>
                      <w:rFonts w:ascii="Arial" w:hAnsi="Arial"/>
                      <w:sz w:val="20"/>
                    </w:rPr>
                  </w:pPr>
                  <w:r>
                    <w:rPr>
                      <w:rFonts w:ascii="Arial" w:hAnsi="Arial"/>
                      <w:sz w:val="20"/>
                    </w:rPr>
                    <w:t>99.3% (99.0 – 99.5%)</w:t>
                  </w:r>
                </w:p>
              </w:tc>
            </w:tr>
          </w:tbl>
          <w:p w:rsidR="00F97305" w:rsidRDefault="00F97305" w:rsidP="002869BF">
            <w:pPr>
              <w:jc w:val="left"/>
              <w:rPr>
                <w:rFonts w:ascii="Arial" w:hAnsi="Arial"/>
                <w:sz w:val="20"/>
              </w:rPr>
            </w:pPr>
          </w:p>
          <w:p w:rsidR="00F97305" w:rsidRDefault="00F97305" w:rsidP="002869BF">
            <w:pPr>
              <w:jc w:val="left"/>
              <w:rPr>
                <w:rFonts w:ascii="Arial" w:hAnsi="Arial"/>
                <w:b/>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F97305" w:rsidRDefault="00F97305" w:rsidP="002869BF">
            <w:pPr>
              <w:rPr>
                <w:rFonts w:ascii="Arial" w:hAnsi="Arial"/>
                <w:b/>
                <w:color w:val="0000FF"/>
                <w:sz w:val="20"/>
              </w:rPr>
            </w:pPr>
          </w:p>
          <w:p w:rsidR="00F97305" w:rsidRDefault="00F97305" w:rsidP="002869BF">
            <w:pPr>
              <w:rPr>
                <w:rFonts w:ascii="Arial" w:hAnsi="Arial"/>
                <w:b/>
                <w:color w:val="0000FF"/>
                <w:sz w:val="20"/>
              </w:rPr>
            </w:pPr>
            <w:r>
              <w:rPr>
                <w:rFonts w:ascii="Arial" w:hAnsi="Arial"/>
                <w:b/>
                <w:color w:val="0000FF"/>
                <w:sz w:val="20"/>
              </w:rPr>
              <w:lastRenderedPageBreak/>
              <w:t>References</w:t>
            </w:r>
          </w:p>
          <w:p w:rsidR="00F97305" w:rsidRDefault="00F97305" w:rsidP="002869BF">
            <w:pPr>
              <w:rPr>
                <w:rFonts w:ascii="Arial" w:hAnsi="Arial"/>
                <w:b/>
                <w:color w:val="0000FF"/>
                <w:sz w:val="20"/>
              </w:rPr>
            </w:pPr>
          </w:p>
        </w:tc>
        <w:tc>
          <w:tcPr>
            <w:tcW w:w="9365" w:type="dxa"/>
            <w:gridSpan w:val="5"/>
            <w:tcBorders>
              <w:top w:val="single" w:sz="4" w:space="0" w:color="auto"/>
              <w:bottom w:val="single" w:sz="4" w:space="0" w:color="auto"/>
              <w:right w:val="nil"/>
            </w:tcBorders>
          </w:tcPr>
          <w:p w:rsidR="00326A46" w:rsidRPr="00C206FB" w:rsidRDefault="00326A46" w:rsidP="00326A46">
            <w:pPr>
              <w:pStyle w:val="NoSpacing"/>
              <w:rPr>
                <w:rFonts w:ascii="Calibri" w:hAnsi="Calibri"/>
              </w:rPr>
            </w:pPr>
          </w:p>
          <w:p w:rsidR="00326A46" w:rsidRDefault="00326A46" w:rsidP="00326A46">
            <w:pPr>
              <w:pStyle w:val="EndNoteBibliography"/>
              <w:rPr>
                <w:rFonts w:ascii="Arial" w:eastAsiaTheme="minorHAnsi" w:hAnsi="Arial" w:cs="Arial"/>
                <w:sz w:val="20"/>
                <w:szCs w:val="20"/>
              </w:rPr>
            </w:pPr>
            <w:r w:rsidRPr="00ED402D">
              <w:rPr>
                <w:rFonts w:ascii="Arial" w:hAnsi="Arial" w:cs="Arial"/>
                <w:sz w:val="20"/>
                <w:szCs w:val="20"/>
              </w:rPr>
              <w:lastRenderedPageBreak/>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separate"/>
            </w:r>
            <w:r w:rsidRPr="00ED402D">
              <w:rPr>
                <w:rFonts w:ascii="Arial" w:hAnsi="Arial" w:cs="Arial"/>
                <w:sz w:val="20"/>
                <w:szCs w:val="20"/>
              </w:rPr>
              <w:t>1.</w:t>
            </w:r>
            <w:r w:rsidRPr="00ED402D">
              <w:rPr>
                <w:rFonts w:ascii="Arial" w:hAnsi="Arial" w:cs="Arial"/>
                <w:sz w:val="20"/>
                <w:szCs w:val="20"/>
              </w:rPr>
              <w:tab/>
            </w:r>
            <w:r w:rsidR="00ED402D" w:rsidRPr="00ED402D">
              <w:rPr>
                <w:rFonts w:ascii="Arial" w:eastAsiaTheme="minorHAnsi" w:hAnsi="Arial" w:cs="Arial"/>
                <w:sz w:val="20"/>
                <w:szCs w:val="20"/>
              </w:rPr>
              <w:t>Xpert TV Package Insert 301-2887, Rev. C. Sunnyvale, CA: Cepheid; June 2019.</w:t>
            </w:r>
          </w:p>
          <w:p w:rsidR="00ED402D" w:rsidRPr="00ED402D" w:rsidRDefault="00ED402D" w:rsidP="00326A46">
            <w:pPr>
              <w:pStyle w:val="EndNoteBibliography"/>
              <w:rPr>
                <w:rFonts w:ascii="Arial" w:hAnsi="Arial" w:cs="Arial"/>
                <w:sz w:val="20"/>
                <w:szCs w:val="20"/>
              </w:rPr>
            </w:pPr>
          </w:p>
          <w:p w:rsidR="00326A46" w:rsidRPr="00ED402D" w:rsidRDefault="00326A46" w:rsidP="00326A46">
            <w:pPr>
              <w:pStyle w:val="EndNoteBibliography"/>
              <w:rPr>
                <w:rFonts w:ascii="Arial" w:hAnsi="Arial" w:cs="Arial"/>
                <w:sz w:val="20"/>
                <w:szCs w:val="20"/>
              </w:rPr>
            </w:pPr>
            <w:r w:rsidRPr="00ED402D">
              <w:rPr>
                <w:rFonts w:ascii="Arial" w:hAnsi="Arial" w:cs="Arial"/>
                <w:sz w:val="20"/>
                <w:szCs w:val="20"/>
              </w:rPr>
              <w:t>2.</w:t>
            </w:r>
            <w:r w:rsidRPr="00ED402D">
              <w:rPr>
                <w:rFonts w:ascii="Arial" w:hAnsi="Arial" w:cs="Arial"/>
                <w:sz w:val="20"/>
                <w:szCs w:val="20"/>
              </w:rPr>
              <w:tab/>
              <w:t xml:space="preserve">Trichomoniasis Statistics GA: CDC;  [updated January 2017. Available from: </w:t>
            </w:r>
            <w:hyperlink r:id="rId20" w:history="1">
              <w:r w:rsidRPr="00ED402D">
                <w:rPr>
                  <w:rStyle w:val="Hyperlink"/>
                  <w:rFonts w:ascii="Arial" w:hAnsi="Arial" w:cs="Arial"/>
                  <w:sz w:val="20"/>
                  <w:szCs w:val="20"/>
                </w:rPr>
                <w:t>https://www.cdc.gov/std/trichomonas/stats.htm</w:t>
              </w:r>
            </w:hyperlink>
            <w:r w:rsidRPr="00ED402D">
              <w:rPr>
                <w:rFonts w:ascii="Arial" w:hAnsi="Arial" w:cs="Arial"/>
                <w:sz w:val="20"/>
                <w:szCs w:val="20"/>
              </w:rPr>
              <w:t>.</w:t>
            </w:r>
          </w:p>
          <w:p w:rsidR="00F97305" w:rsidRDefault="00326A46" w:rsidP="00326A46">
            <w:pPr>
              <w:rPr>
                <w:rFonts w:ascii="Arial" w:hAnsi="Arial"/>
                <w:sz w:val="20"/>
              </w:rPr>
            </w:pPr>
            <w:r w:rsidRPr="00ED402D">
              <w:rPr>
                <w:rFonts w:ascii="Arial" w:hAnsi="Arial" w:cs="Arial"/>
                <w:sz w:val="20"/>
                <w:szCs w:val="20"/>
              </w:rPr>
              <w:fldChar w:fldCharType="end"/>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F97305" w:rsidRDefault="00F97305" w:rsidP="002869BF">
            <w:pPr>
              <w:rPr>
                <w:rFonts w:ascii="Arial" w:hAnsi="Arial"/>
                <w:b/>
                <w:color w:val="0000FF"/>
                <w:sz w:val="20"/>
              </w:rPr>
            </w:pPr>
            <w:r>
              <w:rPr>
                <w:rFonts w:ascii="Arial" w:hAnsi="Arial"/>
                <w:b/>
                <w:color w:val="0000FF"/>
                <w:sz w:val="20"/>
              </w:rPr>
              <w:lastRenderedPageBreak/>
              <w:t>Alternate Methods</w:t>
            </w:r>
          </w:p>
        </w:tc>
        <w:tc>
          <w:tcPr>
            <w:tcW w:w="9365" w:type="dxa"/>
            <w:gridSpan w:val="5"/>
            <w:tcBorders>
              <w:top w:val="single" w:sz="4" w:space="0" w:color="auto"/>
              <w:bottom w:val="single" w:sz="4" w:space="0" w:color="auto"/>
              <w:right w:val="nil"/>
            </w:tcBorders>
          </w:tcPr>
          <w:p w:rsidR="00F97305" w:rsidRDefault="00F97305" w:rsidP="002869BF">
            <w:pPr>
              <w:jc w:val="left"/>
              <w:rPr>
                <w:rFonts w:ascii="Arial" w:hAnsi="Arial"/>
                <w:sz w:val="20"/>
              </w:rPr>
            </w:pPr>
          </w:p>
          <w:p w:rsidR="00F97305" w:rsidRPr="002F5A7E" w:rsidRDefault="00326A46" w:rsidP="00F97305">
            <w:pPr>
              <w:pStyle w:val="ListParagraph"/>
              <w:numPr>
                <w:ilvl w:val="0"/>
                <w:numId w:val="13"/>
              </w:numPr>
              <w:jc w:val="left"/>
              <w:rPr>
                <w:rFonts w:ascii="Arial" w:hAnsi="Arial" w:cs="Arial"/>
                <w:sz w:val="20"/>
                <w:szCs w:val="20"/>
              </w:rPr>
            </w:pPr>
            <w:r>
              <w:rPr>
                <w:rFonts w:ascii="Arial" w:hAnsi="Arial" w:cs="Arial"/>
                <w:sz w:val="20"/>
                <w:szCs w:val="20"/>
              </w:rPr>
              <w:t xml:space="preserve">Mayo Medical Laboratory send out: </w:t>
            </w:r>
            <w:r w:rsidR="00F97305">
              <w:rPr>
                <w:rFonts w:ascii="Arial" w:hAnsi="Arial" w:cs="Arial"/>
                <w:sz w:val="20"/>
                <w:szCs w:val="20"/>
              </w:rPr>
              <w:t xml:space="preserve">Hologic </w:t>
            </w:r>
            <w:r>
              <w:rPr>
                <w:rFonts w:ascii="Arial" w:hAnsi="Arial" w:cs="Arial"/>
                <w:i/>
                <w:sz w:val="20"/>
                <w:szCs w:val="20"/>
              </w:rPr>
              <w:t>Trichomonas vaginalis</w:t>
            </w:r>
            <w:r w:rsidR="00F97305" w:rsidRPr="002F5A7E">
              <w:rPr>
                <w:rFonts w:ascii="Arial" w:hAnsi="Arial" w:cs="Arial"/>
                <w:sz w:val="20"/>
                <w:szCs w:val="20"/>
              </w:rPr>
              <w:t xml:space="preserve"> Amplified RNA Assay</w:t>
            </w:r>
            <w:r w:rsidR="00F97305">
              <w:rPr>
                <w:rFonts w:ascii="Arial" w:hAnsi="Arial" w:cs="Arial"/>
                <w:sz w:val="20"/>
                <w:szCs w:val="20"/>
              </w:rPr>
              <w:t xml:space="preserve"> (Mayo Medical Laboratories, collected in Aptima Collection Kit)</w:t>
            </w:r>
          </w:p>
          <w:p w:rsidR="00F97305" w:rsidRDefault="00F97305" w:rsidP="00702608">
            <w:pPr>
              <w:pStyle w:val="ListParagraph"/>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F97305" w:rsidRDefault="00F97305" w:rsidP="002869BF">
            <w:pPr>
              <w:rPr>
                <w:rFonts w:ascii="Arial" w:hAnsi="Arial"/>
                <w:b/>
                <w:color w:val="0000FF"/>
                <w:sz w:val="20"/>
              </w:rPr>
            </w:pPr>
            <w:r>
              <w:rPr>
                <w:rFonts w:ascii="Arial" w:hAnsi="Arial"/>
                <w:b/>
                <w:color w:val="0000FF"/>
                <w:sz w:val="20"/>
              </w:rPr>
              <w:t>Proficiency Testing</w:t>
            </w:r>
          </w:p>
        </w:tc>
        <w:tc>
          <w:tcPr>
            <w:tcW w:w="9365" w:type="dxa"/>
            <w:gridSpan w:val="5"/>
            <w:tcBorders>
              <w:top w:val="single" w:sz="4" w:space="0" w:color="auto"/>
              <w:bottom w:val="single" w:sz="4" w:space="0" w:color="auto"/>
              <w:right w:val="nil"/>
            </w:tcBorders>
            <w:vAlign w:val="center"/>
          </w:tcPr>
          <w:p w:rsidR="00326A46" w:rsidRDefault="00326A46" w:rsidP="002869BF">
            <w:pPr>
              <w:jc w:val="left"/>
              <w:rPr>
                <w:rFonts w:ascii="Arial" w:hAnsi="Arial"/>
                <w:sz w:val="20"/>
              </w:rPr>
            </w:pPr>
          </w:p>
          <w:p w:rsidR="00F97305" w:rsidRDefault="00326A46" w:rsidP="002869BF">
            <w:pPr>
              <w:jc w:val="left"/>
              <w:rPr>
                <w:rFonts w:ascii="Arial" w:hAnsi="Arial"/>
                <w:sz w:val="20"/>
              </w:rPr>
            </w:pPr>
            <w:r>
              <w:rPr>
                <w:rFonts w:ascii="Arial" w:hAnsi="Arial"/>
                <w:sz w:val="20"/>
              </w:rPr>
              <w:t>CAP materials: 2 shipments a year with 3 samples</w:t>
            </w:r>
            <w:r w:rsidR="00F97305">
              <w:rPr>
                <w:rFonts w:ascii="Arial" w:hAnsi="Arial"/>
                <w:sz w:val="20"/>
              </w:rPr>
              <w:t>.</w:t>
            </w:r>
          </w:p>
          <w:p w:rsidR="00F97305" w:rsidRDefault="00F97305" w:rsidP="00326A46">
            <w:pPr>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F97305" w:rsidRDefault="00F97305" w:rsidP="002869BF">
            <w:pPr>
              <w:rPr>
                <w:rFonts w:ascii="Arial" w:hAnsi="Arial"/>
                <w:b/>
                <w:color w:val="0000FF"/>
                <w:sz w:val="20"/>
              </w:rPr>
            </w:pPr>
          </w:p>
          <w:p w:rsidR="00F97305" w:rsidRDefault="00F97305" w:rsidP="002869BF">
            <w:pPr>
              <w:jc w:val="left"/>
              <w:rPr>
                <w:rFonts w:ascii="Arial" w:hAnsi="Arial"/>
                <w:b/>
                <w:color w:val="0000FF"/>
                <w:sz w:val="20"/>
              </w:rPr>
            </w:pPr>
            <w:r>
              <w:rPr>
                <w:rFonts w:ascii="Arial" w:hAnsi="Arial"/>
                <w:b/>
                <w:color w:val="0000FF"/>
                <w:sz w:val="20"/>
              </w:rPr>
              <w:t>Training Plan/ Competency Assessment</w:t>
            </w:r>
          </w:p>
          <w:p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Initial Competency Assessment</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F97305" w:rsidRDefault="00F97305" w:rsidP="002869BF">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47" w:type="dxa"/>
            <w:gridSpan w:val="2"/>
            <w:tcBorders>
              <w:top w:val="single" w:sz="4" w:space="0" w:color="auto"/>
              <w:left w:val="single" w:sz="4" w:space="0" w:color="auto"/>
              <w:bottom w:val="single" w:sz="4" w:space="0" w:color="auto"/>
              <w:right w:val="single" w:sz="4" w:space="0" w:color="auto"/>
            </w:tcBorders>
          </w:tcPr>
          <w:p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F97305" w:rsidRDefault="00F97305" w:rsidP="002869BF">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2700"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c>
          <w:tcPr>
            <w:tcW w:w="3422" w:type="dxa"/>
            <w:tcBorders>
              <w:top w:val="single" w:sz="4" w:space="0" w:color="auto"/>
              <w:left w:val="nil"/>
              <w:bottom w:val="single" w:sz="4" w:space="0" w:color="auto"/>
              <w:right w:val="nil"/>
            </w:tcBorders>
          </w:tcPr>
          <w:p w:rsidR="00F97305" w:rsidRDefault="00F97305" w:rsidP="002869BF">
            <w:pPr>
              <w:jc w:val="left"/>
              <w:rPr>
                <w:rFonts w:ascii="Arial" w:hAnsi="Arial"/>
                <w:b/>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sz w:val="20"/>
              </w:rPr>
            </w:pPr>
            <w:r>
              <w:rPr>
                <w:rFonts w:ascii="Arial" w:hAnsi="Arial"/>
                <w:b/>
                <w:sz w:val="20"/>
              </w:rPr>
              <w:t>Summary of Revisions</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F97305" w:rsidRDefault="006D5D46" w:rsidP="006D5D46">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632404" w:rsidP="002869BF">
            <w:pPr>
              <w:rPr>
                <w:rFonts w:ascii="Arial" w:hAnsi="Arial"/>
                <w:sz w:val="20"/>
              </w:rPr>
            </w:pPr>
            <w:r>
              <w:rPr>
                <w:rFonts w:ascii="Arial" w:hAnsi="Arial"/>
                <w:sz w:val="20"/>
              </w:rPr>
              <w:t>08/05/2019</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r>
              <w:rPr>
                <w:rFonts w:ascii="Arial" w:hAnsi="Arial"/>
                <w:sz w:val="20"/>
              </w:rPr>
              <w:t>Initial Version</w:t>
            </w: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2D2C66" w:rsidP="002869BF">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F97305" w:rsidRDefault="002D2C66" w:rsidP="002869BF">
            <w:pPr>
              <w:rPr>
                <w:rFonts w:ascii="Arial" w:hAnsi="Arial"/>
                <w:sz w:val="20"/>
              </w:rPr>
            </w:pPr>
            <w:r>
              <w:rPr>
                <w:rFonts w:ascii="Arial" w:hAnsi="Arial"/>
                <w:sz w:val="20"/>
              </w:rPr>
              <w:t>Julie Laramie</w:t>
            </w: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2D2C66" w:rsidP="002869BF">
            <w:pPr>
              <w:rPr>
                <w:rFonts w:ascii="Arial" w:hAnsi="Arial"/>
                <w:sz w:val="20"/>
              </w:rPr>
            </w:pPr>
            <w:r>
              <w:rPr>
                <w:rFonts w:ascii="Arial" w:hAnsi="Arial"/>
                <w:sz w:val="20"/>
              </w:rPr>
              <w:t>11/04/2019</w:t>
            </w:r>
          </w:p>
        </w:tc>
        <w:tc>
          <w:tcPr>
            <w:tcW w:w="3422" w:type="dxa"/>
            <w:tcBorders>
              <w:top w:val="single" w:sz="4" w:space="0" w:color="auto"/>
              <w:left w:val="single" w:sz="4" w:space="0" w:color="auto"/>
              <w:bottom w:val="single" w:sz="4" w:space="0" w:color="auto"/>
              <w:right w:val="single" w:sz="4" w:space="0" w:color="auto"/>
            </w:tcBorders>
          </w:tcPr>
          <w:p w:rsidR="00F97305" w:rsidRDefault="002D2C66" w:rsidP="002D2C66">
            <w:pPr>
              <w:rPr>
                <w:rFonts w:ascii="Arial" w:hAnsi="Arial"/>
                <w:sz w:val="20"/>
              </w:rPr>
            </w:pPr>
            <w:r>
              <w:rPr>
                <w:rFonts w:ascii="Arial" w:hAnsi="Arial"/>
                <w:sz w:val="20"/>
              </w:rPr>
              <w:t>S</w:t>
            </w:r>
            <w:r w:rsidRPr="002D2C66">
              <w:rPr>
                <w:rFonts w:ascii="Arial" w:hAnsi="Arial"/>
                <w:sz w:val="20"/>
              </w:rPr>
              <w:t xml:space="preserve">witched from inverting to </w:t>
            </w:r>
            <w:proofErr w:type="spellStart"/>
            <w:r w:rsidRPr="002D2C66">
              <w:rPr>
                <w:rFonts w:ascii="Arial" w:hAnsi="Arial"/>
                <w:sz w:val="20"/>
              </w:rPr>
              <w:t>vortexing</w:t>
            </w:r>
            <w:proofErr w:type="spellEnd"/>
            <w:r w:rsidRPr="002D2C66">
              <w:rPr>
                <w:rFonts w:ascii="Arial" w:hAnsi="Arial"/>
                <w:sz w:val="20"/>
              </w:rPr>
              <w:t xml:space="preserve"> sample </w:t>
            </w:r>
            <w:bookmarkStart w:id="0" w:name="_GoBack"/>
            <w:bookmarkEnd w:id="0"/>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b/>
                <w:color w:val="0000FF"/>
                <w:sz w:val="20"/>
              </w:rPr>
            </w:pPr>
          </w:p>
        </w:tc>
        <w:tc>
          <w:tcPr>
            <w:tcW w:w="2699" w:type="dxa"/>
          </w:tcPr>
          <w:p w:rsidR="00F97305" w:rsidRDefault="00F97305" w:rsidP="002869BF">
            <w:pPr>
              <w:jc w:val="left"/>
              <w:rPr>
                <w:rFonts w:ascii="Arial" w:hAnsi="Arial"/>
                <w:sz w:val="20"/>
              </w:rPr>
            </w:pPr>
          </w:p>
        </w:tc>
        <w:tc>
          <w:tcPr>
            <w:tcW w:w="2699" w:type="dxa"/>
          </w:tcPr>
          <w:p w:rsidR="00F97305" w:rsidRDefault="00F97305" w:rsidP="002869BF">
            <w:pPr>
              <w:jc w:val="left"/>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rPr>
                <w:rFonts w:ascii="Arial" w:hAnsi="Arial"/>
                <w:sz w:val="20"/>
              </w:rPr>
            </w:pPr>
          </w:p>
        </w:tc>
      </w:tr>
      <w:tr w:rsidR="00F97305" w:rsidTr="002869B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F97305" w:rsidRDefault="00F97305" w:rsidP="002869B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F97305" w:rsidRDefault="00F97305" w:rsidP="002869BF">
            <w:pPr>
              <w:jc w:val="left"/>
              <w:rPr>
                <w:rFonts w:ascii="Arial" w:hAnsi="Arial"/>
                <w:sz w:val="20"/>
              </w:rPr>
            </w:pPr>
          </w:p>
        </w:tc>
      </w:tr>
    </w:tbl>
    <w:p w:rsidR="00F97305" w:rsidRDefault="00F97305" w:rsidP="00F97305">
      <w:pPr>
        <w:pStyle w:val="Header"/>
        <w:tabs>
          <w:tab w:val="clear" w:pos="4320"/>
          <w:tab w:val="clear" w:pos="8640"/>
        </w:tabs>
        <w:rPr>
          <w:rFonts w:ascii="Arial" w:hAnsi="Arial"/>
        </w:rPr>
      </w:pPr>
    </w:p>
    <w:p w:rsidR="00F97305" w:rsidRDefault="00F97305" w:rsidP="00F97305">
      <w:pPr>
        <w:pStyle w:val="NoSpacing"/>
      </w:pPr>
    </w:p>
    <w:p w:rsidR="00F97305" w:rsidRDefault="00F97305" w:rsidP="00F97305">
      <w:pPr>
        <w:pStyle w:val="NoSpacing"/>
      </w:pPr>
    </w:p>
    <w:p w:rsidR="00F97305" w:rsidRDefault="00F97305" w:rsidP="00F97305">
      <w:pPr>
        <w:pStyle w:val="NoSpacing"/>
      </w:pPr>
    </w:p>
    <w:p w:rsidR="00326A46" w:rsidRDefault="00326A46" w:rsidP="0087480A">
      <w:pPr>
        <w:pStyle w:val="NoSpacing"/>
      </w:pPr>
    </w:p>
    <w:p w:rsidR="007B0D03" w:rsidRDefault="007B0D03" w:rsidP="0087480A">
      <w:pPr>
        <w:pStyle w:val="NoSpacing"/>
      </w:pPr>
    </w:p>
    <w:sectPr w:rsidR="007B0D03" w:rsidSect="002869BF">
      <w:headerReference w:type="default" r:id="rId21"/>
      <w:footerReference w:type="default" r:id="rId22"/>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71" w:rsidRDefault="000F4971" w:rsidP="00F97305">
      <w:r>
        <w:separator/>
      </w:r>
    </w:p>
  </w:endnote>
  <w:endnote w:type="continuationSeparator" w:id="0">
    <w:p w:rsidR="000F4971" w:rsidRDefault="000F4971"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71" w:rsidRPr="00634740" w:rsidRDefault="000F4971" w:rsidP="002869BF">
    <w:pPr>
      <w:pStyle w:val="Footer"/>
      <w:ind w:hanging="1350"/>
      <w:rPr>
        <w:rFonts w:ascii="Arial" w:hAnsi="Arial" w:cs="Arial"/>
        <w:b/>
        <w:sz w:val="18"/>
        <w:szCs w:val="18"/>
      </w:rPr>
    </w:pPr>
  </w:p>
  <w:p w:rsidR="000F4971" w:rsidRDefault="000F4971" w:rsidP="002869BF">
    <w:pPr>
      <w:pStyle w:val="Footer"/>
      <w:ind w:hanging="1350"/>
    </w:pPr>
  </w:p>
  <w:p w:rsidR="000F4971" w:rsidRDefault="000F4971" w:rsidP="002869BF">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2D2C66">
      <w:rPr>
        <w:rFonts w:ascii="Arial" w:hAnsi="Arial" w:cs="Arial"/>
        <w:noProof/>
        <w:sz w:val="18"/>
        <w:szCs w:val="18"/>
      </w:rPr>
      <w:t>9</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2D2C66">
      <w:rPr>
        <w:rFonts w:ascii="Arial" w:hAnsi="Arial" w:cs="Arial"/>
        <w:noProof/>
        <w:sz w:val="18"/>
        <w:szCs w:val="18"/>
      </w:rPr>
      <w:t>9</w:t>
    </w:r>
    <w:r w:rsidRPr="0036171A">
      <w:rPr>
        <w:rFonts w:ascii="Arial" w:hAnsi="Arial" w:cs="Arial"/>
        <w:sz w:val="18"/>
        <w:szCs w:val="18"/>
      </w:rPr>
      <w:fldChar w:fldCharType="end"/>
    </w:r>
  </w:p>
  <w:p w:rsidR="000F4971" w:rsidRDefault="000F4971">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71" w:rsidRDefault="000F4971" w:rsidP="00F97305">
      <w:r>
        <w:separator/>
      </w:r>
    </w:p>
  </w:footnote>
  <w:footnote w:type="continuationSeparator" w:id="0">
    <w:p w:rsidR="000F4971" w:rsidRDefault="000F4971"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71" w:rsidRPr="00BC41AF" w:rsidRDefault="000F4971">
    <w:pPr>
      <w:ind w:left="-1260" w:right="-1260"/>
      <w:rPr>
        <w:rFonts w:ascii="Arial" w:hAnsi="Arial"/>
        <w:sz w:val="18"/>
      </w:rPr>
    </w:pPr>
    <w:r w:rsidRPr="00BC41AF">
      <w:rPr>
        <w:rFonts w:ascii="Arial" w:hAnsi="Arial"/>
        <w:sz w:val="18"/>
      </w:rPr>
      <w:t xml:space="preserve">Document: </w:t>
    </w:r>
    <w:r>
      <w:rPr>
        <w:rFonts w:ascii="Arial" w:hAnsi="Arial"/>
        <w:sz w:val="18"/>
      </w:rPr>
      <w:t>MC 9.3</w:t>
    </w:r>
    <w:r w:rsidRPr="00BC41AF">
      <w:rPr>
        <w:rFonts w:ascii="Arial" w:hAnsi="Arial"/>
        <w:sz w:val="18"/>
      </w:rPr>
      <w:t xml:space="preserve">0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TV</w:t>
    </w:r>
    <w:r w:rsidRPr="00BC41AF">
      <w:rPr>
        <w:rFonts w:ascii="Arial" w:hAnsi="Arial"/>
        <w:sz w:val="18"/>
      </w:rPr>
      <w:t xml:space="preserve">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0F4971" w:rsidRPr="00BC41AF" w:rsidRDefault="002D2C66">
    <w:pPr>
      <w:ind w:left="-1260" w:right="-1260"/>
      <w:rPr>
        <w:sz w:val="18"/>
      </w:rPr>
    </w:pPr>
    <w:r>
      <w:rPr>
        <w:rFonts w:ascii="Arial" w:hAnsi="Arial"/>
        <w:sz w:val="18"/>
      </w:rPr>
      <w:t>Version: 2</w:t>
    </w:r>
    <w:r w:rsidR="000F4971" w:rsidRPr="00BC41AF">
      <w:rPr>
        <w:rFonts w:ascii="Arial" w:hAnsi="Arial"/>
        <w:sz w:val="18"/>
      </w:rPr>
      <w:tab/>
    </w:r>
    <w:r w:rsidR="000F4971" w:rsidRPr="00BC41AF">
      <w:rPr>
        <w:sz w:val="18"/>
      </w:rPr>
      <w:t xml:space="preserve"> </w:t>
    </w:r>
  </w:p>
  <w:p w:rsidR="000F4971" w:rsidRDefault="002D2C66">
    <w:pPr>
      <w:ind w:left="-1260" w:right="-1260"/>
      <w:rPr>
        <w:b/>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0.35pt;margin-top:12.35pt;width:87.65pt;height:28.15pt;z-index:251658240;mso-position-vertical-relative:page" o:allowincell="f">
          <v:imagedata r:id="rId1" o:title="Childrens_MN_2015_logo_RGB_of_PMS280-PMS2925_800x257"/>
          <w10:wrap anchory="page"/>
        </v:shape>
      </w:pict>
    </w:r>
    <w:r w:rsidR="000F4971" w:rsidRPr="00BC41AF">
      <w:rPr>
        <w:rFonts w:ascii="Arial" w:hAnsi="Arial"/>
        <w:sz w:val="18"/>
      </w:rPr>
      <w:t>Effective Date:</w:t>
    </w:r>
    <w:r w:rsidR="000F4971">
      <w:rPr>
        <w:rFonts w:ascii="Arial" w:hAnsi="Arial"/>
        <w:sz w:val="18"/>
      </w:rPr>
      <w:t xml:space="preserve"> </w:t>
    </w:r>
    <w:r>
      <w:rPr>
        <w:rFonts w:ascii="Arial" w:hAnsi="Arial"/>
        <w:sz w:val="18"/>
      </w:rPr>
      <w:t>11/4/2019</w:t>
    </w:r>
  </w:p>
  <w:p w:rsidR="000F4971" w:rsidRDefault="000F4971">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B4B3D"/>
    <w:multiLevelType w:val="hybridMultilevel"/>
    <w:tmpl w:val="0E68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35E3"/>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B6F8B"/>
    <w:multiLevelType w:val="hybridMultilevel"/>
    <w:tmpl w:val="270C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5"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16" w15:restartNumberingAfterBreak="0">
    <w:nsid w:val="72AA2A9C"/>
    <w:multiLevelType w:val="hybridMultilevel"/>
    <w:tmpl w:val="169C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629A3"/>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15"/>
  </w:num>
  <w:num w:numId="4">
    <w:abstractNumId w:val="5"/>
  </w:num>
  <w:num w:numId="5">
    <w:abstractNumId w:val="13"/>
  </w:num>
  <w:num w:numId="6">
    <w:abstractNumId w:val="12"/>
  </w:num>
  <w:num w:numId="7">
    <w:abstractNumId w:val="2"/>
  </w:num>
  <w:num w:numId="8">
    <w:abstractNumId w:val="8"/>
  </w:num>
  <w:num w:numId="9">
    <w:abstractNumId w:val="10"/>
  </w:num>
  <w:num w:numId="10">
    <w:abstractNumId w:val="7"/>
  </w:num>
  <w:num w:numId="11">
    <w:abstractNumId w:val="18"/>
  </w:num>
  <w:num w:numId="12">
    <w:abstractNumId w:val="6"/>
  </w:num>
  <w:num w:numId="13">
    <w:abstractNumId w:val="16"/>
  </w:num>
  <w:num w:numId="14">
    <w:abstractNumId w:val="9"/>
  </w:num>
  <w:num w:numId="15">
    <w:abstractNumId w:val="11"/>
  </w:num>
  <w:num w:numId="16">
    <w:abstractNumId w:val="17"/>
  </w:num>
  <w:num w:numId="17">
    <w:abstractNumId w:val="1"/>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86EFB"/>
    <w:rsid w:val="000B32C3"/>
    <w:rsid w:val="000F4971"/>
    <w:rsid w:val="00255754"/>
    <w:rsid w:val="002869BF"/>
    <w:rsid w:val="002D2C66"/>
    <w:rsid w:val="00326A46"/>
    <w:rsid w:val="00357F8D"/>
    <w:rsid w:val="00375D20"/>
    <w:rsid w:val="00380849"/>
    <w:rsid w:val="00420669"/>
    <w:rsid w:val="004B4856"/>
    <w:rsid w:val="005309A5"/>
    <w:rsid w:val="0055127F"/>
    <w:rsid w:val="0055247C"/>
    <w:rsid w:val="00561B67"/>
    <w:rsid w:val="0058198F"/>
    <w:rsid w:val="00583ACA"/>
    <w:rsid w:val="005960E3"/>
    <w:rsid w:val="005D0088"/>
    <w:rsid w:val="006276E6"/>
    <w:rsid w:val="00632404"/>
    <w:rsid w:val="00651AB4"/>
    <w:rsid w:val="006D5D46"/>
    <w:rsid w:val="00702608"/>
    <w:rsid w:val="00731E14"/>
    <w:rsid w:val="007B0D03"/>
    <w:rsid w:val="0082374A"/>
    <w:rsid w:val="0087480A"/>
    <w:rsid w:val="008F3FA9"/>
    <w:rsid w:val="00985B05"/>
    <w:rsid w:val="009F35F7"/>
    <w:rsid w:val="00A22187"/>
    <w:rsid w:val="00A95C33"/>
    <w:rsid w:val="00BC3844"/>
    <w:rsid w:val="00C11789"/>
    <w:rsid w:val="00C206FB"/>
    <w:rsid w:val="00C76C05"/>
    <w:rsid w:val="00D50C90"/>
    <w:rsid w:val="00DA2A54"/>
    <w:rsid w:val="00DA5E2C"/>
    <w:rsid w:val="00ED360C"/>
    <w:rsid w:val="00ED402D"/>
    <w:rsid w:val="00F0688C"/>
    <w:rsid w:val="00F14271"/>
    <w:rsid w:val="00F97305"/>
    <w:rsid w:val="00FA1D64"/>
    <w:rsid w:val="00F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F39066-10E6-41BB-A1CE-A808A7A6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cdc.gov/std/trichomonas/stat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8207-E9B6-44A8-BC2D-342EE586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9</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19</cp:revision>
  <dcterms:created xsi:type="dcterms:W3CDTF">2019-06-10T15:11:00Z</dcterms:created>
  <dcterms:modified xsi:type="dcterms:W3CDTF">2019-10-09T15:39:00Z</dcterms:modified>
</cp:coreProperties>
</file>