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0A4884">
        <w:trPr>
          <w:tblHeader/>
        </w:trPr>
        <w:tc>
          <w:tcPr>
            <w:tcW w:w="11160" w:type="dxa"/>
            <w:gridSpan w:val="5"/>
            <w:tcBorders>
              <w:top w:val="nil"/>
              <w:left w:val="nil"/>
              <w:bottom w:val="nil"/>
              <w:right w:val="nil"/>
            </w:tcBorders>
          </w:tcPr>
          <w:p w:rsidR="00E3253B" w:rsidRDefault="00BD795C">
            <w:pPr>
              <w:rPr>
                <w:rFonts w:cs="Arial"/>
                <w:b/>
                <w:bCs/>
                <w:color w:val="0000FF"/>
                <w:sz w:val="36"/>
              </w:rPr>
            </w:pPr>
            <w:r>
              <w:rPr>
                <w:rFonts w:cs="Arial"/>
                <w:b/>
                <w:bCs/>
                <w:color w:val="0000FF"/>
                <w:sz w:val="36"/>
              </w:rPr>
              <w:t>Magnesium</w:t>
            </w:r>
            <w:r w:rsidR="009D085B">
              <w:rPr>
                <w:rFonts w:cs="Arial"/>
                <w:b/>
                <w:bCs/>
                <w:color w:val="0000FF"/>
                <w:sz w:val="36"/>
              </w:rPr>
              <w:t xml:space="preserve"> on Abbott</w:t>
            </w:r>
          </w:p>
          <w:p w:rsidR="00E3253B" w:rsidRDefault="00E3253B">
            <w:pPr>
              <w:rPr>
                <w:rFonts w:cs="Arial"/>
                <w:b/>
                <w:bCs/>
                <w:color w:val="0000FF"/>
              </w:rPr>
            </w:pPr>
          </w:p>
        </w:tc>
      </w:tr>
      <w:tr w:rsidR="00E3253B" w:rsidTr="000A4884">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651691">
              <w:rPr>
                <w:rStyle w:val="A7"/>
                <w:rFonts w:cs="Arial"/>
                <w:b w:val="0"/>
                <w:bCs w:val="0"/>
                <w:sz w:val="20"/>
                <w:szCs w:val="20"/>
              </w:rPr>
              <w:t>MAGNESIUM</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23327E">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651691">
              <w:rPr>
                <w:rFonts w:cs="Arial"/>
                <w:szCs w:val="20"/>
              </w:rPr>
              <w:t>magnesium</w:t>
            </w:r>
            <w:r w:rsidR="00CE4C73">
              <w:rPr>
                <w:rFonts w:cs="Arial"/>
                <w:szCs w:val="20"/>
              </w:rPr>
              <w:t xml:space="preserve"> </w:t>
            </w:r>
            <w:r w:rsidR="00E93074" w:rsidRPr="00DC7421">
              <w:rPr>
                <w:rFonts w:cs="Arial"/>
                <w:szCs w:val="20"/>
              </w:rPr>
              <w:t xml:space="preserve">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651691">
              <w:rPr>
                <w:rFonts w:cs="Arial"/>
                <w:szCs w:val="20"/>
              </w:rPr>
              <w:t>magnesium</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0A4884">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or Abbott Alinity c at Children’s Minnesota Laboratory.</w:t>
            </w:r>
          </w:p>
          <w:p w:rsidR="00E3253B" w:rsidRPr="00DC7421" w:rsidRDefault="00E3253B" w:rsidP="003D713F">
            <w:pPr>
              <w:rPr>
                <w:rFonts w:cs="Arial"/>
                <w:szCs w:val="20"/>
              </w:rPr>
            </w:pP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651691" w:rsidRDefault="00651691" w:rsidP="00651691">
            <w:pPr>
              <w:pStyle w:val="Header"/>
              <w:rPr>
                <w:rFonts w:cs="Arial"/>
                <w:color w:val="000000"/>
                <w:szCs w:val="20"/>
              </w:rPr>
            </w:pPr>
            <w:r w:rsidRPr="00651691">
              <w:rPr>
                <w:rFonts w:cs="Arial"/>
                <w:color w:val="000000"/>
                <w:szCs w:val="20"/>
              </w:rPr>
              <w:t>Magnesium present in the sample is a cofactor in an enzymatic reaction</w:t>
            </w:r>
            <w:r>
              <w:rPr>
                <w:rFonts w:cs="Arial"/>
                <w:color w:val="000000"/>
                <w:szCs w:val="20"/>
              </w:rPr>
              <w:t xml:space="preserve"> </w:t>
            </w:r>
            <w:r w:rsidRPr="00651691">
              <w:rPr>
                <w:rFonts w:cs="Arial"/>
                <w:color w:val="000000"/>
                <w:szCs w:val="20"/>
              </w:rPr>
              <w:t xml:space="preserve">with </w:t>
            </w:r>
            <w:proofErr w:type="spellStart"/>
            <w:r w:rsidRPr="00651691">
              <w:rPr>
                <w:rFonts w:cs="Arial"/>
                <w:color w:val="000000"/>
                <w:szCs w:val="20"/>
              </w:rPr>
              <w:t>isocitrate</w:t>
            </w:r>
            <w:proofErr w:type="spellEnd"/>
            <w:r w:rsidRPr="00651691">
              <w:rPr>
                <w:rFonts w:cs="Arial"/>
                <w:color w:val="000000"/>
                <w:szCs w:val="20"/>
              </w:rPr>
              <w:t xml:space="preserve"> dehydrogenase. The rate of increase in absorbance at</w:t>
            </w:r>
            <w:r>
              <w:rPr>
                <w:rFonts w:cs="Arial"/>
                <w:color w:val="000000"/>
                <w:szCs w:val="20"/>
              </w:rPr>
              <w:t xml:space="preserve"> </w:t>
            </w:r>
            <w:r w:rsidRPr="00651691">
              <w:rPr>
                <w:rFonts w:cs="Arial"/>
                <w:color w:val="000000"/>
                <w:szCs w:val="20"/>
              </w:rPr>
              <w:t>340 nm, due to the formation of NADPH, is directly proportional to the</w:t>
            </w:r>
            <w:r>
              <w:rPr>
                <w:rFonts w:cs="Arial"/>
                <w:color w:val="000000"/>
                <w:szCs w:val="20"/>
              </w:rPr>
              <w:t xml:space="preserve"> </w:t>
            </w:r>
            <w:r w:rsidRPr="00651691">
              <w:rPr>
                <w:rFonts w:cs="Arial"/>
                <w:color w:val="000000"/>
                <w:szCs w:val="20"/>
              </w:rPr>
              <w:t>magnesium concentration.</w:t>
            </w:r>
          </w:p>
          <w:p w:rsidR="00651691" w:rsidRPr="00651691" w:rsidRDefault="00651691" w:rsidP="00651691">
            <w:pPr>
              <w:pStyle w:val="Header"/>
              <w:rPr>
                <w:rFonts w:cs="Arial"/>
                <w:color w:val="000000"/>
                <w:szCs w:val="20"/>
              </w:rPr>
            </w:pPr>
          </w:p>
          <w:p w:rsidR="00651691" w:rsidRDefault="00651691" w:rsidP="00651691">
            <w:pPr>
              <w:pStyle w:val="Header"/>
              <w:rPr>
                <w:rFonts w:cs="Arial"/>
                <w:color w:val="000000"/>
                <w:szCs w:val="20"/>
              </w:rPr>
            </w:pPr>
            <w:r>
              <w:rPr>
                <w:rFonts w:cs="Arial"/>
                <w:color w:val="000000"/>
                <w:szCs w:val="20"/>
              </w:rPr>
              <w:t xml:space="preserve">                                         </w:t>
            </w:r>
            <w:proofErr w:type="spellStart"/>
            <w:r>
              <w:rPr>
                <w:rFonts w:cs="Arial"/>
                <w:color w:val="000000"/>
                <w:szCs w:val="20"/>
              </w:rPr>
              <w:t>Isocitrate</w:t>
            </w:r>
            <w:proofErr w:type="spellEnd"/>
            <w:r>
              <w:rPr>
                <w:rFonts w:cs="Arial"/>
                <w:color w:val="000000"/>
                <w:szCs w:val="20"/>
              </w:rPr>
              <w:t xml:space="preserve"> dehydrogenase</w:t>
            </w:r>
          </w:p>
          <w:p w:rsidR="00651691" w:rsidRPr="00651691" w:rsidRDefault="00651691" w:rsidP="00651691">
            <w:pPr>
              <w:pStyle w:val="Header"/>
              <w:rPr>
                <w:rFonts w:cs="Arial"/>
                <w:color w:val="000000"/>
                <w:szCs w:val="20"/>
              </w:rPr>
            </w:pPr>
            <w:r w:rsidRPr="00651691">
              <w:rPr>
                <w:rFonts w:cs="Arial"/>
                <w:color w:val="000000"/>
                <w:szCs w:val="20"/>
              </w:rPr>
              <w:t>D-</w:t>
            </w:r>
            <w:proofErr w:type="spellStart"/>
            <w:r w:rsidRPr="00651691">
              <w:rPr>
                <w:rFonts w:cs="Arial"/>
                <w:color w:val="000000"/>
                <w:szCs w:val="20"/>
              </w:rPr>
              <w:t>isocitric</w:t>
            </w:r>
            <w:proofErr w:type="spellEnd"/>
            <w:r w:rsidRPr="00651691">
              <w:rPr>
                <w:rFonts w:cs="Arial"/>
                <w:color w:val="000000"/>
                <w:szCs w:val="20"/>
              </w:rPr>
              <w:t xml:space="preserve"> acid + NADP </w:t>
            </w:r>
            <w:r>
              <w:rPr>
                <w:rFonts w:cs="Arial"/>
                <w:color w:val="000000"/>
                <w:szCs w:val="20"/>
              </w:rPr>
              <w:t xml:space="preserve">                    →                       </w:t>
            </w:r>
            <w:r w:rsidRPr="00651691">
              <w:rPr>
                <w:rFonts w:cs="Arial"/>
                <w:color w:val="000000"/>
                <w:szCs w:val="20"/>
              </w:rPr>
              <w:t>2-oxoglutarate + CO2 + NADPH</w:t>
            </w:r>
          </w:p>
          <w:p w:rsidR="00651691" w:rsidRDefault="00651691" w:rsidP="00651691">
            <w:pPr>
              <w:pStyle w:val="Header"/>
              <w:rPr>
                <w:rFonts w:cs="Arial"/>
                <w:color w:val="000000"/>
                <w:szCs w:val="20"/>
              </w:rPr>
            </w:pPr>
            <w:r>
              <w:rPr>
                <w:rFonts w:cs="Arial"/>
                <w:color w:val="000000"/>
                <w:szCs w:val="20"/>
              </w:rPr>
              <w:t xml:space="preserve">                                                       </w:t>
            </w:r>
            <w:r w:rsidRPr="00651691">
              <w:rPr>
                <w:rFonts w:cs="Arial"/>
                <w:color w:val="000000"/>
                <w:szCs w:val="20"/>
              </w:rPr>
              <w:t>Mg2+</w:t>
            </w:r>
          </w:p>
          <w:p w:rsidR="00651691" w:rsidRPr="00651691" w:rsidRDefault="00651691" w:rsidP="00651691">
            <w:pPr>
              <w:pStyle w:val="Header"/>
              <w:rPr>
                <w:rFonts w:cs="Arial"/>
                <w:color w:val="000000"/>
                <w:szCs w:val="20"/>
              </w:rPr>
            </w:pPr>
          </w:p>
          <w:p w:rsidR="00557A1F" w:rsidRDefault="00651691" w:rsidP="00651691">
            <w:pPr>
              <w:pStyle w:val="Header"/>
              <w:tabs>
                <w:tab w:val="clear" w:pos="4320"/>
                <w:tab w:val="clear" w:pos="8640"/>
              </w:tabs>
              <w:rPr>
                <w:rFonts w:cs="Arial"/>
                <w:color w:val="000000"/>
                <w:szCs w:val="20"/>
              </w:rPr>
            </w:pPr>
            <w:r w:rsidRPr="00651691">
              <w:rPr>
                <w:rFonts w:cs="Arial"/>
                <w:color w:val="000000"/>
                <w:szCs w:val="20"/>
              </w:rPr>
              <w:t>Methodology: Enzymatic</w:t>
            </w:r>
          </w:p>
          <w:p w:rsidR="0023327E" w:rsidRPr="00DC7421" w:rsidRDefault="0023327E" w:rsidP="00651691">
            <w:pPr>
              <w:pStyle w:val="Header"/>
              <w:tabs>
                <w:tab w:val="clear" w:pos="4320"/>
                <w:tab w:val="clear" w:pos="8640"/>
              </w:tabs>
              <w:rPr>
                <w:rFonts w:cs="Arial"/>
                <w:color w:val="000000"/>
                <w:szCs w:val="20"/>
              </w:rPr>
            </w:pP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651691" w:rsidRDefault="00651691" w:rsidP="00651691">
            <w:r>
              <w:t xml:space="preserve">Magnesium is an essential nutrient which is involved in many biochemical functions.  It has a structural role in nucleic acids and ribosomal particles, is required as an activator for many enzymes, and has a role in energy producing oxidative phosphorylation.  The normal body contains 21 to 28 g magnesium, more than 50% of which is complexed with calcium and phosphate in bone.  Only approximately 1% of the total magnesium is found in the extracellular fluid.  It tends to enter and leave cells under the same conditions as potassium.  Approximately 35% of plasma magnesium is protein-bound, mainly to albumin, and therefore changes in albumin concentration may affect magnesium. </w:t>
            </w:r>
          </w:p>
          <w:p w:rsidR="00651691" w:rsidRDefault="00651691" w:rsidP="00651691"/>
          <w:p w:rsidR="00651691" w:rsidRDefault="00651691" w:rsidP="00651691">
            <w:r>
              <w:t xml:space="preserve">Hypomagnesemia results in impairment of neuromuscular function, carbohydrate intolerance, and cardiac arrhythmias. </w:t>
            </w:r>
          </w:p>
          <w:p w:rsidR="00651691" w:rsidRDefault="00651691" w:rsidP="00651691"/>
          <w:p w:rsidR="00651691" w:rsidRDefault="00651691" w:rsidP="00651691">
            <w:proofErr w:type="spellStart"/>
            <w:r>
              <w:t>Hypermagnesemia</w:t>
            </w:r>
            <w:proofErr w:type="spellEnd"/>
            <w:r>
              <w:t xml:space="preserve"> results in hypotension, bradycardia, and respiratory depression, among other conditions.</w:t>
            </w:r>
          </w:p>
          <w:p w:rsidR="00557A1F" w:rsidRPr="00370B0F" w:rsidRDefault="00557A1F" w:rsidP="00651691"/>
        </w:tc>
      </w:tr>
      <w:tr w:rsidR="00E3253B" w:rsidTr="000A4884">
        <w:trPr>
          <w:trHeight w:val="8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0A4884">
        <w:trPr>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Default="00651691" w:rsidP="00370B0F">
            <w:r>
              <w:rPr>
                <w:b/>
              </w:rPr>
              <w:t>MG</w:t>
            </w:r>
            <w:r w:rsidR="002271D0">
              <w:t xml:space="preserve">: </w:t>
            </w:r>
            <w:r>
              <w:t>Magnesium</w:t>
            </w:r>
            <w:r w:rsidR="004D58E4">
              <w:t xml:space="preserve"> in</w:t>
            </w:r>
            <w:r w:rsidR="002271D0">
              <w:t xml:space="preserve"> serum or plasma</w:t>
            </w:r>
          </w:p>
          <w:p w:rsidR="00370B0F" w:rsidRPr="00370B0F" w:rsidRDefault="00370B0F" w:rsidP="00370B0F"/>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EE57E1">
              <w:rPr>
                <w:rFonts w:cs="Arial"/>
                <w:szCs w:val="20"/>
              </w:rPr>
              <w:t xml:space="preserve"> </w:t>
            </w:r>
            <w:r w:rsidRPr="00DC7421">
              <w:rPr>
                <w:rFonts w:cs="Arial"/>
                <w:szCs w:val="20"/>
              </w:rPr>
              <w:t>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xml:space="preserve">. </w:t>
            </w:r>
            <w:r w:rsidR="000A4884">
              <w:rPr>
                <w:rFonts w:cs="Arial"/>
                <w:szCs w:val="20"/>
              </w:rPr>
              <w:t xml:space="preserve"> </w:t>
            </w:r>
            <w:r w:rsidR="00E3253B" w:rsidRPr="00DC7421">
              <w:rPr>
                <w:rFonts w:cs="Arial"/>
                <w:szCs w:val="20"/>
              </w:rPr>
              <w:t>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0A4884">
              <w:rPr>
                <w:rFonts w:cs="Arial"/>
                <w:szCs w:val="20"/>
              </w:rPr>
              <w:t xml:space="preserve"> RT / 7</w:t>
            </w:r>
            <w:r w:rsidR="004D58E4">
              <w:rPr>
                <w:rFonts w:cs="Arial"/>
                <w:szCs w:val="20"/>
              </w:rPr>
              <w:t xml:space="preserve"> day</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0A4884">
              <w:rPr>
                <w:rFonts w:cs="Arial"/>
                <w:szCs w:val="20"/>
              </w:rPr>
              <w:t xml:space="preserve"> 7</w:t>
            </w:r>
            <w:r w:rsidR="0094479F">
              <w:rPr>
                <w:rFonts w:cs="Arial"/>
                <w:szCs w:val="20"/>
              </w:rPr>
              <w:t xml:space="preserve">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94479F">
              <w:rPr>
                <w:rFonts w:cs="Arial"/>
                <w:szCs w:val="20"/>
              </w:rPr>
              <w:t>1 year</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0A4884">
              <w:rPr>
                <w:rFonts w:cs="Arial"/>
                <w:szCs w:val="20"/>
              </w:rPr>
              <w:t>.</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0A4884">
        <w:trPr>
          <w:tblHeader/>
        </w:trPr>
        <w:tc>
          <w:tcPr>
            <w:tcW w:w="1800" w:type="dxa"/>
            <w:tcBorders>
              <w:top w:val="nil"/>
              <w:left w:val="nil"/>
              <w:bottom w:val="nil"/>
              <w:right w:val="nil"/>
            </w:tcBorders>
          </w:tcPr>
          <w:p w:rsidR="00D955F6" w:rsidRPr="00C00B65" w:rsidRDefault="00D955F6" w:rsidP="0023327E">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A56318">
              <w:rPr>
                <w:rFonts w:cs="Arial"/>
                <w:color w:val="000000"/>
                <w:szCs w:val="20"/>
              </w:rPr>
              <w:t>g</w:t>
            </w:r>
            <w:r w:rsidR="004D58E4">
              <w:rPr>
                <w:rFonts w:cs="Arial"/>
                <w:color w:val="000000"/>
                <w:szCs w:val="20"/>
              </w:rPr>
              <w:t>es in an upright position for 8</w:t>
            </w:r>
            <w:r w:rsidR="004B5D63">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A56318">
              <w:rPr>
                <w:rFonts w:cs="Arial"/>
                <w:color w:val="000000"/>
                <w:szCs w:val="20"/>
              </w:rPr>
              <w:t>ace in an upright position for 24</w:t>
            </w:r>
            <w:r w:rsidRPr="00DC7421">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w:t>
            </w:r>
            <w:r w:rsidR="000A4884">
              <w:rPr>
                <w:rFonts w:cs="Arial"/>
                <w:color w:val="000000"/>
                <w:szCs w:val="20"/>
              </w:rPr>
              <w:t xml:space="preserve"> </w:t>
            </w:r>
            <w:r w:rsidRPr="00DC7421">
              <w:rPr>
                <w:rFonts w:cs="Arial"/>
                <w:color w:val="000000"/>
                <w:szCs w:val="20"/>
              </w:rPr>
              <w:t xml:space="preserve">Bubbles may interfere with the detection of the reagent level in the cartridge and cause insufficient reagent aspiration that may adversely affect results. </w:t>
            </w:r>
            <w:r w:rsidR="000A4884">
              <w:rPr>
                <w:rFonts w:cs="Arial"/>
                <w:color w:val="000000"/>
                <w:szCs w:val="20"/>
              </w:rPr>
              <w:t xml:space="preserve">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w:t>
            </w:r>
            <w:r w:rsidR="000A4884">
              <w:rPr>
                <w:rFonts w:cs="Arial"/>
                <w:szCs w:val="20"/>
              </w:rPr>
              <w:t xml:space="preserve"> </w:t>
            </w:r>
            <w:r w:rsidRPr="00DC7421">
              <w:rPr>
                <w:rFonts w:cs="Arial"/>
                <w:szCs w:val="20"/>
              </w:rPr>
              <w:t xml:space="preserve">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DC0632">
                    <w:rPr>
                      <w:rFonts w:cs="Arial"/>
                      <w:szCs w:val="20"/>
                    </w:rPr>
                    <w:t xml:space="preserve">    </w:t>
                  </w:r>
                  <w:r w:rsidR="00651691">
                    <w:rPr>
                      <w:rFonts w:cs="Arial"/>
                      <w:szCs w:val="20"/>
                    </w:rPr>
                    <w:t>Magnesium</w:t>
                  </w:r>
                  <w:r w:rsidR="00DC0632">
                    <w:rPr>
                      <w:rFonts w:cs="Arial"/>
                      <w:szCs w:val="20"/>
                    </w:rPr>
                    <w:t xml:space="preserve"> </w:t>
                  </w:r>
                  <w:r w:rsidR="002F5C68" w:rsidRPr="00DC7421">
                    <w:rPr>
                      <w:rFonts w:cs="Arial"/>
                      <w:szCs w:val="20"/>
                    </w:rPr>
                    <w:t>Reagent</w:t>
                  </w:r>
                </w:p>
                <w:p w:rsidR="00D955F6" w:rsidRPr="00DC7421" w:rsidRDefault="00DC0632" w:rsidP="000A4884">
                  <w:pPr>
                    <w:autoSpaceDE w:val="0"/>
                    <w:autoSpaceDN w:val="0"/>
                    <w:adjustRightInd w:val="0"/>
                    <w:rPr>
                      <w:rFonts w:cs="Arial"/>
                      <w:szCs w:val="20"/>
                    </w:rPr>
                  </w:pPr>
                  <w:r>
                    <w:rPr>
                      <w:rFonts w:cs="Arial"/>
                      <w:szCs w:val="20"/>
                    </w:rPr>
                    <w:t xml:space="preserve">CHC# </w:t>
                  </w:r>
                  <w:r w:rsidR="000A4884">
                    <w:rPr>
                      <w:rFonts w:cs="Arial"/>
                      <w:szCs w:val="20"/>
                    </w:rPr>
                    <w:t>33276</w:t>
                  </w:r>
                </w:p>
              </w:tc>
              <w:tc>
                <w:tcPr>
                  <w:tcW w:w="1710" w:type="dxa"/>
                  <w:vAlign w:val="center"/>
                </w:tcPr>
                <w:p w:rsidR="00D955F6" w:rsidRPr="00DC7421" w:rsidRDefault="000A4884" w:rsidP="00E3253B">
                  <w:pPr>
                    <w:pStyle w:val="BodyText"/>
                    <w:tabs>
                      <w:tab w:val="left" w:pos="3240"/>
                    </w:tabs>
                    <w:rPr>
                      <w:rFonts w:cs="Arial"/>
                      <w:szCs w:val="20"/>
                    </w:rPr>
                  </w:pPr>
                  <w:r w:rsidRPr="000A4884">
                    <w:rPr>
                      <w:rFonts w:cs="Arial"/>
                      <w:szCs w:val="20"/>
                    </w:rPr>
                    <w:t>08P19-20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0A4884">
                    <w:rPr>
                      <w:rFonts w:cs="Arial"/>
                      <w:b/>
                      <w:bCs/>
                      <w:szCs w:val="20"/>
                    </w:rPr>
                    <w:t>30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090C84">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56318">
                    <w:rPr>
                      <w:rFonts w:ascii="Arial" w:hAnsi="Arial" w:cs="Arial"/>
                    </w:rPr>
                    <w:t xml:space="preserve">   </w:t>
                  </w:r>
                  <w:r w:rsidR="00651691">
                    <w:rPr>
                      <w:rFonts w:ascii="Arial" w:hAnsi="Arial" w:cs="Arial"/>
                    </w:rPr>
                    <w:t>Magnesium</w:t>
                  </w:r>
                  <w:r w:rsidR="00486653">
                    <w:rPr>
                      <w:rFonts w:ascii="Arial" w:hAnsi="Arial" w:cs="Arial"/>
                    </w:rPr>
                    <w:t xml:space="preserve"> </w:t>
                  </w:r>
                  <w:r w:rsidR="002F5C68" w:rsidRPr="00DC7421">
                    <w:rPr>
                      <w:rFonts w:ascii="Arial" w:hAnsi="Arial" w:cs="Arial"/>
                    </w:rPr>
                    <w:t>Reagent</w:t>
                  </w:r>
                </w:p>
                <w:p w:rsidR="009A1A3D" w:rsidRPr="00DC7421" w:rsidRDefault="00DC0632" w:rsidP="000A4884">
                  <w:pPr>
                    <w:pStyle w:val="Reagents"/>
                    <w:rPr>
                      <w:rFonts w:ascii="Arial" w:hAnsi="Arial" w:cs="Arial"/>
                    </w:rPr>
                  </w:pPr>
                  <w:r>
                    <w:rPr>
                      <w:rFonts w:ascii="Arial" w:hAnsi="Arial" w:cs="Arial"/>
                    </w:rPr>
                    <w:t xml:space="preserve">CHC# </w:t>
                  </w:r>
                  <w:r w:rsidR="000A4884">
                    <w:rPr>
                      <w:rFonts w:ascii="Arial" w:hAnsi="Arial" w:cs="Arial"/>
                    </w:rPr>
                    <w:t>32551</w:t>
                  </w:r>
                </w:p>
              </w:tc>
              <w:tc>
                <w:tcPr>
                  <w:tcW w:w="1710" w:type="dxa"/>
                  <w:vAlign w:val="center"/>
                </w:tcPr>
                <w:p w:rsidR="00D955F6" w:rsidRPr="00DC7421" w:rsidRDefault="000A4884" w:rsidP="00B13C1A">
                  <w:pPr>
                    <w:pStyle w:val="Reagents"/>
                    <w:rPr>
                      <w:rFonts w:ascii="Arial" w:hAnsi="Arial" w:cs="Arial"/>
                    </w:rPr>
                  </w:pPr>
                  <w:r w:rsidRPr="000A4884">
                    <w:rPr>
                      <w:rFonts w:ascii="Arial" w:hAnsi="Arial" w:cs="Arial"/>
                    </w:rPr>
                    <w:t>07D70-21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0A4884">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0A4884">
                    <w:rPr>
                      <w:rFonts w:cs="Arial"/>
                      <w:b/>
                      <w:bCs/>
                      <w:szCs w:val="20"/>
                    </w:rPr>
                    <w:t>30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0A4884">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090C84">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Default="00D63C07" w:rsidP="00B22847">
                  <w:pPr>
                    <w:autoSpaceDE w:val="0"/>
                    <w:autoSpaceDN w:val="0"/>
                    <w:adjustRightInd w:val="0"/>
                    <w:rPr>
                      <w:rFonts w:cs="Arial"/>
                      <w:color w:val="000000"/>
                      <w:szCs w:val="20"/>
                    </w:rPr>
                  </w:pPr>
                </w:p>
                <w:p w:rsidR="00DC0632" w:rsidRPr="00DC7421" w:rsidRDefault="00DC0632" w:rsidP="00DC0632">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rsidR="003C7AF1" w:rsidRDefault="000A4884" w:rsidP="003C7AF1">
                  <w:pPr>
                    <w:autoSpaceDE w:val="0"/>
                    <w:autoSpaceDN w:val="0"/>
                    <w:adjustRightInd w:val="0"/>
                    <w:rPr>
                      <w:rFonts w:cs="Arial"/>
                      <w:color w:val="000000"/>
                      <w:szCs w:val="20"/>
                    </w:rPr>
                  </w:pPr>
                  <w:r>
                    <w:rPr>
                      <w:rFonts w:cs="Arial"/>
                      <w:color w:val="000000"/>
                      <w:szCs w:val="20"/>
                    </w:rPr>
                    <w:t xml:space="preserve">R1 Reagent: </w:t>
                  </w:r>
                  <w:r w:rsidR="003C7AF1" w:rsidRPr="003C7AF1">
                    <w:rPr>
                      <w:rFonts w:cs="Arial"/>
                      <w:color w:val="000000"/>
                      <w:szCs w:val="20"/>
                    </w:rPr>
                    <w:t>Contains sodium azide and polyeth</w:t>
                  </w:r>
                  <w:r w:rsidR="003C7AF1">
                    <w:rPr>
                      <w:rFonts w:cs="Arial"/>
                      <w:color w:val="000000"/>
                      <w:szCs w:val="20"/>
                    </w:rPr>
                    <w:t xml:space="preserve">ylene glycol octylphenyl ether.  </w:t>
                  </w:r>
                  <w:r w:rsidR="003C7AF1" w:rsidRPr="003C7AF1">
                    <w:rPr>
                      <w:rFonts w:cs="Arial"/>
                      <w:color w:val="000000"/>
                      <w:szCs w:val="20"/>
                    </w:rPr>
                    <w:t xml:space="preserve">Contact with </w:t>
                  </w:r>
                  <w:r w:rsidR="003C7AF1">
                    <w:rPr>
                      <w:rFonts w:cs="Arial"/>
                      <w:color w:val="000000"/>
                      <w:szCs w:val="20"/>
                    </w:rPr>
                    <w:t xml:space="preserve">acids liberates very toxic gas.  Harmful to aquatic life.  </w:t>
                  </w:r>
                  <w:r w:rsidR="003C7AF1" w:rsidRPr="003C7AF1">
                    <w:rPr>
                      <w:rFonts w:cs="Arial"/>
                      <w:color w:val="000000"/>
                      <w:szCs w:val="20"/>
                    </w:rPr>
                    <w:t>Harmful to</w:t>
                  </w:r>
                  <w:r w:rsidR="003C7AF1">
                    <w:t xml:space="preserve"> </w:t>
                  </w:r>
                  <w:r w:rsidR="003C7AF1">
                    <w:rPr>
                      <w:rFonts w:cs="Arial"/>
                      <w:color w:val="000000"/>
                      <w:szCs w:val="20"/>
                    </w:rPr>
                    <w:t xml:space="preserve">aquatic life with long lasting </w:t>
                  </w:r>
                  <w:r w:rsidR="003C7AF1" w:rsidRPr="003C7AF1">
                    <w:rPr>
                      <w:rFonts w:cs="Arial"/>
                      <w:color w:val="000000"/>
                      <w:szCs w:val="20"/>
                    </w:rPr>
                    <w:t>effects.</w:t>
                  </w:r>
                </w:p>
                <w:p w:rsidR="00486653" w:rsidRDefault="004D58E4" w:rsidP="003C7AF1">
                  <w:pPr>
                    <w:autoSpaceDE w:val="0"/>
                    <w:autoSpaceDN w:val="0"/>
                    <w:adjustRightInd w:val="0"/>
                    <w:rPr>
                      <w:rFonts w:cs="Arial"/>
                      <w:color w:val="000000"/>
                      <w:szCs w:val="20"/>
                    </w:rPr>
                  </w:pPr>
                  <w:r>
                    <w:rPr>
                      <w:rFonts w:cs="Arial"/>
                      <w:color w:val="000000"/>
                      <w:szCs w:val="20"/>
                    </w:rPr>
                    <w:t xml:space="preserve">R2 Reagents: </w:t>
                  </w:r>
                  <w:r w:rsidR="003C7AF1" w:rsidRPr="003C7AF1">
                    <w:rPr>
                      <w:rFonts w:cs="Arial"/>
                      <w:color w:val="000000"/>
                      <w:szCs w:val="20"/>
                    </w:rPr>
                    <w:t>Contains sodium azide.</w:t>
                  </w:r>
                  <w:r w:rsidR="003C7AF1">
                    <w:rPr>
                      <w:rFonts w:cs="Arial"/>
                      <w:color w:val="000000"/>
                      <w:szCs w:val="20"/>
                    </w:rPr>
                    <w:t xml:space="preserve"> </w:t>
                  </w:r>
                  <w:r w:rsidR="003C7AF1" w:rsidRPr="003C7AF1">
                    <w:rPr>
                      <w:rFonts w:cs="Arial"/>
                      <w:color w:val="000000"/>
                      <w:szCs w:val="20"/>
                    </w:rPr>
                    <w:t xml:space="preserve"> Contact with acids liberates very toxic gas.</w:t>
                  </w:r>
                </w:p>
                <w:p w:rsidR="004D58E4" w:rsidRDefault="004D58E4" w:rsidP="004D58E4">
                  <w:pPr>
                    <w:autoSpaceDE w:val="0"/>
                    <w:autoSpaceDN w:val="0"/>
                    <w:adjustRightInd w:val="0"/>
                    <w:rPr>
                      <w:rFonts w:cs="Arial"/>
                      <w:color w:val="000000"/>
                      <w:szCs w:val="20"/>
                    </w:rPr>
                  </w:pPr>
                </w:p>
                <w:p w:rsidR="003E0A08" w:rsidRPr="00DC7421" w:rsidRDefault="003C7AF1" w:rsidP="00486653">
                  <w:pPr>
                    <w:autoSpaceDE w:val="0"/>
                    <w:autoSpaceDN w:val="0"/>
                    <w:adjustRightInd w:val="0"/>
                    <w:rPr>
                      <w:rFonts w:cs="Arial"/>
                      <w:color w:val="000000"/>
                      <w:szCs w:val="20"/>
                    </w:rPr>
                  </w:pPr>
                  <w:r>
                    <w:rPr>
                      <w:rFonts w:cs="Arial"/>
                      <w:color w:val="000000"/>
                      <w:szCs w:val="20"/>
                    </w:rPr>
                    <w:t xml:space="preserve">Reagents and </w:t>
                  </w:r>
                  <w:r w:rsidR="003E0A08" w:rsidRPr="00DC7421">
                    <w:rPr>
                      <w:rFonts w:cs="Arial"/>
                      <w:color w:val="000000"/>
                      <w:szCs w:val="20"/>
                    </w:rPr>
                    <w:t>Multiconstituent Calibrator</w:t>
                  </w:r>
                  <w:r>
                    <w:rPr>
                      <w:rFonts w:cs="Arial"/>
                      <w:color w:val="000000"/>
                      <w:szCs w:val="20"/>
                    </w:rPr>
                    <w:t>s</w:t>
                  </w:r>
                  <w:r w:rsidR="003E0A08" w:rsidRPr="00DC7421">
                    <w:rPr>
                      <w:rFonts w:cs="Arial"/>
                      <w:color w:val="000000"/>
                      <w:szCs w:val="20"/>
                    </w:rPr>
                    <w:t xml:space="preserve">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0A4884">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3C7AF1" w:rsidP="00A32948">
                  <w:pPr>
                    <w:pStyle w:val="CalVerTable"/>
                    <w:ind w:left="0" w:firstLine="0"/>
                    <w:rPr>
                      <w:rFonts w:ascii="Arial" w:hAnsi="Arial" w:cs="Arial"/>
                    </w:rPr>
                  </w:pPr>
                  <w:r>
                    <w:rPr>
                      <w:rFonts w:ascii="Arial" w:hAnsi="Arial" w:cs="Arial"/>
                    </w:rPr>
                    <w:t>0.6</w:t>
                  </w:r>
                  <w:r w:rsidR="004D58E4">
                    <w:rPr>
                      <w:rFonts w:ascii="Arial" w:hAnsi="Arial" w:cs="Arial"/>
                    </w:rPr>
                    <w:t xml:space="preserve"> –</w:t>
                  </w:r>
                  <w:r>
                    <w:rPr>
                      <w:rFonts w:ascii="Arial" w:hAnsi="Arial" w:cs="Arial"/>
                    </w:rPr>
                    <w:t xml:space="preserve"> 9.5</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Alinity Multiconstituent Calibrator</w:t>
                  </w:r>
                </w:p>
                <w:p w:rsidR="0094479F" w:rsidRPr="00DC7421" w:rsidRDefault="0094479F" w:rsidP="00440E37">
                  <w:pPr>
                    <w:pStyle w:val="BodyText"/>
                    <w:rPr>
                      <w:rFonts w:cs="Arial"/>
                      <w:szCs w:val="20"/>
                    </w:rPr>
                  </w:pPr>
                  <w:r>
                    <w:rPr>
                      <w:rFonts w:cs="Arial"/>
                      <w:szCs w:val="20"/>
                    </w:rPr>
                    <w:t>Abbott Architect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0A4884" w:rsidP="004A698D">
                  <w:pPr>
                    <w:pStyle w:val="Pa10"/>
                    <w:rPr>
                      <w:rFonts w:ascii="Arial" w:hAnsi="Arial" w:cs="Arial"/>
                      <w:sz w:val="20"/>
                      <w:szCs w:val="20"/>
                    </w:rPr>
                  </w:pPr>
                  <w:r>
                    <w:rPr>
                      <w:rFonts w:ascii="Arial" w:hAnsi="Arial" w:cs="Arial"/>
                      <w:sz w:val="20"/>
                      <w:szCs w:val="20"/>
                    </w:rPr>
                    <w:t>30</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0A4884">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rsidR="00557A1F"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557A1F" w:rsidRPr="00557A1F">
              <w:rPr>
                <w:rFonts w:eastAsia="HelenPro-Regular" w:cs="Arial"/>
                <w:szCs w:val="20"/>
              </w:rPr>
              <w:t>bas</w:t>
            </w:r>
            <w:r w:rsidR="00557A1F">
              <w:rPr>
                <w:rFonts w:eastAsia="HelenPro-Regular" w:cs="Arial"/>
                <w:szCs w:val="20"/>
              </w:rPr>
              <w:t xml:space="preserve">ed on guidance from NCCLS EP7-P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557A1F">
              <w:rPr>
                <w:rFonts w:cs="Arial"/>
                <w:szCs w:val="20"/>
              </w:rPr>
              <w:t xml:space="preserve">than </w:t>
            </w:r>
            <w:r w:rsidR="00075A67">
              <w:rPr>
                <w:rFonts w:cs="Arial"/>
                <w:szCs w:val="20"/>
              </w:rPr>
              <w:t>7.5</w:t>
            </w:r>
            <w:r w:rsidR="00A87A35">
              <w:rPr>
                <w:rFonts w:cs="Arial"/>
                <w:szCs w:val="20"/>
              </w:rPr>
              <w:t>% at</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Pr="00DC7421" w:rsidRDefault="00075A67" w:rsidP="00655B61">
            <w:pPr>
              <w:numPr>
                <w:ilvl w:val="0"/>
                <w:numId w:val="20"/>
              </w:numPr>
              <w:jc w:val="both"/>
              <w:rPr>
                <w:rFonts w:cs="Arial"/>
                <w:szCs w:val="20"/>
              </w:rPr>
            </w:pPr>
            <w:r>
              <w:rPr>
                <w:rFonts w:cs="Arial"/>
                <w:szCs w:val="20"/>
              </w:rPr>
              <w:t>Hemoglobin: up to 1200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075A67" w:rsidP="00655B61">
            <w:pPr>
              <w:numPr>
                <w:ilvl w:val="0"/>
                <w:numId w:val="20"/>
              </w:numPr>
              <w:jc w:val="both"/>
              <w:rPr>
                <w:rFonts w:cs="Arial"/>
                <w:szCs w:val="20"/>
              </w:rPr>
            </w:pPr>
            <w:r>
              <w:rPr>
                <w:rFonts w:cs="Arial"/>
                <w:szCs w:val="20"/>
              </w:rPr>
              <w:t>Triglycerides: up to 2</w:t>
            </w:r>
            <w:r w:rsidR="002F5F18">
              <w:rPr>
                <w:rFonts w:cs="Arial"/>
                <w:szCs w:val="20"/>
              </w:rPr>
              <w:t>00</w:t>
            </w:r>
            <w:r w:rsidR="001C641E">
              <w:rPr>
                <w:rFonts w:cs="Arial"/>
                <w:szCs w:val="20"/>
              </w:rPr>
              <w:t>0</w:t>
            </w:r>
            <w:r w:rsidR="002E718D" w:rsidRPr="00DC7421">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Default="00D63C07" w:rsidP="00CE16FB">
            <w:pPr>
              <w:jc w:val="both"/>
              <w:rPr>
                <w:rFonts w:cs="Arial"/>
                <w:szCs w:val="20"/>
              </w:rPr>
            </w:pPr>
          </w:p>
          <w:p w:rsidR="00D26554" w:rsidRDefault="00075A67" w:rsidP="00CE16FB">
            <w:pPr>
              <w:jc w:val="both"/>
              <w:rPr>
                <w:rFonts w:cs="Arial"/>
                <w:szCs w:val="20"/>
              </w:rPr>
            </w:pPr>
            <w:r>
              <w:rPr>
                <w:rFonts w:cs="Arial"/>
                <w:szCs w:val="20"/>
              </w:rPr>
              <w:t>See Abbott package inserts for all potentially interfering substances tested.</w:t>
            </w:r>
          </w:p>
          <w:p w:rsidR="00075A67" w:rsidRDefault="00075A67" w:rsidP="00CE16FB">
            <w:pPr>
              <w:jc w:val="both"/>
              <w:rPr>
                <w:rFonts w:cs="Arial"/>
                <w:szCs w:val="20"/>
              </w:rPr>
            </w:pPr>
          </w:p>
          <w:p w:rsidR="00075A67" w:rsidRDefault="00075A67" w:rsidP="00CE16FB">
            <w:pPr>
              <w:jc w:val="both"/>
              <w:rPr>
                <w:rFonts w:cs="Arial"/>
                <w:szCs w:val="20"/>
              </w:rPr>
            </w:pPr>
          </w:p>
          <w:p w:rsidR="00075A67" w:rsidRDefault="00075A67" w:rsidP="00CE16FB">
            <w:pPr>
              <w:jc w:val="both"/>
              <w:rPr>
                <w:rFonts w:cs="Arial"/>
                <w:szCs w:val="20"/>
              </w:rPr>
            </w:pPr>
          </w:p>
          <w:p w:rsidR="00075A67" w:rsidRDefault="00075A67" w:rsidP="00CE16FB">
            <w:pPr>
              <w:jc w:val="both"/>
              <w:rPr>
                <w:rFonts w:cs="Arial"/>
                <w:szCs w:val="20"/>
              </w:rPr>
            </w:pPr>
          </w:p>
          <w:p w:rsidR="00075A67" w:rsidRDefault="00075A67" w:rsidP="00CE16FB">
            <w:pPr>
              <w:jc w:val="both"/>
              <w:rPr>
                <w:rFonts w:cs="Arial"/>
                <w:szCs w:val="20"/>
              </w:rPr>
            </w:pPr>
          </w:p>
          <w:p w:rsidR="00075A67" w:rsidRDefault="00075A67" w:rsidP="00CE16FB">
            <w:pPr>
              <w:jc w:val="both"/>
              <w:rPr>
                <w:rFonts w:cs="Arial"/>
                <w:szCs w:val="20"/>
              </w:rPr>
            </w:pPr>
          </w:p>
          <w:p w:rsidR="00075A67" w:rsidRDefault="00075A67" w:rsidP="00CE16FB">
            <w:pPr>
              <w:jc w:val="both"/>
              <w:rPr>
                <w:rFonts w:cs="Arial"/>
                <w:szCs w:val="20"/>
              </w:rPr>
            </w:pPr>
          </w:p>
          <w:p w:rsidR="00075A67" w:rsidRDefault="00075A67" w:rsidP="00CE16FB">
            <w:pPr>
              <w:jc w:val="both"/>
              <w:rPr>
                <w:rFonts w:cs="Arial"/>
                <w:szCs w:val="20"/>
              </w:rPr>
            </w:pPr>
          </w:p>
          <w:p w:rsidR="00075A67" w:rsidRDefault="00075A67" w:rsidP="00CE16FB">
            <w:pPr>
              <w:jc w:val="both"/>
              <w:rPr>
                <w:rFonts w:cs="Arial"/>
                <w:szCs w:val="20"/>
              </w:rPr>
            </w:pPr>
          </w:p>
          <w:p w:rsidR="00D26554" w:rsidRPr="00DC7421" w:rsidRDefault="00D26554" w:rsidP="00CE16FB">
            <w:pPr>
              <w:jc w:val="both"/>
              <w:rPr>
                <w:rFonts w:cs="Arial"/>
                <w:szCs w:val="20"/>
              </w:rPr>
            </w:pPr>
          </w:p>
        </w:tc>
      </w:tr>
      <w:tr w:rsidR="00E3253B" w:rsidTr="000A4884">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0A4884">
        <w:trPr>
          <w:tblHeader/>
        </w:trPr>
        <w:tc>
          <w:tcPr>
            <w:tcW w:w="1800" w:type="dxa"/>
            <w:tcBorders>
              <w:top w:val="nil"/>
              <w:left w:val="nil"/>
              <w:bottom w:val="nil"/>
              <w:right w:val="nil"/>
            </w:tcBorders>
          </w:tcPr>
          <w:p w:rsidR="00E3253B" w:rsidRPr="00C00B65" w:rsidRDefault="00250A09" w:rsidP="0023327E">
            <w:pPr>
              <w:rPr>
                <w:rFonts w:cs="Arial"/>
                <w:b/>
                <w:bCs/>
                <w:color w:val="0000FF"/>
                <w:szCs w:val="20"/>
              </w:rPr>
            </w:pPr>
            <w:r>
              <w:rPr>
                <w:rFonts w:cs="Arial"/>
                <w:b/>
                <w:bCs/>
                <w:color w:val="0000FF"/>
                <w:szCs w:val="20"/>
              </w:rPr>
              <w:t>Reference Intervals</w:t>
            </w: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651691">
                  <w:pPr>
                    <w:rPr>
                      <w:rFonts w:cs="Arial"/>
                      <w:szCs w:val="20"/>
                    </w:rPr>
                  </w:pPr>
                  <w:r>
                    <w:rPr>
                      <w:rFonts w:cs="Arial"/>
                      <w:szCs w:val="20"/>
                    </w:rPr>
                    <w:t>Magnesium</w:t>
                  </w:r>
                </w:p>
              </w:tc>
            </w:tr>
            <w:tr w:rsidR="006A2770" w:rsidRPr="00DC7421" w:rsidTr="00824C10">
              <w:trPr>
                <w:gridAfter w:val="1"/>
                <w:wAfter w:w="3978" w:type="dxa"/>
              </w:trPr>
              <w:tc>
                <w:tcPr>
                  <w:tcW w:w="2389" w:type="dxa"/>
                </w:tcPr>
                <w:p w:rsidR="006A2770" w:rsidRPr="00DC7421" w:rsidRDefault="00A87A35">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075A67">
                  <w:pPr>
                    <w:rPr>
                      <w:rFonts w:cs="Arial"/>
                      <w:szCs w:val="20"/>
                    </w:rPr>
                  </w:pPr>
                  <w:r>
                    <w:rPr>
                      <w:rFonts w:cs="Arial"/>
                      <w:szCs w:val="20"/>
                    </w:rPr>
                    <w:t>1.8 – 4.1</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rsidR="00646E63" w:rsidRPr="00DC7421" w:rsidRDefault="00075A67">
                  <w:pPr>
                    <w:rPr>
                      <w:rFonts w:cs="Arial"/>
                      <w:szCs w:val="20"/>
                    </w:rPr>
                  </w:pPr>
                  <w:r>
                    <w:rPr>
                      <w:rFonts w:cs="Arial"/>
                      <w:szCs w:val="20"/>
                    </w:rPr>
                    <w:t>1.8 – 3.2</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A87A35">
                  <w:pPr>
                    <w:rPr>
                      <w:rFonts w:cs="Arial"/>
                      <w:szCs w:val="20"/>
                    </w:rPr>
                  </w:pPr>
                  <w:r>
                    <w:rPr>
                      <w:rFonts w:cs="Arial"/>
                      <w:szCs w:val="20"/>
                    </w:rPr>
                    <w:t>1 –</w:t>
                  </w:r>
                  <w:r w:rsidR="00075A67">
                    <w:rPr>
                      <w:rFonts w:cs="Arial"/>
                      <w:szCs w:val="20"/>
                    </w:rPr>
                    <w:t xml:space="preserve"> 18</w:t>
                  </w:r>
                  <w:r>
                    <w:rPr>
                      <w:rFonts w:cs="Arial"/>
                      <w:szCs w:val="20"/>
                    </w:rPr>
                    <w:t xml:space="preserve"> years</w:t>
                  </w:r>
                </w:p>
              </w:tc>
              <w:tc>
                <w:tcPr>
                  <w:tcW w:w="2700" w:type="dxa"/>
                  <w:tcBorders>
                    <w:left w:val="single" w:sz="4" w:space="0" w:color="auto"/>
                    <w:right w:val="single" w:sz="4" w:space="0" w:color="auto"/>
                  </w:tcBorders>
                </w:tcPr>
                <w:p w:rsidR="00646E63" w:rsidRPr="00DC7421" w:rsidRDefault="00075A67" w:rsidP="00646E63">
                  <w:pPr>
                    <w:rPr>
                      <w:rFonts w:cs="Arial"/>
                      <w:szCs w:val="20"/>
                    </w:rPr>
                  </w:pPr>
                  <w:r>
                    <w:rPr>
                      <w:rFonts w:cs="Arial"/>
                      <w:szCs w:val="20"/>
                    </w:rPr>
                    <w:t>2.0 – 2.9</w:t>
                  </w:r>
                  <w:r w:rsidR="001F5D12">
                    <w:rPr>
                      <w:rFonts w:cs="Arial"/>
                      <w:szCs w:val="20"/>
                    </w:rPr>
                    <w:t xml:space="preserve"> mg/dL</w:t>
                  </w:r>
                </w:p>
              </w:tc>
            </w:tr>
            <w:tr w:rsidR="00A87A35" w:rsidRPr="00DC7421" w:rsidTr="00824C10">
              <w:trPr>
                <w:gridAfter w:val="1"/>
                <w:wAfter w:w="3978" w:type="dxa"/>
              </w:trPr>
              <w:tc>
                <w:tcPr>
                  <w:tcW w:w="2389" w:type="dxa"/>
                </w:tcPr>
                <w:p w:rsidR="00A87A35" w:rsidRDefault="00557A1F" w:rsidP="00A87A35">
                  <w:pPr>
                    <w:rPr>
                      <w:rFonts w:cs="Arial"/>
                      <w:szCs w:val="20"/>
                    </w:rPr>
                  </w:pPr>
                  <w:r>
                    <w:rPr>
                      <w:rFonts w:cs="Arial"/>
                      <w:szCs w:val="20"/>
                    </w:rPr>
                    <w:t>Adult</w:t>
                  </w:r>
                </w:p>
              </w:tc>
              <w:tc>
                <w:tcPr>
                  <w:tcW w:w="2700" w:type="dxa"/>
                  <w:tcBorders>
                    <w:left w:val="single" w:sz="4" w:space="0" w:color="auto"/>
                    <w:right w:val="single" w:sz="4" w:space="0" w:color="auto"/>
                  </w:tcBorders>
                </w:tcPr>
                <w:p w:rsidR="00A87A35" w:rsidRDefault="00075A67" w:rsidP="00646E63">
                  <w:pPr>
                    <w:rPr>
                      <w:rFonts w:cs="Arial"/>
                      <w:szCs w:val="20"/>
                    </w:rPr>
                  </w:pPr>
                  <w:r>
                    <w:rPr>
                      <w:rFonts w:cs="Arial"/>
                      <w:szCs w:val="20"/>
                    </w:rPr>
                    <w:t>1.8 – 4.5</w:t>
                  </w:r>
                  <w:r w:rsidR="00A87A35">
                    <w:rPr>
                      <w:rFonts w:cs="Arial"/>
                      <w:szCs w:val="20"/>
                    </w:rPr>
                    <w:t xml:space="preserve">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0A4884">
        <w:trPr>
          <w:trHeight w:val="558"/>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rsidR="00E3253B" w:rsidRDefault="00075A67" w:rsidP="001C641E">
            <w:pPr>
              <w:pStyle w:val="Header"/>
              <w:tabs>
                <w:tab w:val="clear" w:pos="4320"/>
                <w:tab w:val="clear" w:pos="8640"/>
              </w:tabs>
              <w:rPr>
                <w:rFonts w:cs="Arial"/>
                <w:szCs w:val="20"/>
              </w:rPr>
            </w:pPr>
            <w:r>
              <w:rPr>
                <w:rFonts w:cs="Arial"/>
                <w:szCs w:val="20"/>
              </w:rPr>
              <w:t>&lt; 1.2</w:t>
            </w:r>
            <w:r w:rsidR="00557A1F">
              <w:rPr>
                <w:rFonts w:cs="Arial"/>
                <w:szCs w:val="20"/>
              </w:rPr>
              <w:t xml:space="preserve"> or </w:t>
            </w:r>
            <w:r>
              <w:rPr>
                <w:rFonts w:cs="Arial"/>
                <w:szCs w:val="20"/>
              </w:rPr>
              <w:t>&gt; 6.6</w:t>
            </w:r>
            <w:r w:rsidR="00557A1F">
              <w:rPr>
                <w:rFonts w:cs="Arial"/>
                <w:szCs w:val="20"/>
              </w:rPr>
              <w:t xml:space="preserve"> mg/dL</w:t>
            </w:r>
            <w:r w:rsidR="00A87A35">
              <w:rPr>
                <w:rFonts w:cs="Arial"/>
                <w:szCs w:val="20"/>
              </w:rPr>
              <w:t>.</w:t>
            </w:r>
          </w:p>
          <w:p w:rsidR="00557A1F" w:rsidRPr="00DC7421" w:rsidRDefault="00557A1F" w:rsidP="001C641E">
            <w:pPr>
              <w:pStyle w:val="Header"/>
              <w:tabs>
                <w:tab w:val="clear" w:pos="4320"/>
                <w:tab w:val="clear" w:pos="8640"/>
              </w:tabs>
              <w:rPr>
                <w:rFonts w:cs="Arial"/>
                <w:szCs w:val="20"/>
              </w:rPr>
            </w:pPr>
            <w:r>
              <w:rPr>
                <w:rFonts w:cs="Arial"/>
                <w:szCs w:val="20"/>
              </w:rPr>
              <w:t>Critical values must be called and docume</w:t>
            </w:r>
            <w:r w:rsidR="00D26554">
              <w:rPr>
                <w:rFonts w:cs="Arial"/>
                <w:szCs w:val="20"/>
              </w:rPr>
              <w:t>nted according to the critical v</w:t>
            </w:r>
            <w:r>
              <w:rPr>
                <w:rFonts w:cs="Arial"/>
                <w:szCs w:val="20"/>
              </w:rPr>
              <w:t>alues policy.</w:t>
            </w: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651691">
              <w:rPr>
                <w:rFonts w:cs="Arial"/>
                <w:color w:val="000000"/>
                <w:szCs w:val="20"/>
              </w:rPr>
              <w:t>magnesium</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w:t>
            </w:r>
            <w:r w:rsidR="00557A1F">
              <w:rPr>
                <w:rFonts w:eastAsia="HelenPro-Regular" w:cs="Arial"/>
                <w:szCs w:val="20"/>
              </w:rPr>
              <w:t>e to incomplete clot formation.</w:t>
            </w:r>
          </w:p>
          <w:p w:rsidR="00DC7421" w:rsidRPr="00DC7421" w:rsidRDefault="00DC7421" w:rsidP="00075A67">
            <w:pPr>
              <w:autoSpaceDE w:val="0"/>
              <w:autoSpaceDN w:val="0"/>
              <w:adjustRightInd w:val="0"/>
              <w:rPr>
                <w:rFonts w:cs="Arial"/>
                <w:bCs/>
                <w:szCs w:val="20"/>
              </w:rPr>
            </w:pP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75A67" w:rsidRPr="00EC40A2" w:rsidTr="00F044DA">
              <w:tc>
                <w:tcPr>
                  <w:tcW w:w="9067" w:type="dxa"/>
                  <w:gridSpan w:val="2"/>
                </w:tcPr>
                <w:p w:rsidR="00075A67" w:rsidRPr="00EC40A2" w:rsidRDefault="00075A67" w:rsidP="00075A67">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75A67" w:rsidRPr="00EC40A2" w:rsidTr="00F044DA">
              <w:tc>
                <w:tcPr>
                  <w:tcW w:w="1867" w:type="dxa"/>
                </w:tcPr>
                <w:p w:rsidR="00075A67" w:rsidRPr="00EC40A2" w:rsidRDefault="00075A67" w:rsidP="00075A67">
                  <w:pPr>
                    <w:rPr>
                      <w:rFonts w:cs="Arial"/>
                      <w:szCs w:val="20"/>
                    </w:rPr>
                  </w:pPr>
                  <w:r w:rsidRPr="00EC40A2">
                    <w:rPr>
                      <w:rFonts w:cs="Arial"/>
                      <w:szCs w:val="20"/>
                    </w:rPr>
                    <w:t>Auto Dilution:</w:t>
                  </w:r>
                </w:p>
              </w:tc>
              <w:tc>
                <w:tcPr>
                  <w:tcW w:w="7200" w:type="dxa"/>
                </w:tcPr>
                <w:p w:rsidR="00075A67" w:rsidRPr="00EC40A2" w:rsidRDefault="00075A67" w:rsidP="00075A67">
                  <w:pPr>
                    <w:autoSpaceDE w:val="0"/>
                    <w:autoSpaceDN w:val="0"/>
                    <w:adjustRightInd w:val="0"/>
                    <w:rPr>
                      <w:rFonts w:cs="Arial"/>
                      <w:szCs w:val="20"/>
                    </w:rPr>
                  </w:pPr>
                  <w:r w:rsidRPr="00EC40A2">
                    <w:rPr>
                      <w:rFonts w:cs="Arial"/>
                      <w:szCs w:val="20"/>
                    </w:rPr>
                    <w:t>None</w:t>
                  </w:r>
                </w:p>
              </w:tc>
            </w:tr>
            <w:tr w:rsidR="00075A67" w:rsidRPr="00EC40A2" w:rsidTr="00F044DA">
              <w:tc>
                <w:tcPr>
                  <w:tcW w:w="1867" w:type="dxa"/>
                </w:tcPr>
                <w:p w:rsidR="00075A67" w:rsidRPr="00EC40A2" w:rsidRDefault="00075A67" w:rsidP="00075A67">
                  <w:pPr>
                    <w:rPr>
                      <w:rFonts w:cs="Arial"/>
                      <w:szCs w:val="20"/>
                    </w:rPr>
                  </w:pPr>
                  <w:r w:rsidRPr="00EC40A2">
                    <w:rPr>
                      <w:rFonts w:cs="Arial"/>
                      <w:szCs w:val="20"/>
                    </w:rPr>
                    <w:t>Maximum Manual Dilution:</w:t>
                  </w:r>
                </w:p>
              </w:tc>
              <w:tc>
                <w:tcPr>
                  <w:tcW w:w="7200" w:type="dxa"/>
                </w:tcPr>
                <w:p w:rsidR="00075A67" w:rsidRPr="00EC40A2" w:rsidRDefault="00075A67" w:rsidP="00075A67">
                  <w:pPr>
                    <w:autoSpaceDE w:val="0"/>
                    <w:autoSpaceDN w:val="0"/>
                    <w:adjustRightInd w:val="0"/>
                    <w:rPr>
                      <w:rFonts w:cs="Arial"/>
                      <w:szCs w:val="20"/>
                    </w:rPr>
                  </w:pPr>
                  <w:r>
                    <w:rPr>
                      <w:rFonts w:cs="Arial"/>
                      <w:szCs w:val="20"/>
                    </w:rPr>
                    <w:t>1:2</w:t>
                  </w:r>
                </w:p>
              </w:tc>
            </w:tr>
            <w:tr w:rsidR="00075A67" w:rsidRPr="00EC40A2" w:rsidTr="00F044DA">
              <w:tc>
                <w:tcPr>
                  <w:tcW w:w="1867" w:type="dxa"/>
                </w:tcPr>
                <w:p w:rsidR="00075A67" w:rsidRPr="00EC40A2" w:rsidRDefault="00075A67" w:rsidP="00075A67">
                  <w:pPr>
                    <w:rPr>
                      <w:rFonts w:cs="Arial"/>
                      <w:szCs w:val="20"/>
                    </w:rPr>
                  </w:pPr>
                  <w:r w:rsidRPr="00EC40A2">
                    <w:rPr>
                      <w:rFonts w:cs="Arial"/>
                      <w:szCs w:val="20"/>
                    </w:rPr>
                    <w:t>Diluent:</w:t>
                  </w:r>
                </w:p>
              </w:tc>
              <w:tc>
                <w:tcPr>
                  <w:tcW w:w="7200" w:type="dxa"/>
                </w:tcPr>
                <w:p w:rsidR="00075A67" w:rsidRPr="00EC40A2" w:rsidRDefault="00075A67" w:rsidP="00075A67">
                  <w:pPr>
                    <w:autoSpaceDE w:val="0"/>
                    <w:autoSpaceDN w:val="0"/>
                    <w:adjustRightInd w:val="0"/>
                    <w:rPr>
                      <w:rFonts w:cs="Arial"/>
                      <w:szCs w:val="20"/>
                    </w:rPr>
                  </w:pPr>
                  <w:r w:rsidRPr="00EC40A2">
                    <w:rPr>
                      <w:rFonts w:cs="Arial"/>
                      <w:szCs w:val="20"/>
                    </w:rPr>
                    <w:t>Saline</w:t>
                  </w:r>
                </w:p>
              </w:tc>
            </w:tr>
            <w:tr w:rsidR="00075A67" w:rsidRPr="00EC40A2" w:rsidTr="00F044DA">
              <w:tc>
                <w:tcPr>
                  <w:tcW w:w="1867" w:type="dxa"/>
                </w:tcPr>
                <w:p w:rsidR="00075A67" w:rsidRPr="00EC40A2" w:rsidRDefault="00075A67" w:rsidP="00075A67">
                  <w:pPr>
                    <w:rPr>
                      <w:rFonts w:cs="Arial"/>
                      <w:szCs w:val="20"/>
                    </w:rPr>
                  </w:pPr>
                  <w:r w:rsidRPr="00EC40A2">
                    <w:rPr>
                      <w:rFonts w:cs="Arial"/>
                      <w:szCs w:val="20"/>
                    </w:rPr>
                    <w:t>Manual Dilution:</w:t>
                  </w:r>
                </w:p>
              </w:tc>
              <w:tc>
                <w:tcPr>
                  <w:tcW w:w="7200" w:type="dxa"/>
                </w:tcPr>
                <w:p w:rsidR="00075A67" w:rsidRPr="00EC40A2" w:rsidRDefault="00075A67" w:rsidP="00075A67">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instructions for programming manual dilutions.  </w:t>
                  </w:r>
                  <w:r w:rsidRPr="00EC40A2">
                    <w:rPr>
                      <w:rFonts w:eastAsia="HelenPro-Regular" w:cs="Arial"/>
                      <w:szCs w:val="20"/>
                    </w:rPr>
                    <w:t>The operator must enter the dilution factor when ordering the manual dilution. The system will use this dilution factor to automatically calculate the concentration of the sample and report the result.</w:t>
                  </w:r>
                </w:p>
                <w:p w:rsidR="00075A67" w:rsidRPr="00EC40A2" w:rsidRDefault="00075A67" w:rsidP="00075A67">
                  <w:pPr>
                    <w:autoSpaceDE w:val="0"/>
                    <w:autoSpaceDN w:val="0"/>
                    <w:adjustRightInd w:val="0"/>
                    <w:rPr>
                      <w:rFonts w:eastAsia="HelenPro-Regular" w:cs="Arial"/>
                      <w:szCs w:val="20"/>
                    </w:rPr>
                  </w:pPr>
                </w:p>
                <w:p w:rsidR="00075A67" w:rsidRPr="00EC40A2" w:rsidRDefault="00075A67" w:rsidP="00075A67">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 the measuring interval of 0.6 mg/dL</w:t>
                  </w:r>
                  <w:r w:rsidRPr="00EC40A2">
                    <w:rPr>
                      <w:rFonts w:eastAsia="HelenPro-Regular" w:cs="Arial"/>
                      <w:szCs w:val="20"/>
                    </w:rPr>
                    <w:t>, do no</w:t>
                  </w:r>
                  <w:r>
                    <w:rPr>
                      <w:rFonts w:eastAsia="HelenPro-Regular" w:cs="Arial"/>
                      <w:szCs w:val="20"/>
                    </w:rPr>
                    <w:t>t report the result. Rerun and/</w:t>
                  </w:r>
                  <w:r w:rsidRPr="00EC40A2">
                    <w:rPr>
                      <w:rFonts w:eastAsia="HelenPro-Regular" w:cs="Arial"/>
                      <w:szCs w:val="20"/>
                    </w:rPr>
                    <w:t>or invest</w:t>
                  </w:r>
                  <w:r>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0A4884">
        <w:trPr>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075A67">
            <w:pPr>
              <w:pStyle w:val="Header"/>
              <w:numPr>
                <w:ilvl w:val="0"/>
                <w:numId w:val="5"/>
              </w:numPr>
              <w:tabs>
                <w:tab w:val="clear" w:pos="4320"/>
                <w:tab w:val="clear" w:pos="8640"/>
              </w:tabs>
              <w:rPr>
                <w:rFonts w:cs="Arial"/>
                <w:szCs w:val="20"/>
              </w:rPr>
            </w:pPr>
            <w:r>
              <w:rPr>
                <w:rFonts w:cs="Arial"/>
                <w:szCs w:val="20"/>
              </w:rPr>
              <w:t>Results between 1.2 mg/dL  – 6.6</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Default="00075A67">
            <w:pPr>
              <w:numPr>
                <w:ilvl w:val="0"/>
                <w:numId w:val="5"/>
              </w:numPr>
              <w:rPr>
                <w:rFonts w:cs="Arial"/>
                <w:szCs w:val="20"/>
              </w:rPr>
            </w:pPr>
            <w:r>
              <w:rPr>
                <w:rFonts w:cs="Arial"/>
                <w:szCs w:val="20"/>
              </w:rPr>
              <w:t>Results &lt; 1.2</w:t>
            </w:r>
            <w:r w:rsidR="00E3253B" w:rsidRPr="00DC7421">
              <w:rPr>
                <w:rFonts w:cs="Arial"/>
                <w:szCs w:val="20"/>
              </w:rPr>
              <w:t xml:space="preserve"> </w:t>
            </w:r>
            <w:r w:rsidR="00914DEC">
              <w:rPr>
                <w:rFonts w:cs="Arial"/>
                <w:szCs w:val="20"/>
              </w:rPr>
              <w:t>m</w:t>
            </w:r>
            <w:r w:rsidR="00D26554">
              <w:rPr>
                <w:rFonts w:cs="Arial"/>
                <w:szCs w:val="20"/>
              </w:rPr>
              <w:t>g/dL</w:t>
            </w:r>
            <w:r>
              <w:rPr>
                <w:rFonts w:cs="Arial"/>
                <w:szCs w:val="20"/>
              </w:rPr>
              <w:t xml:space="preserve"> and &gt; 6.6</w:t>
            </w:r>
            <w:r w:rsidR="00D26554">
              <w:rPr>
                <w:rFonts w:cs="Arial"/>
                <w:szCs w:val="20"/>
              </w:rPr>
              <w:t xml:space="preserve"> mg/dL must be called and documented according to the critical values policy.</w:t>
            </w:r>
          </w:p>
          <w:p w:rsidR="00D26554" w:rsidRDefault="00075A67">
            <w:pPr>
              <w:numPr>
                <w:ilvl w:val="0"/>
                <w:numId w:val="5"/>
              </w:numPr>
              <w:rPr>
                <w:rFonts w:cs="Arial"/>
                <w:szCs w:val="20"/>
              </w:rPr>
            </w:pPr>
            <w:r>
              <w:rPr>
                <w:rFonts w:cs="Arial"/>
                <w:szCs w:val="20"/>
              </w:rPr>
              <w:t>Results &lt; 0.6</w:t>
            </w:r>
            <w:r w:rsidR="00D26554">
              <w:rPr>
                <w:rFonts w:cs="Arial"/>
                <w:szCs w:val="20"/>
              </w:rPr>
              <w:t xml:space="preserve"> mg</w:t>
            </w:r>
            <w:r>
              <w:rPr>
                <w:rFonts w:cs="Arial"/>
                <w:szCs w:val="20"/>
              </w:rPr>
              <w:t>/dL are reported as &lt;0.6</w:t>
            </w:r>
            <w:r w:rsidR="00D26554">
              <w:rPr>
                <w:rFonts w:cs="Arial"/>
                <w:szCs w:val="20"/>
              </w:rPr>
              <w:t xml:space="preserve"> mg/dL.</w:t>
            </w:r>
          </w:p>
          <w:p w:rsidR="00075A67" w:rsidRDefault="00075A67">
            <w:pPr>
              <w:numPr>
                <w:ilvl w:val="0"/>
                <w:numId w:val="5"/>
              </w:numPr>
              <w:rPr>
                <w:rFonts w:cs="Arial"/>
                <w:szCs w:val="20"/>
              </w:rPr>
            </w:pPr>
            <w:r>
              <w:rPr>
                <w:rFonts w:cs="Arial"/>
                <w:szCs w:val="20"/>
              </w:rPr>
              <w:t xml:space="preserve">Results &gt; 9.5 mg/dL should be diluted 1:2 according to the dilution policy above.  Results &gt; 19.0 mg/dL after manual dilution are reported as </w:t>
            </w:r>
            <w:r w:rsidR="00C376E7">
              <w:rPr>
                <w:rFonts w:cs="Arial"/>
                <w:szCs w:val="20"/>
              </w:rPr>
              <w:t>&gt; 19.0 mg/dL</w:t>
            </w:r>
          </w:p>
          <w:p w:rsidR="00387FF5" w:rsidRPr="00DC7421" w:rsidRDefault="00387FF5" w:rsidP="00C376E7">
            <w:pPr>
              <w:autoSpaceDE w:val="0"/>
              <w:autoSpaceDN w:val="0"/>
              <w:adjustRightInd w:val="0"/>
              <w:rPr>
                <w:rFonts w:cs="Arial"/>
                <w:szCs w:val="20"/>
              </w:rPr>
            </w:pPr>
          </w:p>
        </w:tc>
      </w:tr>
      <w:tr w:rsidR="00E3253B" w:rsidTr="000A4884">
        <w:trPr>
          <w:trHeight w:val="738"/>
          <w:tblHeader/>
        </w:trPr>
        <w:tc>
          <w:tcPr>
            <w:tcW w:w="1800" w:type="dxa"/>
            <w:tcBorders>
              <w:top w:val="nil"/>
              <w:left w:val="nil"/>
              <w:bottom w:val="nil"/>
              <w:right w:val="nil"/>
            </w:tcBorders>
          </w:tcPr>
          <w:p w:rsidR="00E3253B" w:rsidRPr="00C00B65" w:rsidRDefault="00E3253B" w:rsidP="0023327E">
            <w:pPr>
              <w:rPr>
                <w:rFonts w:cs="Arial"/>
                <w:b/>
                <w:bCs/>
                <w:color w:val="0000FF"/>
                <w:szCs w:val="20"/>
              </w:rPr>
            </w:pPr>
            <w:r w:rsidRPr="00C00B65">
              <w:rPr>
                <w:rFonts w:cs="Arial"/>
                <w:b/>
                <w:bCs/>
                <w:color w:val="0000FF"/>
                <w:szCs w:val="20"/>
              </w:rPr>
              <w:t>Specimen Storage</w:t>
            </w:r>
            <w:bookmarkStart w:id="0" w:name="_GoBack"/>
            <w:bookmarkEnd w:id="0"/>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0A4884">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651691">
              <w:rPr>
                <w:rFonts w:cs="Arial"/>
                <w:szCs w:val="20"/>
              </w:rPr>
              <w:t>Magnesium</w:t>
            </w:r>
            <w:r w:rsidRPr="00DC7421">
              <w:rPr>
                <w:rFonts w:cs="Arial"/>
                <w:szCs w:val="20"/>
              </w:rPr>
              <w:t xml:space="preserve"> Package Insert, Abbott Laboratories Diagnostics Division, Abbo</w:t>
            </w:r>
            <w:r w:rsidR="00C376E7">
              <w:rPr>
                <w:rFonts w:cs="Arial"/>
                <w:szCs w:val="20"/>
              </w:rPr>
              <w:t>tt Park, IL 60064, November 2018</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651691">
              <w:rPr>
                <w:rFonts w:cs="Arial"/>
                <w:szCs w:val="20"/>
              </w:rPr>
              <w:t>Magnesium</w:t>
            </w:r>
            <w:r w:rsidRPr="00DC7421">
              <w:rPr>
                <w:rFonts w:cs="Arial"/>
                <w:szCs w:val="20"/>
              </w:rPr>
              <w:t xml:space="preserve"> Package Insert, Abbott Laboratories Diagnostics Division, Abbo</w:t>
            </w:r>
            <w:r w:rsidR="00C376E7">
              <w:rPr>
                <w:rFonts w:cs="Arial"/>
                <w:szCs w:val="20"/>
              </w:rPr>
              <w:t>tt Park, IL 60064, November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 xml:space="preserve">Architect </w:t>
            </w:r>
            <w:r w:rsidR="00EF1271" w:rsidRPr="00DC7421">
              <w:rPr>
                <w:rFonts w:cs="Arial"/>
                <w:szCs w:val="20"/>
              </w:rPr>
              <w:t>Multiconstituent</w:t>
            </w:r>
            <w:r w:rsidRPr="00DC7421">
              <w:rPr>
                <w:rFonts w:cs="Arial"/>
                <w:szCs w:val="20"/>
              </w:rPr>
              <w:t xml:space="preserve"> Calibrator Package Insert, Abbott Laboratories Diagnostics Division, Abbott Park, IL 60064, August 2017.</w:t>
            </w:r>
          </w:p>
          <w:p w:rsidR="00E3253B" w:rsidRPr="00A87A35"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A87A35" w:rsidRPr="00DC7421" w:rsidRDefault="00A87A35" w:rsidP="00A87A35">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A87A35" w:rsidRPr="00DC7421" w:rsidRDefault="00A87A35" w:rsidP="00A87A35">
            <w:pPr>
              <w:ind w:left="360"/>
              <w:rPr>
                <w:rFonts w:cs="Arial"/>
                <w:szCs w:val="20"/>
              </w:rPr>
            </w:pPr>
          </w:p>
          <w:p w:rsidR="00E3253B" w:rsidRPr="00DC7421" w:rsidRDefault="00E3253B" w:rsidP="00F63DA5">
            <w:pPr>
              <w:rPr>
                <w:rFonts w:cs="Arial"/>
                <w:szCs w:val="20"/>
              </w:rPr>
            </w:pPr>
          </w:p>
        </w:tc>
      </w:tr>
      <w:tr w:rsidR="00F50200" w:rsidTr="000A4884">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0A488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0A4884">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bl>
    <w:p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23327E">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23327E">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BD795C">
      <w:rPr>
        <w:rFonts w:cs="Arial"/>
      </w:rPr>
      <w:t>CH 6.57</w:t>
    </w:r>
    <w:r w:rsidR="00093527">
      <w:rPr>
        <w:rFonts w:cs="Arial"/>
      </w:rPr>
      <w:t>1</w:t>
    </w:r>
    <w:r w:rsidR="00BD795C">
      <w:rPr>
        <w:rFonts w:cs="Arial"/>
      </w:rPr>
      <w:t xml:space="preserve"> Magnesium</w:t>
    </w:r>
    <w:r w:rsidR="00F236AF">
      <w:rPr>
        <w:rFonts w:cs="Arial"/>
      </w:rPr>
      <w:t xml:space="preserve"> </w:t>
    </w:r>
    <w:r w:rsidR="00E55C7B">
      <w:rPr>
        <w:rFonts w:cs="Arial"/>
      </w:rPr>
      <w:t xml:space="preserve">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3D0809"/>
    <w:multiLevelType w:val="hybridMultilevel"/>
    <w:tmpl w:val="867EFA7C"/>
    <w:lvl w:ilvl="0" w:tplc="55844146">
      <w:start w:val="8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4"/>
  </w:num>
  <w:num w:numId="3">
    <w:abstractNumId w:val="29"/>
  </w:num>
  <w:num w:numId="4">
    <w:abstractNumId w:val="33"/>
  </w:num>
  <w:num w:numId="5">
    <w:abstractNumId w:val="6"/>
  </w:num>
  <w:num w:numId="6">
    <w:abstractNumId w:val="10"/>
  </w:num>
  <w:num w:numId="7">
    <w:abstractNumId w:val="25"/>
  </w:num>
  <w:num w:numId="8">
    <w:abstractNumId w:val="21"/>
  </w:num>
  <w:num w:numId="9">
    <w:abstractNumId w:val="13"/>
  </w:num>
  <w:num w:numId="10">
    <w:abstractNumId w:val="3"/>
  </w:num>
  <w:num w:numId="11">
    <w:abstractNumId w:val="26"/>
  </w:num>
  <w:num w:numId="12">
    <w:abstractNumId w:val="9"/>
  </w:num>
  <w:num w:numId="13">
    <w:abstractNumId w:val="27"/>
  </w:num>
  <w:num w:numId="14">
    <w:abstractNumId w:val="35"/>
  </w:num>
  <w:num w:numId="15">
    <w:abstractNumId w:val="19"/>
  </w:num>
  <w:num w:numId="16">
    <w:abstractNumId w:val="1"/>
  </w:num>
  <w:num w:numId="17">
    <w:abstractNumId w:val="38"/>
  </w:num>
  <w:num w:numId="18">
    <w:abstractNumId w:val="11"/>
  </w:num>
  <w:num w:numId="19">
    <w:abstractNumId w:val="18"/>
  </w:num>
  <w:num w:numId="20">
    <w:abstractNumId w:val="24"/>
  </w:num>
  <w:num w:numId="21">
    <w:abstractNumId w:val="31"/>
  </w:num>
  <w:num w:numId="22">
    <w:abstractNumId w:val="36"/>
  </w:num>
  <w:num w:numId="23">
    <w:abstractNumId w:val="23"/>
  </w:num>
  <w:num w:numId="24">
    <w:abstractNumId w:val="7"/>
  </w:num>
  <w:num w:numId="25">
    <w:abstractNumId w:val="17"/>
  </w:num>
  <w:num w:numId="26">
    <w:abstractNumId w:val="12"/>
  </w:num>
  <w:num w:numId="27">
    <w:abstractNumId w:val="8"/>
  </w:num>
  <w:num w:numId="28">
    <w:abstractNumId w:val="22"/>
  </w:num>
  <w:num w:numId="29">
    <w:abstractNumId w:val="30"/>
  </w:num>
  <w:num w:numId="30">
    <w:abstractNumId w:val="28"/>
  </w:num>
  <w:num w:numId="31">
    <w:abstractNumId w:val="20"/>
  </w:num>
  <w:num w:numId="32">
    <w:abstractNumId w:val="16"/>
  </w:num>
  <w:num w:numId="33">
    <w:abstractNumId w:val="5"/>
  </w:num>
  <w:num w:numId="34">
    <w:abstractNumId w:val="34"/>
  </w:num>
  <w:num w:numId="35">
    <w:abstractNumId w:val="32"/>
  </w:num>
  <w:num w:numId="36">
    <w:abstractNumId w:val="15"/>
  </w:num>
  <w:num w:numId="37">
    <w:abstractNumId w:val="37"/>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75A67"/>
    <w:rsid w:val="00090C84"/>
    <w:rsid w:val="00093527"/>
    <w:rsid w:val="000A3E5A"/>
    <w:rsid w:val="000A4884"/>
    <w:rsid w:val="000E63E3"/>
    <w:rsid w:val="001102B2"/>
    <w:rsid w:val="001241E4"/>
    <w:rsid w:val="001B58ED"/>
    <w:rsid w:val="001C1CFA"/>
    <w:rsid w:val="001C641E"/>
    <w:rsid w:val="001D1786"/>
    <w:rsid w:val="001F5D12"/>
    <w:rsid w:val="00201CAA"/>
    <w:rsid w:val="002271D0"/>
    <w:rsid w:val="0023327E"/>
    <w:rsid w:val="00250A09"/>
    <w:rsid w:val="00252F1D"/>
    <w:rsid w:val="002C12BF"/>
    <w:rsid w:val="002C29CB"/>
    <w:rsid w:val="002E718D"/>
    <w:rsid w:val="002F5C68"/>
    <w:rsid w:val="002F5F18"/>
    <w:rsid w:val="0030640D"/>
    <w:rsid w:val="00370B0F"/>
    <w:rsid w:val="00387FF5"/>
    <w:rsid w:val="003A65AD"/>
    <w:rsid w:val="003C6E55"/>
    <w:rsid w:val="003C7AF1"/>
    <w:rsid w:val="003D5BD7"/>
    <w:rsid w:val="003D713F"/>
    <w:rsid w:val="003E0A08"/>
    <w:rsid w:val="003E168B"/>
    <w:rsid w:val="00420763"/>
    <w:rsid w:val="00440E37"/>
    <w:rsid w:val="004735E9"/>
    <w:rsid w:val="00486653"/>
    <w:rsid w:val="004A698D"/>
    <w:rsid w:val="004B5D63"/>
    <w:rsid w:val="004C14CE"/>
    <w:rsid w:val="004D58E4"/>
    <w:rsid w:val="00557A1F"/>
    <w:rsid w:val="005665A7"/>
    <w:rsid w:val="005A7373"/>
    <w:rsid w:val="005C6F36"/>
    <w:rsid w:val="00646E63"/>
    <w:rsid w:val="00651691"/>
    <w:rsid w:val="00655B61"/>
    <w:rsid w:val="00685D61"/>
    <w:rsid w:val="00693888"/>
    <w:rsid w:val="006A26B2"/>
    <w:rsid w:val="006A2770"/>
    <w:rsid w:val="006A5A84"/>
    <w:rsid w:val="007132A9"/>
    <w:rsid w:val="00747868"/>
    <w:rsid w:val="007B1809"/>
    <w:rsid w:val="007B2A3E"/>
    <w:rsid w:val="008044BA"/>
    <w:rsid w:val="00824C10"/>
    <w:rsid w:val="008A71A5"/>
    <w:rsid w:val="008C546E"/>
    <w:rsid w:val="008D3369"/>
    <w:rsid w:val="008F2C66"/>
    <w:rsid w:val="00914DEC"/>
    <w:rsid w:val="0094479F"/>
    <w:rsid w:val="00944DFA"/>
    <w:rsid w:val="00950E15"/>
    <w:rsid w:val="00984816"/>
    <w:rsid w:val="009A1A3D"/>
    <w:rsid w:val="009C08FA"/>
    <w:rsid w:val="009C4BDA"/>
    <w:rsid w:val="009D085B"/>
    <w:rsid w:val="009F5F31"/>
    <w:rsid w:val="00A002D3"/>
    <w:rsid w:val="00A23FFE"/>
    <w:rsid w:val="00A32948"/>
    <w:rsid w:val="00A56318"/>
    <w:rsid w:val="00A64AE8"/>
    <w:rsid w:val="00A87A35"/>
    <w:rsid w:val="00AA5656"/>
    <w:rsid w:val="00AB7F16"/>
    <w:rsid w:val="00AF1198"/>
    <w:rsid w:val="00AF56A8"/>
    <w:rsid w:val="00B01603"/>
    <w:rsid w:val="00B067D8"/>
    <w:rsid w:val="00B109AB"/>
    <w:rsid w:val="00B11633"/>
    <w:rsid w:val="00B13C1A"/>
    <w:rsid w:val="00B2749D"/>
    <w:rsid w:val="00BC1DCC"/>
    <w:rsid w:val="00BD0E0F"/>
    <w:rsid w:val="00BD3CED"/>
    <w:rsid w:val="00BD795C"/>
    <w:rsid w:val="00C00B65"/>
    <w:rsid w:val="00C376E7"/>
    <w:rsid w:val="00CE16FB"/>
    <w:rsid w:val="00CE4C73"/>
    <w:rsid w:val="00CF08A6"/>
    <w:rsid w:val="00D26554"/>
    <w:rsid w:val="00D271B1"/>
    <w:rsid w:val="00D63C07"/>
    <w:rsid w:val="00D75850"/>
    <w:rsid w:val="00D955F6"/>
    <w:rsid w:val="00DC0632"/>
    <w:rsid w:val="00DC24D6"/>
    <w:rsid w:val="00DC7421"/>
    <w:rsid w:val="00DF5549"/>
    <w:rsid w:val="00E049CF"/>
    <w:rsid w:val="00E246BA"/>
    <w:rsid w:val="00E3253B"/>
    <w:rsid w:val="00E55C7B"/>
    <w:rsid w:val="00E93074"/>
    <w:rsid w:val="00EB4B6C"/>
    <w:rsid w:val="00EE145B"/>
    <w:rsid w:val="00EE57E1"/>
    <w:rsid w:val="00EF1271"/>
    <w:rsid w:val="00EF1741"/>
    <w:rsid w:val="00F0405E"/>
    <w:rsid w:val="00F236AF"/>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79BF-4323-4CEF-8C8C-9B6DFDA3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1875</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13525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5</cp:revision>
  <cp:lastPrinted>2011-06-16T20:29:00Z</cp:lastPrinted>
  <dcterms:created xsi:type="dcterms:W3CDTF">2019-10-10T13:40:00Z</dcterms:created>
  <dcterms:modified xsi:type="dcterms:W3CDTF">2019-10-11T16:28:00Z</dcterms:modified>
</cp:coreProperties>
</file>