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Tr="007132A9">
        <w:trPr>
          <w:tblHeader/>
        </w:trPr>
        <w:tc>
          <w:tcPr>
            <w:tcW w:w="11160" w:type="dxa"/>
            <w:gridSpan w:val="5"/>
            <w:tcBorders>
              <w:top w:val="nil"/>
              <w:left w:val="nil"/>
              <w:bottom w:val="nil"/>
              <w:right w:val="nil"/>
            </w:tcBorders>
          </w:tcPr>
          <w:p w:rsidR="00E3253B" w:rsidRDefault="002271D0">
            <w:pPr>
              <w:rPr>
                <w:rFonts w:cs="Arial"/>
                <w:b/>
                <w:bCs/>
                <w:color w:val="0000FF"/>
                <w:sz w:val="36"/>
              </w:rPr>
            </w:pPr>
            <w:r>
              <w:rPr>
                <w:rFonts w:cs="Arial"/>
                <w:b/>
                <w:bCs/>
                <w:color w:val="0000FF"/>
                <w:sz w:val="36"/>
              </w:rPr>
              <w:t>Urea Nitrogen</w:t>
            </w:r>
            <w:r w:rsidR="009D085B">
              <w:rPr>
                <w:rFonts w:cs="Arial"/>
                <w:b/>
                <w:bCs/>
                <w:color w:val="0000FF"/>
                <w:sz w:val="36"/>
              </w:rPr>
              <w:t xml:space="preserve"> on Abbott</w:t>
            </w:r>
          </w:p>
          <w:p w:rsidR="00E3253B" w:rsidRDefault="00E3253B">
            <w:pPr>
              <w:rPr>
                <w:rFonts w:cs="Arial"/>
                <w:b/>
                <w:bCs/>
                <w:color w:val="0000FF"/>
              </w:rPr>
            </w:pP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w:t>
            </w:r>
            <w:r w:rsidR="00A23FFE">
              <w:rPr>
                <w:rStyle w:val="A7"/>
                <w:rFonts w:cs="Arial"/>
                <w:b w:val="0"/>
                <w:bCs w:val="0"/>
                <w:sz w:val="20"/>
                <w:szCs w:val="20"/>
              </w:rPr>
              <w:t xml:space="preserve"> </w:t>
            </w:r>
            <w:r w:rsidR="002271D0">
              <w:rPr>
                <w:rStyle w:val="A7"/>
                <w:rFonts w:cs="Arial"/>
                <w:b w:val="0"/>
                <w:bCs w:val="0"/>
                <w:sz w:val="20"/>
                <w:szCs w:val="20"/>
              </w:rPr>
              <w:t>UREA NITROGEN</w:t>
            </w:r>
            <w:r w:rsidR="00A23FFE">
              <w:rPr>
                <w:rStyle w:val="A7"/>
                <w:rFonts w:cs="Arial"/>
                <w:b w:val="0"/>
                <w:bCs w:val="0"/>
                <w:sz w:val="20"/>
                <w:szCs w:val="20"/>
              </w:rPr>
              <w:t xml:space="preserve"> </w:t>
            </w:r>
            <w:r w:rsidR="009D085B" w:rsidRPr="00DC7421">
              <w:rPr>
                <w:rStyle w:val="A7"/>
                <w:rFonts w:cs="Arial"/>
                <w:b w:val="0"/>
                <w:bCs w:val="0"/>
                <w:sz w:val="20"/>
                <w:szCs w:val="20"/>
              </w:rPr>
              <w:t>ON ABBOTT INSTRUMENATION</w:t>
            </w:r>
            <w:r w:rsidRPr="00DC7421">
              <w:rPr>
                <w:rStyle w:val="A7"/>
                <w:rFonts w:cs="Arial"/>
                <w:b w:val="0"/>
                <w:bCs w:val="0"/>
                <w:sz w:val="20"/>
                <w:szCs w:val="20"/>
              </w:rPr>
              <w:t>.</w:t>
            </w:r>
            <w:r w:rsidR="00E93074" w:rsidRPr="00DC7421">
              <w:rPr>
                <w:rFonts w:cs="Arial"/>
                <w:szCs w:val="20"/>
              </w:rPr>
              <w:t xml:space="preserve"> </w:t>
            </w:r>
            <w:r w:rsidR="00A23FFE">
              <w:rPr>
                <w:rFonts w:cs="Arial"/>
                <w:szCs w:val="20"/>
              </w:rPr>
              <w:t xml:space="preserve"> The </w:t>
            </w:r>
            <w:r w:rsidR="002271D0">
              <w:rPr>
                <w:rFonts w:cs="Arial"/>
                <w:szCs w:val="20"/>
              </w:rPr>
              <w:t>urea</w:t>
            </w:r>
            <w:r w:rsidR="00E93074" w:rsidRPr="00DC7421">
              <w:rPr>
                <w:rFonts w:cs="Arial"/>
                <w:szCs w:val="20"/>
              </w:rPr>
              <w:t xml:space="preserve"> </w:t>
            </w:r>
            <w:r w:rsidR="00CE4C73">
              <w:rPr>
                <w:rFonts w:cs="Arial"/>
                <w:szCs w:val="20"/>
              </w:rPr>
              <w:t xml:space="preserve">nitrogen (also known as urea) </w:t>
            </w:r>
            <w:r w:rsidR="00E93074" w:rsidRPr="00DC7421">
              <w:rPr>
                <w:rFonts w:cs="Arial"/>
                <w:szCs w:val="20"/>
              </w:rPr>
              <w:t xml:space="preserve">method is an </w:t>
            </w:r>
            <w:r w:rsidR="00E93074" w:rsidRPr="00DC7421">
              <w:rPr>
                <w:rFonts w:cs="Arial"/>
                <w:i/>
                <w:iCs/>
                <w:szCs w:val="20"/>
              </w:rPr>
              <w:t xml:space="preserve">in vitro </w:t>
            </w:r>
            <w:r w:rsidR="00E93074" w:rsidRPr="00DC7421">
              <w:rPr>
                <w:rFonts w:cs="Arial"/>
                <w:szCs w:val="20"/>
              </w:rPr>
              <w:t>diagnostic test for the qua</w:t>
            </w:r>
            <w:r w:rsidR="00A23FFE">
              <w:rPr>
                <w:rFonts w:cs="Arial"/>
                <w:szCs w:val="20"/>
              </w:rPr>
              <w:t xml:space="preserve">ntitative measurement of </w:t>
            </w:r>
            <w:r w:rsidR="002271D0">
              <w:rPr>
                <w:rFonts w:cs="Arial"/>
                <w:szCs w:val="20"/>
              </w:rPr>
              <w:t>urea</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 xml:space="preserve">or Abbott Alinity c at Children’s Minnesota Laboratory.  </w:t>
            </w:r>
            <w:r w:rsidRPr="00DC7421">
              <w:rPr>
                <w:rFonts w:cs="Arial"/>
                <w:szCs w:val="20"/>
              </w:rPr>
              <w:t xml:space="preserve"> </w:t>
            </w:r>
          </w:p>
          <w:p w:rsidR="00E3253B" w:rsidRPr="00DC7421" w:rsidRDefault="00E3253B" w:rsidP="003D713F">
            <w:pPr>
              <w:rPr>
                <w:rFonts w:cs="Arial"/>
                <w:szCs w:val="20"/>
              </w:rPr>
            </w:pP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bookmarkStart w:id="0" w:name="_GoBack"/>
            <w:bookmarkEnd w:id="0"/>
            <w:r w:rsidRPr="00C00B65">
              <w:rPr>
                <w:rFonts w:cs="Arial"/>
                <w:b/>
                <w:bCs/>
                <w:color w:val="0000FF"/>
                <w:szCs w:val="20"/>
              </w:rPr>
              <w:t>Principle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A56318" w:rsidRDefault="00A56318" w:rsidP="00A56318">
            <w:pPr>
              <w:pStyle w:val="Header"/>
              <w:rPr>
                <w:rFonts w:cs="Arial"/>
                <w:color w:val="000000"/>
                <w:szCs w:val="20"/>
              </w:rPr>
            </w:pPr>
            <w:r w:rsidRPr="00A56318">
              <w:rPr>
                <w:rFonts w:cs="Arial"/>
                <w:color w:val="000000"/>
                <w:szCs w:val="20"/>
              </w:rPr>
              <w:t>The Urea Nitrogen assay is a modification of a totally enzymatic</w:t>
            </w:r>
            <w:r>
              <w:rPr>
                <w:rFonts w:cs="Arial"/>
                <w:color w:val="000000"/>
                <w:szCs w:val="20"/>
              </w:rPr>
              <w:t xml:space="preserve"> </w:t>
            </w:r>
            <w:r w:rsidRPr="00A56318">
              <w:rPr>
                <w:rFonts w:cs="Arial"/>
                <w:color w:val="000000"/>
                <w:szCs w:val="20"/>
              </w:rPr>
              <w:t xml:space="preserve">procedure first described by </w:t>
            </w:r>
            <w:proofErr w:type="spellStart"/>
            <w:r w:rsidRPr="00A56318">
              <w:rPr>
                <w:rFonts w:cs="Arial"/>
                <w:color w:val="000000"/>
                <w:szCs w:val="20"/>
              </w:rPr>
              <w:t>Talke</w:t>
            </w:r>
            <w:proofErr w:type="spellEnd"/>
            <w:r w:rsidRPr="00A56318">
              <w:rPr>
                <w:rFonts w:cs="Arial"/>
                <w:color w:val="000000"/>
                <w:szCs w:val="20"/>
              </w:rPr>
              <w:t xml:space="preserve"> and Schubert. </w:t>
            </w:r>
            <w:r>
              <w:rPr>
                <w:rFonts w:cs="Arial"/>
                <w:color w:val="000000"/>
                <w:szCs w:val="20"/>
              </w:rPr>
              <w:t xml:space="preserve"> </w:t>
            </w:r>
            <w:r w:rsidRPr="00A56318">
              <w:rPr>
                <w:rFonts w:cs="Arial"/>
                <w:color w:val="000000"/>
                <w:szCs w:val="20"/>
              </w:rPr>
              <w:t>The test is</w:t>
            </w:r>
            <w:r>
              <w:rPr>
                <w:rFonts w:cs="Arial"/>
                <w:color w:val="000000"/>
                <w:szCs w:val="20"/>
              </w:rPr>
              <w:t xml:space="preserve"> </w:t>
            </w:r>
            <w:r w:rsidRPr="00A56318">
              <w:rPr>
                <w:rFonts w:cs="Arial"/>
                <w:color w:val="000000"/>
                <w:szCs w:val="20"/>
              </w:rPr>
              <w:t>performed as a kinetic assay in which the initial rate of the reaction</w:t>
            </w:r>
            <w:r>
              <w:rPr>
                <w:rFonts w:cs="Arial"/>
                <w:color w:val="000000"/>
                <w:szCs w:val="20"/>
              </w:rPr>
              <w:t xml:space="preserve"> </w:t>
            </w:r>
            <w:r w:rsidRPr="00A56318">
              <w:rPr>
                <w:rFonts w:cs="Arial"/>
                <w:color w:val="000000"/>
                <w:szCs w:val="20"/>
              </w:rPr>
              <w:t xml:space="preserve">is linear for a limited period of time. </w:t>
            </w:r>
            <w:r>
              <w:rPr>
                <w:rFonts w:cs="Arial"/>
                <w:color w:val="000000"/>
                <w:szCs w:val="20"/>
              </w:rPr>
              <w:t xml:space="preserve"> </w:t>
            </w:r>
            <w:r w:rsidRPr="00A56318">
              <w:rPr>
                <w:rFonts w:cs="Arial"/>
                <w:color w:val="000000"/>
                <w:szCs w:val="20"/>
              </w:rPr>
              <w:t>Urea in the sample is hydrolyzed</w:t>
            </w:r>
            <w:r>
              <w:rPr>
                <w:rFonts w:cs="Arial"/>
                <w:color w:val="000000"/>
                <w:szCs w:val="20"/>
              </w:rPr>
              <w:t xml:space="preserve"> </w:t>
            </w:r>
            <w:r w:rsidRPr="00A56318">
              <w:rPr>
                <w:rFonts w:cs="Arial"/>
                <w:color w:val="000000"/>
                <w:szCs w:val="20"/>
              </w:rPr>
              <w:t xml:space="preserve">by urease to ammonia and carbon dioxide. </w:t>
            </w:r>
            <w:r>
              <w:rPr>
                <w:rFonts w:cs="Arial"/>
                <w:color w:val="000000"/>
                <w:szCs w:val="20"/>
              </w:rPr>
              <w:t xml:space="preserve"> </w:t>
            </w:r>
            <w:r w:rsidRPr="00A56318">
              <w:rPr>
                <w:rFonts w:cs="Arial"/>
                <w:color w:val="000000"/>
                <w:szCs w:val="20"/>
              </w:rPr>
              <w:t>The second reaction,</w:t>
            </w:r>
            <w:r>
              <w:rPr>
                <w:rFonts w:cs="Arial"/>
                <w:color w:val="000000"/>
                <w:szCs w:val="20"/>
              </w:rPr>
              <w:t xml:space="preserve"> </w:t>
            </w:r>
            <w:r w:rsidRPr="00A56318">
              <w:rPr>
                <w:rFonts w:cs="Arial"/>
                <w:color w:val="000000"/>
                <w:szCs w:val="20"/>
              </w:rPr>
              <w:t>catalyzed by glutamate dehydrogenase (GLD) converts ammonia</w:t>
            </w:r>
            <w:r>
              <w:rPr>
                <w:rFonts w:cs="Arial"/>
                <w:color w:val="000000"/>
                <w:szCs w:val="20"/>
              </w:rPr>
              <w:t xml:space="preserve"> </w:t>
            </w:r>
            <w:r w:rsidRPr="00A56318">
              <w:rPr>
                <w:rFonts w:cs="Arial"/>
                <w:color w:val="000000"/>
                <w:szCs w:val="20"/>
              </w:rPr>
              <w:t>and α-ketoglutarate to glutamate and water with the concurrent</w:t>
            </w:r>
            <w:r>
              <w:rPr>
                <w:rFonts w:cs="Arial"/>
                <w:color w:val="000000"/>
                <w:szCs w:val="20"/>
              </w:rPr>
              <w:t xml:space="preserve"> </w:t>
            </w:r>
            <w:r w:rsidRPr="00A56318">
              <w:rPr>
                <w:rFonts w:cs="Arial"/>
                <w:color w:val="000000"/>
                <w:szCs w:val="20"/>
              </w:rPr>
              <w:t>oxidation of reduced nicotinamide adenine dinucleotide (NADH) to</w:t>
            </w:r>
            <w:r>
              <w:rPr>
                <w:rFonts w:cs="Arial"/>
                <w:color w:val="000000"/>
                <w:szCs w:val="20"/>
              </w:rPr>
              <w:t xml:space="preserve"> </w:t>
            </w:r>
            <w:r w:rsidRPr="00A56318">
              <w:rPr>
                <w:rFonts w:cs="Arial"/>
                <w:color w:val="000000"/>
                <w:szCs w:val="20"/>
              </w:rPr>
              <w:t xml:space="preserve">nicotinamide adenine dinucleotide (NAD). </w:t>
            </w:r>
            <w:r>
              <w:rPr>
                <w:rFonts w:cs="Arial"/>
                <w:color w:val="000000"/>
                <w:szCs w:val="20"/>
              </w:rPr>
              <w:t xml:space="preserve"> </w:t>
            </w:r>
            <w:r w:rsidRPr="00A56318">
              <w:rPr>
                <w:rFonts w:cs="Arial"/>
                <w:color w:val="000000"/>
                <w:szCs w:val="20"/>
              </w:rPr>
              <w:t>Two moles of NADH are</w:t>
            </w:r>
            <w:r>
              <w:rPr>
                <w:rFonts w:cs="Arial"/>
                <w:color w:val="000000"/>
                <w:szCs w:val="20"/>
              </w:rPr>
              <w:t xml:space="preserve"> </w:t>
            </w:r>
            <w:r w:rsidRPr="00A56318">
              <w:rPr>
                <w:rFonts w:cs="Arial"/>
                <w:color w:val="000000"/>
                <w:szCs w:val="20"/>
              </w:rPr>
              <w:t xml:space="preserve">oxidized for each mole of urea present. </w:t>
            </w:r>
            <w:r>
              <w:rPr>
                <w:rFonts w:cs="Arial"/>
                <w:color w:val="000000"/>
                <w:szCs w:val="20"/>
              </w:rPr>
              <w:t xml:space="preserve"> </w:t>
            </w:r>
            <w:r w:rsidRPr="00A56318">
              <w:rPr>
                <w:rFonts w:cs="Arial"/>
                <w:color w:val="000000"/>
                <w:szCs w:val="20"/>
              </w:rPr>
              <w:t>The initial rate of decrease</w:t>
            </w:r>
            <w:r>
              <w:rPr>
                <w:rFonts w:cs="Arial"/>
                <w:color w:val="000000"/>
                <w:szCs w:val="20"/>
              </w:rPr>
              <w:t xml:space="preserve"> </w:t>
            </w:r>
            <w:r w:rsidRPr="00A56318">
              <w:rPr>
                <w:rFonts w:cs="Arial"/>
                <w:color w:val="000000"/>
                <w:szCs w:val="20"/>
              </w:rPr>
              <w:t>in absorbance at 340 nm is proportional to the urea concentration in</w:t>
            </w:r>
            <w:r>
              <w:rPr>
                <w:rFonts w:cs="Arial"/>
                <w:color w:val="000000"/>
                <w:szCs w:val="20"/>
              </w:rPr>
              <w:t xml:space="preserve"> the sample.</w:t>
            </w:r>
          </w:p>
          <w:p w:rsidR="00A56318" w:rsidRPr="00A56318" w:rsidRDefault="00A56318" w:rsidP="00A56318">
            <w:pPr>
              <w:pStyle w:val="Header"/>
              <w:rPr>
                <w:rFonts w:cs="Arial"/>
                <w:color w:val="000000"/>
                <w:szCs w:val="20"/>
              </w:rPr>
            </w:pPr>
          </w:p>
          <w:p w:rsidR="00370B0F" w:rsidRDefault="00A56318" w:rsidP="00A56318">
            <w:pPr>
              <w:pStyle w:val="Header"/>
              <w:tabs>
                <w:tab w:val="clear" w:pos="4320"/>
                <w:tab w:val="clear" w:pos="8640"/>
              </w:tabs>
              <w:rPr>
                <w:rFonts w:cs="Arial"/>
                <w:color w:val="000000"/>
                <w:szCs w:val="20"/>
              </w:rPr>
            </w:pPr>
            <w:r w:rsidRPr="00A56318">
              <w:rPr>
                <w:rFonts w:cs="Arial"/>
                <w:color w:val="000000"/>
                <w:szCs w:val="20"/>
              </w:rPr>
              <w:t>Methodology: Urease</w:t>
            </w:r>
          </w:p>
          <w:p w:rsidR="00EE57E1" w:rsidRPr="00DC7421" w:rsidRDefault="00EE57E1" w:rsidP="00A56318">
            <w:pPr>
              <w:pStyle w:val="Header"/>
              <w:tabs>
                <w:tab w:val="clear" w:pos="4320"/>
                <w:tab w:val="clear" w:pos="8640"/>
              </w:tabs>
              <w:rPr>
                <w:rFonts w:cs="Arial"/>
                <w:color w:val="000000"/>
                <w:szCs w:val="20"/>
              </w:rPr>
            </w:pP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Clinical Significance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4B5D63" w:rsidRDefault="00A56318" w:rsidP="00A56318">
            <w:r>
              <w:t xml:space="preserve">Measurements obtained by this test are used in the diagnosis of certain renal and metabolic diseases. The determination of serum urea nitrogen is a widely used test for the evaluation of kidney function. The test is frequently requested in conjunction with the serum creatinine test for the differential diagnosis of prerenal (cardiac decompensation, water depletion, increased protein catabolism), renal (glomerulonephritis, chronic nephritis, polycystic kidney, </w:t>
            </w:r>
            <w:proofErr w:type="spellStart"/>
            <w:r>
              <w:t>nephrosclerosis</w:t>
            </w:r>
            <w:proofErr w:type="spellEnd"/>
            <w:r>
              <w:t xml:space="preserve">, tubular necrosis), and </w:t>
            </w:r>
            <w:proofErr w:type="spellStart"/>
            <w:r>
              <w:t>postrenal</w:t>
            </w:r>
            <w:proofErr w:type="spellEnd"/>
            <w:r>
              <w:t xml:space="preserve"> (obstructions of the urinary tract) </w:t>
            </w:r>
            <w:proofErr w:type="spellStart"/>
            <w:r>
              <w:t>hyperuremia</w:t>
            </w:r>
            <w:proofErr w:type="spellEnd"/>
            <w:r>
              <w:t>.</w:t>
            </w:r>
          </w:p>
          <w:p w:rsidR="00A56318" w:rsidRPr="00370B0F" w:rsidRDefault="00A56318" w:rsidP="00A56318"/>
        </w:tc>
      </w:tr>
      <w:tr w:rsidR="00E3253B" w:rsidTr="007132A9">
        <w:trPr>
          <w:trHeight w:val="810"/>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p>
          <w:p w:rsidR="00B109AB" w:rsidRPr="00DC7421" w:rsidRDefault="00B109AB" w:rsidP="00C00B65">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p>
        </w:tc>
      </w:tr>
      <w:tr w:rsidR="00E3253B" w:rsidTr="00EE57E1">
        <w:trPr>
          <w:tblHeader/>
        </w:trPr>
        <w:tc>
          <w:tcPr>
            <w:tcW w:w="1800" w:type="dxa"/>
            <w:tcBorders>
              <w:top w:val="nil"/>
              <w:left w:val="nil"/>
              <w:bottom w:val="nil"/>
              <w:right w:val="nil"/>
            </w:tcBorders>
            <w:vAlign w:val="center"/>
          </w:tcPr>
          <w:p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rsidR="00370B0F" w:rsidRDefault="002271D0" w:rsidP="00370B0F">
            <w:r w:rsidRPr="00EE57E1">
              <w:rPr>
                <w:b/>
              </w:rPr>
              <w:t>BUN</w:t>
            </w:r>
            <w:r>
              <w:t>: Urea on serum or plasma</w:t>
            </w:r>
          </w:p>
          <w:p w:rsidR="00370B0F" w:rsidRPr="00370B0F" w:rsidRDefault="00370B0F" w:rsidP="00370B0F"/>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w:t>
            </w:r>
            <w:r w:rsidR="00EE57E1">
              <w:rPr>
                <w:rFonts w:cs="Arial"/>
                <w:szCs w:val="20"/>
              </w:rPr>
              <w:t xml:space="preserve"> </w:t>
            </w:r>
            <w:r w:rsidRPr="00DC7421">
              <w:rPr>
                <w:rFonts w:cs="Arial"/>
                <w:szCs w:val="20"/>
              </w:rPr>
              <w:t>or serum (with or without gel</w:t>
            </w:r>
            <w:r w:rsidR="00E3253B" w:rsidRPr="00DC7421">
              <w:rPr>
                <w:rFonts w:cs="Arial"/>
                <w:szCs w:val="20"/>
              </w:rPr>
              <w:t>)</w:t>
            </w:r>
            <w:r w:rsidRPr="00DC7421">
              <w:rPr>
                <w:rFonts w:cs="Arial"/>
                <w:szCs w:val="20"/>
              </w:rPr>
              <w:t xml:space="preserve"> </w:t>
            </w:r>
            <w:r w:rsidR="004B5D63">
              <w:rPr>
                <w:rFonts w:cs="Arial"/>
                <w:szCs w:val="20"/>
              </w:rPr>
              <w:t xml:space="preserve">are </w:t>
            </w:r>
            <w:r w:rsidRPr="00DC7421">
              <w:rPr>
                <w:rFonts w:cs="Arial"/>
                <w:szCs w:val="20"/>
              </w:rPr>
              <w:t>also acceptable</w:t>
            </w:r>
            <w:r w:rsidR="00E3253B" w:rsidRPr="00DC7421">
              <w:rPr>
                <w:rFonts w:cs="Arial"/>
                <w:szCs w:val="20"/>
              </w:rPr>
              <w:t>. 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486653">
              <w:rPr>
                <w:rFonts w:cs="Arial"/>
                <w:szCs w:val="20"/>
              </w:rPr>
              <w:t xml:space="preserve"> RT / 7</w:t>
            </w:r>
            <w:r w:rsidR="00685D61" w:rsidRPr="00DC7421">
              <w:rPr>
                <w:rFonts w:cs="Arial"/>
                <w:szCs w:val="20"/>
              </w:rPr>
              <w:t xml:space="preserve">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0094479F">
              <w:rPr>
                <w:rFonts w:cs="Arial"/>
                <w:szCs w:val="20"/>
              </w:rPr>
              <w:t xml:space="preserve"> 7 days</w:t>
            </w:r>
            <w:r w:rsidR="00E3253B" w:rsidRPr="00DC7421">
              <w:rPr>
                <w:rFonts w:cs="Arial"/>
                <w:szCs w:val="20"/>
              </w:rPr>
              <w:t>, &lt; -20</w:t>
            </w:r>
            <w:r w:rsidR="00E3253B" w:rsidRPr="00DC7421">
              <w:rPr>
                <w:rFonts w:cs="Arial"/>
                <w:szCs w:val="20"/>
              </w:rPr>
              <w:sym w:font="Symbol" w:char="F0B0"/>
            </w:r>
            <w:r w:rsidR="00E3253B" w:rsidRPr="00DC7421">
              <w:rPr>
                <w:rFonts w:cs="Arial"/>
                <w:szCs w:val="20"/>
              </w:rPr>
              <w:t xml:space="preserve">C / </w:t>
            </w:r>
            <w:r w:rsidR="0094479F">
              <w:rPr>
                <w:rFonts w:cs="Arial"/>
                <w:szCs w:val="20"/>
              </w:rPr>
              <w:t>1 year</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E93074" w:rsidRPr="00DC7421" w:rsidRDefault="00E93074" w:rsidP="00F6060A">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rsidR="00E93074" w:rsidRPr="00DC7421" w:rsidRDefault="00E93074" w:rsidP="00F6060A">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rsidR="00F6060A" w:rsidRPr="00DC7421" w:rsidRDefault="00E93074" w:rsidP="00F6060A">
            <w:pPr>
              <w:numPr>
                <w:ilvl w:val="0"/>
                <w:numId w:val="26"/>
              </w:numPr>
              <w:autoSpaceDE w:val="0"/>
              <w:autoSpaceDN w:val="0"/>
              <w:adjustRightInd w:val="0"/>
              <w:rPr>
                <w:rFonts w:cs="Arial"/>
                <w:szCs w:val="20"/>
              </w:rPr>
            </w:pPr>
            <w:r w:rsidRPr="00DC7421">
              <w:rPr>
                <w:rFonts w:cs="Arial"/>
                <w:szCs w:val="20"/>
              </w:rPr>
              <w:t>Specimens should be free of particulate matter.</w:t>
            </w:r>
            <w:r w:rsidR="00F6060A" w:rsidRPr="00DC7421">
              <w:rPr>
                <w:rFonts w:cs="Arial"/>
                <w:szCs w:val="20"/>
              </w:rPr>
              <w:t xml:space="preserve"> </w:t>
            </w:r>
          </w:p>
          <w:p w:rsidR="00A002D3" w:rsidRPr="00DC7421" w:rsidRDefault="00E93074" w:rsidP="00F6060A">
            <w:pPr>
              <w:numPr>
                <w:ilvl w:val="0"/>
                <w:numId w:val="26"/>
              </w:numPr>
              <w:autoSpaceDE w:val="0"/>
              <w:autoSpaceDN w:val="0"/>
              <w:adjustRightInd w:val="0"/>
              <w:rPr>
                <w:rFonts w:cs="Arial"/>
                <w:szCs w:val="20"/>
              </w:rPr>
            </w:pPr>
            <w:r w:rsidRPr="00DC7421">
              <w:rPr>
                <w:rFonts w:cs="Arial"/>
                <w:szCs w:val="20"/>
              </w:rPr>
              <w:t>Transfer serum or plasma to</w:t>
            </w:r>
            <w:r w:rsidR="00A002D3" w:rsidRPr="00DC7421">
              <w:rPr>
                <w:rFonts w:cs="Arial"/>
                <w:szCs w:val="20"/>
              </w:rPr>
              <w:t xml:space="preserve"> a properly labeled pilot tube or aliquot cup</w:t>
            </w:r>
            <w:r w:rsidRPr="00DC7421">
              <w:rPr>
                <w:rFonts w:cs="Arial"/>
                <w:szCs w:val="20"/>
              </w:rPr>
              <w:t>.</w:t>
            </w:r>
            <w:r w:rsidR="00A002D3" w:rsidRPr="00DC7421">
              <w:rPr>
                <w:rFonts w:cs="Arial"/>
                <w:szCs w:val="20"/>
              </w:rPr>
              <w:t xml:space="preserve">  Architect and Alinity </w:t>
            </w:r>
            <w:r w:rsidR="00685D61" w:rsidRPr="00DC7421">
              <w:rPr>
                <w:rFonts w:cs="Arial"/>
                <w:szCs w:val="20"/>
              </w:rPr>
              <w:t>systems utilize</w:t>
            </w:r>
            <w:r w:rsidR="00A002D3" w:rsidRPr="00DC7421">
              <w:rPr>
                <w:rFonts w:cs="Arial"/>
                <w:szCs w:val="20"/>
              </w:rPr>
              <w:t xml:space="preserve"> a specimen level detect mechanism, so special racks</w:t>
            </w:r>
            <w:r w:rsidR="00685D61" w:rsidRPr="00DC7421">
              <w:rPr>
                <w:rFonts w:cs="Arial"/>
                <w:szCs w:val="20"/>
              </w:rPr>
              <w:t xml:space="preserve"> specific to tube-type</w:t>
            </w:r>
            <w:r w:rsidR="00A002D3" w:rsidRPr="00DC7421">
              <w:rPr>
                <w:rFonts w:cs="Arial"/>
                <w:szCs w:val="20"/>
              </w:rPr>
              <w:t xml:space="preserve"> are not required. </w:t>
            </w:r>
            <w:r w:rsidRPr="00DC7421">
              <w:rPr>
                <w:rFonts w:cs="Arial"/>
                <w:szCs w:val="20"/>
              </w:rPr>
              <w:t xml:space="preserve"> </w:t>
            </w:r>
          </w:p>
          <w:p w:rsidR="00E93074" w:rsidRPr="00DC7421" w:rsidRDefault="00E93074" w:rsidP="00F6060A">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7132A9">
        <w:trPr>
          <w:tblHeader/>
        </w:trPr>
        <w:tc>
          <w:tcPr>
            <w:tcW w:w="1800" w:type="dxa"/>
            <w:tcBorders>
              <w:top w:val="nil"/>
              <w:left w:val="nil"/>
              <w:bottom w:val="nil"/>
              <w:right w:val="nil"/>
            </w:tcBorders>
          </w:tcPr>
          <w:p w:rsidR="00D955F6" w:rsidRPr="00C00B65" w:rsidRDefault="00D955F6">
            <w:pPr>
              <w:rPr>
                <w:rFonts w:cs="Arial"/>
                <w:b/>
                <w:bCs/>
                <w:color w:val="0000FF"/>
                <w:szCs w:val="20"/>
              </w:rPr>
            </w:pPr>
            <w:r w:rsidRPr="00C00B65">
              <w:rPr>
                <w:rFonts w:cs="Arial"/>
                <w:b/>
                <w:bCs/>
                <w:color w:val="0000FF"/>
                <w:szCs w:val="20"/>
              </w:rPr>
              <w:lastRenderedPageBreak/>
              <w:t>Reagents</w:t>
            </w:r>
          </w:p>
          <w:p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A56318">
              <w:rPr>
                <w:rFonts w:cs="Arial"/>
                <w:color w:val="000000"/>
                <w:szCs w:val="20"/>
              </w:rPr>
              <w:t>ges in an upright position for 24</w:t>
            </w:r>
            <w:r w:rsidR="004B5D63">
              <w:rPr>
                <w:rFonts w:cs="Arial"/>
                <w:color w:val="000000"/>
                <w:szCs w:val="20"/>
              </w:rPr>
              <w:t xml:space="preserve"> hour</w:t>
            </w:r>
            <w:r w:rsidR="00A56318">
              <w:rPr>
                <w:rFonts w:cs="Arial"/>
                <w:color w:val="000000"/>
                <w:szCs w:val="20"/>
              </w:rPr>
              <w:t>s</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If a reagent cartridge is dropped, pl</w:t>
            </w:r>
            <w:r w:rsidR="00A56318">
              <w:rPr>
                <w:rFonts w:cs="Arial"/>
                <w:color w:val="000000"/>
                <w:szCs w:val="20"/>
              </w:rPr>
              <w:t>ace in an upright position for 24</w:t>
            </w:r>
            <w:r w:rsidRPr="00DC7421">
              <w:rPr>
                <w:rFonts w:cs="Arial"/>
                <w:color w:val="000000"/>
                <w:szCs w:val="20"/>
              </w:rPr>
              <w:t xml:space="preserve"> hour</w:t>
            </w:r>
            <w:r w:rsidR="00A56318">
              <w:rPr>
                <w:rFonts w:cs="Arial"/>
                <w:color w:val="000000"/>
                <w:szCs w:val="20"/>
              </w:rPr>
              <w:t>s</w:t>
            </w:r>
            <w:r w:rsidRPr="00DC7421">
              <w:rPr>
                <w:rFonts w:cs="Arial"/>
                <w:color w:val="000000"/>
                <w:szCs w:val="20"/>
              </w:rPr>
              <w:t xml:space="preserve">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 xml:space="preserve">Reagents may be stored on or off the system. If removed from the system, store reagents with new replacement caps in an upright position at </w:t>
            </w:r>
            <w:r w:rsidR="004B5D63">
              <w:rPr>
                <w:rFonts w:cs="Arial"/>
                <w:bCs/>
              </w:rPr>
              <w:t>2 – 8</w:t>
            </w:r>
            <w:r w:rsidR="004B5D63" w:rsidRPr="00DC7421">
              <w:rPr>
                <w:rFonts w:cs="Arial"/>
                <w:bCs/>
              </w:rPr>
              <w:t>°C</w:t>
            </w:r>
            <w:r w:rsidRPr="00DC7421">
              <w:rPr>
                <w:rFonts w:cs="Arial"/>
                <w:szCs w:val="20"/>
              </w:rPr>
              <w:t>.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00DC0632">
                    <w:rPr>
                      <w:rFonts w:cs="Arial"/>
                      <w:szCs w:val="20"/>
                    </w:rPr>
                    <w:t xml:space="preserve">    </w:t>
                  </w:r>
                  <w:r w:rsidR="002271D0">
                    <w:rPr>
                      <w:rFonts w:cs="Arial"/>
                      <w:szCs w:val="20"/>
                    </w:rPr>
                    <w:t>Urea</w:t>
                  </w:r>
                  <w:r w:rsidR="002F5C68" w:rsidRPr="00DC7421">
                    <w:rPr>
                      <w:rFonts w:cs="Arial"/>
                      <w:szCs w:val="20"/>
                    </w:rPr>
                    <w:t xml:space="preserve"> </w:t>
                  </w:r>
                  <w:r w:rsidR="00DC0632">
                    <w:rPr>
                      <w:rFonts w:cs="Arial"/>
                      <w:szCs w:val="20"/>
                    </w:rPr>
                    <w:t xml:space="preserve">Nitrogen </w:t>
                  </w:r>
                  <w:r w:rsidR="002F5C68" w:rsidRPr="00DC7421">
                    <w:rPr>
                      <w:rFonts w:cs="Arial"/>
                      <w:szCs w:val="20"/>
                    </w:rPr>
                    <w:t>Reagent</w:t>
                  </w:r>
                </w:p>
                <w:p w:rsidR="00D955F6" w:rsidRPr="00DC7421" w:rsidRDefault="00DC0632" w:rsidP="00B01603">
                  <w:pPr>
                    <w:autoSpaceDE w:val="0"/>
                    <w:autoSpaceDN w:val="0"/>
                    <w:adjustRightInd w:val="0"/>
                    <w:rPr>
                      <w:rFonts w:cs="Arial"/>
                      <w:szCs w:val="20"/>
                    </w:rPr>
                  </w:pPr>
                  <w:r>
                    <w:rPr>
                      <w:rFonts w:cs="Arial"/>
                      <w:szCs w:val="20"/>
                    </w:rPr>
                    <w:t xml:space="preserve">CHC# </w:t>
                  </w:r>
                  <w:r w:rsidR="00A56318">
                    <w:rPr>
                      <w:rFonts w:cs="Arial"/>
                      <w:szCs w:val="20"/>
                    </w:rPr>
                    <w:t>32632</w:t>
                  </w:r>
                </w:p>
              </w:tc>
              <w:tc>
                <w:tcPr>
                  <w:tcW w:w="1710" w:type="dxa"/>
                  <w:vAlign w:val="center"/>
                </w:tcPr>
                <w:p w:rsidR="00D955F6" w:rsidRPr="00DC7421" w:rsidRDefault="00A56318" w:rsidP="00E3253B">
                  <w:pPr>
                    <w:pStyle w:val="BodyText"/>
                    <w:tabs>
                      <w:tab w:val="left" w:pos="3240"/>
                    </w:tabs>
                    <w:rPr>
                      <w:rFonts w:cs="Arial"/>
                      <w:szCs w:val="20"/>
                    </w:rPr>
                  </w:pPr>
                  <w:r w:rsidRPr="00A56318">
                    <w:rPr>
                      <w:rFonts w:cs="Arial"/>
                      <w:szCs w:val="20"/>
                    </w:rPr>
                    <w:t>08P16-20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86653">
                    <w:rPr>
                      <w:rFonts w:ascii="Arial" w:hAnsi="Arial" w:cs="Arial"/>
                      <w:bCs/>
                    </w:rPr>
                    <w:t xml:space="preserve"> </w:t>
                  </w:r>
                  <w:r w:rsidR="004B5D63">
                    <w:rPr>
                      <w:rFonts w:ascii="Arial" w:hAnsi="Arial" w:cs="Arial"/>
                      <w:bCs/>
                    </w:rPr>
                    <w:t>2 – 8</w:t>
                  </w:r>
                  <w:r w:rsidR="004B5D63"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A56318">
                    <w:rPr>
                      <w:rFonts w:cs="Arial"/>
                      <w:b/>
                      <w:bCs/>
                      <w:szCs w:val="20"/>
                    </w:rPr>
                    <w:t>25</w:t>
                  </w:r>
                  <w:r w:rsidR="002F5C68" w:rsidRPr="00DC7421">
                    <w:rPr>
                      <w:rFonts w:cs="Arial"/>
                      <w:b/>
                      <w:bCs/>
                      <w:szCs w:val="20"/>
                    </w:rPr>
                    <w:t xml:space="preserve">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r w:rsidR="00D955F6" w:rsidRPr="00DC7421" w:rsidTr="004C14CE">
              <w:tc>
                <w:tcPr>
                  <w:tcW w:w="2857" w:type="dxa"/>
                  <w:vAlign w:val="center"/>
                </w:tcPr>
                <w:p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Multiconstituent Calibrator</w:t>
                  </w:r>
                </w:p>
                <w:p w:rsidR="009A1A3D" w:rsidRPr="00DC7421" w:rsidRDefault="009A1A3D" w:rsidP="002F5C68">
                  <w:pPr>
                    <w:pStyle w:val="BodyText"/>
                    <w:spacing w:after="0"/>
                    <w:rPr>
                      <w:rFonts w:cs="Arial"/>
                      <w:szCs w:val="20"/>
                    </w:rPr>
                  </w:pPr>
                  <w:r w:rsidRPr="00DC7421">
                    <w:rPr>
                      <w:rFonts w:cs="Arial"/>
                      <w:szCs w:val="20"/>
                    </w:rPr>
                    <w:t>CHC# 32633</w:t>
                  </w:r>
                </w:p>
              </w:tc>
              <w:tc>
                <w:tcPr>
                  <w:tcW w:w="1710" w:type="dxa"/>
                  <w:vAlign w:val="center"/>
                </w:tcPr>
                <w:p w:rsidR="009A1A3D" w:rsidRPr="00DC7421" w:rsidRDefault="009A1A3D" w:rsidP="009A1A3D">
                  <w:pPr>
                    <w:rPr>
                      <w:rFonts w:eastAsia="Arial Unicode MS" w:cs="Arial"/>
                      <w:szCs w:val="20"/>
                    </w:rPr>
                  </w:pPr>
                  <w:r w:rsidRPr="00DC7421">
                    <w:rPr>
                      <w:rFonts w:eastAsia="Arial Unicode MS" w:cs="Arial"/>
                      <w:szCs w:val="20"/>
                    </w:rPr>
                    <w:t>08P60-01</w:t>
                  </w:r>
                </w:p>
                <w:p w:rsidR="00D955F6" w:rsidRPr="00DC7421" w:rsidRDefault="00D955F6" w:rsidP="00E3253B">
                  <w:pPr>
                    <w:pStyle w:val="BodyText"/>
                    <w:rPr>
                      <w:rFonts w:cs="Arial"/>
                      <w:szCs w:val="20"/>
                    </w:rPr>
                  </w:pP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004B5D63">
                    <w:rPr>
                      <w:rFonts w:ascii="Arial" w:hAnsi="Arial" w:cs="Arial"/>
                      <w:bCs/>
                    </w:rPr>
                    <w:t xml:space="preserve"> 2 – 8</w:t>
                  </w:r>
                  <w:r w:rsidRPr="00DC7421">
                    <w:rPr>
                      <w:rFonts w:ascii="Arial" w:hAnsi="Arial" w:cs="Arial"/>
                      <w:bCs/>
                    </w:rPr>
                    <w:t>°C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CF08A6">
                  <w:pPr>
                    <w:pStyle w:val="Reagents"/>
                    <w:spacing w:after="80"/>
                    <w:rPr>
                      <w:rFonts w:ascii="Arial" w:hAnsi="Arial" w:cs="Arial"/>
                      <w:bCs/>
                    </w:rPr>
                  </w:pPr>
                  <w:r w:rsidRPr="00DC7421">
                    <w:rPr>
                      <w:rFonts w:ascii="Arial" w:hAnsi="Arial" w:cs="Arial"/>
                      <w:b/>
                      <w:bCs/>
                    </w:rPr>
                    <w:t>On board</w:t>
                  </w:r>
                  <w:r w:rsidR="002F5C68" w:rsidRPr="00DC7421">
                    <w:rPr>
                      <w:rFonts w:ascii="Arial" w:hAnsi="Arial" w:cs="Arial"/>
                      <w:b/>
                      <w:bCs/>
                    </w:rPr>
                    <w:t xml:space="preserve"> expiration</w:t>
                  </w:r>
                  <w:r w:rsidRPr="00DC7421">
                    <w:rPr>
                      <w:rFonts w:ascii="Arial" w:hAnsi="Arial" w:cs="Arial"/>
                      <w:b/>
                      <w:bCs/>
                    </w:rPr>
                    <w:t>:</w:t>
                  </w:r>
                  <w:r w:rsidR="002F5C68" w:rsidRPr="00DC7421">
                    <w:rPr>
                      <w:rFonts w:ascii="Arial" w:hAnsi="Arial" w:cs="Arial"/>
                      <w:b/>
                      <w:bCs/>
                    </w:rPr>
                    <w:t xml:space="preserve"> 5 days when stored onboard.  </w:t>
                  </w:r>
                  <w:r w:rsidR="002F5C68" w:rsidRPr="00DC7421">
                    <w:rPr>
                      <w:rFonts w:ascii="Arial" w:hAnsi="Arial" w:cs="Arial"/>
                      <w:bCs/>
                    </w:rPr>
                    <w:t>The Alinity c tracks time on the system.</w:t>
                  </w:r>
                </w:p>
                <w:p w:rsidR="00D955F6" w:rsidRPr="00DC7421" w:rsidRDefault="00D955F6" w:rsidP="00A002D3">
                  <w:pPr>
                    <w:pStyle w:val="BodyText"/>
                    <w:spacing w:after="80"/>
                    <w:rPr>
                      <w:rFonts w:cs="Arial"/>
                      <w:szCs w:val="20"/>
                    </w:rPr>
                  </w:pPr>
                  <w:r w:rsidRPr="00DC7421">
                    <w:rPr>
                      <w:rFonts w:cs="Arial"/>
                      <w:b/>
                      <w:bCs/>
                      <w:szCs w:val="20"/>
                    </w:rPr>
                    <w:t>Opened</w:t>
                  </w:r>
                  <w:r w:rsidR="002F5C68" w:rsidRPr="00DC7421">
                    <w:rPr>
                      <w:rFonts w:cs="Arial"/>
                      <w:b/>
                      <w:bCs/>
                      <w:szCs w:val="20"/>
                    </w:rPr>
                    <w:t xml:space="preserve"> expiration</w:t>
                  </w:r>
                  <w:r w:rsidRPr="00DC7421">
                    <w:rPr>
                      <w:rFonts w:cs="Arial"/>
                      <w:b/>
                      <w:bCs/>
                      <w:szCs w:val="20"/>
                    </w:rPr>
                    <w:t xml:space="preserve">: </w:t>
                  </w:r>
                  <w:r w:rsidR="002F5C68" w:rsidRPr="00DC7421">
                    <w:rPr>
                      <w:rFonts w:cs="Arial"/>
                      <w:b/>
                      <w:bCs/>
                      <w:szCs w:val="20"/>
                    </w:rPr>
                    <w:t xml:space="preserve">7 days </w:t>
                  </w:r>
                  <w:r w:rsidR="002F5C68" w:rsidRPr="00DC7421">
                    <w:rPr>
                      <w:rFonts w:cs="Arial"/>
                      <w:bCs/>
                      <w:szCs w:val="20"/>
                    </w:rPr>
                    <w:t>when opened and stored off the system.</w:t>
                  </w:r>
                </w:p>
              </w:tc>
            </w:tr>
          </w:tbl>
          <w:p w:rsidR="00D955F6" w:rsidRPr="00DC7421" w:rsidRDefault="00D955F6" w:rsidP="00747868">
            <w:pPr>
              <w:pStyle w:val="Header"/>
              <w:tabs>
                <w:tab w:val="clear" w:pos="4320"/>
                <w:tab w:val="clear" w:pos="8640"/>
              </w:tabs>
              <w:rPr>
                <w:rFonts w:cs="Arial"/>
                <w:szCs w:val="20"/>
              </w:rPr>
            </w:pPr>
          </w:p>
        </w:tc>
      </w:tr>
      <w:tr w:rsidR="00D955F6" w:rsidTr="007132A9">
        <w:trPr>
          <w:trHeight w:val="4059"/>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00A56318">
                    <w:rPr>
                      <w:rFonts w:ascii="Arial" w:hAnsi="Arial" w:cs="Arial"/>
                    </w:rPr>
                    <w:t xml:space="preserve">   </w:t>
                  </w:r>
                  <w:r w:rsidR="002271D0">
                    <w:rPr>
                      <w:rFonts w:ascii="Arial" w:hAnsi="Arial" w:cs="Arial"/>
                    </w:rPr>
                    <w:t>Urea</w:t>
                  </w:r>
                  <w:r w:rsidR="00DC0632">
                    <w:rPr>
                      <w:rFonts w:ascii="Arial" w:hAnsi="Arial" w:cs="Arial"/>
                    </w:rPr>
                    <w:t xml:space="preserve"> Nitrogen</w:t>
                  </w:r>
                  <w:r w:rsidR="00486653">
                    <w:rPr>
                      <w:rFonts w:ascii="Arial" w:hAnsi="Arial" w:cs="Arial"/>
                    </w:rPr>
                    <w:t xml:space="preserve"> </w:t>
                  </w:r>
                  <w:r w:rsidR="002F5C68" w:rsidRPr="00DC7421">
                    <w:rPr>
                      <w:rFonts w:ascii="Arial" w:hAnsi="Arial" w:cs="Arial"/>
                    </w:rPr>
                    <w:t>Reagent</w:t>
                  </w:r>
                </w:p>
                <w:p w:rsidR="009A1A3D" w:rsidRPr="00DC7421" w:rsidRDefault="00DC0632" w:rsidP="00B13C1A">
                  <w:pPr>
                    <w:pStyle w:val="Reagents"/>
                    <w:rPr>
                      <w:rFonts w:ascii="Arial" w:hAnsi="Arial" w:cs="Arial"/>
                    </w:rPr>
                  </w:pPr>
                  <w:r>
                    <w:rPr>
                      <w:rFonts w:ascii="Arial" w:hAnsi="Arial" w:cs="Arial"/>
                    </w:rPr>
                    <w:t xml:space="preserve">CHC# </w:t>
                  </w:r>
                  <w:r w:rsidR="00A56318">
                    <w:rPr>
                      <w:rFonts w:ascii="Arial" w:hAnsi="Arial" w:cs="Arial"/>
                    </w:rPr>
                    <w:t>32556</w:t>
                  </w:r>
                </w:p>
              </w:tc>
              <w:tc>
                <w:tcPr>
                  <w:tcW w:w="1710" w:type="dxa"/>
                  <w:vAlign w:val="center"/>
                </w:tcPr>
                <w:p w:rsidR="00D955F6" w:rsidRPr="00DC7421" w:rsidRDefault="00A56318" w:rsidP="00B13C1A">
                  <w:pPr>
                    <w:pStyle w:val="Reagents"/>
                    <w:rPr>
                      <w:rFonts w:ascii="Arial" w:hAnsi="Arial" w:cs="Arial"/>
                    </w:rPr>
                  </w:pPr>
                  <w:r w:rsidRPr="00A56318">
                    <w:rPr>
                      <w:rFonts w:ascii="Arial" w:hAnsi="Arial" w:cs="Arial"/>
                    </w:rPr>
                    <w:t>07D75-21</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w:t>
                  </w:r>
                  <w:r w:rsidR="004B5D63" w:rsidRPr="00DC7421">
                    <w:rPr>
                      <w:rFonts w:ascii="Arial" w:hAnsi="Arial" w:cs="Arial"/>
                    </w:rPr>
                    <w:t>2 – 8°C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A56318">
                    <w:rPr>
                      <w:rFonts w:cs="Arial"/>
                      <w:bCs/>
                      <w:szCs w:val="20"/>
                    </w:rPr>
                    <w:t>25</w:t>
                  </w:r>
                  <w:r w:rsidR="002F5C68" w:rsidRPr="00DC7421">
                    <w:rPr>
                      <w:rFonts w:cs="Arial"/>
                      <w:bCs/>
                      <w:szCs w:val="20"/>
                    </w:rPr>
                    <w:t xml:space="preserve"> Days</w:t>
                  </w:r>
                </w:p>
              </w:tc>
            </w:tr>
            <w:tr w:rsidR="00D955F6" w:rsidRPr="00DC7421" w:rsidTr="004C14CE">
              <w:trPr>
                <w:trHeight w:val="1520"/>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Pr="00DC7421">
                    <w:rPr>
                      <w:rFonts w:ascii="Arial" w:hAnsi="Arial" w:cs="Arial"/>
                    </w:rPr>
                    <w:t>Multiconstituent Calibrator</w:t>
                  </w:r>
                </w:p>
                <w:p w:rsidR="009A1A3D" w:rsidRPr="00DC7421" w:rsidRDefault="009A1A3D" w:rsidP="00B13C1A">
                  <w:pPr>
                    <w:pStyle w:val="Reagents"/>
                    <w:rPr>
                      <w:rFonts w:ascii="Arial" w:hAnsi="Arial" w:cs="Arial"/>
                    </w:rPr>
                  </w:pPr>
                  <w:r w:rsidRPr="00DC7421">
                    <w:rPr>
                      <w:rFonts w:ascii="Arial" w:hAnsi="Arial" w:cs="Arial"/>
                    </w:rPr>
                    <w:t>CHC# 32557</w:t>
                  </w:r>
                </w:p>
              </w:tc>
              <w:tc>
                <w:tcPr>
                  <w:tcW w:w="1710" w:type="dxa"/>
                  <w:vAlign w:val="center"/>
                </w:tcPr>
                <w:p w:rsidR="00D955F6" w:rsidRPr="00DC7421" w:rsidRDefault="009A1A3D" w:rsidP="004C14CE">
                  <w:pPr>
                    <w:rPr>
                      <w:rFonts w:cs="Arial"/>
                      <w:szCs w:val="20"/>
                    </w:rPr>
                  </w:pPr>
                  <w:r w:rsidRPr="00DC7421">
                    <w:rPr>
                      <w:rFonts w:eastAsia="Arial Unicode MS" w:cs="Arial"/>
                      <w:szCs w:val="20"/>
                    </w:rPr>
                    <w:t>01E65-05</w:t>
                  </w:r>
                </w:p>
              </w:tc>
              <w:tc>
                <w:tcPr>
                  <w:tcW w:w="4202" w:type="dxa"/>
                  <w:vAlign w:val="center"/>
                </w:tcPr>
                <w:p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Pr="00DC7421">
                    <w:rPr>
                      <w:rFonts w:ascii="Arial" w:hAnsi="Arial" w:cs="Arial"/>
                    </w:rPr>
                    <w:t xml:space="preserve"> 2 – 8°C</w:t>
                  </w:r>
                </w:p>
                <w:p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B11633" w:rsidRPr="00DC7421">
                    <w:rPr>
                      <w:rFonts w:ascii="Arial" w:hAnsi="Arial" w:cs="Arial"/>
                    </w:rPr>
                    <w:t>7 Days</w:t>
                  </w:r>
                </w:p>
              </w:tc>
            </w:tr>
          </w:tbl>
          <w:p w:rsidR="00D955F6" w:rsidRPr="00DC7421" w:rsidRDefault="00D955F6" w:rsidP="00B13C1A">
            <w:pPr>
              <w:pStyle w:val="Reagents"/>
              <w:rPr>
                <w:rFonts w:ascii="Arial" w:hAnsi="Arial" w:cs="Arial"/>
                <w:b/>
                <w:bCs/>
                <w:color w:val="365F91"/>
              </w:rPr>
            </w:pPr>
          </w:p>
        </w:tc>
      </w:tr>
      <w:tr w:rsidR="00E3253B" w:rsidTr="007132A9">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4"/>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StarNet</w:t>
                    </w:r>
                  </w:hyperlink>
                  <w:r w:rsidRPr="00DC7421">
                    <w:rPr>
                      <w:rFonts w:cs="Arial"/>
                      <w:color w:val="000000"/>
                      <w:szCs w:val="20"/>
                    </w:rPr>
                    <w:t xml:space="preserve"> page</w:t>
                  </w:r>
                  <w:r w:rsidR="007B1809">
                    <w:rPr>
                      <w:rFonts w:cs="Arial"/>
                      <w:color w:val="000000"/>
                      <w:szCs w:val="20"/>
                    </w:rPr>
                    <w:t>.</w:t>
                  </w:r>
                </w:p>
                <w:p w:rsidR="00D63C07" w:rsidRDefault="00D63C07" w:rsidP="00B22847">
                  <w:pPr>
                    <w:autoSpaceDE w:val="0"/>
                    <w:autoSpaceDN w:val="0"/>
                    <w:adjustRightInd w:val="0"/>
                    <w:rPr>
                      <w:rFonts w:cs="Arial"/>
                      <w:color w:val="000000"/>
                      <w:szCs w:val="20"/>
                    </w:rPr>
                  </w:pPr>
                </w:p>
                <w:p w:rsidR="00DC0632" w:rsidRPr="00DC7421" w:rsidRDefault="00DC0632" w:rsidP="00DC0632">
                  <w:pPr>
                    <w:pStyle w:val="Pa15"/>
                    <w:rPr>
                      <w:rFonts w:ascii="Arial" w:hAnsi="Arial" w:cs="Arial"/>
                      <w:b/>
                      <w:bCs/>
                      <w:sz w:val="20"/>
                      <w:szCs w:val="20"/>
                    </w:rPr>
                  </w:pPr>
                  <w:r w:rsidRPr="00DC7421">
                    <w:rPr>
                      <w:rFonts w:ascii="Arial" w:hAnsi="Arial" w:cs="Arial"/>
                      <w:b/>
                      <w:bCs/>
                      <w:color w:val="7030A0"/>
                      <w:sz w:val="20"/>
                      <w:szCs w:val="20"/>
                    </w:rPr>
                    <w:t>Alinity c</w:t>
                  </w:r>
                  <w:r>
                    <w:rPr>
                      <w:rFonts w:ascii="Arial" w:hAnsi="Arial" w:cs="Arial"/>
                      <w:b/>
                      <w:bCs/>
                      <w:sz w:val="20"/>
                      <w:szCs w:val="20"/>
                    </w:rPr>
                    <w:t xml:space="preserve"> </w:t>
                  </w:r>
                  <w:r w:rsidRPr="000E63E3">
                    <w:rPr>
                      <w:rFonts w:ascii="Arial" w:hAnsi="Arial" w:cs="Arial"/>
                      <w:bCs/>
                      <w:sz w:val="20"/>
                      <w:szCs w:val="20"/>
                    </w:rPr>
                    <w:t>and</w:t>
                  </w:r>
                  <w:r>
                    <w:rPr>
                      <w:rFonts w:ascii="Arial" w:hAnsi="Arial" w:cs="Arial"/>
                      <w:b/>
                      <w:bCs/>
                      <w:sz w:val="20"/>
                      <w:szCs w:val="20"/>
                    </w:rPr>
                    <w:t xml:space="preserve"> </w:t>
                  </w:r>
                  <w:r w:rsidRPr="000E63E3">
                    <w:rPr>
                      <w:rFonts w:ascii="Arial" w:hAnsi="Arial" w:cs="Arial"/>
                      <w:b/>
                      <w:bCs/>
                      <w:color w:val="984806" w:themeColor="accent6" w:themeShade="80"/>
                      <w:sz w:val="20"/>
                      <w:szCs w:val="20"/>
                    </w:rPr>
                    <w:t>Architect c4000</w:t>
                  </w:r>
                  <w:r w:rsidRPr="00DC7421">
                    <w:rPr>
                      <w:rFonts w:cs="Arial"/>
                      <w:b/>
                      <w:bCs/>
                      <w:szCs w:val="20"/>
                    </w:rPr>
                    <w:t>:</w:t>
                  </w:r>
                </w:p>
                <w:p w:rsidR="00DC0632" w:rsidRPr="00DC7421" w:rsidRDefault="00DC0632" w:rsidP="00DC0632">
                  <w:pPr>
                    <w:autoSpaceDE w:val="0"/>
                    <w:autoSpaceDN w:val="0"/>
                    <w:adjustRightInd w:val="0"/>
                    <w:rPr>
                      <w:rFonts w:cs="Arial"/>
                      <w:color w:val="000000"/>
                      <w:szCs w:val="20"/>
                    </w:rPr>
                  </w:pPr>
                  <w:r>
                    <w:rPr>
                      <w:rFonts w:cs="Arial"/>
                      <w:color w:val="000000"/>
                      <w:szCs w:val="20"/>
                    </w:rPr>
                    <w:t xml:space="preserve">R1 Reagent: </w:t>
                  </w:r>
                  <w:r w:rsidRPr="00DC0632">
                    <w:rPr>
                      <w:rFonts w:cs="Arial"/>
                      <w:color w:val="000000"/>
                      <w:szCs w:val="20"/>
                    </w:rPr>
                    <w:t>Contains</w:t>
                  </w:r>
                  <w:r>
                    <w:rPr>
                      <w:rFonts w:cs="Arial"/>
                      <w:color w:val="000000"/>
                      <w:szCs w:val="20"/>
                    </w:rPr>
                    <w:t xml:space="preserve"> </w:t>
                  </w:r>
                  <w:proofErr w:type="spellStart"/>
                  <w:r>
                    <w:rPr>
                      <w:rFonts w:cs="Arial"/>
                      <w:color w:val="000000"/>
                      <w:szCs w:val="20"/>
                    </w:rPr>
                    <w:t>methylisothiazolone</w:t>
                  </w:r>
                  <w:proofErr w:type="spellEnd"/>
                  <w:r>
                    <w:rPr>
                      <w:rFonts w:cs="Arial"/>
                      <w:color w:val="000000"/>
                      <w:szCs w:val="20"/>
                    </w:rPr>
                    <w:t xml:space="preserve"> and sodium </w:t>
                  </w:r>
                  <w:r w:rsidRPr="00DC0632">
                    <w:rPr>
                      <w:rFonts w:cs="Arial"/>
                      <w:color w:val="000000"/>
                      <w:szCs w:val="20"/>
                    </w:rPr>
                    <w:t>azide.</w:t>
                  </w:r>
                  <w:r>
                    <w:rPr>
                      <w:rFonts w:cs="Arial"/>
                      <w:color w:val="000000"/>
                      <w:szCs w:val="20"/>
                    </w:rPr>
                    <w:t xml:space="preserve"> </w:t>
                  </w:r>
                  <w:r w:rsidRPr="00DC0632">
                    <w:rPr>
                      <w:rFonts w:cs="Arial"/>
                      <w:color w:val="000000"/>
                      <w:szCs w:val="20"/>
                    </w:rPr>
                    <w:t xml:space="preserve"> May cause an allergic skin reaction.</w:t>
                  </w:r>
                  <w:r>
                    <w:rPr>
                      <w:rFonts w:cs="Arial"/>
                      <w:color w:val="000000"/>
                      <w:szCs w:val="20"/>
                    </w:rPr>
                    <w:t xml:space="preserve"> </w:t>
                  </w:r>
                  <w:r w:rsidRPr="00DC0632">
                    <w:rPr>
                      <w:rFonts w:cs="Arial"/>
                      <w:color w:val="000000"/>
                      <w:szCs w:val="20"/>
                    </w:rPr>
                    <w:t xml:space="preserve"> Contact with acids liberates very toxic gas.</w:t>
                  </w:r>
                  <w:r>
                    <w:rPr>
                      <w:rFonts w:cs="Arial"/>
                      <w:color w:val="000000"/>
                      <w:szCs w:val="20"/>
                    </w:rPr>
                    <w:t xml:space="preserve">  Dispose of in Regulated Medical Waste (red trash).</w:t>
                  </w:r>
                </w:p>
                <w:p w:rsidR="007B1809" w:rsidRDefault="00DC0632" w:rsidP="00DC0632">
                  <w:pPr>
                    <w:autoSpaceDE w:val="0"/>
                    <w:autoSpaceDN w:val="0"/>
                    <w:adjustRightInd w:val="0"/>
                    <w:rPr>
                      <w:rFonts w:cs="Arial"/>
                      <w:color w:val="000000"/>
                      <w:szCs w:val="20"/>
                    </w:rPr>
                  </w:pPr>
                  <w:r>
                    <w:rPr>
                      <w:rFonts w:cs="Arial"/>
                      <w:color w:val="000000"/>
                      <w:szCs w:val="20"/>
                    </w:rPr>
                    <w:t>R2</w:t>
                  </w:r>
                  <w:r w:rsidR="00486653">
                    <w:rPr>
                      <w:rFonts w:cs="Arial"/>
                      <w:color w:val="000000"/>
                      <w:szCs w:val="20"/>
                    </w:rPr>
                    <w:t xml:space="preserve"> R</w:t>
                  </w:r>
                  <w:r w:rsidR="003E0A08" w:rsidRPr="00DC7421">
                    <w:rPr>
                      <w:rFonts w:cs="Arial"/>
                      <w:color w:val="000000"/>
                      <w:szCs w:val="20"/>
                    </w:rPr>
                    <w:t>eage</w:t>
                  </w:r>
                  <w:r w:rsidR="00950E15" w:rsidRPr="00DC7421">
                    <w:rPr>
                      <w:rFonts w:cs="Arial"/>
                      <w:color w:val="000000"/>
                      <w:szCs w:val="20"/>
                    </w:rPr>
                    <w:t xml:space="preserve">nt: </w:t>
                  </w:r>
                  <w:r w:rsidRPr="00DC0632">
                    <w:rPr>
                      <w:rFonts w:cs="Arial"/>
                      <w:color w:val="000000"/>
                      <w:szCs w:val="20"/>
                    </w:rPr>
                    <w:t xml:space="preserve">Contains </w:t>
                  </w:r>
                  <w:proofErr w:type="spellStart"/>
                  <w:r>
                    <w:rPr>
                      <w:rFonts w:cs="Arial"/>
                      <w:color w:val="000000"/>
                      <w:szCs w:val="20"/>
                    </w:rPr>
                    <w:t>tris</w:t>
                  </w:r>
                  <w:proofErr w:type="spellEnd"/>
                  <w:r>
                    <w:rPr>
                      <w:rFonts w:cs="Arial"/>
                      <w:color w:val="000000"/>
                      <w:szCs w:val="20"/>
                    </w:rPr>
                    <w:t xml:space="preserve"> hydroxymethyl aminomethane and sodium azide.  Causes mild skin irritation.  </w:t>
                  </w:r>
                  <w:r w:rsidRPr="00DC0632">
                    <w:rPr>
                      <w:rFonts w:cs="Arial"/>
                      <w:color w:val="000000"/>
                      <w:szCs w:val="20"/>
                    </w:rPr>
                    <w:t>Contact with acids liberates very toxic gas.</w:t>
                  </w:r>
                  <w:r>
                    <w:rPr>
                      <w:rFonts w:cs="Arial"/>
                      <w:color w:val="000000"/>
                      <w:szCs w:val="20"/>
                    </w:rPr>
                    <w:t xml:space="preserve">  Dispose of in Regulated Medical Waste (red trash).</w:t>
                  </w:r>
                </w:p>
                <w:p w:rsidR="00486653" w:rsidRDefault="00486653" w:rsidP="00486653">
                  <w:pPr>
                    <w:autoSpaceDE w:val="0"/>
                    <w:autoSpaceDN w:val="0"/>
                    <w:adjustRightInd w:val="0"/>
                    <w:rPr>
                      <w:rFonts w:cs="Arial"/>
                      <w:color w:val="000000"/>
                      <w:szCs w:val="20"/>
                    </w:rPr>
                  </w:pPr>
                </w:p>
                <w:p w:rsidR="003E0A08" w:rsidRPr="00DC7421" w:rsidRDefault="003E0A08" w:rsidP="00486653">
                  <w:pPr>
                    <w:autoSpaceDE w:val="0"/>
                    <w:autoSpaceDN w:val="0"/>
                    <w:adjustRightInd w:val="0"/>
                    <w:rPr>
                      <w:rFonts w:cs="Arial"/>
                      <w:color w:val="000000"/>
                      <w:szCs w:val="20"/>
                    </w:rPr>
                  </w:pPr>
                  <w:r w:rsidRPr="00DC7421">
                    <w:rPr>
                      <w:rFonts w:cs="Arial"/>
                      <w:color w:val="000000"/>
                      <w:szCs w:val="20"/>
                    </w:rPr>
                    <w:t>Multiconstituent Calibrator should be disposed of in Regulated Medical Waste (red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7132A9">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rsidR="00F50200" w:rsidRPr="00DC7421" w:rsidRDefault="008D3369" w:rsidP="00A32948">
            <w:pPr>
              <w:pStyle w:val="Pa15"/>
              <w:rPr>
                <w:rFonts w:ascii="Arial" w:hAnsi="Arial" w:cs="Arial"/>
                <w:b/>
                <w:bCs/>
                <w:sz w:val="20"/>
                <w:szCs w:val="20"/>
              </w:rPr>
            </w:pPr>
            <w:r w:rsidRPr="00DC7421">
              <w:rPr>
                <w:rFonts w:ascii="Arial" w:hAnsi="Arial" w:cs="Arial"/>
                <w:b/>
                <w:bCs/>
                <w:color w:val="7030A0"/>
                <w:sz w:val="20"/>
                <w:szCs w:val="20"/>
              </w:rPr>
              <w:t>Alinity c</w:t>
            </w:r>
            <w:r w:rsidR="00486653">
              <w:rPr>
                <w:rFonts w:ascii="Arial" w:hAnsi="Arial" w:cs="Arial"/>
                <w:b/>
                <w:bCs/>
                <w:sz w:val="20"/>
                <w:szCs w:val="20"/>
              </w:rPr>
              <w:t xml:space="preserve"> </w:t>
            </w:r>
            <w:r w:rsidR="00486653" w:rsidRPr="000E63E3">
              <w:rPr>
                <w:rFonts w:ascii="Arial" w:hAnsi="Arial" w:cs="Arial"/>
                <w:bCs/>
                <w:sz w:val="20"/>
                <w:szCs w:val="20"/>
              </w:rPr>
              <w:t>and</w:t>
            </w:r>
            <w:r w:rsidR="00486653">
              <w:rPr>
                <w:rFonts w:ascii="Arial" w:hAnsi="Arial" w:cs="Arial"/>
                <w:b/>
                <w:bCs/>
                <w:sz w:val="20"/>
                <w:szCs w:val="20"/>
              </w:rPr>
              <w:t xml:space="preserve"> </w:t>
            </w:r>
            <w:r w:rsidR="00486653" w:rsidRPr="000E63E3">
              <w:rPr>
                <w:rFonts w:ascii="Arial" w:hAnsi="Arial" w:cs="Arial"/>
                <w:b/>
                <w:bCs/>
                <w:color w:val="984806" w:themeColor="accent6" w:themeShade="80"/>
                <w:sz w:val="20"/>
                <w:szCs w:val="20"/>
              </w:rPr>
              <w:t>Architect c4000</w:t>
            </w:r>
            <w:r w:rsidR="00486653"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Pr="00DC7421" w:rsidRDefault="00A87A35" w:rsidP="00A32948">
                  <w:pPr>
                    <w:pStyle w:val="CalVerTable"/>
                    <w:ind w:left="0" w:firstLine="0"/>
                    <w:rPr>
                      <w:rFonts w:ascii="Arial" w:hAnsi="Arial" w:cs="Arial"/>
                    </w:rPr>
                  </w:pPr>
                  <w:r>
                    <w:rPr>
                      <w:rFonts w:ascii="Arial" w:hAnsi="Arial" w:cs="Arial"/>
                    </w:rPr>
                    <w:t>3 - 125</w:t>
                  </w:r>
                  <w:r w:rsidR="008D3369" w:rsidRPr="00DC7421">
                    <w:rPr>
                      <w:rFonts w:ascii="Arial" w:hAnsi="Arial" w:cs="Arial"/>
                    </w:rPr>
                    <w:t xml:space="preserve"> </w:t>
                  </w:r>
                  <w:r w:rsidR="000E63E3">
                    <w:rPr>
                      <w:rFonts w:ascii="Arial" w:hAnsi="Arial" w:cs="Arial"/>
                    </w:rPr>
                    <w:t>m</w:t>
                  </w:r>
                  <w:r w:rsidR="008D3369" w:rsidRPr="00DC7421">
                    <w:rPr>
                      <w:rFonts w:ascii="Arial" w:hAnsi="Arial" w:cs="Arial"/>
                    </w:rPr>
                    <w:t>g/dL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Default="00440E37" w:rsidP="00440E37">
                  <w:pPr>
                    <w:pStyle w:val="BodyText"/>
                    <w:rPr>
                      <w:rFonts w:cs="Arial"/>
                      <w:szCs w:val="20"/>
                    </w:rPr>
                  </w:pPr>
                  <w:r w:rsidRPr="00DC7421">
                    <w:rPr>
                      <w:rFonts w:cs="Arial"/>
                      <w:szCs w:val="20"/>
                    </w:rPr>
                    <w:t>Abbott Alinity Multiconstituent Calibrator</w:t>
                  </w:r>
                </w:p>
                <w:p w:rsidR="0094479F" w:rsidRPr="00DC7421" w:rsidRDefault="0094479F" w:rsidP="00440E37">
                  <w:pPr>
                    <w:pStyle w:val="BodyText"/>
                    <w:rPr>
                      <w:rFonts w:cs="Arial"/>
                      <w:szCs w:val="20"/>
                    </w:rPr>
                  </w:pPr>
                  <w:r>
                    <w:rPr>
                      <w:rFonts w:cs="Arial"/>
                      <w:szCs w:val="20"/>
                    </w:rPr>
                    <w:t>Abbott Architect Multiconstituent Calibrator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Pr="00DC7421" w:rsidRDefault="00F50200" w:rsidP="001D1786">
                  <w:pPr>
                    <w:pStyle w:val="CalVerTable"/>
                    <w:ind w:left="0" w:firstLine="0"/>
                    <w:rPr>
                      <w:rFonts w:ascii="Arial" w:hAnsi="Arial" w:cs="Arial"/>
                    </w:rPr>
                  </w:pPr>
                  <w:r w:rsidRPr="00DC7421">
                    <w:rPr>
                      <w:rFonts w:ascii="Arial" w:hAnsi="Arial" w:cs="Arial"/>
                    </w:rPr>
                    <w:t xml:space="preserve"> </w:t>
                  </w:r>
                  <w:r w:rsidR="004A698D" w:rsidRPr="00DC7421">
                    <w:rPr>
                      <w:rFonts w:ascii="Arial" w:hAnsi="Arial" w:cs="Arial"/>
                    </w:rPr>
                    <w:t>See lot-specific assay set point documentation</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8D3369" w:rsidP="00A32948">
                  <w:pPr>
                    <w:pStyle w:val="CalVerTable"/>
                    <w:ind w:left="0" w:firstLine="0"/>
                    <w:rPr>
                      <w:rFonts w:ascii="Arial" w:hAnsi="Arial" w:cs="Arial"/>
                    </w:rPr>
                  </w:pPr>
                  <w:r w:rsidRPr="00DC7421">
                    <w:rPr>
                      <w:rFonts w:ascii="Arial" w:hAnsi="Arial" w:cs="Arial"/>
                    </w:rPr>
                    <w:t>2 levels</w:t>
                  </w:r>
                  <w:r w:rsidR="004A698D" w:rsidRPr="00DC7421">
                    <w:rPr>
                      <w:rFonts w:ascii="Arial" w:hAnsi="Arial" w:cs="Arial"/>
                    </w:rPr>
                    <w:t>, Linear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Pr="00DC7421" w:rsidRDefault="0094479F" w:rsidP="004A698D">
                  <w:pPr>
                    <w:pStyle w:val="Pa10"/>
                    <w:rPr>
                      <w:rFonts w:ascii="Arial" w:hAnsi="Arial" w:cs="Arial"/>
                      <w:sz w:val="20"/>
                      <w:szCs w:val="20"/>
                    </w:rPr>
                  </w:pPr>
                  <w:r>
                    <w:rPr>
                      <w:rFonts w:ascii="Arial" w:hAnsi="Arial" w:cs="Arial"/>
                      <w:sz w:val="20"/>
                      <w:szCs w:val="20"/>
                    </w:rPr>
                    <w:t>7</w:t>
                  </w:r>
                  <w:r w:rsidR="003E0A08" w:rsidRPr="00DC7421">
                    <w:rPr>
                      <w:rFonts w:ascii="Arial" w:hAnsi="Arial" w:cs="Arial"/>
                      <w:sz w:val="20"/>
                      <w:szCs w:val="20"/>
                    </w:rPr>
                    <w:t xml:space="preserve"> Days</w:t>
                  </w:r>
                </w:p>
              </w:tc>
            </w:tr>
            <w:tr w:rsidR="00F50200" w:rsidRPr="00DC7421" w:rsidTr="00F50200">
              <w:trPr>
                <w:trHeight w:val="1547"/>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 xml:space="preserve">AMR is verified twice annually using the Maine Standards GC1 Product # 1100ab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7132A9">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D3369" w:rsidRPr="00DC7421" w:rsidRDefault="008D3369" w:rsidP="008D3369">
            <w:pPr>
              <w:pStyle w:val="Header"/>
              <w:tabs>
                <w:tab w:val="clear" w:pos="4320"/>
                <w:tab w:val="clear" w:pos="8640"/>
              </w:tabs>
              <w:jc w:val="both"/>
              <w:rPr>
                <w:rFonts w:cs="Arial"/>
                <w:szCs w:val="20"/>
              </w:rPr>
            </w:pPr>
            <w:r w:rsidRPr="00DC7421">
              <w:rPr>
                <w:rFonts w:cs="Arial"/>
                <w:szCs w:val="20"/>
              </w:rPr>
              <w:t>Bio-Rad Liquichek</w:t>
            </w:r>
            <w:r w:rsidRPr="00DC7421">
              <w:rPr>
                <w:rFonts w:cs="Arial"/>
                <w:szCs w:val="20"/>
              </w:rPr>
              <w:sym w:font="Symbol" w:char="F0D4"/>
            </w:r>
            <w:r w:rsidRPr="00DC7421">
              <w:rPr>
                <w:rFonts w:cs="Arial"/>
                <w:szCs w:val="20"/>
              </w:rPr>
              <w:t xml:space="preserve"> Unassayed Chemistry Control (Human) Levels 1 &amp; 2</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8D3369" w:rsidRPr="00DC7421">
              <w:rPr>
                <w:rFonts w:eastAsia="HelveticaNeueLTPro-Cn" w:cs="Arial"/>
                <w:b/>
                <w:szCs w:val="20"/>
              </w:rPr>
              <w:t>6 days</w:t>
            </w:r>
            <w:r w:rsidR="0030640D" w:rsidRPr="00DC7421">
              <w:rPr>
                <w:rFonts w:eastAsia="HelveticaNeueLTPro-Cn" w:cs="Arial"/>
                <w:b/>
                <w:szCs w:val="20"/>
              </w:rPr>
              <w:t>.</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thawed but no longer than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gently swirl the contents until homogeneous with no visib</w:t>
            </w:r>
            <w:r w:rsidR="00250A09" w:rsidRPr="00DC7421">
              <w:rPr>
                <w:rFonts w:eastAsia="HelveticaNeueLTPro-Cn" w:cs="Arial"/>
                <w:szCs w:val="20"/>
              </w:rPr>
              <w:t>le signs of precipitate.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(insert hyperlink)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9"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rsidR="00DC7421" w:rsidRPr="00DC7421" w:rsidRDefault="00DC7421" w:rsidP="00DC7421">
            <w:pPr>
              <w:autoSpaceDE w:val="0"/>
              <w:autoSpaceDN w:val="0"/>
              <w:adjustRightInd w:val="0"/>
              <w:ind w:left="360"/>
              <w:jc w:val="both"/>
              <w:rPr>
                <w:rFonts w:cs="Arial"/>
                <w:color w:val="000000"/>
                <w:szCs w:val="20"/>
              </w:rPr>
            </w:pP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Interferences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2F5C68" w:rsidP="00824C10">
            <w:pPr>
              <w:autoSpaceDE w:val="0"/>
              <w:autoSpaceDN w:val="0"/>
              <w:adjustRightInd w:val="0"/>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2E718D"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Division </w:t>
            </w:r>
            <w:r w:rsidR="001C641E">
              <w:rPr>
                <w:rFonts w:eastAsia="HelenPro-Regular" w:cs="Arial"/>
                <w:szCs w:val="20"/>
              </w:rPr>
              <w:t>and</w:t>
            </w:r>
            <w:r w:rsidRPr="00DC7421">
              <w:rPr>
                <w:rFonts w:eastAsia="HelenPro-Regular" w:cs="Arial"/>
                <w:szCs w:val="20"/>
              </w:rPr>
              <w:t xml:space="preserve"> effects were assessed by Dose Respons</w:t>
            </w:r>
            <w:r w:rsidR="001C641E">
              <w:rPr>
                <w:rFonts w:eastAsia="HelenPro-Regular" w:cs="Arial"/>
                <w:szCs w:val="20"/>
              </w:rPr>
              <w:t>e and Paired Difference methods</w:t>
            </w:r>
            <w:r w:rsidRPr="00DC7421">
              <w:rPr>
                <w:rFonts w:eastAsia="HelenPro-Regular" w:cs="Arial"/>
                <w:szCs w:val="20"/>
              </w:rPr>
              <w:t xml:space="preserve"> at the medical decision level</w:t>
            </w:r>
            <w:r w:rsidR="001C641E">
              <w:rPr>
                <w:rFonts w:eastAsia="HelenPro-Regular" w:cs="Arial"/>
                <w:szCs w:val="20"/>
              </w:rPr>
              <w:t>s</w:t>
            </w:r>
            <w:r w:rsidRPr="00DC7421">
              <w:rPr>
                <w:rFonts w:eastAsia="HelenPro-Regular" w:cs="Arial"/>
                <w:szCs w:val="20"/>
              </w:rPr>
              <w:t xml:space="preserve"> of the analyte.</w:t>
            </w:r>
            <w:r w:rsidR="00250A09" w:rsidRPr="00DC7421">
              <w:rPr>
                <w:rFonts w:eastAsia="HelenPro-Regular" w:cs="Arial"/>
                <w:szCs w:val="20"/>
              </w:rPr>
              <w:t xml:space="preserve"> </w:t>
            </w:r>
            <w:r w:rsidRPr="00DC7421">
              <w:rPr>
                <w:rFonts w:cs="Arial"/>
                <w:szCs w:val="20"/>
              </w:rPr>
              <w:t xml:space="preserve"> </w:t>
            </w:r>
            <w:r w:rsidR="002E718D" w:rsidRPr="00DC7421">
              <w:rPr>
                <w:rFonts w:cs="Arial"/>
                <w:szCs w:val="20"/>
              </w:rPr>
              <w:t>Int</w:t>
            </w:r>
            <w:r w:rsidR="001C641E">
              <w:rPr>
                <w:rFonts w:cs="Arial"/>
                <w:szCs w:val="20"/>
              </w:rPr>
              <w:t xml:space="preserve">erference is less </w:t>
            </w:r>
            <w:r w:rsidR="0094479F">
              <w:rPr>
                <w:rFonts w:cs="Arial"/>
                <w:szCs w:val="20"/>
              </w:rPr>
              <w:t>than 5</w:t>
            </w:r>
            <w:r w:rsidR="00A87A35">
              <w:rPr>
                <w:rFonts w:cs="Arial"/>
                <w:szCs w:val="20"/>
              </w:rPr>
              <w:t>% at</w:t>
            </w:r>
            <w:r w:rsidR="002E718D" w:rsidRPr="00DC7421">
              <w:rPr>
                <w:rFonts w:cs="Arial"/>
                <w:szCs w:val="20"/>
              </w:rPr>
              <w:t>:</w:t>
            </w:r>
          </w:p>
          <w:p w:rsidR="002F5F18" w:rsidRPr="00DC7421" w:rsidRDefault="002F5F18" w:rsidP="00824C10">
            <w:pPr>
              <w:autoSpaceDE w:val="0"/>
              <w:autoSpaceDN w:val="0"/>
              <w:adjustRightInd w:val="0"/>
              <w:rPr>
                <w:rFonts w:cs="Arial"/>
                <w:szCs w:val="20"/>
              </w:rPr>
            </w:pPr>
          </w:p>
          <w:p w:rsidR="002E718D" w:rsidRPr="00DC7421" w:rsidRDefault="001C641E" w:rsidP="00655B61">
            <w:pPr>
              <w:numPr>
                <w:ilvl w:val="0"/>
                <w:numId w:val="20"/>
              </w:numPr>
              <w:jc w:val="both"/>
              <w:rPr>
                <w:rFonts w:cs="Arial"/>
                <w:szCs w:val="20"/>
              </w:rPr>
            </w:pPr>
            <w:r>
              <w:rPr>
                <w:rFonts w:cs="Arial"/>
                <w:szCs w:val="20"/>
              </w:rPr>
              <w:t>Hemoglobin: up to 2000</w:t>
            </w:r>
            <w:r w:rsidR="002E718D" w:rsidRPr="00DC7421">
              <w:rPr>
                <w:rFonts w:cs="Arial"/>
                <w:szCs w:val="20"/>
              </w:rPr>
              <w:t xml:space="preserve"> mg/dL</w:t>
            </w:r>
          </w:p>
          <w:p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Pr="00DC7421">
              <w:rPr>
                <w:rFonts w:cs="Arial"/>
                <w:szCs w:val="20"/>
              </w:rPr>
              <w:t>: up to 60 mg/dL</w:t>
            </w:r>
          </w:p>
          <w:p w:rsidR="002E718D" w:rsidRPr="00DC7421" w:rsidRDefault="00A87A35" w:rsidP="00655B61">
            <w:pPr>
              <w:numPr>
                <w:ilvl w:val="0"/>
                <w:numId w:val="20"/>
              </w:numPr>
              <w:jc w:val="both"/>
              <w:rPr>
                <w:rFonts w:cs="Arial"/>
                <w:szCs w:val="20"/>
              </w:rPr>
            </w:pPr>
            <w:r>
              <w:rPr>
                <w:rFonts w:cs="Arial"/>
                <w:szCs w:val="20"/>
              </w:rPr>
              <w:t>Triglycerides: up to 1</w:t>
            </w:r>
            <w:r w:rsidR="002F5F18">
              <w:rPr>
                <w:rFonts w:cs="Arial"/>
                <w:szCs w:val="20"/>
              </w:rPr>
              <w:t>00</w:t>
            </w:r>
            <w:r w:rsidR="001C641E">
              <w:rPr>
                <w:rFonts w:cs="Arial"/>
                <w:szCs w:val="20"/>
              </w:rPr>
              <w:t>0</w:t>
            </w:r>
            <w:r w:rsidR="002E718D" w:rsidRPr="00DC7421">
              <w:rPr>
                <w:rFonts w:cs="Arial"/>
                <w:szCs w:val="20"/>
              </w:rPr>
              <w:t xml:space="preserve"> mg/dL</w:t>
            </w:r>
          </w:p>
          <w:p w:rsidR="00E3253B" w:rsidRPr="00DC7421" w:rsidRDefault="00E3253B" w:rsidP="00CE16FB">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944DFA" w:rsidRDefault="00944DFA" w:rsidP="00D63C07">
            <w:pPr>
              <w:autoSpaceDE w:val="0"/>
              <w:autoSpaceDN w:val="0"/>
              <w:adjustRightInd w:val="0"/>
              <w:rPr>
                <w:rFonts w:eastAsia="HelenPro-Regular" w:cs="Arial"/>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63C07" w:rsidRPr="00DC7421" w:rsidRDefault="00D63C07" w:rsidP="00CE16FB">
            <w:pPr>
              <w:jc w:val="both"/>
              <w:rPr>
                <w:rFonts w:cs="Arial"/>
                <w:szCs w:val="20"/>
              </w:rPr>
            </w:pP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4"/>
            <w:tcBorders>
              <w:top w:val="single" w:sz="18" w:space="0" w:color="BFBFBF"/>
              <w:left w:val="nil"/>
              <w:bottom w:val="nil"/>
              <w:right w:val="nil"/>
            </w:tcBorders>
          </w:tcPr>
          <w:p w:rsidR="00E3253B" w:rsidRPr="00DC7421" w:rsidRDefault="0030640D" w:rsidP="0030640D">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tc>
      </w:tr>
      <w:tr w:rsidR="00E3253B" w:rsidTr="007132A9">
        <w:trPr>
          <w:tblHeader/>
        </w:trPr>
        <w:tc>
          <w:tcPr>
            <w:tcW w:w="1800" w:type="dxa"/>
            <w:tcBorders>
              <w:top w:val="nil"/>
              <w:left w:val="nil"/>
              <w:bottom w:val="nil"/>
              <w:right w:val="nil"/>
            </w:tcBorders>
          </w:tcPr>
          <w:p w:rsidR="00E3253B" w:rsidRPr="00C00B65" w:rsidRDefault="00250A09">
            <w:pPr>
              <w:rPr>
                <w:rFonts w:cs="Arial"/>
                <w:b/>
                <w:bCs/>
                <w:color w:val="0000FF"/>
                <w:szCs w:val="20"/>
              </w:rPr>
            </w:pPr>
            <w:r>
              <w:rPr>
                <w:rFonts w:cs="Arial"/>
                <w:b/>
                <w:bCs/>
                <w:color w:val="0000FF"/>
                <w:szCs w:val="20"/>
              </w:rPr>
              <w:t>Reference Intervals</w:t>
            </w:r>
          </w:p>
          <w:p w:rsidR="00E3253B" w:rsidRPr="00C00B65" w:rsidRDefault="00E3253B">
            <w:pPr>
              <w:rPr>
                <w:rFonts w:cs="Arial"/>
                <w:b/>
                <w:bCs/>
                <w:color w:val="0000FF"/>
                <w:szCs w:val="20"/>
              </w:rPr>
            </w:pPr>
          </w:p>
        </w:tc>
        <w:tc>
          <w:tcPr>
            <w:tcW w:w="9360" w:type="dxa"/>
            <w:gridSpan w:val="4"/>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2271D0">
                  <w:pPr>
                    <w:rPr>
                      <w:rFonts w:cs="Arial"/>
                      <w:szCs w:val="20"/>
                    </w:rPr>
                  </w:pPr>
                  <w:r>
                    <w:rPr>
                      <w:rFonts w:cs="Arial"/>
                      <w:szCs w:val="20"/>
                    </w:rPr>
                    <w:t>Urea</w:t>
                  </w:r>
                </w:p>
              </w:tc>
            </w:tr>
            <w:tr w:rsidR="006A2770" w:rsidRPr="00DC7421" w:rsidTr="00824C10">
              <w:trPr>
                <w:gridAfter w:val="1"/>
                <w:wAfter w:w="3978" w:type="dxa"/>
              </w:trPr>
              <w:tc>
                <w:tcPr>
                  <w:tcW w:w="2389" w:type="dxa"/>
                </w:tcPr>
                <w:p w:rsidR="006A2770" w:rsidRPr="00DC7421" w:rsidRDefault="00A87A35">
                  <w:pPr>
                    <w:rPr>
                      <w:rFonts w:cs="Arial"/>
                      <w:szCs w:val="20"/>
                    </w:rPr>
                  </w:pPr>
                  <w:r>
                    <w:rPr>
                      <w:rFonts w:cs="Arial"/>
                      <w:szCs w:val="20"/>
                    </w:rPr>
                    <w:t>0 – 14 days</w:t>
                  </w:r>
                </w:p>
              </w:tc>
              <w:tc>
                <w:tcPr>
                  <w:tcW w:w="2700" w:type="dxa"/>
                  <w:tcBorders>
                    <w:left w:val="single" w:sz="4" w:space="0" w:color="auto"/>
                    <w:right w:val="single" w:sz="4" w:space="0" w:color="auto"/>
                  </w:tcBorders>
                </w:tcPr>
                <w:p w:rsidR="006A2770" w:rsidRPr="00DC7421" w:rsidRDefault="00A87A35">
                  <w:pPr>
                    <w:rPr>
                      <w:rFonts w:cs="Arial"/>
                      <w:szCs w:val="20"/>
                    </w:rPr>
                  </w:pPr>
                  <w:r>
                    <w:rPr>
                      <w:rFonts w:cs="Arial"/>
                      <w:szCs w:val="20"/>
                    </w:rPr>
                    <w:t>2.8 – 23.0</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A87A35" w:rsidP="00824C10">
                  <w:pPr>
                    <w:rPr>
                      <w:rFonts w:cs="Arial"/>
                      <w:szCs w:val="20"/>
                    </w:rPr>
                  </w:pPr>
                  <w:r>
                    <w:rPr>
                      <w:rFonts w:cs="Arial"/>
                      <w:szCs w:val="20"/>
                    </w:rPr>
                    <w:t>15 - 364 days</w:t>
                  </w:r>
                </w:p>
              </w:tc>
              <w:tc>
                <w:tcPr>
                  <w:tcW w:w="2700" w:type="dxa"/>
                  <w:tcBorders>
                    <w:left w:val="single" w:sz="4" w:space="0" w:color="auto"/>
                    <w:right w:val="single" w:sz="4" w:space="0" w:color="auto"/>
                  </w:tcBorders>
                </w:tcPr>
                <w:p w:rsidR="00646E63" w:rsidRPr="00DC7421" w:rsidRDefault="00A87A35">
                  <w:pPr>
                    <w:rPr>
                      <w:rFonts w:cs="Arial"/>
                      <w:szCs w:val="20"/>
                    </w:rPr>
                  </w:pPr>
                  <w:r>
                    <w:rPr>
                      <w:rFonts w:cs="Arial"/>
                      <w:szCs w:val="20"/>
                    </w:rPr>
                    <w:t>3.4 – 16.8</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A87A35" w:rsidP="00A87A35">
                  <w:pPr>
                    <w:rPr>
                      <w:rFonts w:cs="Arial"/>
                      <w:szCs w:val="20"/>
                    </w:rPr>
                  </w:pPr>
                  <w:r>
                    <w:rPr>
                      <w:rFonts w:cs="Arial"/>
                      <w:szCs w:val="20"/>
                    </w:rPr>
                    <w:t>1 – 9 years</w:t>
                  </w:r>
                </w:p>
              </w:tc>
              <w:tc>
                <w:tcPr>
                  <w:tcW w:w="2700" w:type="dxa"/>
                  <w:tcBorders>
                    <w:left w:val="single" w:sz="4" w:space="0" w:color="auto"/>
                    <w:right w:val="single" w:sz="4" w:space="0" w:color="auto"/>
                  </w:tcBorders>
                </w:tcPr>
                <w:p w:rsidR="00646E63" w:rsidRPr="00DC7421" w:rsidRDefault="00A87A35" w:rsidP="00646E63">
                  <w:pPr>
                    <w:rPr>
                      <w:rFonts w:cs="Arial"/>
                      <w:szCs w:val="20"/>
                    </w:rPr>
                  </w:pPr>
                  <w:r>
                    <w:rPr>
                      <w:rFonts w:cs="Arial"/>
                      <w:szCs w:val="20"/>
                    </w:rPr>
                    <w:t>9.0 – 22.1</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A87A35">
                  <w:pPr>
                    <w:rPr>
                      <w:rFonts w:cs="Arial"/>
                      <w:szCs w:val="20"/>
                    </w:rPr>
                  </w:pPr>
                  <w:r>
                    <w:rPr>
                      <w:rFonts w:cs="Arial"/>
                      <w:szCs w:val="20"/>
                    </w:rPr>
                    <w:t>10 - 18 years</w:t>
                  </w:r>
                </w:p>
              </w:tc>
              <w:tc>
                <w:tcPr>
                  <w:tcW w:w="2700" w:type="dxa"/>
                  <w:tcBorders>
                    <w:left w:val="single" w:sz="4" w:space="0" w:color="auto"/>
                    <w:right w:val="single" w:sz="4" w:space="0" w:color="auto"/>
                  </w:tcBorders>
                </w:tcPr>
                <w:p w:rsidR="00646E63" w:rsidRPr="00DC7421" w:rsidRDefault="00A87A35" w:rsidP="00646E63">
                  <w:pPr>
                    <w:rPr>
                      <w:rFonts w:cs="Arial"/>
                      <w:szCs w:val="20"/>
                    </w:rPr>
                  </w:pPr>
                  <w:r>
                    <w:rPr>
                      <w:rFonts w:cs="Arial"/>
                      <w:szCs w:val="20"/>
                    </w:rPr>
                    <w:t>7.3 – 19.0</w:t>
                  </w:r>
                  <w:r w:rsidR="001F5D12">
                    <w:rPr>
                      <w:rFonts w:cs="Arial"/>
                      <w:szCs w:val="20"/>
                    </w:rPr>
                    <w:t xml:space="preserve"> mg/dL</w:t>
                  </w:r>
                </w:p>
              </w:tc>
            </w:tr>
            <w:tr w:rsidR="00646E63" w:rsidRPr="00DC7421" w:rsidTr="00824C10">
              <w:trPr>
                <w:gridAfter w:val="1"/>
                <w:wAfter w:w="3978" w:type="dxa"/>
              </w:trPr>
              <w:tc>
                <w:tcPr>
                  <w:tcW w:w="2389" w:type="dxa"/>
                </w:tcPr>
                <w:p w:rsidR="00646E63" w:rsidRPr="00DC7421" w:rsidRDefault="00A87A35" w:rsidP="001F5D12">
                  <w:pPr>
                    <w:rPr>
                      <w:rFonts w:cs="Arial"/>
                      <w:szCs w:val="20"/>
                    </w:rPr>
                  </w:pPr>
                  <w:r>
                    <w:rPr>
                      <w:rFonts w:cs="Arial"/>
                      <w:szCs w:val="20"/>
                    </w:rPr>
                    <w:t>19 – 49 years female</w:t>
                  </w:r>
                </w:p>
              </w:tc>
              <w:tc>
                <w:tcPr>
                  <w:tcW w:w="2700" w:type="dxa"/>
                  <w:tcBorders>
                    <w:left w:val="single" w:sz="4" w:space="0" w:color="auto"/>
                    <w:right w:val="single" w:sz="4" w:space="0" w:color="auto"/>
                  </w:tcBorders>
                </w:tcPr>
                <w:p w:rsidR="00646E63" w:rsidRPr="00DC7421" w:rsidRDefault="00A87A35" w:rsidP="00646E63">
                  <w:pPr>
                    <w:rPr>
                      <w:rFonts w:cs="Arial"/>
                      <w:szCs w:val="20"/>
                    </w:rPr>
                  </w:pPr>
                  <w:r>
                    <w:rPr>
                      <w:rFonts w:cs="Arial"/>
                      <w:szCs w:val="20"/>
                    </w:rPr>
                    <w:t>7.0 – 18.7</w:t>
                  </w:r>
                  <w:r w:rsidR="001F5D12">
                    <w:rPr>
                      <w:rFonts w:cs="Arial"/>
                      <w:szCs w:val="20"/>
                    </w:rPr>
                    <w:t xml:space="preserve"> mg/dL</w:t>
                  </w:r>
                </w:p>
              </w:tc>
            </w:tr>
            <w:tr w:rsidR="00824C10" w:rsidRPr="00DC7421" w:rsidTr="00824C10">
              <w:trPr>
                <w:gridAfter w:val="1"/>
                <w:wAfter w:w="3978" w:type="dxa"/>
              </w:trPr>
              <w:tc>
                <w:tcPr>
                  <w:tcW w:w="2389" w:type="dxa"/>
                </w:tcPr>
                <w:p w:rsidR="00824C10" w:rsidRPr="00DC7421" w:rsidRDefault="00A87A35">
                  <w:pPr>
                    <w:rPr>
                      <w:rFonts w:cs="Arial"/>
                      <w:szCs w:val="20"/>
                    </w:rPr>
                  </w:pPr>
                  <w:r>
                    <w:rPr>
                      <w:rFonts w:cs="Arial"/>
                      <w:szCs w:val="20"/>
                    </w:rPr>
                    <w:t>19 – 49 years male</w:t>
                  </w:r>
                </w:p>
              </w:tc>
              <w:tc>
                <w:tcPr>
                  <w:tcW w:w="2700" w:type="dxa"/>
                  <w:tcBorders>
                    <w:left w:val="single" w:sz="4" w:space="0" w:color="auto"/>
                    <w:right w:val="single" w:sz="4" w:space="0" w:color="auto"/>
                  </w:tcBorders>
                </w:tcPr>
                <w:p w:rsidR="00824C10" w:rsidRPr="00DC7421" w:rsidRDefault="00A87A35" w:rsidP="00646E63">
                  <w:pPr>
                    <w:rPr>
                      <w:rFonts w:cs="Arial"/>
                      <w:szCs w:val="20"/>
                    </w:rPr>
                  </w:pPr>
                  <w:r>
                    <w:rPr>
                      <w:rFonts w:cs="Arial"/>
                      <w:szCs w:val="20"/>
                    </w:rPr>
                    <w:t>8.9 – 20.6</w:t>
                  </w:r>
                  <w:r w:rsidR="001F5D12">
                    <w:rPr>
                      <w:rFonts w:cs="Arial"/>
                      <w:szCs w:val="20"/>
                    </w:rPr>
                    <w:t xml:space="preserve"> mg/dL</w:t>
                  </w:r>
                </w:p>
              </w:tc>
            </w:tr>
            <w:tr w:rsidR="002F5F18" w:rsidRPr="00DC7421" w:rsidTr="00824C10">
              <w:trPr>
                <w:gridAfter w:val="1"/>
                <w:wAfter w:w="3978" w:type="dxa"/>
              </w:trPr>
              <w:tc>
                <w:tcPr>
                  <w:tcW w:w="2389" w:type="dxa"/>
                </w:tcPr>
                <w:p w:rsidR="002F5F18" w:rsidRPr="00A87A35" w:rsidRDefault="00A87A35" w:rsidP="00A87A35">
                  <w:pPr>
                    <w:rPr>
                      <w:rFonts w:cs="Arial"/>
                      <w:szCs w:val="20"/>
                    </w:rPr>
                  </w:pPr>
                  <w:r>
                    <w:rPr>
                      <w:rFonts w:cs="Arial"/>
                      <w:szCs w:val="20"/>
                    </w:rPr>
                    <w:t>&gt;50 years female</w:t>
                  </w:r>
                </w:p>
              </w:tc>
              <w:tc>
                <w:tcPr>
                  <w:tcW w:w="2700" w:type="dxa"/>
                  <w:tcBorders>
                    <w:left w:val="single" w:sz="4" w:space="0" w:color="auto"/>
                    <w:right w:val="single" w:sz="4" w:space="0" w:color="auto"/>
                  </w:tcBorders>
                </w:tcPr>
                <w:p w:rsidR="002F5F18" w:rsidRDefault="00A87A35" w:rsidP="00646E63">
                  <w:pPr>
                    <w:rPr>
                      <w:rFonts w:cs="Arial"/>
                      <w:szCs w:val="20"/>
                    </w:rPr>
                  </w:pPr>
                  <w:r>
                    <w:rPr>
                      <w:rFonts w:cs="Arial"/>
                      <w:szCs w:val="20"/>
                    </w:rPr>
                    <w:t>9.8 – 20.1</w:t>
                  </w:r>
                  <w:r w:rsidR="002F5F18">
                    <w:rPr>
                      <w:rFonts w:cs="Arial"/>
                      <w:szCs w:val="20"/>
                    </w:rPr>
                    <w:t xml:space="preserve"> mg/dL</w:t>
                  </w:r>
                </w:p>
              </w:tc>
            </w:tr>
            <w:tr w:rsidR="00A87A35" w:rsidRPr="00DC7421" w:rsidTr="00824C10">
              <w:trPr>
                <w:gridAfter w:val="1"/>
                <w:wAfter w:w="3978" w:type="dxa"/>
              </w:trPr>
              <w:tc>
                <w:tcPr>
                  <w:tcW w:w="2389" w:type="dxa"/>
                </w:tcPr>
                <w:p w:rsidR="00A87A35" w:rsidRDefault="00A87A35" w:rsidP="00A87A35">
                  <w:pPr>
                    <w:rPr>
                      <w:rFonts w:cs="Arial"/>
                      <w:szCs w:val="20"/>
                    </w:rPr>
                  </w:pPr>
                  <w:r>
                    <w:rPr>
                      <w:rFonts w:cs="Arial"/>
                      <w:szCs w:val="20"/>
                    </w:rPr>
                    <w:t>&gt;50 years male</w:t>
                  </w:r>
                </w:p>
              </w:tc>
              <w:tc>
                <w:tcPr>
                  <w:tcW w:w="2700" w:type="dxa"/>
                  <w:tcBorders>
                    <w:left w:val="single" w:sz="4" w:space="0" w:color="auto"/>
                    <w:right w:val="single" w:sz="4" w:space="0" w:color="auto"/>
                  </w:tcBorders>
                </w:tcPr>
                <w:p w:rsidR="00A87A35" w:rsidRDefault="00A87A35" w:rsidP="00646E63">
                  <w:pPr>
                    <w:rPr>
                      <w:rFonts w:cs="Arial"/>
                      <w:szCs w:val="20"/>
                    </w:rPr>
                  </w:pPr>
                  <w:r>
                    <w:rPr>
                      <w:rFonts w:cs="Arial"/>
                      <w:szCs w:val="20"/>
                    </w:rPr>
                    <w:t>8.4 – 25.7 mg/dL</w:t>
                  </w:r>
                </w:p>
              </w:tc>
            </w:tr>
            <w:tr w:rsidR="00E3253B" w:rsidRPr="00DC7421" w:rsidTr="00646E63">
              <w:trPr>
                <w:cantSplit/>
              </w:trPr>
              <w:tc>
                <w:tcPr>
                  <w:tcW w:w="9067" w:type="dxa"/>
                  <w:gridSpan w:val="3"/>
                  <w:tcBorders>
                    <w:top w:val="nil"/>
                    <w:left w:val="nil"/>
                    <w:bottom w:val="nil"/>
                    <w:right w:val="nil"/>
                  </w:tcBorders>
                </w:tcPr>
                <w:p w:rsidR="00E3253B" w:rsidRPr="00DC7421" w:rsidRDefault="00E3253B" w:rsidP="00824C10">
                  <w:pPr>
                    <w:rPr>
                      <w:rFonts w:cs="Arial"/>
                      <w:szCs w:val="20"/>
                    </w:rPr>
                  </w:pPr>
                </w:p>
              </w:tc>
            </w:tr>
          </w:tbl>
          <w:p w:rsidR="00E3253B" w:rsidRPr="00DC7421" w:rsidRDefault="00E3253B">
            <w:pPr>
              <w:rPr>
                <w:rFonts w:cs="Arial"/>
                <w:szCs w:val="20"/>
              </w:rPr>
            </w:pPr>
          </w:p>
        </w:tc>
      </w:tr>
      <w:tr w:rsidR="00E3253B" w:rsidTr="007132A9">
        <w:trPr>
          <w:trHeight w:val="55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Critical Values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A87A35" w:rsidP="001C641E">
            <w:pPr>
              <w:pStyle w:val="Header"/>
              <w:tabs>
                <w:tab w:val="clear" w:pos="4320"/>
                <w:tab w:val="clear" w:pos="8640"/>
              </w:tabs>
              <w:rPr>
                <w:rFonts w:cs="Arial"/>
                <w:szCs w:val="20"/>
              </w:rPr>
            </w:pPr>
            <w:r>
              <w:rPr>
                <w:rFonts w:cs="Arial"/>
                <w:szCs w:val="20"/>
              </w:rPr>
              <w:t>None specified.</w:t>
            </w: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Limitations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 xml:space="preserve">n </w:t>
            </w:r>
            <w:r w:rsidR="002271D0">
              <w:rPr>
                <w:rFonts w:cs="Arial"/>
                <w:color w:val="000000"/>
                <w:szCs w:val="20"/>
              </w:rPr>
              <w:t>urea</w:t>
            </w:r>
            <w:r w:rsidR="002F5C68" w:rsidRPr="00DC7421">
              <w:rPr>
                <w:rFonts w:cs="Arial"/>
                <w:color w:val="000000"/>
                <w:szCs w:val="20"/>
              </w:rPr>
              <w:t xml:space="preserve">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0"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1"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944DFA" w:rsidRDefault="00944DFA">
            <w:pPr>
              <w:autoSpaceDE w:val="0"/>
              <w:autoSpaceDN w:val="0"/>
              <w:adjustRightInd w:val="0"/>
              <w:rPr>
                <w:rFonts w:cs="Arial"/>
                <w:bCs/>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C7421" w:rsidRPr="00DC7421" w:rsidRDefault="00DC7421">
            <w:pPr>
              <w:autoSpaceDE w:val="0"/>
              <w:autoSpaceDN w:val="0"/>
              <w:adjustRightInd w:val="0"/>
              <w:rPr>
                <w:rFonts w:cs="Arial"/>
                <w:bCs/>
                <w:szCs w:val="20"/>
              </w:rPr>
            </w:pP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Dilutions</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0E63E3" w:rsidRPr="00EC40A2" w:rsidTr="00EA319F">
              <w:tc>
                <w:tcPr>
                  <w:tcW w:w="9067" w:type="dxa"/>
                  <w:gridSpan w:val="2"/>
                </w:tcPr>
                <w:p w:rsidR="000E63E3" w:rsidRPr="00EC40A2" w:rsidRDefault="000E63E3" w:rsidP="000E63E3">
                  <w:pPr>
                    <w:pStyle w:val="Header"/>
                    <w:tabs>
                      <w:tab w:val="clear" w:pos="4320"/>
                      <w:tab w:val="clear" w:pos="8640"/>
                    </w:tabs>
                    <w:rPr>
                      <w:rFonts w:cs="Arial"/>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Auto Dilution:</w:t>
                  </w:r>
                </w:p>
              </w:tc>
              <w:tc>
                <w:tcPr>
                  <w:tcW w:w="7200" w:type="dxa"/>
                </w:tcPr>
                <w:p w:rsidR="000E63E3" w:rsidRPr="00EC40A2" w:rsidRDefault="002F5F18" w:rsidP="000E63E3">
                  <w:pPr>
                    <w:autoSpaceDE w:val="0"/>
                    <w:autoSpaceDN w:val="0"/>
                    <w:adjustRightInd w:val="0"/>
                    <w:rPr>
                      <w:rFonts w:cs="Arial"/>
                      <w:szCs w:val="20"/>
                    </w:rPr>
                  </w:pPr>
                  <w:r>
                    <w:rPr>
                      <w:rFonts w:cs="Arial"/>
                      <w:szCs w:val="20"/>
                    </w:rPr>
                    <w:t>1:5</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Maximum Manual Dilution:</w:t>
                  </w:r>
                </w:p>
              </w:tc>
              <w:tc>
                <w:tcPr>
                  <w:tcW w:w="7200" w:type="dxa"/>
                </w:tcPr>
                <w:p w:rsidR="000E63E3" w:rsidRPr="00EC40A2" w:rsidRDefault="002F5F18" w:rsidP="000E63E3">
                  <w:pPr>
                    <w:autoSpaceDE w:val="0"/>
                    <w:autoSpaceDN w:val="0"/>
                    <w:adjustRightInd w:val="0"/>
                    <w:rPr>
                      <w:rFonts w:cs="Arial"/>
                      <w:szCs w:val="20"/>
                    </w:rPr>
                  </w:pPr>
                  <w:r>
                    <w:rPr>
                      <w:rFonts w:cs="Arial"/>
                      <w:szCs w:val="20"/>
                    </w:rPr>
                    <w:t>Do not manually dilute</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Diluent:</w:t>
                  </w:r>
                </w:p>
              </w:tc>
              <w:tc>
                <w:tcPr>
                  <w:tcW w:w="7200" w:type="dxa"/>
                </w:tcPr>
                <w:p w:rsidR="000E63E3" w:rsidRPr="00EC40A2" w:rsidRDefault="002F5F18" w:rsidP="000E63E3">
                  <w:pPr>
                    <w:autoSpaceDE w:val="0"/>
                    <w:autoSpaceDN w:val="0"/>
                    <w:adjustRightInd w:val="0"/>
                    <w:rPr>
                      <w:rFonts w:cs="Arial"/>
                      <w:szCs w:val="20"/>
                    </w:rPr>
                  </w:pPr>
                  <w:r>
                    <w:rPr>
                      <w:rFonts w:cs="Arial"/>
                      <w:szCs w:val="20"/>
                    </w:rPr>
                    <w:t xml:space="preserve">Onboard </w:t>
                  </w:r>
                  <w:r w:rsidR="000E63E3" w:rsidRPr="00EC40A2">
                    <w:rPr>
                      <w:rFonts w:cs="Arial"/>
                      <w:szCs w:val="20"/>
                    </w:rPr>
                    <w:t>Saline</w:t>
                  </w:r>
                </w:p>
              </w:tc>
            </w:tr>
            <w:tr w:rsidR="000E63E3" w:rsidRPr="00EC40A2" w:rsidTr="00EA319F">
              <w:tc>
                <w:tcPr>
                  <w:tcW w:w="1867" w:type="dxa"/>
                </w:tcPr>
                <w:p w:rsidR="000E63E3" w:rsidRPr="00EC40A2" w:rsidRDefault="000E63E3" w:rsidP="000E63E3">
                  <w:pPr>
                    <w:rPr>
                      <w:rFonts w:cs="Arial"/>
                      <w:szCs w:val="20"/>
                    </w:rPr>
                  </w:pPr>
                  <w:r w:rsidRPr="00EC40A2">
                    <w:rPr>
                      <w:rFonts w:cs="Arial"/>
                      <w:szCs w:val="20"/>
                    </w:rPr>
                    <w:t>Manual Dilution:</w:t>
                  </w:r>
                </w:p>
              </w:tc>
              <w:tc>
                <w:tcPr>
                  <w:tcW w:w="7200" w:type="dxa"/>
                </w:tcPr>
                <w:p w:rsidR="000E63E3" w:rsidRPr="00EC40A2" w:rsidRDefault="000E63E3" w:rsidP="000E63E3">
                  <w:pPr>
                    <w:autoSpaceDE w:val="0"/>
                    <w:autoSpaceDN w:val="0"/>
                    <w:adjustRightInd w:val="0"/>
                    <w:rPr>
                      <w:rFonts w:eastAsia="HelenPro-Regular" w:cs="Arial"/>
                      <w:szCs w:val="20"/>
                    </w:rPr>
                  </w:pPr>
                  <w:r w:rsidRPr="00EC40A2">
                    <w:rPr>
                      <w:rFonts w:cs="Arial"/>
                      <w:szCs w:val="20"/>
                    </w:rPr>
                    <w:t xml:space="preserve">Follow Abbott </w:t>
                  </w:r>
                  <w:hyperlink r:id="rId12" w:history="1">
                    <w:r w:rsidRPr="00EC40A2">
                      <w:rPr>
                        <w:rStyle w:val="Hyperlink"/>
                        <w:rFonts w:cs="Arial"/>
                        <w:szCs w:val="20"/>
                      </w:rPr>
                      <w:t>Architect Operator’s Manual</w:t>
                    </w:r>
                  </w:hyperlink>
                  <w:r w:rsidRPr="00EC40A2">
                    <w:rPr>
                      <w:rFonts w:cs="Arial"/>
                      <w:szCs w:val="20"/>
                    </w:rPr>
                    <w:t xml:space="preserve"> or </w:t>
                  </w:r>
                  <w:hyperlink r:id="rId13" w:history="1">
                    <w:r w:rsidRPr="00EC40A2">
                      <w:rPr>
                        <w:rStyle w:val="Hyperlink"/>
                        <w:rFonts w:cs="Arial"/>
                        <w:szCs w:val="20"/>
                      </w:rPr>
                      <w:t>Alinity Operator’s Manual</w:t>
                    </w:r>
                  </w:hyperlink>
                  <w:r w:rsidRPr="00EC40A2">
                    <w:rPr>
                      <w:rFonts w:cs="Arial"/>
                      <w:szCs w:val="20"/>
                    </w:rPr>
                    <w:t xml:space="preserve"> inst</w:t>
                  </w:r>
                  <w:r w:rsidR="002F5F18">
                    <w:rPr>
                      <w:rFonts w:cs="Arial"/>
                      <w:szCs w:val="20"/>
                    </w:rPr>
                    <w:t xml:space="preserve">ructions for programming automated dilutions.  </w:t>
                  </w:r>
                  <w:r w:rsidRPr="00EC40A2">
                    <w:rPr>
                      <w:rFonts w:eastAsia="HelenPro-Regular" w:cs="Arial"/>
                      <w:szCs w:val="20"/>
                    </w:rPr>
                    <w:t xml:space="preserve">The system </w:t>
                  </w:r>
                  <w:r w:rsidR="002F5F18">
                    <w:rPr>
                      <w:rFonts w:eastAsia="HelenPro-Regular" w:cs="Arial"/>
                      <w:szCs w:val="20"/>
                    </w:rPr>
                    <w:t>will</w:t>
                  </w:r>
                  <w:r w:rsidRPr="00EC40A2">
                    <w:rPr>
                      <w:rFonts w:eastAsia="HelenPro-Regular" w:cs="Arial"/>
                      <w:szCs w:val="20"/>
                    </w:rPr>
                    <w:t xml:space="preserve"> automatically calculate the concentration of the sample and report the result.  </w:t>
                  </w:r>
                </w:p>
                <w:p w:rsidR="000E63E3" w:rsidRPr="00EC40A2" w:rsidRDefault="000E63E3" w:rsidP="000E63E3">
                  <w:pPr>
                    <w:autoSpaceDE w:val="0"/>
                    <w:autoSpaceDN w:val="0"/>
                    <w:adjustRightInd w:val="0"/>
                    <w:rPr>
                      <w:rFonts w:eastAsia="HelenPro-Regular" w:cs="Arial"/>
                      <w:szCs w:val="20"/>
                    </w:rPr>
                  </w:pPr>
                </w:p>
                <w:p w:rsidR="000E63E3" w:rsidRPr="00EC40A2" w:rsidRDefault="000E63E3" w:rsidP="002F5F18">
                  <w:pPr>
                    <w:autoSpaceDE w:val="0"/>
                    <w:autoSpaceDN w:val="0"/>
                    <w:adjustRightInd w:val="0"/>
                    <w:rPr>
                      <w:rFonts w:eastAsia="HelenPro-Regular" w:cs="Arial"/>
                      <w:szCs w:val="20"/>
                    </w:rPr>
                  </w:pPr>
                  <w:r w:rsidRPr="00EC40A2">
                    <w:rPr>
                      <w:rFonts w:eastAsia="HelenPro-Regular" w:cs="Arial"/>
                      <w:szCs w:val="20"/>
                    </w:rPr>
                    <w:t>If a diluted sample result is less than the lower valu</w:t>
                  </w:r>
                  <w:r w:rsidR="00A87A35">
                    <w:rPr>
                      <w:rFonts w:eastAsia="HelenPro-Regular" w:cs="Arial"/>
                      <w:szCs w:val="20"/>
                    </w:rPr>
                    <w:t>e of the measuring interval of 3</w:t>
                  </w:r>
                  <w:r>
                    <w:rPr>
                      <w:rFonts w:eastAsia="HelenPro-Regular" w:cs="Arial"/>
                      <w:szCs w:val="20"/>
                    </w:rPr>
                    <w:t xml:space="preserve"> mg/dL</w:t>
                  </w:r>
                  <w:r w:rsidRPr="00EC40A2">
                    <w:rPr>
                      <w:rFonts w:eastAsia="HelenPro-Regular" w:cs="Arial"/>
                      <w:szCs w:val="20"/>
                    </w:rPr>
                    <w:t>, do no</w:t>
                  </w:r>
                  <w:r w:rsidR="002F5F18">
                    <w:rPr>
                      <w:rFonts w:eastAsia="HelenPro-Regular" w:cs="Arial"/>
                      <w:szCs w:val="20"/>
                    </w:rPr>
                    <w:t>t report the result. Rerun and/or</w:t>
                  </w:r>
                  <w:r w:rsidRPr="00EC40A2">
                    <w:rPr>
                      <w:rFonts w:eastAsia="HelenPro-Regular" w:cs="Arial"/>
                      <w:szCs w:val="20"/>
                    </w:rPr>
                    <w:t xml:space="preserve"> invest</w:t>
                  </w:r>
                  <w:r w:rsidR="002F5F18">
                    <w:rPr>
                      <w:rFonts w:eastAsia="HelenPro-Regular" w:cs="Arial"/>
                      <w:szCs w:val="20"/>
                    </w:rPr>
                    <w:t>igate for other possible causes of error.</w:t>
                  </w:r>
                </w:p>
              </w:tc>
            </w:tr>
          </w:tbl>
          <w:p w:rsidR="00E3253B" w:rsidRPr="00DC7421" w:rsidRDefault="00E3253B">
            <w:pPr>
              <w:pStyle w:val="Bullets"/>
              <w:ind w:left="0" w:firstLine="0"/>
              <w:rPr>
                <w:rFonts w:ascii="Arial" w:hAnsi="Arial" w:cs="Arial"/>
              </w:rPr>
            </w:pPr>
          </w:p>
        </w:tc>
      </w:tr>
      <w:tr w:rsidR="00E3253B" w:rsidTr="007132A9">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Result Reporting</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2F5C68" w:rsidRPr="00DC7421" w:rsidRDefault="002F5C68" w:rsidP="002F5C68">
            <w:pPr>
              <w:pStyle w:val="Header"/>
              <w:tabs>
                <w:tab w:val="clear" w:pos="4320"/>
                <w:tab w:val="clear" w:pos="8640"/>
              </w:tabs>
              <w:rPr>
                <w:rFonts w:cs="Arial"/>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E3253B" w:rsidRPr="00DC7421" w:rsidRDefault="00A87A35">
            <w:pPr>
              <w:pStyle w:val="Header"/>
              <w:numPr>
                <w:ilvl w:val="0"/>
                <w:numId w:val="5"/>
              </w:numPr>
              <w:tabs>
                <w:tab w:val="clear" w:pos="4320"/>
                <w:tab w:val="clear" w:pos="8640"/>
              </w:tabs>
              <w:rPr>
                <w:rFonts w:cs="Arial"/>
                <w:szCs w:val="20"/>
              </w:rPr>
            </w:pPr>
            <w:r>
              <w:rPr>
                <w:rFonts w:cs="Arial"/>
                <w:szCs w:val="20"/>
              </w:rPr>
              <w:t>Results between 3 – 125</w:t>
            </w:r>
            <w:r w:rsidR="00E3253B" w:rsidRPr="00DC7421">
              <w:rPr>
                <w:rFonts w:cs="Arial"/>
                <w:szCs w:val="20"/>
              </w:rPr>
              <w:t xml:space="preserve"> </w:t>
            </w:r>
            <w:r w:rsidR="000E63E3">
              <w:rPr>
                <w:rFonts w:cs="Arial"/>
                <w:szCs w:val="20"/>
              </w:rPr>
              <w:t>m</w:t>
            </w:r>
            <w:r w:rsidR="00E3253B" w:rsidRPr="00DC7421">
              <w:rPr>
                <w:rFonts w:cs="Arial"/>
                <w:szCs w:val="20"/>
              </w:rPr>
              <w:t>g/dL without error messages are released</w:t>
            </w:r>
          </w:p>
          <w:p w:rsidR="00E3253B" w:rsidRDefault="00A87A35">
            <w:pPr>
              <w:numPr>
                <w:ilvl w:val="0"/>
                <w:numId w:val="5"/>
              </w:numPr>
              <w:rPr>
                <w:rFonts w:cs="Arial"/>
                <w:szCs w:val="20"/>
              </w:rPr>
            </w:pPr>
            <w:r>
              <w:rPr>
                <w:rFonts w:cs="Arial"/>
                <w:szCs w:val="20"/>
              </w:rPr>
              <w:t>Results &lt; 3</w:t>
            </w:r>
            <w:r w:rsidR="00E3253B" w:rsidRPr="00DC7421">
              <w:rPr>
                <w:rFonts w:cs="Arial"/>
                <w:szCs w:val="20"/>
              </w:rPr>
              <w:t xml:space="preserve"> </w:t>
            </w:r>
            <w:r w:rsidR="00914DEC">
              <w:rPr>
                <w:rFonts w:cs="Arial"/>
                <w:szCs w:val="20"/>
              </w:rPr>
              <w:t>m</w:t>
            </w:r>
            <w:r w:rsidR="00E3253B" w:rsidRPr="00DC7421">
              <w:rPr>
                <w:rFonts w:cs="Arial"/>
                <w:szCs w:val="20"/>
              </w:rPr>
              <w:t>g/dL without erro</w:t>
            </w:r>
            <w:r w:rsidR="00DC24D6" w:rsidRPr="00DC7421">
              <w:rPr>
                <w:rFonts w:cs="Arial"/>
                <w:szCs w:val="20"/>
              </w:rPr>
              <w:t xml:space="preserve">r </w:t>
            </w:r>
            <w:r w:rsidR="000E63E3">
              <w:rPr>
                <w:rFonts w:cs="Arial"/>
                <w:szCs w:val="20"/>
              </w:rPr>
              <w:t xml:space="preserve">messages </w:t>
            </w:r>
            <w:r w:rsidR="002F5F18">
              <w:rPr>
                <w:rFonts w:cs="Arial"/>
                <w:szCs w:val="20"/>
              </w:rPr>
              <w:t xml:space="preserve">are </w:t>
            </w:r>
            <w:r>
              <w:rPr>
                <w:rFonts w:cs="Arial"/>
                <w:szCs w:val="20"/>
              </w:rPr>
              <w:t>reported as &lt; 3</w:t>
            </w:r>
            <w:r w:rsidR="002F5F18">
              <w:rPr>
                <w:rFonts w:cs="Arial"/>
                <w:szCs w:val="20"/>
              </w:rPr>
              <w:t xml:space="preserve"> mg/dL</w:t>
            </w:r>
          </w:p>
          <w:p w:rsidR="001C641E" w:rsidRDefault="00A87A35">
            <w:pPr>
              <w:numPr>
                <w:ilvl w:val="0"/>
                <w:numId w:val="5"/>
              </w:numPr>
              <w:rPr>
                <w:rFonts w:cs="Arial"/>
                <w:szCs w:val="20"/>
              </w:rPr>
            </w:pPr>
            <w:r>
              <w:rPr>
                <w:rFonts w:cs="Arial"/>
                <w:szCs w:val="20"/>
              </w:rPr>
              <w:t>Results &gt; 125</w:t>
            </w:r>
            <w:r w:rsidR="001C641E">
              <w:rPr>
                <w:rFonts w:cs="Arial"/>
                <w:szCs w:val="20"/>
              </w:rPr>
              <w:t xml:space="preserve"> mg/dL</w:t>
            </w:r>
            <w:r w:rsidR="002F5F18">
              <w:rPr>
                <w:rFonts w:cs="Arial"/>
                <w:szCs w:val="20"/>
              </w:rPr>
              <w:t xml:space="preserve"> should be diluted using the onboard automated 1:5 dilution.  Release results without error messages following dilution.</w:t>
            </w:r>
          </w:p>
          <w:p w:rsidR="002F5F18" w:rsidRPr="00DC7421" w:rsidRDefault="00A87A35">
            <w:pPr>
              <w:numPr>
                <w:ilvl w:val="0"/>
                <w:numId w:val="5"/>
              </w:numPr>
              <w:rPr>
                <w:rFonts w:cs="Arial"/>
                <w:szCs w:val="20"/>
              </w:rPr>
            </w:pPr>
            <w:r>
              <w:rPr>
                <w:rFonts w:cs="Arial"/>
                <w:szCs w:val="20"/>
              </w:rPr>
              <w:t>Results &gt; 625</w:t>
            </w:r>
            <w:r w:rsidR="002F5F18">
              <w:rPr>
                <w:rFonts w:cs="Arial"/>
                <w:szCs w:val="20"/>
              </w:rPr>
              <w:t xml:space="preserve"> mg/dL following automate</w:t>
            </w:r>
            <w:r>
              <w:rPr>
                <w:rFonts w:cs="Arial"/>
                <w:szCs w:val="20"/>
              </w:rPr>
              <w:t>d dilution are reported as &gt; 625</w:t>
            </w:r>
            <w:r w:rsidR="002F5F18">
              <w:rPr>
                <w:rFonts w:cs="Arial"/>
                <w:szCs w:val="20"/>
              </w:rPr>
              <w:t xml:space="preserve"> mg/dL.</w:t>
            </w:r>
          </w:p>
          <w:p w:rsidR="00387FF5" w:rsidRPr="00DC7421" w:rsidRDefault="00387FF5" w:rsidP="00824C10">
            <w:pPr>
              <w:rPr>
                <w:rFonts w:cs="Arial"/>
                <w:szCs w:val="20"/>
              </w:rPr>
            </w:pPr>
          </w:p>
        </w:tc>
      </w:tr>
      <w:tr w:rsidR="00E3253B" w:rsidTr="007132A9">
        <w:trPr>
          <w:trHeight w:val="73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Specimen Storage</w:t>
            </w:r>
          </w:p>
          <w:p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7132A9">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w:t>
            </w:r>
            <w:r w:rsidR="002271D0">
              <w:rPr>
                <w:rFonts w:cs="Arial"/>
                <w:szCs w:val="20"/>
              </w:rPr>
              <w:t>Urea</w:t>
            </w:r>
            <w:r w:rsidRPr="00DC7421">
              <w:rPr>
                <w:rFonts w:cs="Arial"/>
                <w:szCs w:val="20"/>
              </w:rPr>
              <w:t xml:space="preserve"> Package Insert, Abbott Laboratories Diagnostics Division, Abbo</w:t>
            </w:r>
            <w:r w:rsidR="00A87A35">
              <w:rPr>
                <w:rFonts w:cs="Arial"/>
                <w:szCs w:val="20"/>
              </w:rPr>
              <w:t>tt Park, IL 60064, March</w:t>
            </w:r>
            <w:r w:rsidR="00370B0F">
              <w:rPr>
                <w:rFonts w:cs="Arial"/>
                <w:szCs w:val="20"/>
              </w:rPr>
              <w:t xml:space="preserve"> 2017</w:t>
            </w:r>
            <w:r w:rsidRPr="00DC7421">
              <w:rPr>
                <w:rFonts w:cs="Arial"/>
                <w:szCs w:val="20"/>
              </w:rPr>
              <w:t xml:space="preserve">. </w:t>
            </w:r>
          </w:p>
          <w:p w:rsidR="00693888" w:rsidRPr="00DC7421" w:rsidRDefault="00DC24D6" w:rsidP="00693888">
            <w:pPr>
              <w:numPr>
                <w:ilvl w:val="0"/>
                <w:numId w:val="33"/>
              </w:numPr>
              <w:rPr>
                <w:rFonts w:cs="Arial"/>
                <w:szCs w:val="20"/>
              </w:rPr>
            </w:pPr>
            <w:r w:rsidRPr="00DC7421">
              <w:rPr>
                <w:rFonts w:cs="Arial"/>
                <w:szCs w:val="20"/>
              </w:rPr>
              <w:t xml:space="preserve">Alinity </w:t>
            </w:r>
            <w:r w:rsidR="002271D0">
              <w:rPr>
                <w:rFonts w:cs="Arial"/>
                <w:szCs w:val="20"/>
              </w:rPr>
              <w:t>Urea</w:t>
            </w:r>
            <w:r w:rsidRPr="00DC7421">
              <w:rPr>
                <w:rFonts w:cs="Arial"/>
                <w:szCs w:val="20"/>
              </w:rPr>
              <w:t xml:space="preserve"> Package Insert, Abbott Laboratories Diagnostics Division, Abbo</w:t>
            </w:r>
            <w:r w:rsidR="001C641E">
              <w:rPr>
                <w:rFonts w:cs="Arial"/>
                <w:szCs w:val="20"/>
              </w:rPr>
              <w:t>tt Park, IL 60064, February 2018</w:t>
            </w:r>
            <w:r w:rsidRPr="00DC7421">
              <w:rPr>
                <w:rFonts w:cs="Arial"/>
                <w:szCs w:val="20"/>
              </w:rPr>
              <w:t xml:space="preserve">.  </w:t>
            </w:r>
          </w:p>
          <w:p w:rsidR="00693888" w:rsidRPr="00DC7421" w:rsidRDefault="00693888" w:rsidP="00F63DA5">
            <w:pPr>
              <w:numPr>
                <w:ilvl w:val="0"/>
                <w:numId w:val="33"/>
              </w:numPr>
              <w:rPr>
                <w:rFonts w:cs="Arial"/>
                <w:szCs w:val="20"/>
              </w:rPr>
            </w:pPr>
            <w:r w:rsidRPr="00DC7421">
              <w:rPr>
                <w:rFonts w:cs="Arial"/>
                <w:szCs w:val="20"/>
              </w:rPr>
              <w:t>Alinity c Multiconstituent Calibrator Package Insert, Abbott Laboratories Diagnostics Division, Abbott Park, IL 60064, December 2017.</w:t>
            </w:r>
          </w:p>
          <w:p w:rsidR="00693888" w:rsidRPr="00DC7421" w:rsidRDefault="00693888" w:rsidP="00F63DA5">
            <w:pPr>
              <w:numPr>
                <w:ilvl w:val="0"/>
                <w:numId w:val="33"/>
              </w:numPr>
              <w:rPr>
                <w:rFonts w:cs="Arial"/>
                <w:szCs w:val="20"/>
              </w:rPr>
            </w:pPr>
            <w:r w:rsidRPr="00DC7421">
              <w:rPr>
                <w:rFonts w:cs="Arial"/>
                <w:szCs w:val="20"/>
              </w:rPr>
              <w:t xml:space="preserve">Architect </w:t>
            </w:r>
            <w:r w:rsidR="00EF1271" w:rsidRPr="00DC7421">
              <w:rPr>
                <w:rFonts w:cs="Arial"/>
                <w:szCs w:val="20"/>
              </w:rPr>
              <w:t>Multiconstituent</w:t>
            </w:r>
            <w:r w:rsidRPr="00DC7421">
              <w:rPr>
                <w:rFonts w:cs="Arial"/>
                <w:szCs w:val="20"/>
              </w:rPr>
              <w:t xml:space="preserve"> Calibrator Package Insert, Abbott Laboratories Diagnostics Division, Abbott Park, IL 60064, August 2017.</w:t>
            </w:r>
          </w:p>
          <w:p w:rsidR="00E3253B" w:rsidRPr="00A87A35" w:rsidRDefault="003A65AD" w:rsidP="00F63DA5">
            <w:pPr>
              <w:numPr>
                <w:ilvl w:val="0"/>
                <w:numId w:val="33"/>
              </w:numPr>
              <w:rPr>
                <w:rFonts w:cs="Arial"/>
                <w:szCs w:val="20"/>
              </w:rPr>
            </w:pPr>
            <w:r w:rsidRPr="00DC7421">
              <w:rPr>
                <w:rFonts w:cs="Arial"/>
                <w:bCs/>
                <w:szCs w:val="20"/>
              </w:rPr>
              <w:t>Bio-Rad</w:t>
            </w:r>
            <w:r w:rsidR="00E3253B" w:rsidRPr="00DC7421">
              <w:rPr>
                <w:rFonts w:cs="Arial"/>
                <w:bCs/>
                <w:szCs w:val="20"/>
              </w:rPr>
              <w:t xml:space="preserve"> Liquichek Unassayed Chemistry Control Product Insert, Bio-Rad</w:t>
            </w:r>
            <w:r w:rsidR="009C4BDA" w:rsidRPr="00DC7421">
              <w:rPr>
                <w:rFonts w:cs="Arial"/>
                <w:bCs/>
                <w:szCs w:val="20"/>
              </w:rPr>
              <w:t xml:space="preserve"> Laboratories, Irvine, CA 92618</w:t>
            </w:r>
          </w:p>
          <w:p w:rsidR="00A87A35" w:rsidRPr="00DC7421" w:rsidRDefault="00A87A35" w:rsidP="00A87A35">
            <w:pPr>
              <w:numPr>
                <w:ilvl w:val="0"/>
                <w:numId w:val="33"/>
              </w:numPr>
              <w:rPr>
                <w:rFonts w:cs="Arial"/>
                <w:szCs w:val="20"/>
              </w:rPr>
            </w:pPr>
            <w:r w:rsidRPr="00DC7421">
              <w:rPr>
                <w:rFonts w:cs="Arial"/>
                <w:szCs w:val="20"/>
                <w:lang w:val="en"/>
              </w:rPr>
              <w:t>CALIPER pediatric reference range database. (2019). Retrieved October 3, 2019, from https://caliper.research.sickkids.ca/#/</w:t>
            </w:r>
          </w:p>
          <w:p w:rsidR="00A87A35" w:rsidRPr="00DC7421" w:rsidRDefault="00A87A35" w:rsidP="00A87A35">
            <w:pPr>
              <w:ind w:left="360"/>
              <w:rPr>
                <w:rFonts w:cs="Arial"/>
                <w:szCs w:val="20"/>
              </w:rPr>
            </w:pPr>
          </w:p>
          <w:p w:rsidR="00E3253B" w:rsidRPr="00DC7421" w:rsidRDefault="00E3253B" w:rsidP="00F63DA5">
            <w:pPr>
              <w:rPr>
                <w:rFonts w:cs="Arial"/>
                <w:szCs w:val="20"/>
              </w:rPr>
            </w:pPr>
          </w:p>
        </w:tc>
      </w:tr>
      <w:tr w:rsidR="00F50200"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24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153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c>
          <w:tcPr>
            <w:tcW w:w="4410" w:type="dxa"/>
            <w:tcBorders>
              <w:top w:val="single" w:sz="4" w:space="0" w:color="auto"/>
              <w:left w:val="single" w:sz="4" w:space="0" w:color="auto"/>
              <w:bottom w:val="single" w:sz="4" w:space="0" w:color="auto"/>
              <w:right w:val="single" w:sz="4" w:space="0" w:color="auto"/>
            </w:tcBorders>
          </w:tcPr>
          <w:p w:rsidR="00F50200" w:rsidRPr="0030640D" w:rsidRDefault="00F50200">
            <w:pPr>
              <w:rPr>
                <w:rFonts w:cs="Arial"/>
                <w:iCs/>
                <w:sz w:val="24"/>
              </w:rPr>
            </w:pPr>
          </w:p>
        </w:tc>
      </w:tr>
    </w:tbl>
    <w:p w:rsidR="00E3253B" w:rsidRPr="00BC1DCC" w:rsidRDefault="00E3253B" w:rsidP="007132A9">
      <w:pPr>
        <w:rPr>
          <w:rFonts w:cs="Arial"/>
        </w:rPr>
      </w:pPr>
    </w:p>
    <w:sectPr w:rsidR="00E3253B" w:rsidRPr="00BC1DCC" w:rsidSect="008F2C66">
      <w:headerReference w:type="default" r:id="rId14"/>
      <w:footerReference w:type="default" r:id="rId15"/>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6424CE">
      <w:rPr>
        <w:noProof/>
        <w:sz w:val="18"/>
      </w:rPr>
      <w:t>1</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6424CE">
      <w:rPr>
        <w:noProof/>
        <w:sz w:val="18"/>
      </w:rPr>
      <w:t>5</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5A140B">
      <w:rPr>
        <w:rFonts w:cs="Arial"/>
      </w:rPr>
      <w:t>CH 6.91</w:t>
    </w:r>
    <w:r w:rsidR="00093527">
      <w:rPr>
        <w:rFonts w:cs="Arial"/>
      </w:rPr>
      <w:t>1</w:t>
    </w:r>
    <w:r w:rsidR="002271D0">
      <w:rPr>
        <w:rFonts w:cs="Arial"/>
      </w:rPr>
      <w:t xml:space="preserve"> Urea Nitrogen</w:t>
    </w:r>
    <w:r w:rsidR="00F236AF">
      <w:rPr>
        <w:rFonts w:cs="Arial"/>
      </w:rPr>
      <w:t xml:space="preserve"> </w:t>
    </w:r>
    <w:r w:rsidR="00E55C7B">
      <w:rPr>
        <w:rFonts w:cs="Arial"/>
      </w:rPr>
      <w:t xml:space="preserve">on Abbott </w:t>
    </w:r>
  </w:p>
  <w:p w:rsidR="00B13C1A" w:rsidRDefault="00E55C7B">
    <w:pPr>
      <w:ind w:left="-1260" w:right="-1260"/>
      <w:rPr>
        <w:rFonts w:cs="Arial"/>
      </w:rPr>
    </w:pPr>
    <w:r>
      <w:rPr>
        <w:rFonts w:cs="Arial"/>
      </w:rPr>
      <w:t>Version 1</w:t>
    </w:r>
  </w:p>
  <w:p w:rsidR="00B13C1A" w:rsidRDefault="00B13C1A">
    <w:pPr>
      <w:ind w:left="-1260" w:right="-1260"/>
      <w:rPr>
        <w:rFonts w:cs="Arial"/>
      </w:rPr>
    </w:pPr>
    <w:r>
      <w:rPr>
        <w:rFonts w:cs="Arial"/>
      </w:rPr>
      <w:t xml:space="preserve">Effective Date: </w:t>
    </w:r>
    <w:r w:rsidR="002C29CB">
      <w:rPr>
        <w:rFonts w:cs="Arial"/>
      </w:rPr>
      <w:t>October 15</w:t>
    </w:r>
    <w:r w:rsidR="00E55C7B">
      <w:rPr>
        <w:rFonts w:cs="Arial"/>
      </w:rPr>
      <w:t>, 2019</w:t>
    </w:r>
  </w:p>
  <w:p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3D0809"/>
    <w:multiLevelType w:val="hybridMultilevel"/>
    <w:tmpl w:val="867EFA7C"/>
    <w:lvl w:ilvl="0" w:tplc="55844146">
      <w:start w:val="8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4"/>
  </w:num>
  <w:num w:numId="3">
    <w:abstractNumId w:val="29"/>
  </w:num>
  <w:num w:numId="4">
    <w:abstractNumId w:val="33"/>
  </w:num>
  <w:num w:numId="5">
    <w:abstractNumId w:val="6"/>
  </w:num>
  <w:num w:numId="6">
    <w:abstractNumId w:val="10"/>
  </w:num>
  <w:num w:numId="7">
    <w:abstractNumId w:val="25"/>
  </w:num>
  <w:num w:numId="8">
    <w:abstractNumId w:val="21"/>
  </w:num>
  <w:num w:numId="9">
    <w:abstractNumId w:val="13"/>
  </w:num>
  <w:num w:numId="10">
    <w:abstractNumId w:val="3"/>
  </w:num>
  <w:num w:numId="11">
    <w:abstractNumId w:val="26"/>
  </w:num>
  <w:num w:numId="12">
    <w:abstractNumId w:val="9"/>
  </w:num>
  <w:num w:numId="13">
    <w:abstractNumId w:val="27"/>
  </w:num>
  <w:num w:numId="14">
    <w:abstractNumId w:val="35"/>
  </w:num>
  <w:num w:numId="15">
    <w:abstractNumId w:val="19"/>
  </w:num>
  <w:num w:numId="16">
    <w:abstractNumId w:val="1"/>
  </w:num>
  <w:num w:numId="17">
    <w:abstractNumId w:val="38"/>
  </w:num>
  <w:num w:numId="18">
    <w:abstractNumId w:val="11"/>
  </w:num>
  <w:num w:numId="19">
    <w:abstractNumId w:val="18"/>
  </w:num>
  <w:num w:numId="20">
    <w:abstractNumId w:val="24"/>
  </w:num>
  <w:num w:numId="21">
    <w:abstractNumId w:val="31"/>
  </w:num>
  <w:num w:numId="22">
    <w:abstractNumId w:val="36"/>
  </w:num>
  <w:num w:numId="23">
    <w:abstractNumId w:val="23"/>
  </w:num>
  <w:num w:numId="24">
    <w:abstractNumId w:val="7"/>
  </w:num>
  <w:num w:numId="25">
    <w:abstractNumId w:val="17"/>
  </w:num>
  <w:num w:numId="26">
    <w:abstractNumId w:val="12"/>
  </w:num>
  <w:num w:numId="27">
    <w:abstractNumId w:val="8"/>
  </w:num>
  <w:num w:numId="28">
    <w:abstractNumId w:val="22"/>
  </w:num>
  <w:num w:numId="29">
    <w:abstractNumId w:val="30"/>
  </w:num>
  <w:num w:numId="30">
    <w:abstractNumId w:val="28"/>
  </w:num>
  <w:num w:numId="31">
    <w:abstractNumId w:val="20"/>
  </w:num>
  <w:num w:numId="32">
    <w:abstractNumId w:val="16"/>
  </w:num>
  <w:num w:numId="33">
    <w:abstractNumId w:val="5"/>
  </w:num>
  <w:num w:numId="34">
    <w:abstractNumId w:val="34"/>
  </w:num>
  <w:num w:numId="35">
    <w:abstractNumId w:val="32"/>
  </w:num>
  <w:num w:numId="36">
    <w:abstractNumId w:val="15"/>
  </w:num>
  <w:num w:numId="37">
    <w:abstractNumId w:val="37"/>
  </w:num>
  <w:num w:numId="38">
    <w:abstractNumId w:val="0"/>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93527"/>
    <w:rsid w:val="000A3E5A"/>
    <w:rsid w:val="000E63E3"/>
    <w:rsid w:val="001102B2"/>
    <w:rsid w:val="001241E4"/>
    <w:rsid w:val="001B58ED"/>
    <w:rsid w:val="001C1CFA"/>
    <w:rsid w:val="001C641E"/>
    <w:rsid w:val="001D1786"/>
    <w:rsid w:val="001F5D12"/>
    <w:rsid w:val="00201CAA"/>
    <w:rsid w:val="002271D0"/>
    <w:rsid w:val="00250A09"/>
    <w:rsid w:val="00252F1D"/>
    <w:rsid w:val="002C12BF"/>
    <w:rsid w:val="002C29CB"/>
    <w:rsid w:val="002E718D"/>
    <w:rsid w:val="002F5C68"/>
    <w:rsid w:val="002F5F18"/>
    <w:rsid w:val="0030640D"/>
    <w:rsid w:val="00370B0F"/>
    <w:rsid w:val="00387FF5"/>
    <w:rsid w:val="003A65AD"/>
    <w:rsid w:val="003D5BD7"/>
    <w:rsid w:val="003D713F"/>
    <w:rsid w:val="003E0A08"/>
    <w:rsid w:val="003E168B"/>
    <w:rsid w:val="00420763"/>
    <w:rsid w:val="00440E37"/>
    <w:rsid w:val="004735E9"/>
    <w:rsid w:val="00486653"/>
    <w:rsid w:val="004A698D"/>
    <w:rsid w:val="004B5D63"/>
    <w:rsid w:val="004C14CE"/>
    <w:rsid w:val="005665A7"/>
    <w:rsid w:val="005A140B"/>
    <w:rsid w:val="005A7373"/>
    <w:rsid w:val="005C6F36"/>
    <w:rsid w:val="006424CE"/>
    <w:rsid w:val="00646E63"/>
    <w:rsid w:val="00655B61"/>
    <w:rsid w:val="00685D61"/>
    <w:rsid w:val="00693888"/>
    <w:rsid w:val="006A26B2"/>
    <w:rsid w:val="006A2770"/>
    <w:rsid w:val="006A5A84"/>
    <w:rsid w:val="007132A9"/>
    <w:rsid w:val="00747868"/>
    <w:rsid w:val="007B1809"/>
    <w:rsid w:val="007B2A3E"/>
    <w:rsid w:val="008044BA"/>
    <w:rsid w:val="00824C10"/>
    <w:rsid w:val="008A71A5"/>
    <w:rsid w:val="008D3369"/>
    <w:rsid w:val="008F2C66"/>
    <w:rsid w:val="00902B7B"/>
    <w:rsid w:val="00914DEC"/>
    <w:rsid w:val="0094479F"/>
    <w:rsid w:val="00944DFA"/>
    <w:rsid w:val="00950E15"/>
    <w:rsid w:val="00963DB9"/>
    <w:rsid w:val="00984816"/>
    <w:rsid w:val="009A1A3D"/>
    <w:rsid w:val="009C08FA"/>
    <w:rsid w:val="009C4BDA"/>
    <w:rsid w:val="009D085B"/>
    <w:rsid w:val="009F5F31"/>
    <w:rsid w:val="00A002D3"/>
    <w:rsid w:val="00A23FFE"/>
    <w:rsid w:val="00A32948"/>
    <w:rsid w:val="00A56318"/>
    <w:rsid w:val="00A64AE8"/>
    <w:rsid w:val="00A87A35"/>
    <w:rsid w:val="00AA5656"/>
    <w:rsid w:val="00AB7F16"/>
    <w:rsid w:val="00AF1198"/>
    <w:rsid w:val="00AF56A8"/>
    <w:rsid w:val="00B01603"/>
    <w:rsid w:val="00B067D8"/>
    <w:rsid w:val="00B109AB"/>
    <w:rsid w:val="00B11633"/>
    <w:rsid w:val="00B13C1A"/>
    <w:rsid w:val="00B2749D"/>
    <w:rsid w:val="00BC1DCC"/>
    <w:rsid w:val="00BD0E0F"/>
    <w:rsid w:val="00BD3CED"/>
    <w:rsid w:val="00C00B65"/>
    <w:rsid w:val="00CE16FB"/>
    <w:rsid w:val="00CE4C73"/>
    <w:rsid w:val="00CF08A6"/>
    <w:rsid w:val="00D271B1"/>
    <w:rsid w:val="00D63C07"/>
    <w:rsid w:val="00D75850"/>
    <w:rsid w:val="00D955F6"/>
    <w:rsid w:val="00DC0632"/>
    <w:rsid w:val="00DC24D6"/>
    <w:rsid w:val="00DC7421"/>
    <w:rsid w:val="00DF5549"/>
    <w:rsid w:val="00E049CF"/>
    <w:rsid w:val="00E246BA"/>
    <w:rsid w:val="00E3253B"/>
    <w:rsid w:val="00E55C7B"/>
    <w:rsid w:val="00E93074"/>
    <w:rsid w:val="00EB4B6C"/>
    <w:rsid w:val="00EE145B"/>
    <w:rsid w:val="00EE57E1"/>
    <w:rsid w:val="00EF1271"/>
    <w:rsid w:val="00EF1741"/>
    <w:rsid w:val="00F0405E"/>
    <w:rsid w:val="00F236AF"/>
    <w:rsid w:val="00F50200"/>
    <w:rsid w:val="00F6060A"/>
    <w:rsid w:val="00F63DA5"/>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hyperlink" Target="https://starnet.childrenshc.org/References/labsop/chem/operator/alinity-ci-series-operations-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operator/abbott-architect-operations-manu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A8A07-84BC-4367-8FF7-37668D18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1883</Words>
  <Characters>11539</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13396</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4</cp:revision>
  <cp:lastPrinted>2011-06-16T20:29:00Z</cp:lastPrinted>
  <dcterms:created xsi:type="dcterms:W3CDTF">2019-10-11T16:05:00Z</dcterms:created>
  <dcterms:modified xsi:type="dcterms:W3CDTF">2019-10-11T16:07:00Z</dcterms:modified>
</cp:coreProperties>
</file>