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
        <w:gridCol w:w="702"/>
        <w:gridCol w:w="648"/>
        <w:gridCol w:w="1620"/>
        <w:gridCol w:w="720"/>
        <w:gridCol w:w="1800"/>
        <w:gridCol w:w="3600"/>
        <w:gridCol w:w="180"/>
      </w:tblGrid>
      <w:tr w:rsidR="002B3054" w:rsidTr="00865008">
        <w:trPr>
          <w:cantSplit/>
          <w:tblHeader/>
        </w:trPr>
        <w:tc>
          <w:tcPr>
            <w:tcW w:w="11160" w:type="dxa"/>
            <w:gridSpan w:val="9"/>
          </w:tcPr>
          <w:p w:rsidR="002B3054" w:rsidRDefault="002B3054" w:rsidP="00865008">
            <w:pPr>
              <w:pStyle w:val="Header"/>
              <w:tabs>
                <w:tab w:val="clear" w:pos="4320"/>
                <w:tab w:val="clear" w:pos="8640"/>
                <w:tab w:val="left" w:pos="11520"/>
              </w:tabs>
              <w:jc w:val="both"/>
              <w:rPr>
                <w:rFonts w:cs="Arial"/>
                <w:color w:val="0000FF"/>
              </w:rPr>
            </w:pPr>
            <w:r>
              <w:rPr>
                <w:rFonts w:cs="Arial"/>
                <w:color w:val="0000FF"/>
                <w:sz w:val="36"/>
              </w:rPr>
              <w:t>ß</w:t>
            </w:r>
            <w:r>
              <w:rPr>
                <w:rFonts w:cs="Arial"/>
                <w:b/>
                <w:bCs/>
                <w:color w:val="0000FF"/>
                <w:sz w:val="36"/>
              </w:rPr>
              <w:t xml:space="preserve"> Hy</w:t>
            </w:r>
            <w:r w:rsidR="009A15E0">
              <w:rPr>
                <w:rFonts w:cs="Arial"/>
                <w:b/>
                <w:bCs/>
                <w:color w:val="0000FF"/>
                <w:sz w:val="36"/>
              </w:rPr>
              <w:t>droxybutyrate</w:t>
            </w:r>
          </w:p>
        </w:tc>
      </w:tr>
      <w:tr w:rsidR="002B3054" w:rsidTr="00865008">
        <w:trPr>
          <w:tblHeader/>
        </w:trPr>
        <w:tc>
          <w:tcPr>
            <w:tcW w:w="1890" w:type="dxa"/>
            <w:gridSpan w:val="2"/>
            <w:vAlign w:val="center"/>
          </w:tcPr>
          <w:p w:rsidR="002B3054" w:rsidRDefault="002B3054">
            <w:pPr>
              <w:rPr>
                <w:rFonts w:cs="Arial"/>
                <w:b/>
                <w:bCs/>
                <w:color w:val="0000FF"/>
              </w:rPr>
            </w:pPr>
            <w:r>
              <w:rPr>
                <w:rFonts w:cs="Arial"/>
                <w:b/>
                <w:bCs/>
                <w:color w:val="0000FF"/>
              </w:rPr>
              <w:t>Purpose</w:t>
            </w:r>
          </w:p>
        </w:tc>
        <w:tc>
          <w:tcPr>
            <w:tcW w:w="9270" w:type="dxa"/>
            <w:gridSpan w:val="7"/>
            <w:tcBorders>
              <w:top w:val="single" w:sz="18" w:space="0" w:color="A6A6A6"/>
              <w:bottom w:val="single" w:sz="18" w:space="0" w:color="A6A6A6"/>
            </w:tcBorders>
            <w:vAlign w:val="center"/>
          </w:tcPr>
          <w:p w:rsidR="002B3054" w:rsidRDefault="002B3054">
            <w:pPr>
              <w:rPr>
                <w:rFonts w:cs="Arial"/>
              </w:rPr>
            </w:pPr>
            <w:r>
              <w:rPr>
                <w:rFonts w:cs="Arial"/>
              </w:rPr>
              <w:t>This procedure provides instructions for performing ß -HYDROXYBUTYRATE PROCEDURE on serum or plasma in Children’s Laboratory.</w:t>
            </w:r>
          </w:p>
          <w:p w:rsidR="00865008" w:rsidRDefault="00865008">
            <w:pPr>
              <w:rPr>
                <w:rFonts w:cs="Arial"/>
              </w:rPr>
            </w:pPr>
          </w:p>
        </w:tc>
      </w:tr>
      <w:tr w:rsidR="002B3054" w:rsidTr="00865008">
        <w:trPr>
          <w:tblHeader/>
        </w:trPr>
        <w:tc>
          <w:tcPr>
            <w:tcW w:w="1890" w:type="dxa"/>
            <w:gridSpan w:val="2"/>
            <w:vAlign w:val="center"/>
          </w:tcPr>
          <w:p w:rsidR="002B3054" w:rsidRDefault="002B3054">
            <w:pPr>
              <w:rPr>
                <w:rFonts w:cs="Arial"/>
                <w:b/>
                <w:bCs/>
                <w:color w:val="0000FF"/>
              </w:rPr>
            </w:pPr>
            <w:r>
              <w:rPr>
                <w:rFonts w:cs="Arial"/>
                <w:b/>
                <w:bCs/>
                <w:color w:val="0000FF"/>
              </w:rPr>
              <w:t>Policy Statements</w:t>
            </w:r>
          </w:p>
        </w:tc>
        <w:tc>
          <w:tcPr>
            <w:tcW w:w="9270" w:type="dxa"/>
            <w:gridSpan w:val="7"/>
            <w:tcBorders>
              <w:top w:val="single" w:sz="18" w:space="0" w:color="A6A6A6"/>
              <w:bottom w:val="single" w:sz="18" w:space="0" w:color="A6A6A6"/>
            </w:tcBorders>
            <w:vAlign w:val="center"/>
          </w:tcPr>
          <w:p w:rsidR="002B3054" w:rsidRDefault="002B3054" w:rsidP="00F9467E">
            <w:pPr>
              <w:pStyle w:val="Header"/>
              <w:numPr>
                <w:ilvl w:val="0"/>
                <w:numId w:val="8"/>
              </w:numPr>
              <w:tabs>
                <w:tab w:val="clear" w:pos="4320"/>
                <w:tab w:val="clear" w:pos="8640"/>
              </w:tabs>
              <w:autoSpaceDE w:val="0"/>
              <w:autoSpaceDN w:val="0"/>
              <w:adjustRightInd w:val="0"/>
              <w:rPr>
                <w:rFonts w:cs="Arial"/>
                <w:szCs w:val="15"/>
              </w:rPr>
            </w:pPr>
            <w:r>
              <w:rPr>
                <w:rFonts w:cs="Arial"/>
                <w:szCs w:val="15"/>
              </w:rPr>
              <w:t xml:space="preserve">This procedure </w:t>
            </w:r>
            <w:r w:rsidR="00EA09E3">
              <w:rPr>
                <w:rFonts w:cs="Arial"/>
                <w:szCs w:val="15"/>
              </w:rPr>
              <w:t>applies to all personnel who operate the Abbott Architect c4000.</w:t>
            </w:r>
          </w:p>
          <w:p w:rsidR="002B3054" w:rsidRDefault="002B3054" w:rsidP="00F9467E">
            <w:pPr>
              <w:pStyle w:val="Header"/>
              <w:numPr>
                <w:ilvl w:val="0"/>
                <w:numId w:val="8"/>
              </w:numPr>
              <w:tabs>
                <w:tab w:val="clear" w:pos="4320"/>
                <w:tab w:val="clear" w:pos="8640"/>
              </w:tabs>
              <w:autoSpaceDE w:val="0"/>
              <w:autoSpaceDN w:val="0"/>
              <w:adjustRightInd w:val="0"/>
              <w:rPr>
                <w:rFonts w:cs="Arial"/>
                <w:szCs w:val="15"/>
              </w:rPr>
            </w:pPr>
            <w:r>
              <w:rPr>
                <w:rFonts w:cs="Arial"/>
                <w:szCs w:val="15"/>
              </w:rPr>
              <w:t>All components of individual</w:t>
            </w:r>
            <w:r>
              <w:t xml:space="preserve"> ß-hydroxybutyrate</w:t>
            </w:r>
            <w:r>
              <w:rPr>
                <w:rFonts w:cs="Arial"/>
                <w:szCs w:val="15"/>
              </w:rPr>
              <w:t xml:space="preserve"> reagent kits must be used together, and not shared between kits.</w:t>
            </w:r>
          </w:p>
          <w:p w:rsidR="0004781F" w:rsidRDefault="0004781F" w:rsidP="0004781F">
            <w:pPr>
              <w:pStyle w:val="Header"/>
              <w:tabs>
                <w:tab w:val="clear" w:pos="4320"/>
                <w:tab w:val="clear" w:pos="8640"/>
              </w:tabs>
              <w:autoSpaceDE w:val="0"/>
              <w:autoSpaceDN w:val="0"/>
              <w:adjustRightInd w:val="0"/>
              <w:ind w:left="360"/>
              <w:rPr>
                <w:rFonts w:cs="Arial"/>
                <w:szCs w:val="15"/>
              </w:rPr>
            </w:pPr>
            <w:bookmarkStart w:id="0" w:name="_GoBack"/>
            <w:bookmarkEnd w:id="0"/>
          </w:p>
        </w:tc>
      </w:tr>
      <w:tr w:rsidR="002B3054" w:rsidTr="00865008">
        <w:trPr>
          <w:tblHeader/>
        </w:trPr>
        <w:tc>
          <w:tcPr>
            <w:tcW w:w="1890" w:type="dxa"/>
            <w:gridSpan w:val="2"/>
          </w:tcPr>
          <w:p w:rsidR="002B3054" w:rsidRDefault="002B3054" w:rsidP="00865008">
            <w:pPr>
              <w:rPr>
                <w:rFonts w:cs="Arial"/>
                <w:b/>
                <w:bCs/>
                <w:color w:val="0000FF"/>
              </w:rPr>
            </w:pPr>
            <w:r>
              <w:rPr>
                <w:rFonts w:cs="Arial"/>
                <w:b/>
                <w:bCs/>
                <w:color w:val="0000FF"/>
              </w:rPr>
              <w:t>Principle</w:t>
            </w:r>
          </w:p>
        </w:tc>
        <w:tc>
          <w:tcPr>
            <w:tcW w:w="9270" w:type="dxa"/>
            <w:gridSpan w:val="7"/>
            <w:tcBorders>
              <w:top w:val="single" w:sz="18" w:space="0" w:color="A6A6A6"/>
              <w:bottom w:val="single" w:sz="18" w:space="0" w:color="A6A6A6"/>
            </w:tcBorders>
          </w:tcPr>
          <w:p w:rsidR="002B3054" w:rsidRDefault="002B3054">
            <w:pPr>
              <w:autoSpaceDE w:val="0"/>
              <w:autoSpaceDN w:val="0"/>
              <w:adjustRightInd w:val="0"/>
              <w:jc w:val="both"/>
              <w:rPr>
                <w:rFonts w:cs="Arial"/>
                <w:szCs w:val="14"/>
              </w:rPr>
            </w:pPr>
            <w:r>
              <w:rPr>
                <w:rFonts w:cs="Arial"/>
              </w:rPr>
              <w:t xml:space="preserve">ß -Hydroxybutyrate (D-3-hydroxybutyrate) in the presence of NAD is converted to acetoacetate and NADH at pH 8.5 by ß -Hydroxybutyrate dehydrogenase (D-3-hydroxybutyrate dehydrogenase). </w:t>
            </w:r>
            <w:r w:rsidR="00EA09E3">
              <w:rPr>
                <w:rFonts w:cs="Arial"/>
              </w:rPr>
              <w:t xml:space="preserve"> </w:t>
            </w:r>
            <w:r>
              <w:rPr>
                <w:rFonts w:cs="Arial"/>
              </w:rPr>
              <w:t xml:space="preserve">At this pH the reaction is favored to the right. </w:t>
            </w:r>
            <w:r w:rsidR="00EA09E3">
              <w:rPr>
                <w:rFonts w:cs="Arial"/>
              </w:rPr>
              <w:t xml:space="preserve"> </w:t>
            </w:r>
            <w:r>
              <w:rPr>
                <w:rFonts w:cs="Arial"/>
              </w:rPr>
              <w:t xml:space="preserve">The NADH produced is </w:t>
            </w:r>
            <w:r w:rsidR="0052724D">
              <w:rPr>
                <w:rFonts w:cs="Arial"/>
              </w:rPr>
              <w:t xml:space="preserve">converted to color using INT in the presence diaphorase to produce color at 505 nm. </w:t>
            </w:r>
          </w:p>
          <w:p w:rsidR="002B3054" w:rsidRDefault="002B3054">
            <w:pPr>
              <w:jc w:val="both"/>
              <w:rPr>
                <w:rFonts w:cs="Arial"/>
              </w:rPr>
            </w:pPr>
          </w:p>
        </w:tc>
      </w:tr>
      <w:tr w:rsidR="002B3054" w:rsidTr="00865008">
        <w:trPr>
          <w:tblHeader/>
        </w:trPr>
        <w:tc>
          <w:tcPr>
            <w:tcW w:w="1890" w:type="dxa"/>
            <w:gridSpan w:val="2"/>
          </w:tcPr>
          <w:p w:rsidR="002B3054" w:rsidRDefault="002B3054" w:rsidP="00865008">
            <w:pPr>
              <w:rPr>
                <w:rFonts w:cs="Arial"/>
                <w:b/>
                <w:bCs/>
                <w:color w:val="0000FF"/>
              </w:rPr>
            </w:pPr>
            <w:r>
              <w:rPr>
                <w:rFonts w:cs="Arial"/>
                <w:b/>
                <w:bCs/>
                <w:color w:val="0000FF"/>
              </w:rPr>
              <w:t>Clinical Significance</w:t>
            </w:r>
          </w:p>
        </w:tc>
        <w:tc>
          <w:tcPr>
            <w:tcW w:w="9270" w:type="dxa"/>
            <w:gridSpan w:val="7"/>
            <w:tcBorders>
              <w:top w:val="single" w:sz="18" w:space="0" w:color="A6A6A6"/>
              <w:bottom w:val="single" w:sz="18" w:space="0" w:color="A6A6A6"/>
            </w:tcBorders>
          </w:tcPr>
          <w:p w:rsidR="002B3054" w:rsidRDefault="002B3054">
            <w:pPr>
              <w:pStyle w:val="TableText"/>
              <w:adjustRightInd w:val="0"/>
              <w:jc w:val="both"/>
              <w:rPr>
                <w:rFonts w:ascii="Arial" w:hAnsi="Arial" w:cs="Arial"/>
              </w:rPr>
            </w:pPr>
            <w:r>
              <w:rPr>
                <w:rFonts w:ascii="Arial" w:hAnsi="Arial" w:cs="Arial"/>
              </w:rPr>
              <w:t>Ketosis is a common feature in acutely ill patients. In subjects suffering from starvation, acute alcohol abuse, or diabetes mellitus, ketosis can result in severe life threatening metabolic acidosis. The presence and degree of ketosis can be determined by measuring blood levels of ß-hydroxybutyrate.</w:t>
            </w:r>
          </w:p>
          <w:p w:rsidR="002B3054" w:rsidRDefault="002B3054">
            <w:pPr>
              <w:autoSpaceDE w:val="0"/>
              <w:autoSpaceDN w:val="0"/>
              <w:adjustRightInd w:val="0"/>
              <w:jc w:val="both"/>
              <w:rPr>
                <w:rFonts w:cs="Arial"/>
              </w:rPr>
            </w:pPr>
          </w:p>
          <w:p w:rsidR="002B3054" w:rsidRDefault="002B3054">
            <w:pPr>
              <w:pStyle w:val="BodyText2"/>
            </w:pPr>
            <w:r>
              <w:t>Ordinarily, ß-hydroxybutyrate is the ketoacid present in the greatest amount in serum. It accounts for approximately 75% of the ketone bodies that also contain acetoacetate and acetone. During periods of ketosis, ß-hydroxybutyrate increases even more than the other two ketoacids, acetoacetate and acetone, and has been shown to be a better index of ketoacidosis including the detection of subclinical ketosis.</w:t>
            </w:r>
          </w:p>
          <w:p w:rsidR="002B3054" w:rsidRDefault="002B3054">
            <w:pPr>
              <w:autoSpaceDE w:val="0"/>
              <w:autoSpaceDN w:val="0"/>
              <w:adjustRightInd w:val="0"/>
              <w:jc w:val="both"/>
              <w:rPr>
                <w:rFonts w:cs="Arial"/>
              </w:rPr>
            </w:pPr>
          </w:p>
          <w:p w:rsidR="002B3054" w:rsidRDefault="002B3054">
            <w:pPr>
              <w:autoSpaceDE w:val="0"/>
              <w:autoSpaceDN w:val="0"/>
              <w:adjustRightInd w:val="0"/>
              <w:jc w:val="both"/>
              <w:rPr>
                <w:rFonts w:cs="Arial"/>
              </w:rPr>
            </w:pPr>
            <w:r>
              <w:rPr>
                <w:rFonts w:cs="Arial"/>
              </w:rPr>
              <w:t>In diabetics, the measurement of ß-hydroxybutyrate as well as the blood glucose is needed for the assessment of the severity of diabetic coma and is essential for the exclusion of hyperosmolar non-ketotic diabetic coma. Moreover, the insulin requirements are often based on the extent of the existing hyperketonemia shown by the blood levels of ß-hydroxybutyrate</w:t>
            </w:r>
          </w:p>
          <w:p w:rsidR="002B3054" w:rsidRDefault="002B3054">
            <w:pPr>
              <w:autoSpaceDE w:val="0"/>
              <w:autoSpaceDN w:val="0"/>
              <w:adjustRightInd w:val="0"/>
              <w:jc w:val="both"/>
              <w:rPr>
                <w:rFonts w:cs="Arial"/>
              </w:rPr>
            </w:pPr>
          </w:p>
          <w:p w:rsidR="002B3054" w:rsidRDefault="002B3054">
            <w:pPr>
              <w:pStyle w:val="NormalWeb"/>
              <w:spacing w:before="0" w:beforeAutospacing="0" w:after="0" w:afterAutospacing="0"/>
              <w:jc w:val="both"/>
              <w:rPr>
                <w:rFonts w:ascii="Arial" w:hAnsi="Arial" w:cs="Arial"/>
                <w:sz w:val="20"/>
                <w:lang w:val="en"/>
              </w:rPr>
            </w:pPr>
            <w:r>
              <w:rPr>
                <w:rFonts w:ascii="Arial" w:hAnsi="Arial" w:cs="Arial"/>
                <w:sz w:val="20"/>
                <w:lang w:val="en"/>
              </w:rPr>
              <w:t>In pediatric patients, the presence or absence of ketonemia/uria is an essential component in the differential diagnosis of inborn errors of metabolism</w:t>
            </w:r>
          </w:p>
          <w:p w:rsidR="002B3054" w:rsidRDefault="002B3054">
            <w:pPr>
              <w:pStyle w:val="NormalWeb"/>
              <w:spacing w:before="0" w:beforeAutospacing="0" w:after="0" w:afterAutospacing="0"/>
              <w:jc w:val="both"/>
              <w:rPr>
                <w:rFonts w:cs="Arial"/>
                <w:sz w:val="20"/>
              </w:rPr>
            </w:pPr>
          </w:p>
        </w:tc>
      </w:tr>
      <w:tr w:rsidR="002B3054" w:rsidTr="00865008">
        <w:trPr>
          <w:tblHeader/>
        </w:trPr>
        <w:tc>
          <w:tcPr>
            <w:tcW w:w="1890" w:type="dxa"/>
            <w:gridSpan w:val="2"/>
          </w:tcPr>
          <w:p w:rsidR="002B3054" w:rsidRDefault="002B3054">
            <w:pPr>
              <w:rPr>
                <w:rFonts w:cs="Arial"/>
                <w:b/>
                <w:bCs/>
                <w:color w:val="0000FF"/>
              </w:rPr>
            </w:pPr>
            <w:r>
              <w:rPr>
                <w:rFonts w:cs="Arial"/>
                <w:b/>
                <w:bCs/>
                <w:color w:val="0000FF"/>
              </w:rPr>
              <w:t>Analyzer</w:t>
            </w:r>
          </w:p>
        </w:tc>
        <w:tc>
          <w:tcPr>
            <w:tcW w:w="9270" w:type="dxa"/>
            <w:gridSpan w:val="7"/>
            <w:tcBorders>
              <w:top w:val="single" w:sz="18" w:space="0" w:color="A6A6A6"/>
              <w:bottom w:val="single" w:sz="18" w:space="0" w:color="A6A6A6"/>
            </w:tcBorders>
          </w:tcPr>
          <w:p w:rsidR="002B3054" w:rsidRPr="00EA09E3" w:rsidRDefault="00EA09E3">
            <w:pPr>
              <w:autoSpaceDE w:val="0"/>
              <w:autoSpaceDN w:val="0"/>
              <w:adjustRightInd w:val="0"/>
              <w:rPr>
                <w:rFonts w:cs="Arial"/>
                <w:bCs/>
                <w:szCs w:val="20"/>
              </w:rPr>
            </w:pPr>
            <w:r w:rsidRPr="00EA09E3">
              <w:rPr>
                <w:rFonts w:cs="Arial"/>
                <w:bCs/>
                <w:szCs w:val="20"/>
              </w:rPr>
              <w:t>Abbott Architect c4000 (Sunquest method code: ARCH4)</w:t>
            </w:r>
          </w:p>
          <w:p w:rsidR="00EA09E3" w:rsidRDefault="00EA09E3">
            <w:pPr>
              <w:autoSpaceDE w:val="0"/>
              <w:autoSpaceDN w:val="0"/>
              <w:adjustRightInd w:val="0"/>
              <w:rPr>
                <w:rFonts w:cs="Arial"/>
                <w:szCs w:val="15"/>
              </w:rPr>
            </w:pPr>
          </w:p>
        </w:tc>
      </w:tr>
      <w:tr w:rsidR="002B3054" w:rsidTr="00865008">
        <w:trPr>
          <w:trHeight w:val="638"/>
          <w:tblHeader/>
        </w:trPr>
        <w:tc>
          <w:tcPr>
            <w:tcW w:w="1890" w:type="dxa"/>
            <w:gridSpan w:val="2"/>
          </w:tcPr>
          <w:p w:rsidR="002B3054" w:rsidRDefault="002B3054">
            <w:pPr>
              <w:rPr>
                <w:rFonts w:cs="Arial"/>
                <w:b/>
                <w:bCs/>
                <w:color w:val="0000FF"/>
              </w:rPr>
            </w:pPr>
            <w:r>
              <w:rPr>
                <w:rFonts w:cs="Arial"/>
                <w:b/>
                <w:bCs/>
                <w:color w:val="0000FF"/>
              </w:rPr>
              <w:t>Sunquest Test Codes</w:t>
            </w:r>
          </w:p>
        </w:tc>
        <w:tc>
          <w:tcPr>
            <w:tcW w:w="9270" w:type="dxa"/>
            <w:gridSpan w:val="7"/>
            <w:tcBorders>
              <w:top w:val="single" w:sz="18" w:space="0" w:color="A6A6A6"/>
              <w:bottom w:val="single" w:sz="18" w:space="0" w:color="A6A6A6"/>
            </w:tcBorders>
          </w:tcPr>
          <w:p w:rsidR="002B3054" w:rsidRDefault="002B3054">
            <w:pPr>
              <w:tabs>
                <w:tab w:val="left" w:pos="1728"/>
                <w:tab w:val="left" w:pos="6948"/>
              </w:tabs>
              <w:ind w:left="113"/>
              <w:rPr>
                <w:rFonts w:cs="Arial"/>
              </w:rPr>
            </w:pPr>
            <w:r>
              <w:rPr>
                <w:rFonts w:cs="Arial"/>
                <w:b/>
                <w:bCs/>
                <w:iCs/>
              </w:rPr>
              <w:t>BHBB</w:t>
            </w:r>
            <w:r>
              <w:rPr>
                <w:rFonts w:cs="Arial"/>
                <w:iCs/>
                <w:sz w:val="18"/>
              </w:rPr>
              <w:tab/>
            </w:r>
            <w:r>
              <w:rPr>
                <w:rFonts w:cs="Arial"/>
              </w:rPr>
              <w:t>B Hydroxybutyrate</w:t>
            </w:r>
          </w:p>
          <w:p w:rsidR="002B3054" w:rsidRDefault="002B3054">
            <w:pPr>
              <w:autoSpaceDE w:val="0"/>
              <w:autoSpaceDN w:val="0"/>
              <w:adjustRightInd w:val="0"/>
              <w:rPr>
                <w:rFonts w:cs="Arial"/>
                <w:szCs w:val="15"/>
              </w:rPr>
            </w:pPr>
          </w:p>
        </w:tc>
      </w:tr>
      <w:tr w:rsidR="005E2060" w:rsidTr="00865008">
        <w:trPr>
          <w:cantSplit/>
          <w:tblHeader/>
        </w:trPr>
        <w:tc>
          <w:tcPr>
            <w:tcW w:w="1890" w:type="dxa"/>
            <w:gridSpan w:val="2"/>
          </w:tcPr>
          <w:p w:rsidR="005E2060" w:rsidRDefault="005E2060">
            <w:r w:rsidRPr="00B272BA">
              <w:rPr>
                <w:rFonts w:cs="Arial"/>
                <w:b/>
                <w:bCs/>
                <w:color w:val="0000FF"/>
              </w:rPr>
              <w:t>Specimen</w:t>
            </w:r>
          </w:p>
        </w:tc>
        <w:tc>
          <w:tcPr>
            <w:tcW w:w="9270" w:type="dxa"/>
            <w:gridSpan w:val="7"/>
            <w:tcBorders>
              <w:top w:val="single" w:sz="18" w:space="0" w:color="A6A6A6"/>
              <w:bottom w:val="single" w:sz="18" w:space="0" w:color="A6A6A6"/>
            </w:tcBorders>
            <w:vAlign w:val="center"/>
          </w:tcPr>
          <w:p w:rsidR="005E2060" w:rsidRDefault="005E2060" w:rsidP="005E2060">
            <w:pPr>
              <w:jc w:val="both"/>
              <w:rPr>
                <w:rFonts w:cs="Arial"/>
              </w:rPr>
            </w:pPr>
            <w:r>
              <w:rPr>
                <w:rFonts w:cs="Arial"/>
              </w:rPr>
              <w:t>Plasma (lithium heparin) preferred, or Serum (</w:t>
            </w:r>
            <w:r>
              <w:rPr>
                <w:rFonts w:eastAsia="HelenPro-Cond" w:cs="Arial"/>
                <w:szCs w:val="15"/>
              </w:rPr>
              <w:t xml:space="preserve">40 </w:t>
            </w:r>
            <w:r>
              <w:rPr>
                <w:rFonts w:eastAsia="HelenPro-Cond" w:cs="Arial" w:hint="eastAsia"/>
                <w:szCs w:val="15"/>
              </w:rPr>
              <w:t>μ</w:t>
            </w:r>
            <w:r>
              <w:rPr>
                <w:rFonts w:eastAsia="HelenPro-Cond" w:cs="Arial"/>
                <w:szCs w:val="15"/>
              </w:rPr>
              <w:t xml:space="preserve">L). </w:t>
            </w:r>
            <w:r>
              <w:rPr>
                <w:rFonts w:cs="Arial"/>
              </w:rPr>
              <w:t>Refer to specimen collection procedures</w:t>
            </w:r>
            <w:r>
              <w:rPr>
                <w:rFonts w:eastAsia="HelenPro-Cond" w:cs="Arial"/>
                <w:szCs w:val="15"/>
              </w:rPr>
              <w:t xml:space="preserve"> for collection of diagnostic blood specimens by venipuncture</w:t>
            </w:r>
            <w:r>
              <w:rPr>
                <w:rFonts w:cs="Arial"/>
              </w:rPr>
              <w:t>.</w:t>
            </w:r>
          </w:p>
          <w:p w:rsidR="005E2060" w:rsidRDefault="005E2060" w:rsidP="005E2060">
            <w:pPr>
              <w:jc w:val="both"/>
              <w:rPr>
                <w:rFonts w:cs="Arial"/>
                <w:b/>
                <w:bCs/>
              </w:rPr>
            </w:pPr>
          </w:p>
          <w:p w:rsidR="005E2060" w:rsidRDefault="005E2060" w:rsidP="005E2060">
            <w:pPr>
              <w:jc w:val="both"/>
              <w:rPr>
                <w:rFonts w:cs="Arial"/>
              </w:rPr>
            </w:pPr>
            <w:r>
              <w:rPr>
                <w:rFonts w:cs="Arial"/>
                <w:b/>
                <w:bCs/>
              </w:rPr>
              <w:t>Patient</w:t>
            </w:r>
            <w:r>
              <w:rPr>
                <w:rFonts w:cs="Arial"/>
              </w:rPr>
              <w:t xml:space="preserve"> </w:t>
            </w:r>
            <w:r>
              <w:rPr>
                <w:rFonts w:cs="Arial"/>
                <w:b/>
                <w:bCs/>
              </w:rPr>
              <w:t>Preparation:</w:t>
            </w:r>
            <w:r>
              <w:rPr>
                <w:rFonts w:cs="Arial"/>
              </w:rPr>
              <w:t xml:space="preserve"> The reference range is for patients fasting for 9 – 12 hours prior</w:t>
            </w:r>
            <w:r w:rsidR="00F9467E">
              <w:rPr>
                <w:rFonts w:cs="Arial"/>
              </w:rPr>
              <w:t xml:space="preserve"> to collection of the specimen.</w:t>
            </w:r>
          </w:p>
          <w:p w:rsidR="005E2060" w:rsidRDefault="005E2060" w:rsidP="005E2060">
            <w:pPr>
              <w:jc w:val="both"/>
              <w:rPr>
                <w:rFonts w:cs="Arial"/>
                <w:b/>
                <w:bCs/>
              </w:rPr>
            </w:pPr>
          </w:p>
          <w:p w:rsidR="005E2060" w:rsidRDefault="00F9467E" w:rsidP="005E2060">
            <w:pPr>
              <w:jc w:val="both"/>
              <w:rPr>
                <w:rFonts w:cs="Arial"/>
              </w:rPr>
            </w:pPr>
            <w:r>
              <w:rPr>
                <w:rFonts w:cs="Arial"/>
                <w:b/>
                <w:bCs/>
              </w:rPr>
              <w:t xml:space="preserve">Sample </w:t>
            </w:r>
            <w:r w:rsidR="005E2060">
              <w:rPr>
                <w:rFonts w:cs="Arial"/>
                <w:b/>
                <w:bCs/>
              </w:rPr>
              <w:t>volume:</w:t>
            </w:r>
            <w:r w:rsidR="005E2060">
              <w:rPr>
                <w:rFonts w:cs="Arial"/>
              </w:rPr>
              <w:t xml:space="preserve"> 0.2 mL</w:t>
            </w:r>
            <w:r>
              <w:rPr>
                <w:rFonts w:cs="Arial"/>
              </w:rPr>
              <w:t xml:space="preserve"> preferred, 150 uL minimum.</w:t>
            </w:r>
          </w:p>
          <w:p w:rsidR="005E2060" w:rsidRDefault="005E2060" w:rsidP="005E2060">
            <w:pPr>
              <w:pStyle w:val="Header"/>
              <w:tabs>
                <w:tab w:val="clear" w:pos="4320"/>
                <w:tab w:val="clear" w:pos="8640"/>
              </w:tabs>
              <w:jc w:val="both"/>
              <w:rPr>
                <w:rFonts w:cs="Arial"/>
                <w:b/>
                <w:bCs/>
              </w:rPr>
            </w:pPr>
          </w:p>
          <w:p w:rsidR="005E2060" w:rsidRDefault="005E2060" w:rsidP="005E2060">
            <w:pPr>
              <w:pStyle w:val="Header"/>
              <w:tabs>
                <w:tab w:val="clear" w:pos="4320"/>
                <w:tab w:val="clear" w:pos="8640"/>
              </w:tabs>
              <w:jc w:val="both"/>
              <w:rPr>
                <w:rFonts w:eastAsia="HelenPro-Cond"/>
              </w:rPr>
            </w:pPr>
            <w:r>
              <w:rPr>
                <w:b/>
                <w:bCs/>
              </w:rPr>
              <w:t>Stability:</w:t>
            </w:r>
            <w:r>
              <w:t xml:space="preserve"> RT / 24 hours, 2-8 </w:t>
            </w:r>
            <w:r>
              <w:sym w:font="Symbol" w:char="F0B0"/>
            </w:r>
            <w:r>
              <w:t xml:space="preserve">C / 7 days, </w:t>
            </w:r>
            <w:r>
              <w:rPr>
                <w:rFonts w:eastAsia="HelenPro-Cond"/>
              </w:rPr>
              <w:t>-20 °C / 1 month.</w:t>
            </w:r>
          </w:p>
          <w:p w:rsidR="005E2060" w:rsidRDefault="005E2060" w:rsidP="005E2060">
            <w:pPr>
              <w:pStyle w:val="Header"/>
              <w:tabs>
                <w:tab w:val="clear" w:pos="4320"/>
                <w:tab w:val="clear" w:pos="8640"/>
              </w:tabs>
              <w:jc w:val="both"/>
              <w:rPr>
                <w:rFonts w:cs="Arial"/>
                <w:b/>
                <w:bCs/>
              </w:rPr>
            </w:pPr>
          </w:p>
          <w:p w:rsidR="005E2060" w:rsidRPr="005E2060" w:rsidRDefault="005E2060" w:rsidP="005E2060">
            <w:pPr>
              <w:pStyle w:val="Header"/>
              <w:tabs>
                <w:tab w:val="clear" w:pos="4320"/>
                <w:tab w:val="clear" w:pos="8640"/>
              </w:tabs>
              <w:jc w:val="both"/>
              <w:rPr>
                <w:rFonts w:cs="Arial"/>
              </w:rPr>
            </w:pPr>
            <w:r>
              <w:rPr>
                <w:rFonts w:cs="Arial"/>
                <w:b/>
                <w:bCs/>
              </w:rPr>
              <w:t>Rejection criteria</w:t>
            </w:r>
            <w:r>
              <w:rPr>
                <w:rFonts w:cs="Arial"/>
              </w:rPr>
              <w:t xml:space="preserve">: </w:t>
            </w:r>
            <w:r w:rsidR="0052724D">
              <w:rPr>
                <w:rFonts w:cs="Arial"/>
              </w:rPr>
              <w:t>Unlabeled</w:t>
            </w:r>
            <w:r>
              <w:rPr>
                <w:rFonts w:cs="Arial"/>
              </w:rPr>
              <w:t xml:space="preserve"> specimens, or</w:t>
            </w:r>
            <w:r w:rsidR="00F9467E">
              <w:rPr>
                <w:rFonts w:cs="Arial"/>
              </w:rPr>
              <w:t xml:space="preserve"> specimens</w:t>
            </w:r>
            <w:r>
              <w:rPr>
                <w:rFonts w:cs="Arial"/>
              </w:rPr>
              <w:t xml:space="preserve"> other than heparinized plasma or serum</w:t>
            </w:r>
          </w:p>
        </w:tc>
      </w:tr>
      <w:tr w:rsidR="005E2060" w:rsidTr="00865008">
        <w:trPr>
          <w:tblHeader/>
        </w:trPr>
        <w:tc>
          <w:tcPr>
            <w:tcW w:w="1890" w:type="dxa"/>
            <w:gridSpan w:val="2"/>
            <w:tcBorders>
              <w:bottom w:val="nil"/>
            </w:tcBorders>
          </w:tcPr>
          <w:p w:rsidR="005E2060" w:rsidRDefault="005E2060"/>
        </w:tc>
        <w:tc>
          <w:tcPr>
            <w:tcW w:w="9270" w:type="dxa"/>
            <w:gridSpan w:val="7"/>
            <w:tcBorders>
              <w:top w:val="single" w:sz="18" w:space="0" w:color="A6A6A6"/>
              <w:bottom w:val="single" w:sz="18" w:space="0" w:color="A6A6A6"/>
            </w:tcBorders>
            <w:vAlign w:val="center"/>
          </w:tcPr>
          <w:p w:rsidR="005E2060" w:rsidRDefault="005E2060" w:rsidP="005E2060">
            <w:pPr>
              <w:autoSpaceDE w:val="0"/>
              <w:autoSpaceDN w:val="0"/>
              <w:adjustRightInd w:val="0"/>
              <w:jc w:val="both"/>
              <w:rPr>
                <w:rFonts w:cs="Arial"/>
                <w:szCs w:val="14"/>
              </w:rPr>
            </w:pPr>
            <w:r>
              <w:rPr>
                <w:rFonts w:cs="Arial"/>
                <w:b/>
                <w:bCs/>
              </w:rPr>
              <w:t>Preparation:</w:t>
            </w:r>
            <w:r>
              <w:rPr>
                <w:rFonts w:cs="Arial"/>
                <w:szCs w:val="14"/>
              </w:rPr>
              <w:t xml:space="preserve"> </w:t>
            </w:r>
          </w:p>
          <w:p w:rsidR="005E2060" w:rsidRDefault="005E2060" w:rsidP="00F9467E">
            <w:pPr>
              <w:numPr>
                <w:ilvl w:val="0"/>
                <w:numId w:val="10"/>
              </w:numPr>
              <w:autoSpaceDE w:val="0"/>
              <w:autoSpaceDN w:val="0"/>
              <w:adjustRightInd w:val="0"/>
              <w:jc w:val="both"/>
              <w:rPr>
                <w:rFonts w:eastAsia="HelenPro-Cond" w:cs="Arial"/>
                <w:szCs w:val="15"/>
              </w:rPr>
            </w:pPr>
            <w:r>
              <w:rPr>
                <w:rFonts w:eastAsia="HelenPro-Cond" w:cs="Arial"/>
                <w:szCs w:val="15"/>
              </w:rPr>
              <w:t xml:space="preserve">Complete clot formation should take place before centrifugation. </w:t>
            </w:r>
          </w:p>
          <w:p w:rsidR="005E2060" w:rsidRDefault="005E2060" w:rsidP="00F9467E">
            <w:pPr>
              <w:numPr>
                <w:ilvl w:val="0"/>
                <w:numId w:val="10"/>
              </w:numPr>
              <w:autoSpaceDE w:val="0"/>
              <w:autoSpaceDN w:val="0"/>
              <w:adjustRightInd w:val="0"/>
              <w:jc w:val="both"/>
              <w:rPr>
                <w:rFonts w:eastAsia="HelenPro-Cond" w:cs="Arial"/>
                <w:szCs w:val="9"/>
              </w:rPr>
            </w:pPr>
            <w:r>
              <w:rPr>
                <w:rFonts w:eastAsia="HelenPro-Cond" w:cs="Arial"/>
                <w:szCs w:val="15"/>
              </w:rPr>
              <w:t xml:space="preserve">Serum or plasma should be physically separated from cells as soon as possible with a maximum limit of </w:t>
            </w:r>
            <w:r>
              <w:rPr>
                <w:rFonts w:eastAsia="HelenPro-Cond" w:cs="Arial"/>
                <w:b/>
                <w:bCs/>
                <w:szCs w:val="15"/>
              </w:rPr>
              <w:t>two hours</w:t>
            </w:r>
            <w:r>
              <w:rPr>
                <w:rFonts w:eastAsia="HelenPro-Cond" w:cs="Arial"/>
                <w:szCs w:val="15"/>
              </w:rPr>
              <w:t xml:space="preserve"> from the time of collection.</w:t>
            </w:r>
            <w:r>
              <w:rPr>
                <w:rFonts w:eastAsia="HelenPro-Cond" w:cs="Arial"/>
                <w:szCs w:val="9"/>
              </w:rPr>
              <w:t xml:space="preserve"> </w:t>
            </w:r>
          </w:p>
          <w:p w:rsidR="005E2060" w:rsidRDefault="005E2060" w:rsidP="00F9467E">
            <w:pPr>
              <w:numPr>
                <w:ilvl w:val="0"/>
                <w:numId w:val="10"/>
              </w:numPr>
              <w:autoSpaceDE w:val="0"/>
              <w:autoSpaceDN w:val="0"/>
              <w:adjustRightInd w:val="0"/>
              <w:jc w:val="both"/>
              <w:rPr>
                <w:rFonts w:eastAsia="HelenPro-Cond" w:cs="Arial"/>
                <w:szCs w:val="15"/>
              </w:rPr>
            </w:pPr>
            <w:r>
              <w:rPr>
                <w:rFonts w:eastAsia="HelenPro-Cond" w:cs="Arial"/>
                <w:szCs w:val="15"/>
              </w:rPr>
              <w:t xml:space="preserve">Specimens should be free of particulate matter. </w:t>
            </w:r>
          </w:p>
          <w:p w:rsidR="005E2060" w:rsidRDefault="005E2060" w:rsidP="00F9467E">
            <w:pPr>
              <w:numPr>
                <w:ilvl w:val="0"/>
                <w:numId w:val="10"/>
              </w:numPr>
              <w:autoSpaceDE w:val="0"/>
              <w:autoSpaceDN w:val="0"/>
              <w:adjustRightInd w:val="0"/>
              <w:jc w:val="both"/>
              <w:rPr>
                <w:rFonts w:cs="Arial"/>
                <w:szCs w:val="14"/>
              </w:rPr>
            </w:pPr>
            <w:r>
              <w:rPr>
                <w:rFonts w:cs="Arial"/>
                <w:szCs w:val="14"/>
              </w:rPr>
              <w:t>Whole blood specimens should be centrifuged according to Specimen Processing procedures prior to analysis. See Processing Procedure Manual.</w:t>
            </w:r>
          </w:p>
          <w:p w:rsidR="005E2060" w:rsidRDefault="005E2060" w:rsidP="00F9467E">
            <w:pPr>
              <w:numPr>
                <w:ilvl w:val="0"/>
                <w:numId w:val="10"/>
              </w:numPr>
              <w:jc w:val="both"/>
              <w:rPr>
                <w:rFonts w:cs="Arial"/>
              </w:rPr>
            </w:pPr>
            <w:r w:rsidRPr="001A0262">
              <w:rPr>
                <w:rFonts w:cs="Arial"/>
                <w:szCs w:val="20"/>
              </w:rPr>
              <w:t>Transfer serum, plasma, or body fluid to a properly labeled Siemens SSC nested on a bar-coded pilot tube. Minimum labeling includes sample accession ID, and/ or patient name, medical record number, collection date and time.</w:t>
            </w:r>
          </w:p>
        </w:tc>
      </w:tr>
      <w:tr w:rsidR="002B3054" w:rsidTr="00865008">
        <w:trPr>
          <w:cantSplit/>
          <w:trHeight w:val="161"/>
          <w:tblHeader/>
        </w:trPr>
        <w:tc>
          <w:tcPr>
            <w:tcW w:w="1890" w:type="dxa"/>
            <w:gridSpan w:val="2"/>
            <w:tcBorders>
              <w:bottom w:val="nil"/>
            </w:tcBorders>
          </w:tcPr>
          <w:p w:rsidR="002B3054" w:rsidRDefault="002B3054">
            <w:pPr>
              <w:rPr>
                <w:rFonts w:cs="Arial"/>
                <w:b/>
                <w:bCs/>
                <w:color w:val="0000FF"/>
              </w:rPr>
            </w:pPr>
          </w:p>
        </w:tc>
        <w:tc>
          <w:tcPr>
            <w:tcW w:w="9270" w:type="dxa"/>
            <w:gridSpan w:val="7"/>
            <w:tcBorders>
              <w:top w:val="single" w:sz="18" w:space="0" w:color="A6A6A6"/>
              <w:bottom w:val="single" w:sz="4" w:space="0" w:color="auto"/>
            </w:tcBorders>
          </w:tcPr>
          <w:p w:rsidR="002B3054" w:rsidRDefault="002B3054">
            <w:pPr>
              <w:rPr>
                <w:rFonts w:cs="Arial"/>
              </w:rPr>
            </w:pPr>
          </w:p>
        </w:tc>
      </w:tr>
      <w:tr w:rsidR="002B3054" w:rsidTr="00865008">
        <w:trPr>
          <w:cantSplit/>
          <w:trHeight w:val="230"/>
          <w:tblHeader/>
        </w:trPr>
        <w:tc>
          <w:tcPr>
            <w:tcW w:w="1890" w:type="dxa"/>
            <w:gridSpan w:val="2"/>
            <w:vMerge w:val="restart"/>
            <w:tcBorders>
              <w:right w:val="single" w:sz="4" w:space="0" w:color="auto"/>
            </w:tcBorders>
          </w:tcPr>
          <w:p w:rsidR="002B3054" w:rsidRDefault="002B3054" w:rsidP="00865008">
            <w:pPr>
              <w:rPr>
                <w:rFonts w:cs="Arial"/>
                <w:b/>
                <w:bCs/>
                <w:color w:val="0000FF"/>
              </w:rPr>
            </w:pPr>
            <w:r>
              <w:rPr>
                <w:rFonts w:cs="Arial"/>
                <w:b/>
                <w:bCs/>
                <w:color w:val="0000FF"/>
              </w:rPr>
              <w:t>Materials</w:t>
            </w:r>
          </w:p>
        </w:tc>
        <w:tc>
          <w:tcPr>
            <w:tcW w:w="2970" w:type="dxa"/>
            <w:gridSpan w:val="3"/>
            <w:tcBorders>
              <w:top w:val="single" w:sz="4" w:space="0" w:color="auto"/>
              <w:left w:val="single" w:sz="4" w:space="0" w:color="auto"/>
              <w:bottom w:val="single" w:sz="4" w:space="0" w:color="auto"/>
              <w:right w:val="single" w:sz="4" w:space="0" w:color="auto"/>
            </w:tcBorders>
          </w:tcPr>
          <w:p w:rsidR="002B3054" w:rsidRDefault="002B3054">
            <w:pPr>
              <w:pStyle w:val="Reagents"/>
              <w:rPr>
                <w:rFonts w:ascii="Arial" w:hAnsi="Arial" w:cs="Arial"/>
                <w:b/>
                <w:bCs/>
                <w:color w:val="0000FF"/>
              </w:rPr>
            </w:pPr>
            <w:r>
              <w:rPr>
                <w:rFonts w:ascii="Arial" w:hAnsi="Arial" w:cs="Arial"/>
                <w:b/>
                <w:bCs/>
                <w:color w:val="0000FF"/>
              </w:rPr>
              <w:t>Supplies</w:t>
            </w:r>
          </w:p>
        </w:tc>
        <w:tc>
          <w:tcPr>
            <w:tcW w:w="6300" w:type="dxa"/>
            <w:gridSpan w:val="4"/>
            <w:tcBorders>
              <w:top w:val="single" w:sz="4" w:space="0" w:color="auto"/>
              <w:left w:val="single" w:sz="4" w:space="0" w:color="auto"/>
              <w:bottom w:val="single" w:sz="4" w:space="0" w:color="auto"/>
              <w:right w:val="single" w:sz="4" w:space="0" w:color="auto"/>
            </w:tcBorders>
          </w:tcPr>
          <w:p w:rsidR="002B3054" w:rsidRDefault="002B3054">
            <w:pPr>
              <w:pStyle w:val="Reagents"/>
              <w:rPr>
                <w:rFonts w:ascii="Arial" w:hAnsi="Arial" w:cs="Arial"/>
                <w:b/>
                <w:bCs/>
                <w:color w:val="0000FF"/>
              </w:rPr>
            </w:pPr>
            <w:r>
              <w:rPr>
                <w:rFonts w:ascii="Arial" w:hAnsi="Arial" w:cs="Arial"/>
                <w:b/>
                <w:bCs/>
                <w:color w:val="0000FF"/>
              </w:rPr>
              <w:t>Reagents</w:t>
            </w:r>
          </w:p>
        </w:tc>
      </w:tr>
      <w:tr w:rsidR="002B3054" w:rsidTr="00865008">
        <w:trPr>
          <w:cantSplit/>
          <w:trHeight w:val="5543"/>
          <w:tblHeader/>
        </w:trPr>
        <w:tc>
          <w:tcPr>
            <w:tcW w:w="1890" w:type="dxa"/>
            <w:gridSpan w:val="2"/>
            <w:vMerge/>
            <w:tcBorders>
              <w:right w:val="single" w:sz="4" w:space="0" w:color="auto"/>
            </w:tcBorders>
          </w:tcPr>
          <w:p w:rsidR="002B3054" w:rsidRDefault="002B3054">
            <w:pPr>
              <w:rPr>
                <w:rFonts w:cs="Arial"/>
                <w:b/>
                <w:bCs/>
                <w:color w:val="0000FF"/>
              </w:rPr>
            </w:pPr>
          </w:p>
        </w:tc>
        <w:tc>
          <w:tcPr>
            <w:tcW w:w="2970" w:type="dxa"/>
            <w:gridSpan w:val="3"/>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5"/>
              </w:numPr>
              <w:rPr>
                <w:rFonts w:ascii="Arial" w:hAnsi="Arial" w:cs="Arial"/>
                <w:sz w:val="20"/>
                <w:szCs w:val="23"/>
              </w:rPr>
            </w:pPr>
            <w:r>
              <w:rPr>
                <w:rFonts w:ascii="Arial" w:hAnsi="Arial" w:cs="Arial"/>
                <w:sz w:val="20"/>
                <w:szCs w:val="23"/>
              </w:rPr>
              <w:t xml:space="preserve">Automatic Pipettes and tips </w:t>
            </w:r>
          </w:p>
          <w:p w:rsidR="002B3054" w:rsidRDefault="002B3054" w:rsidP="00F9467E">
            <w:pPr>
              <w:pStyle w:val="Default"/>
              <w:numPr>
                <w:ilvl w:val="0"/>
                <w:numId w:val="5"/>
              </w:numPr>
              <w:rPr>
                <w:rFonts w:ascii="Arial" w:hAnsi="Arial" w:cs="Arial"/>
                <w:sz w:val="20"/>
                <w:szCs w:val="23"/>
              </w:rPr>
            </w:pPr>
            <w:r>
              <w:rPr>
                <w:rFonts w:ascii="Arial" w:hAnsi="Arial" w:cs="Arial"/>
                <w:sz w:val="20"/>
                <w:szCs w:val="23"/>
              </w:rPr>
              <w:t xml:space="preserve">Sample Cups </w:t>
            </w:r>
          </w:p>
          <w:p w:rsidR="00EA09E3" w:rsidRDefault="00EA09E3" w:rsidP="00F9467E">
            <w:pPr>
              <w:pStyle w:val="Default"/>
              <w:numPr>
                <w:ilvl w:val="0"/>
                <w:numId w:val="5"/>
              </w:numPr>
              <w:rPr>
                <w:rFonts w:ascii="Arial" w:hAnsi="Arial" w:cs="Arial"/>
                <w:sz w:val="20"/>
                <w:szCs w:val="23"/>
              </w:rPr>
            </w:pPr>
            <w:r>
              <w:rPr>
                <w:rFonts w:ascii="Arial" w:hAnsi="Arial" w:cs="Arial"/>
                <w:sz w:val="20"/>
                <w:szCs w:val="23"/>
              </w:rPr>
              <w:t>55mL Abbott Architect Reagent Wedge</w:t>
            </w:r>
          </w:p>
          <w:p w:rsidR="00EA09E3" w:rsidRDefault="00EA09E3" w:rsidP="00F9467E">
            <w:pPr>
              <w:pStyle w:val="Default"/>
              <w:numPr>
                <w:ilvl w:val="0"/>
                <w:numId w:val="5"/>
              </w:numPr>
              <w:rPr>
                <w:rFonts w:ascii="Arial" w:hAnsi="Arial" w:cs="Arial"/>
                <w:sz w:val="20"/>
                <w:szCs w:val="23"/>
              </w:rPr>
            </w:pPr>
            <w:r>
              <w:rPr>
                <w:rFonts w:ascii="Arial" w:hAnsi="Arial" w:cs="Arial"/>
                <w:sz w:val="20"/>
                <w:szCs w:val="23"/>
              </w:rPr>
              <w:t>20 mL Abbott Architect Reagent Wedge</w:t>
            </w:r>
          </w:p>
          <w:p w:rsidR="002B3054" w:rsidRDefault="002B3054" w:rsidP="00EA09E3">
            <w:pPr>
              <w:pStyle w:val="Reagents"/>
              <w:ind w:left="360"/>
              <w:rPr>
                <w:rFonts w:ascii="Arial" w:hAnsi="Arial" w:cs="Arial"/>
              </w:rPr>
            </w:pPr>
          </w:p>
        </w:tc>
        <w:tc>
          <w:tcPr>
            <w:tcW w:w="6300" w:type="dxa"/>
            <w:gridSpan w:val="4"/>
            <w:tcBorders>
              <w:top w:val="single" w:sz="4" w:space="0" w:color="auto"/>
              <w:left w:val="single" w:sz="4" w:space="0" w:color="auto"/>
              <w:bottom w:val="single" w:sz="4" w:space="0" w:color="auto"/>
              <w:right w:val="single" w:sz="4" w:space="0" w:color="auto"/>
            </w:tcBorders>
          </w:tcPr>
          <w:tbl>
            <w:tblPr>
              <w:tblW w:w="6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1623"/>
              <w:gridCol w:w="2227"/>
            </w:tblGrid>
            <w:tr w:rsidR="002B3054" w:rsidTr="00071E56">
              <w:trPr>
                <w:trHeight w:val="431"/>
              </w:trPr>
              <w:tc>
                <w:tcPr>
                  <w:tcW w:w="2337" w:type="dxa"/>
                  <w:vAlign w:val="center"/>
                </w:tcPr>
                <w:p w:rsidR="002B3054" w:rsidRDefault="002B3054">
                  <w:pPr>
                    <w:pStyle w:val="Default"/>
                    <w:rPr>
                      <w:rFonts w:ascii="Arial" w:hAnsi="Arial" w:cs="Arial"/>
                      <w:sz w:val="20"/>
                      <w:szCs w:val="23"/>
                    </w:rPr>
                  </w:pPr>
                  <w:r>
                    <w:rPr>
                      <w:rFonts w:ascii="Arial" w:hAnsi="Arial" w:cs="Arial"/>
                      <w:sz w:val="20"/>
                      <w:szCs w:val="23"/>
                    </w:rPr>
                    <w:t xml:space="preserve">Unopened Stability </w:t>
                  </w:r>
                </w:p>
              </w:tc>
              <w:tc>
                <w:tcPr>
                  <w:tcW w:w="1623" w:type="dxa"/>
                  <w:vAlign w:val="center"/>
                </w:tcPr>
                <w:p w:rsidR="002B3054" w:rsidRDefault="00A30868">
                  <w:pPr>
                    <w:pStyle w:val="Default"/>
                    <w:rPr>
                      <w:rFonts w:ascii="Arial" w:hAnsi="Arial" w:cs="Arial"/>
                      <w:sz w:val="20"/>
                      <w:szCs w:val="23"/>
                    </w:rPr>
                  </w:pPr>
                  <w:r>
                    <w:rPr>
                      <w:rFonts w:ascii="Arial" w:hAnsi="Arial" w:cs="Arial"/>
                      <w:sz w:val="20"/>
                      <w:szCs w:val="23"/>
                    </w:rPr>
                    <w:t>Unopened Stability</w:t>
                  </w:r>
                </w:p>
              </w:tc>
              <w:tc>
                <w:tcPr>
                  <w:tcW w:w="2227" w:type="dxa"/>
                  <w:vAlign w:val="center"/>
                </w:tcPr>
                <w:p w:rsidR="002B3054" w:rsidRDefault="002B3054">
                  <w:pPr>
                    <w:pStyle w:val="Default"/>
                    <w:rPr>
                      <w:rFonts w:ascii="Arial" w:hAnsi="Arial" w:cs="Arial"/>
                      <w:sz w:val="20"/>
                      <w:szCs w:val="23"/>
                    </w:rPr>
                  </w:pPr>
                  <w:r>
                    <w:rPr>
                      <w:rFonts w:ascii="Arial" w:hAnsi="Arial" w:cs="Arial"/>
                      <w:sz w:val="20"/>
                      <w:szCs w:val="23"/>
                    </w:rPr>
                    <w:t>Onboard</w:t>
                  </w:r>
                  <w:r w:rsidR="00A30868">
                    <w:rPr>
                      <w:rFonts w:ascii="Arial" w:hAnsi="Arial" w:cs="Arial"/>
                      <w:sz w:val="20"/>
                      <w:szCs w:val="23"/>
                    </w:rPr>
                    <w:t>/Open</w:t>
                  </w:r>
                  <w:r>
                    <w:rPr>
                      <w:rFonts w:ascii="Arial" w:hAnsi="Arial" w:cs="Arial"/>
                      <w:sz w:val="20"/>
                      <w:szCs w:val="23"/>
                    </w:rPr>
                    <w:t xml:space="preserve"> Stability</w:t>
                  </w:r>
                </w:p>
              </w:tc>
            </w:tr>
            <w:tr w:rsidR="002B3054" w:rsidTr="00071E56">
              <w:trPr>
                <w:trHeight w:val="1421"/>
              </w:trPr>
              <w:tc>
                <w:tcPr>
                  <w:tcW w:w="2337" w:type="dxa"/>
                  <w:vAlign w:val="center"/>
                </w:tcPr>
                <w:p w:rsidR="002B3054" w:rsidRDefault="00EA09E3">
                  <w:pPr>
                    <w:pStyle w:val="Default"/>
                    <w:rPr>
                      <w:rFonts w:ascii="Arial" w:hAnsi="Arial" w:cs="Arial"/>
                      <w:sz w:val="20"/>
                      <w:szCs w:val="23"/>
                    </w:rPr>
                  </w:pPr>
                  <w:r>
                    <w:rPr>
                      <w:rFonts w:ascii="Arial" w:hAnsi="Arial" w:cs="Arial"/>
                      <w:sz w:val="20"/>
                    </w:rPr>
                    <w:t>Stanb</w:t>
                  </w:r>
                  <w:r w:rsidR="002B3054">
                    <w:rPr>
                      <w:rFonts w:ascii="Arial" w:hAnsi="Arial" w:cs="Arial"/>
                      <w:sz w:val="20"/>
                    </w:rPr>
                    <w:t xml:space="preserve">io Reagent </w:t>
                  </w:r>
                  <w:proofErr w:type="spellStart"/>
                  <w:r w:rsidR="002B3054">
                    <w:rPr>
                      <w:rFonts w:ascii="Arial" w:hAnsi="Arial" w:cs="Arial"/>
                      <w:sz w:val="20"/>
                    </w:rPr>
                    <w:t>A</w:t>
                  </w:r>
                  <w:proofErr w:type="spellEnd"/>
                  <w:r w:rsidR="002B3054">
                    <w:rPr>
                      <w:rFonts w:ascii="Arial" w:hAnsi="Arial" w:cs="Arial"/>
                      <w:sz w:val="20"/>
                    </w:rPr>
                    <w:t xml:space="preserve"> </w:t>
                  </w:r>
                  <w:r w:rsidR="002B3054">
                    <w:rPr>
                      <w:rFonts w:ascii="Arial" w:hAnsi="Arial" w:cs="Arial"/>
                      <w:sz w:val="20"/>
                      <w:szCs w:val="23"/>
                    </w:rPr>
                    <w:t>Enzyme (</w:t>
                  </w:r>
                  <w:r w:rsidR="002B3054">
                    <w:rPr>
                      <w:rFonts w:ascii="Arial" w:hAnsi="Arial" w:cs="Arial"/>
                      <w:b/>
                      <w:bCs/>
                      <w:sz w:val="20"/>
                      <w:szCs w:val="23"/>
                    </w:rPr>
                    <w:t>R1</w:t>
                  </w:r>
                  <w:r w:rsidR="002B3054">
                    <w:rPr>
                      <w:rFonts w:ascii="Arial" w:hAnsi="Arial" w:cs="Arial"/>
                      <w:sz w:val="20"/>
                      <w:szCs w:val="23"/>
                    </w:rPr>
                    <w:t xml:space="preserve">) </w:t>
                  </w:r>
                  <w:r w:rsidR="002B3054">
                    <w:rPr>
                      <w:rFonts w:ascii="Arial" w:hAnsi="Arial" w:cs="Arial"/>
                      <w:sz w:val="20"/>
                    </w:rPr>
                    <w:t xml:space="preserve">50 mL </w:t>
                  </w:r>
                  <w:r w:rsidR="002B3054">
                    <w:rPr>
                      <w:rFonts w:ascii="Arial" w:hAnsi="Arial" w:cs="Arial"/>
                      <w:sz w:val="20"/>
                      <w:szCs w:val="23"/>
                    </w:rPr>
                    <w:t xml:space="preserve">(β-hydroxybutyrate dehydrogenase and diaphorase enzymes) </w:t>
                  </w:r>
                </w:p>
              </w:tc>
              <w:tc>
                <w:tcPr>
                  <w:tcW w:w="1623" w:type="dxa"/>
                  <w:vAlign w:val="center"/>
                </w:tcPr>
                <w:p w:rsidR="002B3054" w:rsidRDefault="002B3054">
                  <w:pPr>
                    <w:pStyle w:val="Default"/>
                    <w:rPr>
                      <w:rFonts w:ascii="Arial" w:hAnsi="Arial" w:cs="Arial"/>
                      <w:sz w:val="20"/>
                      <w:szCs w:val="23"/>
                    </w:rPr>
                  </w:pPr>
                  <w:r>
                    <w:rPr>
                      <w:rFonts w:ascii="Arial" w:hAnsi="Arial" w:cs="Arial"/>
                      <w:sz w:val="20"/>
                      <w:szCs w:val="23"/>
                    </w:rPr>
                    <w:t>Until</w:t>
                  </w:r>
                  <w:r w:rsidR="00A30868">
                    <w:rPr>
                      <w:rFonts w:ascii="Arial" w:hAnsi="Arial" w:cs="Arial"/>
                      <w:sz w:val="20"/>
                      <w:szCs w:val="23"/>
                    </w:rPr>
                    <w:t xml:space="preserve"> printed</w:t>
                  </w:r>
                  <w:r>
                    <w:rPr>
                      <w:rFonts w:ascii="Arial" w:hAnsi="Arial" w:cs="Arial"/>
                      <w:sz w:val="20"/>
                      <w:szCs w:val="23"/>
                    </w:rPr>
                    <w:t xml:space="preserve"> expiration date at 2 - 8°C </w:t>
                  </w:r>
                </w:p>
              </w:tc>
              <w:tc>
                <w:tcPr>
                  <w:tcW w:w="2227" w:type="dxa"/>
                  <w:vAlign w:val="center"/>
                </w:tcPr>
                <w:p w:rsidR="002B3054" w:rsidRDefault="00EA09E3">
                  <w:pPr>
                    <w:pStyle w:val="Default"/>
                    <w:rPr>
                      <w:rFonts w:ascii="Arial" w:hAnsi="Arial" w:cs="Arial"/>
                      <w:sz w:val="20"/>
                      <w:szCs w:val="23"/>
                    </w:rPr>
                  </w:pPr>
                  <w:r>
                    <w:rPr>
                      <w:rFonts w:ascii="Arial" w:hAnsi="Arial" w:cs="Arial"/>
                      <w:sz w:val="20"/>
                      <w:szCs w:val="23"/>
                    </w:rPr>
                    <w:t>For 30</w:t>
                  </w:r>
                  <w:r w:rsidR="002B3054">
                    <w:rPr>
                      <w:rFonts w:ascii="Arial" w:hAnsi="Arial" w:cs="Arial"/>
                      <w:sz w:val="20"/>
                      <w:szCs w:val="23"/>
                    </w:rPr>
                    <w:t xml:space="preserve"> days at 2 – 8°C </w:t>
                  </w:r>
                </w:p>
              </w:tc>
            </w:tr>
            <w:tr w:rsidR="002B3054" w:rsidTr="00071E56">
              <w:trPr>
                <w:trHeight w:val="1439"/>
              </w:trPr>
              <w:tc>
                <w:tcPr>
                  <w:tcW w:w="2337" w:type="dxa"/>
                  <w:vAlign w:val="center"/>
                </w:tcPr>
                <w:p w:rsidR="002B3054" w:rsidRDefault="00EA09E3">
                  <w:pPr>
                    <w:pStyle w:val="Default"/>
                    <w:rPr>
                      <w:rFonts w:ascii="Arial" w:hAnsi="Arial" w:cs="Arial"/>
                      <w:sz w:val="20"/>
                      <w:szCs w:val="23"/>
                    </w:rPr>
                  </w:pPr>
                  <w:r>
                    <w:rPr>
                      <w:rFonts w:ascii="Arial" w:hAnsi="Arial" w:cs="Arial"/>
                      <w:sz w:val="20"/>
                    </w:rPr>
                    <w:t>Stanb</w:t>
                  </w:r>
                  <w:r w:rsidR="002B3054">
                    <w:rPr>
                      <w:rFonts w:ascii="Arial" w:hAnsi="Arial" w:cs="Arial"/>
                      <w:sz w:val="20"/>
                    </w:rPr>
                    <w:t xml:space="preserve">io Reagent B </w:t>
                  </w:r>
                  <w:r w:rsidR="002B3054">
                    <w:rPr>
                      <w:rFonts w:ascii="Arial" w:hAnsi="Arial" w:cs="Arial"/>
                      <w:sz w:val="20"/>
                      <w:szCs w:val="23"/>
                    </w:rPr>
                    <w:t>Catalyst (</w:t>
                  </w:r>
                  <w:r w:rsidR="002B3054">
                    <w:rPr>
                      <w:rFonts w:ascii="Arial" w:hAnsi="Arial" w:cs="Arial"/>
                      <w:b/>
                      <w:bCs/>
                      <w:sz w:val="20"/>
                      <w:szCs w:val="23"/>
                    </w:rPr>
                    <w:t>R2</w:t>
                  </w:r>
                  <w:r w:rsidR="002B3054">
                    <w:rPr>
                      <w:rFonts w:ascii="Arial" w:hAnsi="Arial" w:cs="Arial"/>
                      <w:sz w:val="20"/>
                      <w:szCs w:val="23"/>
                    </w:rPr>
                    <w:t xml:space="preserve">) </w:t>
                  </w:r>
                  <w:r w:rsidR="002B3054">
                    <w:rPr>
                      <w:rFonts w:ascii="Arial" w:hAnsi="Arial" w:cs="Arial"/>
                      <w:sz w:val="20"/>
                    </w:rPr>
                    <w:t xml:space="preserve">8.5 mL </w:t>
                  </w:r>
                  <w:r w:rsidR="002B3054">
                    <w:rPr>
                      <w:rFonts w:ascii="Arial" w:hAnsi="Arial" w:cs="Arial"/>
                      <w:sz w:val="20"/>
                      <w:szCs w:val="23"/>
                    </w:rPr>
                    <w:t xml:space="preserve">(NAD, INT, and oxalate). </w:t>
                  </w:r>
                  <w:r w:rsidR="002B3054">
                    <w:rPr>
                      <w:rFonts w:ascii="Arial" w:hAnsi="Arial" w:cs="Arial"/>
                      <w:sz w:val="20"/>
                    </w:rPr>
                    <w:t>Protect from light</w:t>
                  </w:r>
                  <w:r>
                    <w:rPr>
                      <w:rFonts w:ascii="Arial" w:hAnsi="Arial" w:cs="Arial"/>
                      <w:sz w:val="20"/>
                    </w:rPr>
                    <w:t>.</w:t>
                  </w:r>
                </w:p>
              </w:tc>
              <w:tc>
                <w:tcPr>
                  <w:tcW w:w="1623" w:type="dxa"/>
                  <w:vAlign w:val="center"/>
                </w:tcPr>
                <w:p w:rsidR="002B3054" w:rsidRDefault="002B3054">
                  <w:pPr>
                    <w:pStyle w:val="Default"/>
                    <w:rPr>
                      <w:rFonts w:ascii="Arial" w:hAnsi="Arial" w:cs="Arial"/>
                      <w:sz w:val="20"/>
                      <w:szCs w:val="23"/>
                    </w:rPr>
                  </w:pPr>
                  <w:r>
                    <w:rPr>
                      <w:rFonts w:ascii="Arial" w:hAnsi="Arial" w:cs="Arial"/>
                      <w:sz w:val="20"/>
                      <w:szCs w:val="23"/>
                    </w:rPr>
                    <w:t xml:space="preserve">Until </w:t>
                  </w:r>
                  <w:r w:rsidR="00A30868">
                    <w:rPr>
                      <w:rFonts w:ascii="Arial" w:hAnsi="Arial" w:cs="Arial"/>
                      <w:sz w:val="20"/>
                      <w:szCs w:val="23"/>
                    </w:rPr>
                    <w:t xml:space="preserve">printed </w:t>
                  </w:r>
                  <w:r>
                    <w:rPr>
                      <w:rFonts w:ascii="Arial" w:hAnsi="Arial" w:cs="Arial"/>
                      <w:sz w:val="20"/>
                      <w:szCs w:val="23"/>
                    </w:rPr>
                    <w:t xml:space="preserve">expiration date at 2 - 8°C </w:t>
                  </w:r>
                </w:p>
              </w:tc>
              <w:tc>
                <w:tcPr>
                  <w:tcW w:w="2227" w:type="dxa"/>
                  <w:vAlign w:val="center"/>
                </w:tcPr>
                <w:p w:rsidR="002B3054" w:rsidRDefault="00EA09E3">
                  <w:pPr>
                    <w:pStyle w:val="Default"/>
                    <w:rPr>
                      <w:rFonts w:ascii="Arial" w:hAnsi="Arial" w:cs="Arial"/>
                      <w:sz w:val="20"/>
                      <w:szCs w:val="23"/>
                    </w:rPr>
                  </w:pPr>
                  <w:r>
                    <w:rPr>
                      <w:rFonts w:ascii="Arial" w:hAnsi="Arial" w:cs="Arial"/>
                      <w:sz w:val="20"/>
                      <w:szCs w:val="23"/>
                    </w:rPr>
                    <w:t>For 30</w:t>
                  </w:r>
                  <w:r w:rsidR="002B3054">
                    <w:rPr>
                      <w:rFonts w:ascii="Arial" w:hAnsi="Arial" w:cs="Arial"/>
                      <w:sz w:val="20"/>
                      <w:szCs w:val="23"/>
                    </w:rPr>
                    <w:t xml:space="preserve"> days at 2 – 8°C </w:t>
                  </w:r>
                </w:p>
              </w:tc>
            </w:tr>
            <w:tr w:rsidR="00A30868" w:rsidTr="00DA376A">
              <w:trPr>
                <w:cantSplit/>
                <w:trHeight w:val="1521"/>
              </w:trPr>
              <w:tc>
                <w:tcPr>
                  <w:tcW w:w="2337" w:type="dxa"/>
                  <w:vAlign w:val="center"/>
                </w:tcPr>
                <w:p w:rsidR="00A30868" w:rsidRDefault="00A30868" w:rsidP="00A30868">
                  <w:pPr>
                    <w:pStyle w:val="Default"/>
                    <w:rPr>
                      <w:rFonts w:ascii="Arial" w:hAnsi="Arial" w:cs="Arial"/>
                      <w:sz w:val="20"/>
                      <w:szCs w:val="23"/>
                    </w:rPr>
                  </w:pPr>
                  <w:r>
                    <w:rPr>
                      <w:rFonts w:ascii="Arial" w:hAnsi="Arial" w:cs="Arial"/>
                      <w:sz w:val="20"/>
                    </w:rPr>
                    <w:t>Stanbio Standard/Calibrator:    1.00 mmol/L of            β-Hydroxybutyrate</w:t>
                  </w:r>
                </w:p>
              </w:tc>
              <w:tc>
                <w:tcPr>
                  <w:tcW w:w="1623" w:type="dxa"/>
                  <w:vAlign w:val="center"/>
                </w:tcPr>
                <w:p w:rsidR="00A30868" w:rsidRDefault="00A30868">
                  <w:pPr>
                    <w:pStyle w:val="Default"/>
                    <w:rPr>
                      <w:rFonts w:ascii="Arial" w:hAnsi="Arial" w:cs="Arial"/>
                      <w:sz w:val="20"/>
                      <w:szCs w:val="23"/>
                    </w:rPr>
                  </w:pPr>
                  <w:r>
                    <w:rPr>
                      <w:rFonts w:ascii="Arial" w:hAnsi="Arial" w:cs="Arial"/>
                      <w:sz w:val="20"/>
                      <w:szCs w:val="23"/>
                    </w:rPr>
                    <w:t>Until printed expiration date at 2 - 8°C</w:t>
                  </w:r>
                </w:p>
              </w:tc>
              <w:tc>
                <w:tcPr>
                  <w:tcW w:w="2227" w:type="dxa"/>
                  <w:vAlign w:val="center"/>
                </w:tcPr>
                <w:p w:rsidR="00A30868" w:rsidRPr="00A30868" w:rsidRDefault="00A30868">
                  <w:pPr>
                    <w:pStyle w:val="Default"/>
                    <w:rPr>
                      <w:rFonts w:ascii="Arial" w:hAnsi="Arial" w:cs="Arial"/>
                      <w:bCs/>
                      <w:color w:val="auto"/>
                      <w:sz w:val="20"/>
                      <w:szCs w:val="23"/>
                    </w:rPr>
                  </w:pPr>
                  <w:r>
                    <w:rPr>
                      <w:rFonts w:ascii="Arial" w:hAnsi="Arial" w:cs="Arial"/>
                      <w:bCs/>
                      <w:color w:val="auto"/>
                      <w:sz w:val="20"/>
                      <w:szCs w:val="23"/>
                    </w:rPr>
                    <w:t>60 Days</w:t>
                  </w:r>
                </w:p>
              </w:tc>
            </w:tr>
          </w:tbl>
          <w:p w:rsidR="002B3054" w:rsidRDefault="00A30868">
            <w:pPr>
              <w:pStyle w:val="Reagents"/>
              <w:rPr>
                <w:rFonts w:ascii="Arial" w:hAnsi="Arial" w:cs="Arial"/>
              </w:rPr>
            </w:pPr>
            <w:r>
              <w:rPr>
                <w:rFonts w:ascii="Arial" w:hAnsi="Arial" w:cs="Arial"/>
              </w:rPr>
              <w:t xml:space="preserve">Do not mix reagents for </w:t>
            </w:r>
            <w:r w:rsidR="002B3054">
              <w:rPr>
                <w:rFonts w:ascii="Arial" w:hAnsi="Arial" w:cs="Arial"/>
                <w:szCs w:val="23"/>
              </w:rPr>
              <w:t>β-hydroxybutyrate between different kits. Use all reagents within the same kit lot together, or discard.</w:t>
            </w:r>
          </w:p>
        </w:tc>
      </w:tr>
      <w:tr w:rsidR="002B3054" w:rsidTr="00865008">
        <w:trPr>
          <w:cantSplit/>
          <w:trHeight w:val="230"/>
          <w:tblHeader/>
        </w:trPr>
        <w:tc>
          <w:tcPr>
            <w:tcW w:w="1890" w:type="dxa"/>
            <w:gridSpan w:val="2"/>
            <w:vMerge/>
          </w:tcPr>
          <w:p w:rsidR="002B3054" w:rsidRDefault="002B3054">
            <w:pPr>
              <w:rPr>
                <w:rFonts w:cs="Arial"/>
                <w:b/>
                <w:bCs/>
                <w:color w:val="0000FF"/>
              </w:rPr>
            </w:pPr>
          </w:p>
        </w:tc>
        <w:tc>
          <w:tcPr>
            <w:tcW w:w="9270" w:type="dxa"/>
            <w:gridSpan w:val="7"/>
            <w:tcBorders>
              <w:top w:val="single" w:sz="4" w:space="0" w:color="auto"/>
              <w:bottom w:val="single" w:sz="18" w:space="0" w:color="A6A6A6"/>
            </w:tcBorders>
          </w:tcPr>
          <w:p w:rsidR="002B3054" w:rsidRDefault="002B3054">
            <w:pPr>
              <w:pStyle w:val="Reagents"/>
              <w:rPr>
                <w:rFonts w:ascii="Arial" w:hAnsi="Arial" w:cs="Arial"/>
              </w:rPr>
            </w:pPr>
          </w:p>
        </w:tc>
      </w:tr>
      <w:tr w:rsidR="002B3054" w:rsidTr="00865008">
        <w:trPr>
          <w:tblHeader/>
        </w:trPr>
        <w:tc>
          <w:tcPr>
            <w:tcW w:w="1890" w:type="dxa"/>
            <w:gridSpan w:val="2"/>
          </w:tcPr>
          <w:p w:rsidR="002B3054" w:rsidRDefault="002B3054">
            <w:pPr>
              <w:rPr>
                <w:rFonts w:cs="Arial"/>
                <w:b/>
                <w:bCs/>
                <w:color w:val="0000FF"/>
              </w:rPr>
            </w:pPr>
            <w:r>
              <w:rPr>
                <w:rFonts w:cs="Arial"/>
                <w:b/>
                <w:bCs/>
                <w:color w:val="0000FF"/>
              </w:rPr>
              <w:t>Risk and Safety</w:t>
            </w:r>
          </w:p>
          <w:p w:rsidR="002B3054" w:rsidRDefault="002B3054">
            <w:pPr>
              <w:rPr>
                <w:rFonts w:cs="Arial"/>
                <w:b/>
                <w:bCs/>
                <w:color w:val="0000FF"/>
              </w:rPr>
            </w:pPr>
          </w:p>
        </w:tc>
        <w:tc>
          <w:tcPr>
            <w:tcW w:w="9270" w:type="dxa"/>
            <w:gridSpan w:val="7"/>
            <w:tcBorders>
              <w:top w:val="single" w:sz="18" w:space="0" w:color="A6A6A6"/>
              <w:bottom w:val="single" w:sz="18" w:space="0" w:color="A6A6A6"/>
            </w:tcBorders>
          </w:tcPr>
          <w:p w:rsidR="002B3054" w:rsidRPr="00865008" w:rsidRDefault="002B3054" w:rsidP="00865008">
            <w:pPr>
              <w:autoSpaceDE w:val="0"/>
              <w:autoSpaceDN w:val="0"/>
              <w:adjustRightInd w:val="0"/>
              <w:rPr>
                <w:rFonts w:cs="Arial"/>
                <w:i/>
                <w:iCs/>
              </w:rPr>
            </w:pPr>
            <w:r>
              <w:rPr>
                <w:rFonts w:cs="Arial"/>
                <w:i/>
                <w:iCs/>
              </w:rPr>
              <w:t>For In Vitro Diagnostic Use Only.</w:t>
            </w:r>
            <w:r w:rsidR="00865008">
              <w:rPr>
                <w:rFonts w:cs="Arial"/>
                <w:i/>
                <w:iCs/>
              </w:rPr>
              <w:t xml:space="preserve">  </w:t>
            </w:r>
            <w:r w:rsidR="00865008">
              <w:rPr>
                <w:rFonts w:cs="Arial"/>
                <w:iCs/>
              </w:rPr>
              <w:t>Th</w:t>
            </w:r>
            <w:r>
              <w:rPr>
                <w:rFonts w:cs="Arial"/>
              </w:rPr>
              <w:t>e reagents contain Sodium Azide (0.095 %) as preservative.</w:t>
            </w:r>
          </w:p>
          <w:p w:rsidR="002B3054" w:rsidRDefault="002B3054">
            <w:pPr>
              <w:pStyle w:val="Reagents"/>
              <w:rPr>
                <w:rFonts w:ascii="Arial" w:hAnsi="Arial" w:cs="Arial"/>
              </w:rPr>
            </w:pPr>
            <w:r>
              <w:rPr>
                <w:rFonts w:ascii="Arial" w:hAnsi="Arial" w:cs="Arial"/>
              </w:rPr>
              <w:t>Do not swallow! Avoid contact with skin and mucous membranes! If this occurs wash immediately with water.</w:t>
            </w:r>
          </w:p>
          <w:p w:rsidR="00865008" w:rsidRDefault="00865008">
            <w:pPr>
              <w:pStyle w:val="Reagents"/>
              <w:rPr>
                <w:rFonts w:ascii="Arial" w:hAnsi="Arial" w:cs="Arial"/>
              </w:rPr>
            </w:pPr>
          </w:p>
        </w:tc>
      </w:tr>
      <w:tr w:rsidR="002B3054" w:rsidTr="00865008">
        <w:trPr>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2B3054">
            <w:pPr>
              <w:pStyle w:val="Default"/>
              <w:rPr>
                <w:rFonts w:ascii="Arial" w:hAnsi="Arial" w:cs="Arial"/>
                <w:color w:val="0000FF"/>
                <w:sz w:val="20"/>
                <w:szCs w:val="23"/>
              </w:rPr>
            </w:pPr>
            <w:r>
              <w:rPr>
                <w:rFonts w:ascii="Arial" w:hAnsi="Arial" w:cs="Arial"/>
                <w:b/>
                <w:bCs/>
                <w:color w:val="0000FF"/>
                <w:sz w:val="20"/>
                <w:szCs w:val="23"/>
              </w:rPr>
              <w:t xml:space="preserve">ACTION </w:t>
            </w:r>
          </w:p>
        </w:tc>
      </w:tr>
      <w:tr w:rsidR="002B3054" w:rsidTr="00865008">
        <w:trPr>
          <w:trHeight w:val="764"/>
          <w:tblHeader/>
        </w:trPr>
        <w:tc>
          <w:tcPr>
            <w:tcW w:w="1800" w:type="dxa"/>
            <w:tcBorders>
              <w:right w:val="single" w:sz="4" w:space="0" w:color="auto"/>
            </w:tcBorders>
          </w:tcPr>
          <w:p w:rsidR="002B3054" w:rsidRDefault="00EA09E3">
            <w:pPr>
              <w:ind w:right="-108"/>
              <w:rPr>
                <w:rFonts w:cs="Arial"/>
                <w:b/>
                <w:bCs/>
                <w:color w:val="0000FF"/>
              </w:rPr>
            </w:pPr>
            <w:r>
              <w:rPr>
                <w:rFonts w:cs="Arial"/>
                <w:b/>
                <w:bCs/>
                <w:color w:val="0000FF"/>
              </w:rPr>
              <w:t xml:space="preserve">Preparing </w:t>
            </w:r>
            <w:r w:rsidR="00AF5FEB">
              <w:rPr>
                <w:rFonts w:cs="Arial"/>
                <w:b/>
                <w:bCs/>
                <w:color w:val="0000FF"/>
              </w:rPr>
              <w:t>and Loading Reagent</w:t>
            </w: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Pr="00EA09E3" w:rsidRDefault="00A30868" w:rsidP="00A30868">
            <w:pPr>
              <w:pStyle w:val="Default"/>
              <w:rPr>
                <w:rFonts w:ascii="Arial" w:hAnsi="Arial" w:cs="Arial"/>
                <w:sz w:val="20"/>
                <w:szCs w:val="23"/>
              </w:rPr>
            </w:pPr>
            <w:r>
              <w:rPr>
                <w:rFonts w:ascii="Arial" w:hAnsi="Arial" w:cs="Arial"/>
                <w:sz w:val="20"/>
                <w:szCs w:val="23"/>
              </w:rPr>
              <w:t>Each Stanbio reagent kit contains reagent for 2 kits.  Use half (25 mL) of the R1 and half (4.25 mL) of the R2 reagents per kit.  Label the box that the kit has been opened using date and initials to signify there is only one kit left in the box.</w:t>
            </w:r>
          </w:p>
        </w:tc>
      </w:tr>
      <w:tr w:rsidR="002B3054" w:rsidTr="00865008">
        <w:trPr>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EA09E3" w:rsidRDefault="00EA09E3" w:rsidP="00EA09E3">
            <w:pPr>
              <w:pStyle w:val="Default"/>
              <w:rPr>
                <w:rFonts w:ascii="Arial" w:hAnsi="Arial" w:cs="Arial"/>
                <w:sz w:val="20"/>
                <w:szCs w:val="23"/>
              </w:rPr>
            </w:pPr>
            <w:r>
              <w:rPr>
                <w:rFonts w:ascii="Arial" w:hAnsi="Arial" w:cs="Arial"/>
                <w:sz w:val="20"/>
                <w:szCs w:val="23"/>
              </w:rPr>
              <w:t>Obtain a 55 mL wedge and a 20 mL wedge for the Abbott Architect c4000.  Label each with the Manufacturer’s printed lot number, onboard stability expiration date (30 days), and the Serial Number entered according to the following scheme:</w:t>
            </w:r>
          </w:p>
          <w:p w:rsidR="002B3054" w:rsidRPr="00855BFC" w:rsidRDefault="00EA09E3" w:rsidP="00EA09E3">
            <w:pPr>
              <w:pStyle w:val="Default"/>
              <w:rPr>
                <w:rFonts w:ascii="Arial" w:hAnsi="Arial" w:cs="Arial"/>
                <w:sz w:val="20"/>
                <w:szCs w:val="23"/>
              </w:rPr>
            </w:pPr>
            <w:r>
              <w:rPr>
                <w:rFonts w:ascii="Arial" w:hAnsi="Arial" w:cs="Arial"/>
                <w:sz w:val="20"/>
                <w:szCs w:val="23"/>
              </w:rPr>
              <w:t xml:space="preserve">Serial number is equal to the current date </w:t>
            </w:r>
            <w:r w:rsidR="00BB5AF9">
              <w:rPr>
                <w:rFonts w:ascii="Arial" w:hAnsi="Arial" w:cs="Arial"/>
                <w:sz w:val="20"/>
                <w:szCs w:val="23"/>
              </w:rPr>
              <w:t>in the four-</w:t>
            </w:r>
            <w:r>
              <w:rPr>
                <w:rFonts w:ascii="Arial" w:hAnsi="Arial" w:cs="Arial"/>
                <w:sz w:val="20"/>
                <w:szCs w:val="23"/>
              </w:rPr>
              <w:t xml:space="preserve">digit format, </w:t>
            </w:r>
            <w:r w:rsidR="00402D27">
              <w:rPr>
                <w:rFonts w:ascii="Arial" w:hAnsi="Arial" w:cs="Arial"/>
                <w:sz w:val="20"/>
                <w:szCs w:val="23"/>
              </w:rPr>
              <w:t xml:space="preserve">MMDD.  For example, the serial number for October 7 is 1007.  </w:t>
            </w:r>
            <w:r>
              <w:rPr>
                <w:rFonts w:ascii="Arial" w:hAnsi="Arial" w:cs="Arial"/>
                <w:sz w:val="20"/>
                <w:szCs w:val="23"/>
              </w:rPr>
              <w:t xml:space="preserve">  </w:t>
            </w:r>
          </w:p>
        </w:tc>
      </w:tr>
      <w:tr w:rsidR="002B3054" w:rsidTr="00865008">
        <w:trPr>
          <w:trHeight w:val="539"/>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Pr="00855BFC" w:rsidRDefault="00402D27" w:rsidP="00402D27">
            <w:pPr>
              <w:pStyle w:val="Default"/>
              <w:rPr>
                <w:rFonts w:ascii="Arial" w:hAnsi="Arial" w:cs="Arial"/>
                <w:sz w:val="20"/>
                <w:szCs w:val="23"/>
              </w:rPr>
            </w:pPr>
            <w:r>
              <w:rPr>
                <w:rFonts w:ascii="Arial" w:hAnsi="Arial" w:cs="Arial"/>
                <w:sz w:val="20"/>
                <w:szCs w:val="23"/>
              </w:rPr>
              <w:t>Label the 55 mL wedge as R1 and the 20 mL wedge as R1.</w:t>
            </w:r>
          </w:p>
        </w:tc>
      </w:tr>
      <w:tr w:rsidR="002B3054" w:rsidTr="00865008">
        <w:trPr>
          <w:trHeight w:val="764"/>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A30868">
            <w:pPr>
              <w:pStyle w:val="Default"/>
              <w:rPr>
                <w:rFonts w:ascii="Arial" w:hAnsi="Arial" w:cs="Arial"/>
                <w:sz w:val="20"/>
                <w:szCs w:val="23"/>
              </w:rPr>
            </w:pPr>
            <w:r>
              <w:rPr>
                <w:rFonts w:ascii="Arial" w:hAnsi="Arial" w:cs="Arial"/>
                <w:sz w:val="20"/>
                <w:szCs w:val="23"/>
              </w:rPr>
              <w:t>Fill the R1 55 mL wedge with 25 mL of R1 reagent, and the R2 20 mL wedge with 4.25 mL.  Ensure there are no bubbles or droplets on the bottle opening or on the surface of the reagent as this will cause erroneous assay results.  Use a pipette to remove them, if necessary.</w:t>
            </w:r>
          </w:p>
        </w:tc>
      </w:tr>
      <w:tr w:rsidR="002B3054" w:rsidTr="00865008">
        <w:trPr>
          <w:trHeight w:val="764"/>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A30868">
            <w:pPr>
              <w:pStyle w:val="Default"/>
              <w:rPr>
                <w:rFonts w:ascii="Arial" w:hAnsi="Arial" w:cs="Arial"/>
                <w:sz w:val="20"/>
                <w:szCs w:val="23"/>
              </w:rPr>
            </w:pPr>
            <w:r>
              <w:rPr>
                <w:rFonts w:ascii="Arial" w:hAnsi="Arial" w:cs="Arial"/>
                <w:sz w:val="20"/>
                <w:szCs w:val="23"/>
              </w:rPr>
              <w:t>Configure the reagent using the procedure outlined in the Abbott Architect c4000 Operating Procedure</w:t>
            </w:r>
            <w:r w:rsidR="00AF5FEB">
              <w:rPr>
                <w:rFonts w:ascii="Arial" w:hAnsi="Arial" w:cs="Arial"/>
                <w:sz w:val="20"/>
                <w:szCs w:val="23"/>
              </w:rPr>
              <w:t xml:space="preserve"> section</w:t>
            </w:r>
            <w:r>
              <w:rPr>
                <w:rFonts w:ascii="Arial" w:hAnsi="Arial" w:cs="Arial"/>
                <w:sz w:val="20"/>
                <w:szCs w:val="23"/>
              </w:rPr>
              <w:t xml:space="preserve"> </w:t>
            </w:r>
            <w:r w:rsidR="00AF5FEB">
              <w:rPr>
                <w:rFonts w:ascii="Arial" w:hAnsi="Arial" w:cs="Arial"/>
                <w:b/>
                <w:bCs/>
                <w:color w:val="0000FF"/>
                <w:sz w:val="20"/>
              </w:rPr>
              <w:t>Configuration of Non-barcoded Reagents and Diluents</w:t>
            </w:r>
            <w:r>
              <w:rPr>
                <w:rFonts w:ascii="Arial" w:hAnsi="Arial" w:cs="Arial"/>
                <w:sz w:val="20"/>
                <w:szCs w:val="23"/>
              </w:rPr>
              <w:t>.</w:t>
            </w:r>
          </w:p>
        </w:tc>
      </w:tr>
      <w:tr w:rsidR="002B3054" w:rsidTr="00865008">
        <w:trPr>
          <w:trHeight w:val="764"/>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A30868">
            <w:pPr>
              <w:pStyle w:val="Default"/>
              <w:rPr>
                <w:rFonts w:ascii="Arial" w:hAnsi="Arial" w:cs="Arial"/>
                <w:sz w:val="20"/>
                <w:szCs w:val="23"/>
              </w:rPr>
            </w:pPr>
            <w:r>
              <w:rPr>
                <w:rFonts w:ascii="Arial" w:hAnsi="Arial" w:cs="Arial"/>
                <w:sz w:val="20"/>
                <w:szCs w:val="23"/>
              </w:rPr>
              <w:t xml:space="preserve">Assign the R1 and R2 reagent locations using the </w:t>
            </w:r>
            <w:r w:rsidR="00CA409B">
              <w:rPr>
                <w:rFonts w:ascii="Arial" w:hAnsi="Arial" w:cs="Arial"/>
                <w:sz w:val="20"/>
                <w:szCs w:val="23"/>
              </w:rPr>
              <w:t xml:space="preserve">CH5.107 </w:t>
            </w:r>
            <w:r>
              <w:rPr>
                <w:rFonts w:ascii="Arial" w:hAnsi="Arial" w:cs="Arial"/>
                <w:sz w:val="20"/>
                <w:szCs w:val="23"/>
              </w:rPr>
              <w:t>Abbott Architect c4000 Ope</w:t>
            </w:r>
            <w:r w:rsidR="00AF5FEB">
              <w:rPr>
                <w:rFonts w:ascii="Arial" w:hAnsi="Arial" w:cs="Arial"/>
                <w:sz w:val="20"/>
                <w:szCs w:val="23"/>
              </w:rPr>
              <w:t>rating Procedure section</w:t>
            </w:r>
            <w:r>
              <w:rPr>
                <w:rFonts w:ascii="Arial" w:hAnsi="Arial" w:cs="Arial"/>
                <w:sz w:val="20"/>
                <w:szCs w:val="23"/>
              </w:rPr>
              <w:t xml:space="preserve"> </w:t>
            </w:r>
            <w:r w:rsidR="00AF5FEB">
              <w:rPr>
                <w:rFonts w:ascii="Arial" w:hAnsi="Arial" w:cs="Arial"/>
                <w:b/>
                <w:bCs/>
                <w:color w:val="0000FF"/>
                <w:sz w:val="20"/>
              </w:rPr>
              <w:t>Loading Non-barcoded Reagent</w:t>
            </w:r>
            <w:r>
              <w:rPr>
                <w:rFonts w:ascii="Arial" w:hAnsi="Arial" w:cs="Arial"/>
                <w:sz w:val="20"/>
                <w:szCs w:val="23"/>
              </w:rPr>
              <w:t>.</w:t>
            </w:r>
          </w:p>
        </w:tc>
      </w:tr>
      <w:tr w:rsidR="002B3054" w:rsidTr="00865008">
        <w:trPr>
          <w:trHeight w:val="764"/>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A30868" w:rsidP="005E11C7">
            <w:pPr>
              <w:pStyle w:val="Default"/>
              <w:rPr>
                <w:rFonts w:ascii="Arial" w:hAnsi="Arial" w:cs="Arial"/>
                <w:sz w:val="20"/>
                <w:szCs w:val="23"/>
              </w:rPr>
            </w:pPr>
            <w:r>
              <w:rPr>
                <w:rFonts w:ascii="Arial" w:hAnsi="Arial" w:cs="Arial"/>
                <w:sz w:val="20"/>
                <w:szCs w:val="23"/>
              </w:rPr>
              <w:t>Place the wedges in the assigned locations as determined in step 6.</w:t>
            </w:r>
          </w:p>
        </w:tc>
      </w:tr>
      <w:tr w:rsidR="002B3054" w:rsidTr="00865008">
        <w:trPr>
          <w:trHeight w:val="764"/>
          <w:tblHeader/>
        </w:trPr>
        <w:tc>
          <w:tcPr>
            <w:tcW w:w="1800" w:type="dxa"/>
            <w:tcBorders>
              <w:right w:val="single" w:sz="4" w:space="0" w:color="auto"/>
            </w:tcBorders>
          </w:tcPr>
          <w:p w:rsidR="002B3054" w:rsidRDefault="002B3054">
            <w:pPr>
              <w:ind w:right="-108"/>
              <w:rPr>
                <w:rFonts w:cs="Arial"/>
                <w:b/>
                <w:bCs/>
                <w:color w:val="0000FF"/>
              </w:rPr>
            </w:pPr>
          </w:p>
        </w:tc>
        <w:tc>
          <w:tcPr>
            <w:tcW w:w="792" w:type="dxa"/>
            <w:gridSpan w:val="2"/>
            <w:tcBorders>
              <w:top w:val="single" w:sz="4" w:space="0" w:color="auto"/>
              <w:left w:val="single" w:sz="4" w:space="0" w:color="auto"/>
              <w:bottom w:val="single" w:sz="4" w:space="0" w:color="auto"/>
              <w:right w:val="single" w:sz="4" w:space="0" w:color="auto"/>
            </w:tcBorders>
          </w:tcPr>
          <w:p w:rsidR="002B3054" w:rsidRDefault="002B3054" w:rsidP="00F9467E">
            <w:pPr>
              <w:pStyle w:val="Default"/>
              <w:numPr>
                <w:ilvl w:val="0"/>
                <w:numId w:val="11"/>
              </w:numPr>
              <w:rPr>
                <w:rFonts w:ascii="Arial" w:hAnsi="Arial" w:cs="Arial"/>
                <w:sz w:val="20"/>
                <w:szCs w:val="23"/>
              </w:rPr>
            </w:pPr>
          </w:p>
        </w:tc>
        <w:tc>
          <w:tcPr>
            <w:tcW w:w="8568" w:type="dxa"/>
            <w:gridSpan w:val="6"/>
            <w:tcBorders>
              <w:top w:val="single" w:sz="4" w:space="0" w:color="auto"/>
              <w:left w:val="single" w:sz="4" w:space="0" w:color="auto"/>
              <w:bottom w:val="single" w:sz="4" w:space="0" w:color="auto"/>
              <w:right w:val="single" w:sz="4" w:space="0" w:color="auto"/>
            </w:tcBorders>
          </w:tcPr>
          <w:p w:rsidR="002B3054" w:rsidRDefault="00A30868" w:rsidP="005E11C7">
            <w:pPr>
              <w:pStyle w:val="Default"/>
              <w:rPr>
                <w:rFonts w:ascii="Arial" w:hAnsi="Arial" w:cs="Arial"/>
                <w:sz w:val="20"/>
                <w:szCs w:val="23"/>
              </w:rPr>
            </w:pPr>
            <w:r>
              <w:rPr>
                <w:rFonts w:ascii="Arial" w:hAnsi="Arial" w:cs="Arial"/>
                <w:sz w:val="20"/>
                <w:szCs w:val="23"/>
              </w:rPr>
              <w:t>Scan reagents, or simply place the analyzer back into Running status.</w:t>
            </w:r>
          </w:p>
        </w:tc>
      </w:tr>
      <w:tr w:rsidR="002B3054" w:rsidTr="00865008">
        <w:trPr>
          <w:tblHeader/>
        </w:trPr>
        <w:tc>
          <w:tcPr>
            <w:tcW w:w="1800" w:type="dxa"/>
          </w:tcPr>
          <w:p w:rsidR="002B3054" w:rsidRDefault="002B3054" w:rsidP="00865008">
            <w:pPr>
              <w:ind w:right="-108"/>
              <w:rPr>
                <w:rFonts w:cs="Arial"/>
                <w:b/>
                <w:bCs/>
                <w:color w:val="0000FF"/>
              </w:rPr>
            </w:pPr>
            <w:r>
              <w:rPr>
                <w:rFonts w:cs="Arial"/>
                <w:b/>
                <w:bCs/>
                <w:color w:val="0000FF"/>
              </w:rPr>
              <w:t>Calibration</w:t>
            </w:r>
          </w:p>
        </w:tc>
        <w:tc>
          <w:tcPr>
            <w:tcW w:w="9360" w:type="dxa"/>
            <w:gridSpan w:val="8"/>
            <w:tcBorders>
              <w:top w:val="single" w:sz="18" w:space="0" w:color="A6A6A6"/>
              <w:bottom w:val="single" w:sz="18" w:space="0" w:color="A6A6A6"/>
            </w:tcBorders>
          </w:tcPr>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72"/>
            </w:tblGrid>
            <w:tr w:rsidR="0052724D" w:rsidTr="0052724D">
              <w:tc>
                <w:tcPr>
                  <w:tcW w:w="9219" w:type="dxa"/>
                  <w:gridSpan w:val="2"/>
                </w:tcPr>
                <w:p w:rsidR="0052724D" w:rsidRDefault="0052724D">
                  <w:pPr>
                    <w:pStyle w:val="CalVerTable"/>
                    <w:ind w:left="0" w:firstLine="0"/>
                    <w:rPr>
                      <w:rFonts w:ascii="Arial" w:eastAsia="HelenPro-Cond" w:hAnsi="Arial" w:cs="Arial"/>
                      <w:szCs w:val="15"/>
                    </w:rPr>
                  </w:pPr>
                </w:p>
              </w:tc>
            </w:tr>
            <w:tr w:rsidR="002B3054" w:rsidTr="0052724D">
              <w:tc>
                <w:tcPr>
                  <w:tcW w:w="2947" w:type="dxa"/>
                </w:tcPr>
                <w:p w:rsidR="002B3054" w:rsidRDefault="002B3054">
                  <w:pPr>
                    <w:pStyle w:val="CalVerTable"/>
                    <w:ind w:left="0" w:firstLine="0"/>
                    <w:rPr>
                      <w:rFonts w:ascii="Arial" w:hAnsi="Arial" w:cs="Arial"/>
                    </w:rPr>
                  </w:pPr>
                  <w:r>
                    <w:rPr>
                      <w:rFonts w:ascii="Arial" w:hAnsi="Arial" w:cs="Arial"/>
                    </w:rPr>
                    <w:t>Assay Range:</w:t>
                  </w:r>
                </w:p>
              </w:tc>
              <w:tc>
                <w:tcPr>
                  <w:tcW w:w="6272" w:type="dxa"/>
                </w:tcPr>
                <w:p w:rsidR="002B3054" w:rsidRDefault="002B3054">
                  <w:pPr>
                    <w:pStyle w:val="CalVerTable"/>
                    <w:ind w:left="0" w:firstLine="0"/>
                    <w:rPr>
                      <w:rFonts w:ascii="Arial" w:hAnsi="Arial" w:cs="Arial"/>
                    </w:rPr>
                  </w:pPr>
                  <w:r>
                    <w:rPr>
                      <w:rFonts w:ascii="Arial" w:eastAsia="HelenPro-Cond" w:hAnsi="Arial" w:cs="Arial"/>
                      <w:szCs w:val="15"/>
                    </w:rPr>
                    <w:t>0.02 – 4.5</w:t>
                  </w:r>
                  <w:r w:rsidR="00402D27">
                    <w:rPr>
                      <w:rFonts w:ascii="Arial" w:eastAsia="HelenPro-Cond" w:hAnsi="Arial" w:cs="Arial"/>
                      <w:szCs w:val="15"/>
                    </w:rPr>
                    <w:t>0</w:t>
                  </w:r>
                  <w:r>
                    <w:rPr>
                      <w:rFonts w:ascii="Arial" w:eastAsia="HelenPro-Cond" w:hAnsi="Arial" w:cs="Arial"/>
                      <w:szCs w:val="15"/>
                    </w:rPr>
                    <w:t xml:space="preserve"> mmol/L</w:t>
                  </w:r>
                </w:p>
              </w:tc>
            </w:tr>
            <w:tr w:rsidR="002B3054" w:rsidTr="0052724D">
              <w:trPr>
                <w:trHeight w:val="629"/>
              </w:trPr>
              <w:tc>
                <w:tcPr>
                  <w:tcW w:w="2947" w:type="dxa"/>
                </w:tcPr>
                <w:p w:rsidR="002B3054" w:rsidRDefault="002B3054">
                  <w:pPr>
                    <w:pStyle w:val="CalVerTable"/>
                    <w:ind w:left="0" w:firstLine="0"/>
                    <w:rPr>
                      <w:rFonts w:ascii="Arial" w:hAnsi="Arial" w:cs="Arial"/>
                    </w:rPr>
                  </w:pPr>
                  <w:r>
                    <w:rPr>
                      <w:rFonts w:ascii="Arial" w:hAnsi="Arial" w:cs="Arial"/>
                    </w:rPr>
                    <w:t>Reference Material:</w:t>
                  </w:r>
                </w:p>
              </w:tc>
              <w:tc>
                <w:tcPr>
                  <w:tcW w:w="6272" w:type="dxa"/>
                  <w:vAlign w:val="center"/>
                </w:tcPr>
                <w:p w:rsidR="002B3054" w:rsidRDefault="002B3054" w:rsidP="00762EA6">
                  <w:pPr>
                    <w:pStyle w:val="Header"/>
                    <w:tabs>
                      <w:tab w:val="clear" w:pos="4320"/>
                      <w:tab w:val="clear" w:pos="8640"/>
                    </w:tabs>
                    <w:autoSpaceDE w:val="0"/>
                    <w:autoSpaceDN w:val="0"/>
                    <w:adjustRightInd w:val="0"/>
                    <w:rPr>
                      <w:rFonts w:cs="Arial"/>
                      <w:szCs w:val="12"/>
                    </w:rPr>
                  </w:pPr>
                  <w:r>
                    <w:rPr>
                      <w:rFonts w:cs="Arial"/>
                      <w:szCs w:val="23"/>
                    </w:rPr>
                    <w:t>Stanbio Laboratory β-hydroxybutyrate LiquiColor</w:t>
                  </w:r>
                  <w:r>
                    <w:rPr>
                      <w:rFonts w:cs="Arial"/>
                      <w:szCs w:val="16"/>
                    </w:rPr>
                    <w:t xml:space="preserve">® </w:t>
                  </w:r>
                  <w:r>
                    <w:rPr>
                      <w:rFonts w:cs="Arial"/>
                      <w:szCs w:val="23"/>
                    </w:rPr>
                    <w:t>Calibration</w:t>
                  </w:r>
                  <w:r w:rsidR="009A15E0">
                    <w:rPr>
                      <w:rFonts w:cs="Arial"/>
                      <w:szCs w:val="23"/>
                    </w:rPr>
                    <w:t xml:space="preserve"> Standard (1.0 </w:t>
                  </w:r>
                  <w:r>
                    <w:rPr>
                      <w:rFonts w:cs="Arial"/>
                      <w:szCs w:val="23"/>
                    </w:rPr>
                    <w:t>mmol/L) Sodium D-3-hydroxybutyrate)</w:t>
                  </w:r>
                </w:p>
              </w:tc>
            </w:tr>
            <w:tr w:rsidR="002B3054" w:rsidTr="0052724D">
              <w:tc>
                <w:tcPr>
                  <w:tcW w:w="2947" w:type="dxa"/>
                </w:tcPr>
                <w:p w:rsidR="002B3054" w:rsidRDefault="002B3054">
                  <w:pPr>
                    <w:pStyle w:val="CalVerTable"/>
                    <w:ind w:left="0" w:firstLine="0"/>
                    <w:rPr>
                      <w:rFonts w:ascii="Arial" w:hAnsi="Arial" w:cs="Arial"/>
                    </w:rPr>
                  </w:pPr>
                  <w:r>
                    <w:rPr>
                      <w:rFonts w:ascii="Arial" w:hAnsi="Arial" w:cs="Arial"/>
                    </w:rPr>
                    <w:t>Suggested Calibration Levels:</w:t>
                  </w:r>
                </w:p>
              </w:tc>
              <w:tc>
                <w:tcPr>
                  <w:tcW w:w="6272" w:type="dxa"/>
                </w:tcPr>
                <w:p w:rsidR="00873DA0" w:rsidRPr="00873DA0" w:rsidRDefault="002B3054" w:rsidP="00873DA0">
                  <w:pPr>
                    <w:pStyle w:val="CalVerTable"/>
                    <w:ind w:left="0" w:firstLine="0"/>
                    <w:rPr>
                      <w:rFonts w:ascii="Arial" w:hAnsi="Arial" w:cs="Arial"/>
                      <w:szCs w:val="23"/>
                    </w:rPr>
                  </w:pPr>
                  <w:r>
                    <w:rPr>
                      <w:rFonts w:ascii="Arial" w:hAnsi="Arial" w:cs="Arial"/>
                      <w:szCs w:val="23"/>
                    </w:rPr>
                    <w:t>0</w:t>
                  </w:r>
                  <w:r w:rsidR="00873DA0">
                    <w:rPr>
                      <w:rFonts w:ascii="Arial" w:hAnsi="Arial" w:cs="Arial"/>
                      <w:szCs w:val="23"/>
                    </w:rPr>
                    <w:t>.0, 1.00</w:t>
                  </w:r>
                </w:p>
              </w:tc>
            </w:tr>
            <w:tr w:rsidR="002B3054" w:rsidTr="0052724D">
              <w:tc>
                <w:tcPr>
                  <w:tcW w:w="2947" w:type="dxa"/>
                </w:tcPr>
                <w:p w:rsidR="002B3054" w:rsidRDefault="002B3054">
                  <w:pPr>
                    <w:pStyle w:val="CalVerTable"/>
                    <w:ind w:left="0" w:firstLine="0"/>
                    <w:rPr>
                      <w:rFonts w:ascii="Arial" w:hAnsi="Arial" w:cs="Arial"/>
                    </w:rPr>
                  </w:pPr>
                  <w:r>
                    <w:rPr>
                      <w:rFonts w:ascii="Arial" w:hAnsi="Arial" w:cs="Arial"/>
                    </w:rPr>
                    <w:t>Calibration Scheme:</w:t>
                  </w:r>
                </w:p>
              </w:tc>
              <w:tc>
                <w:tcPr>
                  <w:tcW w:w="6272" w:type="dxa"/>
                </w:tcPr>
                <w:p w:rsidR="002B3054" w:rsidRDefault="00873DA0">
                  <w:pPr>
                    <w:pStyle w:val="CalVerTable"/>
                    <w:ind w:left="0" w:firstLine="0"/>
                    <w:rPr>
                      <w:rFonts w:ascii="Arial" w:hAnsi="Arial" w:cs="Arial"/>
                    </w:rPr>
                  </w:pPr>
                  <w:r>
                    <w:rPr>
                      <w:rFonts w:ascii="Arial" w:hAnsi="Arial" w:cs="Arial"/>
                    </w:rPr>
                    <w:t>Two</w:t>
                  </w:r>
                  <w:r w:rsidR="002B3054">
                    <w:rPr>
                      <w:rFonts w:ascii="Arial" w:hAnsi="Arial" w:cs="Arial"/>
                    </w:rPr>
                    <w:t xml:space="preserve"> levels in triplicate</w:t>
                  </w:r>
                </w:p>
              </w:tc>
            </w:tr>
            <w:tr w:rsidR="002B3054" w:rsidTr="0052724D">
              <w:tc>
                <w:tcPr>
                  <w:tcW w:w="2947" w:type="dxa"/>
                </w:tcPr>
                <w:p w:rsidR="002B3054" w:rsidRDefault="002B3054">
                  <w:pPr>
                    <w:pStyle w:val="CalVerTable"/>
                    <w:ind w:left="0" w:firstLine="0"/>
                    <w:rPr>
                      <w:rFonts w:ascii="Arial" w:hAnsi="Arial" w:cs="Arial"/>
                    </w:rPr>
                  </w:pPr>
                  <w:r>
                    <w:rPr>
                      <w:rFonts w:ascii="Arial" w:hAnsi="Arial" w:cs="Arial"/>
                    </w:rPr>
                    <w:t>Calibration Frequency:</w:t>
                  </w:r>
                </w:p>
              </w:tc>
              <w:tc>
                <w:tcPr>
                  <w:tcW w:w="6272" w:type="dxa"/>
                </w:tcPr>
                <w:p w:rsidR="002B3054" w:rsidRDefault="002B3054" w:rsidP="00F9467E">
                  <w:pPr>
                    <w:pStyle w:val="Pa11"/>
                    <w:numPr>
                      <w:ilvl w:val="0"/>
                      <w:numId w:val="2"/>
                    </w:numPr>
                    <w:rPr>
                      <w:rFonts w:ascii="Arial" w:hAnsi="Arial" w:cs="Arial"/>
                      <w:color w:val="000000"/>
                      <w:sz w:val="20"/>
                      <w:szCs w:val="14"/>
                    </w:rPr>
                  </w:pPr>
                  <w:r>
                    <w:rPr>
                      <w:rFonts w:ascii="Arial" w:hAnsi="Arial" w:cs="Arial"/>
                      <w:color w:val="000000"/>
                      <w:sz w:val="20"/>
                      <w:szCs w:val="14"/>
                    </w:rPr>
                    <w:t xml:space="preserve">For each new lot of Stanbio </w:t>
                  </w:r>
                  <w:r>
                    <w:rPr>
                      <w:rFonts w:ascii="Arial" w:hAnsi="Arial" w:cs="Arial"/>
                      <w:sz w:val="20"/>
                      <w:szCs w:val="23"/>
                    </w:rPr>
                    <w:t>β-hydroxybutyrate LiquiColor</w:t>
                  </w:r>
                  <w:r>
                    <w:rPr>
                      <w:rFonts w:ascii="Arial" w:hAnsi="Arial" w:cs="Arial"/>
                      <w:sz w:val="20"/>
                      <w:szCs w:val="16"/>
                    </w:rPr>
                    <w:t>® Reagent</w:t>
                  </w:r>
                </w:p>
                <w:p w:rsidR="002B3054" w:rsidRDefault="002B3054" w:rsidP="00F9467E">
                  <w:pPr>
                    <w:numPr>
                      <w:ilvl w:val="0"/>
                      <w:numId w:val="2"/>
                    </w:numPr>
                    <w:rPr>
                      <w:rFonts w:cs="Arial"/>
                    </w:rPr>
                  </w:pPr>
                  <w:r>
                    <w:rPr>
                      <w:rFonts w:cs="Arial"/>
                    </w:rPr>
                    <w:t xml:space="preserve">Every </w:t>
                  </w:r>
                  <w:r w:rsidR="00873DA0">
                    <w:rPr>
                      <w:rFonts w:eastAsia="HelenPro-Cond" w:cs="Arial"/>
                      <w:szCs w:val="15"/>
                    </w:rPr>
                    <w:t>72 Hours</w:t>
                  </w:r>
                </w:p>
                <w:p w:rsidR="002B3054" w:rsidRDefault="002B3054" w:rsidP="00F9467E">
                  <w:pPr>
                    <w:pStyle w:val="Pa11"/>
                    <w:numPr>
                      <w:ilvl w:val="0"/>
                      <w:numId w:val="2"/>
                    </w:numPr>
                    <w:rPr>
                      <w:rFonts w:ascii="Arial" w:hAnsi="Arial" w:cs="Arial"/>
                      <w:color w:val="000000"/>
                      <w:sz w:val="20"/>
                      <w:szCs w:val="14"/>
                    </w:rPr>
                  </w:pPr>
                  <w:r>
                    <w:rPr>
                      <w:rFonts w:ascii="Arial" w:hAnsi="Arial" w:cs="Arial"/>
                      <w:color w:val="000000"/>
                      <w:sz w:val="20"/>
                      <w:szCs w:val="14"/>
                    </w:rPr>
                    <w:t>After major maintenance or service, if indicated by quality control results</w:t>
                  </w:r>
                </w:p>
                <w:p w:rsidR="002B3054" w:rsidRDefault="002B3054" w:rsidP="00F9467E">
                  <w:pPr>
                    <w:pStyle w:val="Pa11"/>
                    <w:numPr>
                      <w:ilvl w:val="0"/>
                      <w:numId w:val="2"/>
                    </w:numPr>
                    <w:rPr>
                      <w:rFonts w:ascii="Arial" w:hAnsi="Arial" w:cs="Arial"/>
                      <w:color w:val="000000"/>
                      <w:sz w:val="20"/>
                      <w:szCs w:val="14"/>
                    </w:rPr>
                  </w:pPr>
                  <w:r>
                    <w:rPr>
                      <w:rFonts w:ascii="Arial" w:hAnsi="Arial" w:cs="Arial"/>
                      <w:color w:val="000000"/>
                      <w:sz w:val="20"/>
                      <w:szCs w:val="14"/>
                    </w:rPr>
                    <w:t xml:space="preserve">As indicated in laboratory quality control procedures </w:t>
                  </w:r>
                </w:p>
                <w:p w:rsidR="002B3054" w:rsidRDefault="002B3054" w:rsidP="00F9467E">
                  <w:pPr>
                    <w:pStyle w:val="Pa20"/>
                    <w:numPr>
                      <w:ilvl w:val="0"/>
                      <w:numId w:val="2"/>
                    </w:numPr>
                    <w:rPr>
                      <w:rFonts w:ascii="Arial" w:hAnsi="Arial" w:cs="Arial"/>
                      <w:color w:val="000000"/>
                      <w:sz w:val="20"/>
                      <w:szCs w:val="14"/>
                    </w:rPr>
                  </w:pPr>
                  <w:r>
                    <w:rPr>
                      <w:rFonts w:ascii="Arial" w:hAnsi="Arial" w:cs="Arial"/>
                      <w:color w:val="000000"/>
                      <w:sz w:val="20"/>
                      <w:szCs w:val="14"/>
                    </w:rPr>
                    <w:t>When required by government regulations</w:t>
                  </w:r>
                </w:p>
                <w:p w:rsidR="002B3054" w:rsidRDefault="002B3054">
                  <w:pPr>
                    <w:autoSpaceDE w:val="0"/>
                    <w:autoSpaceDN w:val="0"/>
                    <w:adjustRightInd w:val="0"/>
                    <w:rPr>
                      <w:rFonts w:cs="Arial"/>
                    </w:rPr>
                  </w:pPr>
                </w:p>
              </w:tc>
            </w:tr>
            <w:tr w:rsidR="002B3054" w:rsidTr="0052724D">
              <w:tc>
                <w:tcPr>
                  <w:tcW w:w="2947" w:type="dxa"/>
                </w:tcPr>
                <w:p w:rsidR="002B3054" w:rsidRDefault="002B3054">
                  <w:pPr>
                    <w:rPr>
                      <w:rFonts w:cs="Arial"/>
                    </w:rPr>
                  </w:pPr>
                  <w:r>
                    <w:rPr>
                      <w:rFonts w:cs="Arial"/>
                    </w:rPr>
                    <w:t>Assigned Coefficients:</w:t>
                  </w:r>
                </w:p>
              </w:tc>
              <w:tc>
                <w:tcPr>
                  <w:tcW w:w="6272" w:type="dxa"/>
                </w:tcPr>
                <w:p w:rsidR="002B3054" w:rsidRDefault="002B3054">
                  <w:pPr>
                    <w:rPr>
                      <w:rFonts w:cs="Arial"/>
                    </w:rPr>
                  </w:pPr>
                  <w:r>
                    <w:rPr>
                      <w:rFonts w:cs="Arial"/>
                    </w:rPr>
                    <w:t>C0  0.000     C1  1.000</w:t>
                  </w:r>
                </w:p>
              </w:tc>
            </w:tr>
            <w:tr w:rsidR="002B3054" w:rsidTr="0052724D">
              <w:trPr>
                <w:trHeight w:val="1394"/>
              </w:trPr>
              <w:tc>
                <w:tcPr>
                  <w:tcW w:w="2947" w:type="dxa"/>
                </w:tcPr>
                <w:p w:rsidR="002B3054" w:rsidRDefault="002B3054">
                  <w:pPr>
                    <w:rPr>
                      <w:rFonts w:cs="Arial"/>
                    </w:rPr>
                  </w:pPr>
                  <w:r>
                    <w:rPr>
                      <w:rFonts w:cs="Arial"/>
                    </w:rPr>
                    <w:t>Analytical Measuring Range</w:t>
                  </w:r>
                </w:p>
              </w:tc>
              <w:tc>
                <w:tcPr>
                  <w:tcW w:w="6272" w:type="dxa"/>
                  <w:vAlign w:val="center"/>
                </w:tcPr>
                <w:p w:rsidR="002B3054" w:rsidRDefault="002B3054" w:rsidP="00766EE6">
                  <w:pPr>
                    <w:rPr>
                      <w:rFonts w:eastAsia="HelenPro-Cond" w:cs="Arial"/>
                      <w:szCs w:val="15"/>
                    </w:rPr>
                  </w:pPr>
                  <w:r>
                    <w:rPr>
                      <w:rFonts w:eastAsia="HelenPro-Cond" w:cs="Arial"/>
                      <w:szCs w:val="15"/>
                    </w:rPr>
                    <w:t xml:space="preserve">0.02 – </w:t>
                  </w:r>
                  <w:r w:rsidR="002C0FC4">
                    <w:rPr>
                      <w:rFonts w:eastAsia="HelenPro-Cond" w:cs="Arial"/>
                      <w:szCs w:val="15"/>
                    </w:rPr>
                    <w:t>4.5</w:t>
                  </w:r>
                  <w:r w:rsidR="00402D27">
                    <w:rPr>
                      <w:rFonts w:eastAsia="HelenPro-Cond" w:cs="Arial"/>
                      <w:szCs w:val="15"/>
                    </w:rPr>
                    <w:t>0</w:t>
                  </w:r>
                  <w:r>
                    <w:rPr>
                      <w:rFonts w:eastAsia="HelenPro-Cond" w:cs="Arial"/>
                      <w:szCs w:val="15"/>
                    </w:rPr>
                    <w:t xml:space="preserve"> mmol/L</w:t>
                  </w:r>
                </w:p>
                <w:p w:rsidR="002B3054" w:rsidRDefault="002B3054" w:rsidP="00766EE6">
                  <w:pPr>
                    <w:rPr>
                      <w:rFonts w:cs="Arial"/>
                      <w:szCs w:val="30"/>
                    </w:rPr>
                  </w:pPr>
                  <w:r>
                    <w:rPr>
                      <w:rFonts w:eastAsia="HelenPro-Cond" w:cs="Arial"/>
                      <w:szCs w:val="15"/>
                    </w:rPr>
                    <w:t xml:space="preserve">Verify the AMR once every 6 months with </w:t>
                  </w:r>
                  <w:r w:rsidR="00402D27">
                    <w:rPr>
                      <w:rFonts w:eastAsia="HelenPro-Cond" w:cs="Arial"/>
                      <w:szCs w:val="15"/>
                    </w:rPr>
                    <w:t>Audit Microcontrols Product #</w:t>
                  </w:r>
                  <w:r w:rsidR="00402D27">
                    <w:rPr>
                      <w:rFonts w:cs="Arial"/>
                      <w:szCs w:val="30"/>
                    </w:rPr>
                    <w:t>K728M-5,</w:t>
                  </w:r>
                  <w:r w:rsidR="00402D27" w:rsidRPr="00402D27">
                    <w:rPr>
                      <w:rFonts w:cs="Arial"/>
                      <w:szCs w:val="30"/>
                    </w:rPr>
                    <w:t xml:space="preserve"> Linearity LQ Beta-Hydroxybutyric Acid</w:t>
                  </w:r>
                  <w:r w:rsidR="00402D27">
                    <w:rPr>
                      <w:rFonts w:cs="Arial"/>
                      <w:szCs w:val="30"/>
                    </w:rPr>
                    <w:t>.</w:t>
                  </w:r>
                </w:p>
                <w:p w:rsidR="00766EE6" w:rsidRPr="00762EA6" w:rsidRDefault="00766EE6" w:rsidP="00F9467E">
                  <w:pPr>
                    <w:numPr>
                      <w:ilvl w:val="0"/>
                      <w:numId w:val="12"/>
                    </w:numPr>
                    <w:rPr>
                      <w:rFonts w:cs="Arial"/>
                      <w:szCs w:val="30"/>
                    </w:rPr>
                  </w:pPr>
                  <w:r>
                    <w:rPr>
                      <w:rFonts w:cs="Arial"/>
                      <w:szCs w:val="30"/>
                    </w:rPr>
                    <w:t>Run</w:t>
                  </w:r>
                  <w:r w:rsidR="002B3054">
                    <w:rPr>
                      <w:rFonts w:cs="Arial"/>
                      <w:szCs w:val="30"/>
                    </w:rPr>
                    <w:t xml:space="preserve"> </w:t>
                  </w:r>
                  <w:r w:rsidR="00402D27">
                    <w:rPr>
                      <w:rFonts w:cs="Arial"/>
                      <w:szCs w:val="30"/>
                    </w:rPr>
                    <w:t>all 5</w:t>
                  </w:r>
                  <w:r w:rsidR="002B3054">
                    <w:rPr>
                      <w:rFonts w:cs="Arial"/>
                      <w:szCs w:val="30"/>
                    </w:rPr>
                    <w:t xml:space="preserve"> standards</w:t>
                  </w:r>
                  <w:r w:rsidR="002C0FC4">
                    <w:rPr>
                      <w:rFonts w:cs="Arial"/>
                      <w:szCs w:val="30"/>
                    </w:rPr>
                    <w:t xml:space="preserve"> </w:t>
                  </w:r>
                  <w:r w:rsidR="002C0FC4" w:rsidRPr="00766EE6">
                    <w:rPr>
                      <w:rFonts w:cs="Arial"/>
                      <w:b/>
                      <w:szCs w:val="30"/>
                    </w:rPr>
                    <w:t>in triplicate</w:t>
                  </w:r>
                  <w:r w:rsidR="002B3054">
                    <w:rPr>
                      <w:rFonts w:cs="Arial"/>
                      <w:szCs w:val="30"/>
                    </w:rPr>
                    <w:t xml:space="preserve"> as </w:t>
                  </w:r>
                  <w:r w:rsidR="00402D27">
                    <w:rPr>
                      <w:rFonts w:cs="Arial"/>
                      <w:szCs w:val="30"/>
                    </w:rPr>
                    <w:t xml:space="preserve">patient samples.  </w:t>
                  </w:r>
                  <w:r w:rsidR="00402D27" w:rsidRPr="00DC7421">
                    <w:rPr>
                      <w:rFonts w:cs="Arial"/>
                      <w:szCs w:val="20"/>
                    </w:rPr>
                    <w:t xml:space="preserve">Assay results </w:t>
                  </w:r>
                  <w:r w:rsidR="00402D27">
                    <w:rPr>
                      <w:rFonts w:cs="Arial"/>
                      <w:szCs w:val="20"/>
                    </w:rPr>
                    <w:t>are submitted to Audit Microcontrols</w:t>
                  </w:r>
                  <w:r w:rsidR="00402D27" w:rsidRPr="00DC7421">
                    <w:rPr>
                      <w:rFonts w:cs="Arial"/>
                      <w:szCs w:val="20"/>
                    </w:rPr>
                    <w:t xml:space="preserve"> for compilation and comparison to peers.  Results are reviewed and approved by the Technical Specialist.  Any questionable results are investigated and corrective actions documented.</w:t>
                  </w:r>
                </w:p>
              </w:tc>
            </w:tr>
          </w:tbl>
          <w:p w:rsidR="002B3054" w:rsidRDefault="002B3054">
            <w:pPr>
              <w:rPr>
                <w:rFonts w:cs="Arial"/>
              </w:rPr>
            </w:pPr>
          </w:p>
        </w:tc>
      </w:tr>
      <w:tr w:rsidR="002B3054" w:rsidTr="00865008">
        <w:trPr>
          <w:trHeight w:val="5904"/>
          <w:tblHeader/>
        </w:trPr>
        <w:tc>
          <w:tcPr>
            <w:tcW w:w="1800" w:type="dxa"/>
          </w:tcPr>
          <w:p w:rsidR="002B3054" w:rsidRDefault="002B3054">
            <w:pPr>
              <w:ind w:right="-108"/>
              <w:rPr>
                <w:rFonts w:cs="Arial"/>
                <w:b/>
                <w:bCs/>
                <w:color w:val="0000FF"/>
              </w:rPr>
            </w:pPr>
            <w:r>
              <w:rPr>
                <w:rFonts w:cs="Arial"/>
                <w:b/>
                <w:bCs/>
                <w:color w:val="0000FF"/>
              </w:rPr>
              <w:lastRenderedPageBreak/>
              <w:t>Quality Control</w:t>
            </w:r>
          </w:p>
        </w:tc>
        <w:tc>
          <w:tcPr>
            <w:tcW w:w="9360" w:type="dxa"/>
            <w:gridSpan w:val="8"/>
            <w:tcBorders>
              <w:top w:val="single" w:sz="18" w:space="0" w:color="A6A6A6"/>
              <w:bottom w:val="single" w:sz="18" w:space="0" w:color="A6A6A6"/>
            </w:tcBorders>
          </w:tcPr>
          <w:p w:rsidR="00850752" w:rsidRDefault="002B3054">
            <w:pPr>
              <w:autoSpaceDE w:val="0"/>
              <w:autoSpaceDN w:val="0"/>
              <w:adjustRightInd w:val="0"/>
              <w:rPr>
                <w:rFonts w:cs="Arial"/>
              </w:rPr>
            </w:pPr>
            <w:r>
              <w:rPr>
                <w:rFonts w:cs="Arial"/>
                <w:szCs w:val="23"/>
              </w:rPr>
              <w:t xml:space="preserve">Stanbio Laboratory </w:t>
            </w:r>
            <w:r>
              <w:rPr>
                <w:rFonts w:cs="Arial"/>
              </w:rPr>
              <w:t>TDM/β-Hydroxybutyrate</w:t>
            </w:r>
            <w:r w:rsidR="00C77EC2">
              <w:rPr>
                <w:rFonts w:cs="Arial"/>
              </w:rPr>
              <w:t xml:space="preserve"> Tri-Level Controls(Cat. 2460-605</w:t>
            </w:r>
            <w:r>
              <w:rPr>
                <w:rFonts w:cs="Arial"/>
              </w:rPr>
              <w:t>)</w:t>
            </w:r>
          </w:p>
          <w:p w:rsidR="002B3054" w:rsidRDefault="002B3054">
            <w:pPr>
              <w:pStyle w:val="Default"/>
              <w:rPr>
                <w:rFonts w:ascii="Arial" w:hAnsi="Arial" w:cs="Arial"/>
                <w:sz w:val="20"/>
                <w:szCs w:val="23"/>
              </w:rPr>
            </w:pPr>
          </w:p>
          <w:p w:rsidR="002B3054" w:rsidRDefault="002B3054">
            <w:pPr>
              <w:pStyle w:val="Default"/>
              <w:rPr>
                <w:rFonts w:ascii="Arial" w:hAnsi="Arial" w:cs="Arial"/>
                <w:sz w:val="20"/>
                <w:szCs w:val="23"/>
              </w:rPr>
            </w:pPr>
            <w:r>
              <w:rPr>
                <w:rFonts w:ascii="Arial" w:hAnsi="Arial" w:cs="Arial"/>
                <w:b/>
                <w:bCs/>
                <w:sz w:val="20"/>
                <w:szCs w:val="23"/>
              </w:rPr>
              <w:t>Frequency</w:t>
            </w:r>
            <w:r>
              <w:rPr>
                <w:rFonts w:ascii="Arial" w:hAnsi="Arial" w:cs="Arial"/>
                <w:sz w:val="20"/>
                <w:szCs w:val="23"/>
              </w:rPr>
              <w:t xml:space="preserve">: </w:t>
            </w:r>
          </w:p>
          <w:p w:rsidR="002B3054" w:rsidRDefault="002B3054" w:rsidP="00F9467E">
            <w:pPr>
              <w:pStyle w:val="Default"/>
              <w:numPr>
                <w:ilvl w:val="0"/>
                <w:numId w:val="6"/>
              </w:numPr>
              <w:rPr>
                <w:rFonts w:ascii="Arial" w:hAnsi="Arial" w:cs="Arial"/>
                <w:sz w:val="20"/>
                <w:szCs w:val="23"/>
              </w:rPr>
            </w:pPr>
            <w:r>
              <w:rPr>
                <w:rFonts w:ascii="Arial" w:hAnsi="Arial" w:cs="Arial"/>
                <w:sz w:val="20"/>
                <w:szCs w:val="23"/>
              </w:rPr>
              <w:t xml:space="preserve">Two levels of controls must be run every 24 hours </w:t>
            </w:r>
          </w:p>
          <w:p w:rsidR="002B3054" w:rsidRDefault="00EB0489" w:rsidP="00F9467E">
            <w:pPr>
              <w:pStyle w:val="Default"/>
              <w:numPr>
                <w:ilvl w:val="0"/>
                <w:numId w:val="6"/>
              </w:numPr>
              <w:rPr>
                <w:rFonts w:ascii="Arial" w:hAnsi="Arial" w:cs="Arial"/>
                <w:sz w:val="20"/>
                <w:szCs w:val="23"/>
              </w:rPr>
            </w:pPr>
            <w:r>
              <w:rPr>
                <w:rFonts w:ascii="Arial" w:hAnsi="Arial" w:cs="Arial"/>
                <w:sz w:val="20"/>
                <w:szCs w:val="23"/>
              </w:rPr>
              <w:t>When</w:t>
            </w:r>
            <w:r w:rsidR="006252D1">
              <w:rPr>
                <w:rFonts w:ascii="Arial" w:hAnsi="Arial" w:cs="Arial"/>
                <w:sz w:val="20"/>
                <w:szCs w:val="23"/>
              </w:rPr>
              <w:t xml:space="preserve"> loading a new set of</w:t>
            </w:r>
            <w:r w:rsidR="002B3054">
              <w:rPr>
                <w:rFonts w:ascii="Arial" w:hAnsi="Arial" w:cs="Arial"/>
                <w:sz w:val="20"/>
                <w:szCs w:val="23"/>
              </w:rPr>
              <w:t xml:space="preserve"> reagent cartridge</w:t>
            </w:r>
            <w:r w:rsidR="006252D1">
              <w:rPr>
                <w:rFonts w:ascii="Arial" w:hAnsi="Arial" w:cs="Arial"/>
                <w:sz w:val="20"/>
                <w:szCs w:val="23"/>
              </w:rPr>
              <w:t>s</w:t>
            </w:r>
            <w:r w:rsidR="002B3054">
              <w:rPr>
                <w:rFonts w:ascii="Arial" w:hAnsi="Arial" w:cs="Arial"/>
                <w:sz w:val="20"/>
                <w:szCs w:val="23"/>
              </w:rPr>
              <w:t xml:space="preserve"> </w:t>
            </w:r>
          </w:p>
          <w:p w:rsidR="002B3054" w:rsidRDefault="002B3054" w:rsidP="00F9467E">
            <w:pPr>
              <w:pStyle w:val="Default"/>
              <w:numPr>
                <w:ilvl w:val="0"/>
                <w:numId w:val="6"/>
              </w:numPr>
              <w:rPr>
                <w:rFonts w:ascii="Arial" w:hAnsi="Arial" w:cs="Arial"/>
                <w:sz w:val="20"/>
                <w:szCs w:val="23"/>
              </w:rPr>
            </w:pPr>
            <w:r>
              <w:rPr>
                <w:rFonts w:ascii="Arial" w:hAnsi="Arial" w:cs="Arial"/>
                <w:sz w:val="20"/>
                <w:szCs w:val="23"/>
              </w:rPr>
              <w:t xml:space="preserve">After calibration </w:t>
            </w:r>
          </w:p>
          <w:p w:rsidR="002B3054" w:rsidRDefault="002B3054" w:rsidP="00F9467E">
            <w:pPr>
              <w:pStyle w:val="Default"/>
              <w:numPr>
                <w:ilvl w:val="0"/>
                <w:numId w:val="6"/>
              </w:numPr>
              <w:rPr>
                <w:rFonts w:ascii="Arial" w:hAnsi="Arial" w:cs="Arial"/>
                <w:sz w:val="20"/>
                <w:szCs w:val="23"/>
              </w:rPr>
            </w:pPr>
            <w:r>
              <w:rPr>
                <w:rFonts w:ascii="Arial" w:hAnsi="Arial" w:cs="Arial"/>
                <w:sz w:val="20"/>
                <w:szCs w:val="23"/>
              </w:rPr>
              <w:t xml:space="preserve">After any major maintenance/ repairs have been performed on the analyzer </w:t>
            </w:r>
          </w:p>
          <w:p w:rsidR="00EB0489" w:rsidRDefault="00EB0489" w:rsidP="00F9467E">
            <w:pPr>
              <w:pStyle w:val="Default"/>
              <w:numPr>
                <w:ilvl w:val="0"/>
                <w:numId w:val="6"/>
              </w:numPr>
              <w:rPr>
                <w:rFonts w:ascii="Arial" w:hAnsi="Arial" w:cs="Arial"/>
                <w:sz w:val="20"/>
                <w:szCs w:val="23"/>
              </w:rPr>
            </w:pPr>
            <w:r>
              <w:rPr>
                <w:rFonts w:ascii="Arial" w:hAnsi="Arial" w:cs="Arial"/>
                <w:sz w:val="20"/>
                <w:szCs w:val="23"/>
              </w:rPr>
              <w:t>When questionable results are obtained</w:t>
            </w:r>
          </w:p>
          <w:p w:rsidR="002B3054" w:rsidRDefault="002B3054">
            <w:pPr>
              <w:pStyle w:val="Default"/>
              <w:rPr>
                <w:rFonts w:ascii="Arial" w:hAnsi="Arial" w:cs="Arial"/>
                <w:sz w:val="20"/>
                <w:szCs w:val="23"/>
              </w:rPr>
            </w:pPr>
          </w:p>
          <w:p w:rsidR="002B3054" w:rsidRDefault="002B3054">
            <w:pPr>
              <w:autoSpaceDE w:val="0"/>
              <w:autoSpaceDN w:val="0"/>
              <w:adjustRightInd w:val="0"/>
              <w:rPr>
                <w:rFonts w:cs="Arial"/>
                <w:szCs w:val="18"/>
              </w:rPr>
            </w:pPr>
            <w:r>
              <w:rPr>
                <w:rFonts w:cs="Arial"/>
                <w:b/>
                <w:bCs/>
                <w:szCs w:val="18"/>
              </w:rPr>
              <w:t xml:space="preserve">Storage and Stability: </w:t>
            </w:r>
          </w:p>
          <w:p w:rsidR="002B3054" w:rsidRDefault="002B3054">
            <w:pPr>
              <w:autoSpaceDE w:val="0"/>
              <w:autoSpaceDN w:val="0"/>
              <w:adjustRightInd w:val="0"/>
              <w:spacing w:after="120"/>
              <w:rPr>
                <w:rFonts w:cs="Arial"/>
                <w:szCs w:val="18"/>
              </w:rPr>
            </w:pPr>
            <w:r>
              <w:rPr>
                <w:rFonts w:cs="Arial"/>
                <w:b/>
                <w:bCs/>
                <w:szCs w:val="18"/>
              </w:rPr>
              <w:t>Unopened:</w:t>
            </w:r>
            <w:r>
              <w:rPr>
                <w:rFonts w:cs="Arial"/>
                <w:szCs w:val="18"/>
              </w:rPr>
              <w:t xml:space="preserve"> 2°- 8°C until expiration date on label.</w:t>
            </w:r>
          </w:p>
          <w:p w:rsidR="002B3054" w:rsidRDefault="002B3054">
            <w:pPr>
              <w:pStyle w:val="TableText"/>
              <w:adjustRightInd w:val="0"/>
              <w:spacing w:after="120"/>
              <w:rPr>
                <w:rFonts w:ascii="Arial" w:hAnsi="Arial" w:cs="Arial"/>
                <w:szCs w:val="18"/>
              </w:rPr>
            </w:pPr>
            <w:r>
              <w:rPr>
                <w:rFonts w:ascii="Arial" w:hAnsi="Arial" w:cs="Arial"/>
                <w:b/>
                <w:bCs/>
                <w:szCs w:val="18"/>
              </w:rPr>
              <w:t>Open:</w:t>
            </w:r>
            <w:r>
              <w:rPr>
                <w:rFonts w:ascii="Arial" w:hAnsi="Arial" w:cs="Arial"/>
                <w:szCs w:val="18"/>
              </w:rPr>
              <w:t xml:space="preserve"> stable for 60 days at 2°- 8°C</w:t>
            </w:r>
          </w:p>
          <w:p w:rsidR="002B3054" w:rsidRDefault="002B3054">
            <w:pPr>
              <w:autoSpaceDE w:val="0"/>
              <w:autoSpaceDN w:val="0"/>
              <w:adjustRightInd w:val="0"/>
              <w:spacing w:after="120"/>
              <w:rPr>
                <w:rFonts w:cs="Arial"/>
                <w:szCs w:val="18"/>
              </w:rPr>
            </w:pPr>
            <w:r>
              <w:rPr>
                <w:rFonts w:cs="Arial"/>
                <w:szCs w:val="18"/>
              </w:rPr>
              <w:t>Discard if turbidity or any change in appearance occurs.</w:t>
            </w:r>
          </w:p>
          <w:p w:rsidR="002B3054" w:rsidRDefault="002B3054">
            <w:pPr>
              <w:autoSpaceDE w:val="0"/>
              <w:autoSpaceDN w:val="0"/>
              <w:adjustRightInd w:val="0"/>
              <w:spacing w:after="120"/>
              <w:rPr>
                <w:rFonts w:cs="Arial"/>
                <w:b/>
                <w:bCs/>
                <w:szCs w:val="18"/>
              </w:rPr>
            </w:pPr>
            <w:r>
              <w:rPr>
                <w:rFonts w:cs="Arial"/>
                <w:b/>
                <w:bCs/>
                <w:szCs w:val="18"/>
              </w:rPr>
              <w:t>Procedure</w:t>
            </w:r>
          </w:p>
          <w:p w:rsidR="002B3054" w:rsidRDefault="002B3054">
            <w:pPr>
              <w:spacing w:after="120"/>
              <w:rPr>
                <w:rFonts w:cs="Arial"/>
                <w:b/>
                <w:bCs/>
              </w:rPr>
            </w:pPr>
            <w:r>
              <w:rPr>
                <w:rFonts w:cs="Arial"/>
              </w:rPr>
              <w:t>Gently mix the control solution by inversion. The control is ready for use and should be treated in the same manner as a patient test sample. Replace plug and cap and store at 2°- 8°C. Use only as directed.</w:t>
            </w:r>
          </w:p>
          <w:p w:rsidR="00EB0489" w:rsidRDefault="00CA409B">
            <w:pPr>
              <w:ind w:right="-108"/>
              <w:rPr>
                <w:rFonts w:cs="Arial"/>
                <w:b/>
                <w:bCs/>
              </w:rPr>
            </w:pPr>
            <w:r>
              <w:rPr>
                <w:rFonts w:cs="Arial"/>
                <w:b/>
                <w:bCs/>
              </w:rPr>
              <w:t xml:space="preserve">Unity </w:t>
            </w:r>
            <w:r w:rsidR="009A15E0">
              <w:rPr>
                <w:rFonts w:cs="Arial"/>
                <w:b/>
                <w:bCs/>
              </w:rPr>
              <w:t>Real Time</w:t>
            </w:r>
            <w:r>
              <w:rPr>
                <w:rFonts w:cs="Arial"/>
                <w:b/>
                <w:bCs/>
              </w:rPr>
              <w:t xml:space="preserve"> </w:t>
            </w:r>
            <w:r w:rsidR="002B3054">
              <w:rPr>
                <w:rFonts w:cs="Arial"/>
                <w:b/>
                <w:bCs/>
              </w:rPr>
              <w:t xml:space="preserve">Control names: </w:t>
            </w:r>
          </w:p>
          <w:p w:rsidR="00EB0489" w:rsidRDefault="00850752">
            <w:pPr>
              <w:ind w:right="-108"/>
              <w:rPr>
                <w:rFonts w:cs="Arial"/>
              </w:rPr>
            </w:pPr>
            <w:r>
              <w:rPr>
                <w:rFonts w:cs="Arial"/>
              </w:rPr>
              <w:t>Level 1 = BH</w:t>
            </w:r>
            <w:r w:rsidR="0052724D">
              <w:rPr>
                <w:rFonts w:cs="Arial"/>
              </w:rPr>
              <w:t>O</w:t>
            </w:r>
            <w:r>
              <w:rPr>
                <w:rFonts w:cs="Arial"/>
              </w:rPr>
              <w:t>BLO</w:t>
            </w:r>
            <w:r w:rsidR="0052724D">
              <w:rPr>
                <w:rFonts w:cs="Arial"/>
              </w:rPr>
              <w:t>W</w:t>
            </w:r>
            <w:r w:rsidR="00CA409B">
              <w:rPr>
                <w:rFonts w:cs="Arial"/>
              </w:rPr>
              <w:t>XXXXXX</w:t>
            </w:r>
          </w:p>
          <w:p w:rsidR="002B3054" w:rsidRDefault="00850752">
            <w:pPr>
              <w:ind w:right="-108"/>
              <w:rPr>
                <w:rFonts w:cs="Arial"/>
              </w:rPr>
            </w:pPr>
            <w:r>
              <w:rPr>
                <w:rFonts w:cs="Arial"/>
              </w:rPr>
              <w:t>Level 3 = BH</w:t>
            </w:r>
            <w:r w:rsidR="0052724D">
              <w:rPr>
                <w:rFonts w:cs="Arial"/>
              </w:rPr>
              <w:t>O</w:t>
            </w:r>
            <w:r>
              <w:rPr>
                <w:rFonts w:cs="Arial"/>
              </w:rPr>
              <w:t>BHI</w:t>
            </w:r>
            <w:r w:rsidR="0052724D">
              <w:rPr>
                <w:rFonts w:cs="Arial"/>
              </w:rPr>
              <w:t>GH</w:t>
            </w:r>
            <w:r w:rsidR="00CA409B">
              <w:rPr>
                <w:rFonts w:cs="Arial"/>
              </w:rPr>
              <w:t>XXXXXX</w:t>
            </w:r>
          </w:p>
          <w:p w:rsidR="00CA409B" w:rsidRDefault="00CA409B">
            <w:pPr>
              <w:ind w:right="-108"/>
              <w:rPr>
                <w:rFonts w:cs="Arial"/>
              </w:rPr>
            </w:pPr>
            <w:r>
              <w:rPr>
                <w:rFonts w:cs="Arial"/>
              </w:rPr>
              <w:t>Where XXXXXX represents the manufacturer’s master lot number.</w:t>
            </w:r>
          </w:p>
          <w:p w:rsidR="00CA409B" w:rsidRDefault="00CA409B">
            <w:pPr>
              <w:ind w:right="-108"/>
              <w:rPr>
                <w:rFonts w:cs="Arial"/>
              </w:rPr>
            </w:pPr>
          </w:p>
          <w:p w:rsidR="00850752" w:rsidRDefault="00850752">
            <w:pPr>
              <w:ind w:right="-108"/>
              <w:rPr>
                <w:rFonts w:cs="Arial"/>
              </w:rPr>
            </w:pPr>
            <w:r w:rsidRPr="00CA409B">
              <w:rPr>
                <w:rFonts w:cs="Arial"/>
                <w:b/>
              </w:rPr>
              <w:t>NOTE</w:t>
            </w:r>
            <w:r>
              <w:rPr>
                <w:rFonts w:cs="Arial"/>
              </w:rPr>
              <w:t xml:space="preserve">: High QC is “Level 2” in Unity </w:t>
            </w:r>
            <w:r w:rsidR="009A15E0">
              <w:rPr>
                <w:rFonts w:cs="Arial"/>
              </w:rPr>
              <w:t>Real Time</w:t>
            </w:r>
            <w:r>
              <w:rPr>
                <w:rFonts w:cs="Arial"/>
              </w:rPr>
              <w:t>.  The medium QC level is not utilized.</w:t>
            </w:r>
          </w:p>
          <w:p w:rsidR="002B3054" w:rsidRDefault="002B3054">
            <w:pPr>
              <w:ind w:right="-108"/>
              <w:rPr>
                <w:rFonts w:cs="Arial"/>
                <w:b/>
                <w:bCs/>
              </w:rPr>
            </w:pPr>
          </w:p>
          <w:p w:rsidR="00850752" w:rsidRPr="00DC7421" w:rsidRDefault="00850752" w:rsidP="00850752">
            <w:pPr>
              <w:jc w:val="both"/>
              <w:rPr>
                <w:rFonts w:cs="Arial"/>
                <w:szCs w:val="20"/>
              </w:rPr>
            </w:pPr>
            <w:r w:rsidRPr="00DC7421">
              <w:rPr>
                <w:rFonts w:cs="Arial"/>
                <w:b/>
                <w:bCs/>
                <w:szCs w:val="20"/>
              </w:rPr>
              <w:t>Acceptable ranges:</w:t>
            </w:r>
            <w:r w:rsidRPr="00DC7421">
              <w:rPr>
                <w:rFonts w:cs="Arial"/>
                <w:szCs w:val="20"/>
              </w:rPr>
              <w:t xml:space="preserve"> </w:t>
            </w:r>
          </w:p>
          <w:p w:rsidR="00850752" w:rsidRPr="00DC7421" w:rsidRDefault="00850752" w:rsidP="00F9467E">
            <w:pPr>
              <w:pStyle w:val="ListParagraph"/>
              <w:numPr>
                <w:ilvl w:val="0"/>
                <w:numId w:val="13"/>
              </w:numPr>
              <w:jc w:val="both"/>
              <w:rPr>
                <w:rFonts w:cs="Arial"/>
                <w:szCs w:val="20"/>
              </w:rPr>
            </w:pPr>
            <w:r w:rsidRPr="00DC7421">
              <w:rPr>
                <w:rFonts w:cs="Arial"/>
                <w:szCs w:val="20"/>
              </w:rPr>
              <w:t xml:space="preserve">Non-Bio-Rad controls will utilize manufacturer ranges and 2 SD Westgard rules.  </w:t>
            </w:r>
          </w:p>
          <w:p w:rsidR="00850752" w:rsidRPr="00DC7421" w:rsidRDefault="00850752" w:rsidP="00F9467E">
            <w:pPr>
              <w:pStyle w:val="ListParagraph"/>
              <w:numPr>
                <w:ilvl w:val="0"/>
                <w:numId w:val="13"/>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850752" w:rsidRPr="00DC7421" w:rsidRDefault="00850752" w:rsidP="00F9467E">
            <w:pPr>
              <w:pStyle w:val="ListParagraph"/>
              <w:numPr>
                <w:ilvl w:val="0"/>
                <w:numId w:val="13"/>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850752" w:rsidRPr="00DC7421" w:rsidRDefault="00850752" w:rsidP="00F9467E">
            <w:pPr>
              <w:numPr>
                <w:ilvl w:val="0"/>
                <w:numId w:val="13"/>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850752" w:rsidRPr="00DC7421" w:rsidRDefault="00850752" w:rsidP="00F9467E">
            <w:pPr>
              <w:numPr>
                <w:ilvl w:val="0"/>
                <w:numId w:val="13"/>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2"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850752" w:rsidRPr="00DC7421" w:rsidRDefault="00850752" w:rsidP="00F9467E">
            <w:pPr>
              <w:numPr>
                <w:ilvl w:val="0"/>
                <w:numId w:val="13"/>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2B3054" w:rsidRDefault="002B3054">
            <w:pPr>
              <w:rPr>
                <w:rFonts w:cs="Arial"/>
              </w:rPr>
            </w:pPr>
          </w:p>
        </w:tc>
      </w:tr>
      <w:tr w:rsidR="00C54E2E" w:rsidTr="00865008">
        <w:trPr>
          <w:tblHeader/>
        </w:trPr>
        <w:tc>
          <w:tcPr>
            <w:tcW w:w="1800" w:type="dxa"/>
          </w:tcPr>
          <w:p w:rsidR="00C54E2E" w:rsidRDefault="00C54E2E">
            <w:pPr>
              <w:rPr>
                <w:rFonts w:cs="Arial"/>
                <w:b/>
                <w:bCs/>
                <w:color w:val="0000FF"/>
              </w:rPr>
            </w:pPr>
            <w:r>
              <w:rPr>
                <w:rFonts w:cs="Arial"/>
                <w:b/>
                <w:bCs/>
                <w:color w:val="0000FF"/>
              </w:rPr>
              <w:t>Interferences</w:t>
            </w:r>
          </w:p>
          <w:p w:rsidR="00C54E2E" w:rsidRDefault="00C54E2E">
            <w:pPr>
              <w:rPr>
                <w:rFonts w:cs="Arial"/>
                <w:b/>
                <w:bCs/>
                <w:color w:val="0000FF"/>
              </w:rPr>
            </w:pPr>
          </w:p>
        </w:tc>
        <w:tc>
          <w:tcPr>
            <w:tcW w:w="9360" w:type="dxa"/>
            <w:gridSpan w:val="8"/>
            <w:tcBorders>
              <w:top w:val="single" w:sz="18" w:space="0" w:color="A6A6A6"/>
              <w:bottom w:val="single" w:sz="18" w:space="0" w:color="A6A6A6"/>
            </w:tcBorders>
          </w:tcPr>
          <w:p w:rsidR="00C54E2E" w:rsidRDefault="00C54E2E" w:rsidP="00F9467E">
            <w:pPr>
              <w:pStyle w:val="TableText"/>
              <w:numPr>
                <w:ilvl w:val="0"/>
                <w:numId w:val="7"/>
              </w:numPr>
              <w:adjustRightInd w:val="0"/>
              <w:jc w:val="both"/>
              <w:rPr>
                <w:rFonts w:ascii="Arial" w:hAnsi="Arial" w:cs="Arial"/>
              </w:rPr>
            </w:pPr>
            <w:r>
              <w:rPr>
                <w:rFonts w:ascii="Arial" w:hAnsi="Arial" w:cs="Arial"/>
              </w:rPr>
              <w:t>Lactic dehydrogenase and lactate have been shown to interfere with the assay. The incorporation of oxalic acid in this reagent eliminates this interference as reported.</w:t>
            </w:r>
          </w:p>
          <w:p w:rsidR="00C54E2E" w:rsidRDefault="00C54E2E" w:rsidP="00F9467E">
            <w:pPr>
              <w:pStyle w:val="TableText"/>
              <w:numPr>
                <w:ilvl w:val="0"/>
                <w:numId w:val="7"/>
              </w:numPr>
              <w:adjustRightInd w:val="0"/>
              <w:jc w:val="both"/>
              <w:rPr>
                <w:rFonts w:ascii="Arial" w:hAnsi="Arial" w:cs="Arial"/>
              </w:rPr>
            </w:pPr>
            <w:r>
              <w:rPr>
                <w:rFonts w:ascii="Arial" w:hAnsi="Arial" w:cs="Arial"/>
              </w:rPr>
              <w:t>Moderate hemolysis demonstrated no interference.</w:t>
            </w:r>
          </w:p>
          <w:p w:rsidR="00C54E2E" w:rsidRDefault="00C54E2E" w:rsidP="00F9467E">
            <w:pPr>
              <w:numPr>
                <w:ilvl w:val="0"/>
                <w:numId w:val="7"/>
              </w:numPr>
              <w:jc w:val="both"/>
              <w:rPr>
                <w:rFonts w:cs="Arial"/>
              </w:rPr>
            </w:pPr>
            <w:r>
              <w:rPr>
                <w:rFonts w:cs="Arial"/>
              </w:rPr>
              <w:t>See the product insert for a list of substances for which no significant interference was noted.</w:t>
            </w:r>
          </w:p>
          <w:p w:rsidR="00C54E2E" w:rsidRDefault="00C54E2E">
            <w:pPr>
              <w:rPr>
                <w:rFonts w:cs="Arial"/>
              </w:rPr>
            </w:pPr>
          </w:p>
        </w:tc>
      </w:tr>
      <w:tr w:rsidR="00C54E2E" w:rsidTr="00865008">
        <w:trPr>
          <w:trHeight w:val="1808"/>
          <w:tblHeader/>
        </w:trPr>
        <w:tc>
          <w:tcPr>
            <w:tcW w:w="1800" w:type="dxa"/>
          </w:tcPr>
          <w:p w:rsidR="00C54E2E" w:rsidRDefault="00C54E2E" w:rsidP="00865008">
            <w:pPr>
              <w:rPr>
                <w:rFonts w:cs="Arial"/>
                <w:b/>
                <w:bCs/>
                <w:color w:val="0000FF"/>
              </w:rPr>
            </w:pPr>
            <w:r>
              <w:rPr>
                <w:rFonts w:cs="Arial"/>
                <w:b/>
                <w:bCs/>
                <w:color w:val="0000FF"/>
              </w:rPr>
              <w:t>Reference Range</w:t>
            </w:r>
          </w:p>
        </w:tc>
        <w:tc>
          <w:tcPr>
            <w:tcW w:w="9360" w:type="dxa"/>
            <w:gridSpan w:val="8"/>
            <w:tcBorders>
              <w:top w:val="single" w:sz="18" w:space="0" w:color="A6A6A6"/>
              <w:bottom w:val="single" w:sz="18" w:space="0" w:color="A6A6A6"/>
            </w:tcBorders>
          </w:tcPr>
          <w:p w:rsidR="00C54E2E" w:rsidRDefault="00C54E2E">
            <w:r>
              <w:rPr>
                <w:rFonts w:cs="Arial"/>
                <w:szCs w:val="23"/>
              </w:rPr>
              <w:t xml:space="preserve">Fasting:  </w:t>
            </w:r>
            <w:r>
              <w:rPr>
                <w:rFonts w:cs="Arial"/>
                <w:b/>
                <w:bCs/>
                <w:szCs w:val="23"/>
              </w:rPr>
              <w:t>0.02 – 0.27 mmol/L</w:t>
            </w:r>
          </w:p>
          <w:p w:rsidR="00C54E2E" w:rsidRDefault="00C54E2E">
            <w:pPr>
              <w:pStyle w:val="Default"/>
              <w:rPr>
                <w:rFonts w:ascii="Arial" w:hAnsi="Arial" w:cs="Arial"/>
                <w:sz w:val="20"/>
                <w:szCs w:val="23"/>
              </w:rPr>
            </w:pPr>
            <w:r>
              <w:rPr>
                <w:rFonts w:ascii="Arial" w:hAnsi="Arial" w:cs="Arial"/>
                <w:sz w:val="20"/>
                <w:szCs w:val="23"/>
              </w:rPr>
              <w:t xml:space="preserve">Non-fasting (random): &lt;0.4 mmol/L </w:t>
            </w:r>
          </w:p>
          <w:p w:rsidR="00C54E2E" w:rsidRDefault="00C54E2E">
            <w:pPr>
              <w:pStyle w:val="Default"/>
              <w:rPr>
                <w:rFonts w:ascii="Arial" w:hAnsi="Arial" w:cs="Arial"/>
                <w:sz w:val="20"/>
                <w:szCs w:val="23"/>
              </w:rPr>
            </w:pPr>
          </w:p>
          <w:p w:rsidR="00C54E2E" w:rsidRDefault="00C54E2E">
            <w:pPr>
              <w:rPr>
                <w:rFonts w:cs="Arial"/>
              </w:rPr>
            </w:pPr>
            <w:r>
              <w:rPr>
                <w:rFonts w:cs="Arial"/>
              </w:rPr>
              <w:t>The quantitation of ß-hydroxybutyrate is important in cases of ketoacidosis. In studies of healthy individuals who had fasted for 12 hours before blood collection, the range of ß-hydroxybutyr</w:t>
            </w:r>
            <w:r w:rsidR="009A15E0">
              <w:rPr>
                <w:rFonts w:cs="Arial"/>
              </w:rPr>
              <w:t>ate was found to be from 0.02 mmol/L to 0.27 mmol/L</w:t>
            </w:r>
            <w:r>
              <w:rPr>
                <w:rFonts w:cs="Arial"/>
              </w:rPr>
              <w:t>.</w:t>
            </w:r>
          </w:p>
        </w:tc>
      </w:tr>
      <w:tr w:rsidR="00C54E2E" w:rsidTr="00865008">
        <w:trPr>
          <w:tblHeader/>
        </w:trPr>
        <w:tc>
          <w:tcPr>
            <w:tcW w:w="1800" w:type="dxa"/>
          </w:tcPr>
          <w:p w:rsidR="00C54E2E" w:rsidRDefault="00C54E2E" w:rsidP="00865008">
            <w:pPr>
              <w:rPr>
                <w:rFonts w:cs="Arial"/>
                <w:b/>
                <w:bCs/>
                <w:color w:val="0000FF"/>
              </w:rPr>
            </w:pPr>
            <w:r>
              <w:rPr>
                <w:rFonts w:cs="Arial"/>
                <w:b/>
                <w:bCs/>
                <w:color w:val="0000FF"/>
              </w:rPr>
              <w:t>Critical Values</w:t>
            </w:r>
          </w:p>
        </w:tc>
        <w:tc>
          <w:tcPr>
            <w:tcW w:w="9360" w:type="dxa"/>
            <w:gridSpan w:val="8"/>
            <w:tcBorders>
              <w:top w:val="single" w:sz="18" w:space="0" w:color="A6A6A6"/>
              <w:bottom w:val="single" w:sz="18" w:space="0" w:color="A6A6A6"/>
            </w:tcBorders>
          </w:tcPr>
          <w:p w:rsidR="00C54E2E" w:rsidRDefault="00C54E2E">
            <w:pPr>
              <w:rPr>
                <w:rFonts w:cs="Arial"/>
              </w:rPr>
            </w:pPr>
            <w:r>
              <w:rPr>
                <w:rFonts w:cs="Arial"/>
              </w:rPr>
              <w:t>None defined.</w:t>
            </w:r>
          </w:p>
          <w:p w:rsidR="00865008" w:rsidRDefault="00865008">
            <w:pPr>
              <w:rPr>
                <w:rFonts w:cs="Arial"/>
              </w:rPr>
            </w:pPr>
          </w:p>
        </w:tc>
      </w:tr>
      <w:tr w:rsidR="00C54E2E" w:rsidTr="00865008">
        <w:trPr>
          <w:tblHeader/>
        </w:trPr>
        <w:tc>
          <w:tcPr>
            <w:tcW w:w="1800" w:type="dxa"/>
          </w:tcPr>
          <w:p w:rsidR="00C54E2E" w:rsidRDefault="00C54E2E" w:rsidP="00865008">
            <w:pPr>
              <w:rPr>
                <w:rFonts w:cs="Arial"/>
                <w:b/>
                <w:bCs/>
                <w:color w:val="0000FF"/>
              </w:rPr>
            </w:pPr>
            <w:r>
              <w:rPr>
                <w:rFonts w:cs="Arial"/>
                <w:b/>
                <w:bCs/>
                <w:color w:val="0000FF"/>
              </w:rPr>
              <w:lastRenderedPageBreak/>
              <w:t>Limitations</w:t>
            </w:r>
          </w:p>
        </w:tc>
        <w:tc>
          <w:tcPr>
            <w:tcW w:w="9360" w:type="dxa"/>
            <w:gridSpan w:val="8"/>
            <w:tcBorders>
              <w:top w:val="single" w:sz="18" w:space="0" w:color="A6A6A6"/>
              <w:bottom w:val="single" w:sz="18" w:space="0" w:color="A6A6A6"/>
            </w:tcBorders>
          </w:tcPr>
          <w:p w:rsidR="00C54E2E" w:rsidRDefault="00C54E2E">
            <w:pPr>
              <w:spacing w:after="100" w:afterAutospacing="1"/>
              <w:rPr>
                <w:rFonts w:cs="Arial"/>
              </w:rPr>
            </w:pPr>
            <w:r>
              <w:rPr>
                <w:rFonts w:cs="Arial"/>
                <w:szCs w:val="12"/>
              </w:rPr>
              <w:t xml:space="preserve">Linear range of detection: </w:t>
            </w:r>
            <w:r>
              <w:rPr>
                <w:rFonts w:cs="Arial"/>
                <w:b/>
                <w:bCs/>
              </w:rPr>
              <w:t>0.02 – 4.5</w:t>
            </w:r>
            <w:r>
              <w:rPr>
                <w:rFonts w:cs="Arial"/>
              </w:rPr>
              <w:t xml:space="preserve"> mmol/L</w:t>
            </w:r>
          </w:p>
          <w:p w:rsidR="00C54E2E" w:rsidRDefault="00C54E2E">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w:t>
            </w:r>
            <w:r w:rsidR="00850752">
              <w:rPr>
                <w:rFonts w:eastAsia="HelenPro-Cond" w:cs="Arial"/>
                <w:szCs w:val="15"/>
              </w:rPr>
              <w:t xml:space="preserve">results. Refer to the </w:t>
            </w:r>
            <w:r w:rsidR="004A5FEC">
              <w:rPr>
                <w:rFonts w:eastAsia="HelenPro-Cond" w:cs="Arial"/>
                <w:szCs w:val="15"/>
              </w:rPr>
              <w:t xml:space="preserve">Abbott Architect </w:t>
            </w:r>
            <w:r>
              <w:rPr>
                <w:rFonts w:eastAsia="HelenPro-Cond" w:cs="Arial"/>
                <w:szCs w:val="15"/>
              </w:rPr>
              <w:t>Operators Guide for the meaning of report flags and comments. Any report containing flags and/or comments must be resolved prior to reporting.</w:t>
            </w:r>
          </w:p>
          <w:p w:rsidR="00C77EC2" w:rsidRDefault="00C77EC2">
            <w:pPr>
              <w:rPr>
                <w:rFonts w:cs="Arial"/>
              </w:rPr>
            </w:pPr>
          </w:p>
        </w:tc>
      </w:tr>
      <w:tr w:rsidR="00C54E2E" w:rsidTr="00865008">
        <w:trPr>
          <w:tblHeader/>
        </w:trPr>
        <w:tc>
          <w:tcPr>
            <w:tcW w:w="1800" w:type="dxa"/>
          </w:tcPr>
          <w:p w:rsidR="00C54E2E" w:rsidRDefault="00C54E2E" w:rsidP="00865008">
            <w:pPr>
              <w:rPr>
                <w:rFonts w:cs="Arial"/>
                <w:b/>
                <w:bCs/>
                <w:color w:val="0000FF"/>
              </w:rPr>
            </w:pPr>
            <w:r>
              <w:rPr>
                <w:rFonts w:cs="Arial"/>
                <w:b/>
                <w:bCs/>
                <w:color w:val="0000FF"/>
              </w:rPr>
              <w:t>Dilutions</w:t>
            </w:r>
          </w:p>
        </w:tc>
        <w:tc>
          <w:tcPr>
            <w:tcW w:w="9360" w:type="dxa"/>
            <w:gridSpan w:val="8"/>
            <w:tcBorders>
              <w:top w:val="single" w:sz="18" w:space="0" w:color="A6A6A6"/>
              <w:bottom w:val="single" w:sz="18" w:space="0" w:color="A6A6A6"/>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99"/>
              <w:gridCol w:w="6768"/>
            </w:tblGrid>
            <w:tr w:rsidR="004A5FEC" w:rsidRPr="00EC40A2" w:rsidTr="00EA319F">
              <w:tc>
                <w:tcPr>
                  <w:tcW w:w="9067" w:type="dxa"/>
                  <w:gridSpan w:val="2"/>
                </w:tcPr>
                <w:p w:rsidR="004A5FEC" w:rsidRPr="00EC40A2" w:rsidRDefault="004A5FEC" w:rsidP="004A5FEC">
                  <w:pPr>
                    <w:pStyle w:val="Header"/>
                    <w:tabs>
                      <w:tab w:val="clear" w:pos="4320"/>
                      <w:tab w:val="clear" w:pos="8640"/>
                    </w:tabs>
                    <w:rPr>
                      <w:rFonts w:cs="Arial"/>
                      <w:szCs w:val="20"/>
                    </w:rPr>
                  </w:pPr>
                  <w:r w:rsidRPr="004A5FEC">
                    <w:rPr>
                      <w:rFonts w:cs="Arial"/>
                      <w:b/>
                      <w:bCs/>
                      <w:szCs w:val="20"/>
                    </w:rPr>
                    <w:t>Architect c4000</w:t>
                  </w:r>
                  <w:r w:rsidRPr="00EC40A2">
                    <w:rPr>
                      <w:rFonts w:cs="Arial"/>
                      <w:b/>
                      <w:bCs/>
                      <w:szCs w:val="20"/>
                    </w:rPr>
                    <w:t>:</w:t>
                  </w:r>
                  <w:r w:rsidRPr="00EC40A2">
                    <w:rPr>
                      <w:rFonts w:cs="Arial"/>
                      <w:b/>
                      <w:bCs/>
                      <w:color w:val="5F497A"/>
                      <w:szCs w:val="20"/>
                    </w:rPr>
                    <w:t xml:space="preserve"> </w:t>
                  </w:r>
                </w:p>
              </w:tc>
            </w:tr>
            <w:tr w:rsidR="004A5FEC" w:rsidRPr="00EC40A2" w:rsidTr="004A5FEC">
              <w:tc>
                <w:tcPr>
                  <w:tcW w:w="2299" w:type="dxa"/>
                </w:tcPr>
                <w:p w:rsidR="004A5FEC" w:rsidRPr="00EC40A2" w:rsidRDefault="004A5FEC" w:rsidP="004A5FEC">
                  <w:pPr>
                    <w:rPr>
                      <w:rFonts w:cs="Arial"/>
                      <w:szCs w:val="20"/>
                    </w:rPr>
                  </w:pPr>
                  <w:r w:rsidRPr="00EC40A2">
                    <w:rPr>
                      <w:rFonts w:cs="Arial"/>
                      <w:szCs w:val="20"/>
                    </w:rPr>
                    <w:t>Auto</w:t>
                  </w:r>
                  <w:r>
                    <w:rPr>
                      <w:rFonts w:cs="Arial"/>
                      <w:szCs w:val="20"/>
                    </w:rPr>
                    <w:t>mated Instrument</w:t>
                  </w:r>
                  <w:r w:rsidRPr="00EC40A2">
                    <w:rPr>
                      <w:rFonts w:cs="Arial"/>
                      <w:szCs w:val="20"/>
                    </w:rPr>
                    <w:t xml:space="preserve"> Dilution</w:t>
                  </w:r>
                  <w:r>
                    <w:rPr>
                      <w:rFonts w:cs="Arial"/>
                      <w:szCs w:val="20"/>
                    </w:rPr>
                    <w:t>s</w:t>
                  </w:r>
                  <w:r w:rsidRPr="00EC40A2">
                    <w:rPr>
                      <w:rFonts w:cs="Arial"/>
                      <w:szCs w:val="20"/>
                    </w:rPr>
                    <w:t>:</w:t>
                  </w:r>
                </w:p>
              </w:tc>
              <w:tc>
                <w:tcPr>
                  <w:tcW w:w="6768" w:type="dxa"/>
                </w:tcPr>
                <w:p w:rsidR="004A5FEC" w:rsidRPr="00EC40A2" w:rsidRDefault="004A5FEC" w:rsidP="004A5FEC">
                  <w:pPr>
                    <w:autoSpaceDE w:val="0"/>
                    <w:autoSpaceDN w:val="0"/>
                    <w:adjustRightInd w:val="0"/>
                    <w:rPr>
                      <w:rFonts w:cs="Arial"/>
                      <w:szCs w:val="20"/>
                    </w:rPr>
                  </w:pPr>
                  <w:r>
                    <w:rPr>
                      <w:rFonts w:cs="Arial"/>
                      <w:szCs w:val="20"/>
                    </w:rPr>
                    <w:t>1:3, 1:10</w:t>
                  </w:r>
                </w:p>
              </w:tc>
            </w:tr>
            <w:tr w:rsidR="004A5FEC" w:rsidRPr="00EC40A2" w:rsidTr="004A5FEC">
              <w:tc>
                <w:tcPr>
                  <w:tcW w:w="2299" w:type="dxa"/>
                </w:tcPr>
                <w:p w:rsidR="004A5FEC" w:rsidRPr="00EC40A2" w:rsidRDefault="004A5FEC" w:rsidP="004A5FEC">
                  <w:pPr>
                    <w:rPr>
                      <w:rFonts w:cs="Arial"/>
                      <w:szCs w:val="20"/>
                    </w:rPr>
                  </w:pPr>
                  <w:r>
                    <w:rPr>
                      <w:rFonts w:cs="Arial"/>
                      <w:szCs w:val="20"/>
                    </w:rPr>
                    <w:t>Maximum Automated</w:t>
                  </w:r>
                  <w:r w:rsidRPr="00EC40A2">
                    <w:rPr>
                      <w:rFonts w:cs="Arial"/>
                      <w:szCs w:val="20"/>
                    </w:rPr>
                    <w:t xml:space="preserve"> Dilution:</w:t>
                  </w:r>
                </w:p>
              </w:tc>
              <w:tc>
                <w:tcPr>
                  <w:tcW w:w="6768" w:type="dxa"/>
                </w:tcPr>
                <w:p w:rsidR="004A5FEC" w:rsidRPr="00EC40A2" w:rsidRDefault="004A5FEC" w:rsidP="004A5FEC">
                  <w:pPr>
                    <w:autoSpaceDE w:val="0"/>
                    <w:autoSpaceDN w:val="0"/>
                    <w:adjustRightInd w:val="0"/>
                    <w:rPr>
                      <w:rFonts w:cs="Arial"/>
                      <w:szCs w:val="20"/>
                    </w:rPr>
                  </w:pPr>
                  <w:r>
                    <w:rPr>
                      <w:rFonts w:cs="Arial"/>
                      <w:szCs w:val="20"/>
                    </w:rPr>
                    <w:t>1:10</w:t>
                  </w:r>
                </w:p>
              </w:tc>
            </w:tr>
            <w:tr w:rsidR="004A5FEC" w:rsidRPr="00EC40A2" w:rsidTr="004A5FEC">
              <w:tc>
                <w:tcPr>
                  <w:tcW w:w="2299" w:type="dxa"/>
                </w:tcPr>
                <w:p w:rsidR="004A5FEC" w:rsidRPr="00EC40A2" w:rsidRDefault="004A5FEC" w:rsidP="004A5FEC">
                  <w:pPr>
                    <w:rPr>
                      <w:rFonts w:cs="Arial"/>
                      <w:szCs w:val="20"/>
                    </w:rPr>
                  </w:pPr>
                  <w:r w:rsidRPr="00EC40A2">
                    <w:rPr>
                      <w:rFonts w:cs="Arial"/>
                      <w:szCs w:val="20"/>
                    </w:rPr>
                    <w:t>Diluent:</w:t>
                  </w:r>
                </w:p>
              </w:tc>
              <w:tc>
                <w:tcPr>
                  <w:tcW w:w="6768" w:type="dxa"/>
                </w:tcPr>
                <w:p w:rsidR="004A5FEC" w:rsidRPr="00EC40A2" w:rsidRDefault="004A5FEC" w:rsidP="004A5FEC">
                  <w:pPr>
                    <w:autoSpaceDE w:val="0"/>
                    <w:autoSpaceDN w:val="0"/>
                    <w:adjustRightInd w:val="0"/>
                    <w:rPr>
                      <w:rFonts w:cs="Arial"/>
                      <w:szCs w:val="20"/>
                    </w:rPr>
                  </w:pPr>
                  <w:r>
                    <w:rPr>
                      <w:rFonts w:cs="Arial"/>
                      <w:szCs w:val="20"/>
                    </w:rPr>
                    <w:t xml:space="preserve">Onboard </w:t>
                  </w:r>
                  <w:r w:rsidRPr="00EC40A2">
                    <w:rPr>
                      <w:rFonts w:cs="Arial"/>
                      <w:szCs w:val="20"/>
                    </w:rPr>
                    <w:t>Saline</w:t>
                  </w:r>
                </w:p>
              </w:tc>
            </w:tr>
            <w:tr w:rsidR="004A5FEC" w:rsidRPr="00EC40A2" w:rsidTr="004A5FEC">
              <w:tc>
                <w:tcPr>
                  <w:tcW w:w="2299" w:type="dxa"/>
                </w:tcPr>
                <w:p w:rsidR="004A5FEC" w:rsidRPr="00EC40A2" w:rsidRDefault="004A5FEC" w:rsidP="004A5FEC">
                  <w:pPr>
                    <w:rPr>
                      <w:rFonts w:cs="Arial"/>
                      <w:szCs w:val="20"/>
                    </w:rPr>
                  </w:pPr>
                  <w:r w:rsidRPr="00EC40A2">
                    <w:rPr>
                      <w:rFonts w:cs="Arial"/>
                      <w:szCs w:val="20"/>
                    </w:rPr>
                    <w:t>Manual Dilution:</w:t>
                  </w:r>
                </w:p>
              </w:tc>
              <w:tc>
                <w:tcPr>
                  <w:tcW w:w="6768" w:type="dxa"/>
                </w:tcPr>
                <w:p w:rsidR="004A5FEC" w:rsidRPr="00EC40A2" w:rsidRDefault="004A5FEC" w:rsidP="004A5FEC">
                  <w:pPr>
                    <w:autoSpaceDE w:val="0"/>
                    <w:autoSpaceDN w:val="0"/>
                    <w:adjustRightInd w:val="0"/>
                    <w:rPr>
                      <w:rFonts w:eastAsia="HelenPro-Regular" w:cs="Arial"/>
                      <w:szCs w:val="20"/>
                    </w:rPr>
                  </w:pPr>
                  <w:r w:rsidRPr="00EC40A2">
                    <w:rPr>
                      <w:rFonts w:cs="Arial"/>
                      <w:szCs w:val="20"/>
                    </w:rPr>
                    <w:t xml:space="preserve">Follow Abbott </w:t>
                  </w:r>
                  <w:hyperlink r:id="rId13" w:history="1">
                    <w:r w:rsidRPr="00EC40A2">
                      <w:rPr>
                        <w:rStyle w:val="Hyperlink"/>
                        <w:rFonts w:cs="Arial"/>
                        <w:szCs w:val="20"/>
                      </w:rPr>
                      <w:t>Architect Operator’s Manual</w:t>
                    </w:r>
                  </w:hyperlink>
                  <w:r w:rsidRPr="00EC40A2">
                    <w:rPr>
                      <w:rFonts w:cs="Arial"/>
                      <w:szCs w:val="20"/>
                    </w:rPr>
                    <w:t xml:space="preserve"> ins</w:t>
                  </w:r>
                  <w:r>
                    <w:rPr>
                      <w:rFonts w:cs="Arial"/>
                      <w:szCs w:val="20"/>
                    </w:rPr>
                    <w:t xml:space="preserve">tructions for programming automated dilutions.  </w:t>
                  </w:r>
                  <w:r>
                    <w:rPr>
                      <w:rFonts w:eastAsia="HelenPro-Regular" w:cs="Arial"/>
                      <w:szCs w:val="20"/>
                    </w:rPr>
                    <w:t>The system will use the</w:t>
                  </w:r>
                  <w:r w:rsidRPr="00EC40A2">
                    <w:rPr>
                      <w:rFonts w:eastAsia="HelenPro-Regular" w:cs="Arial"/>
                      <w:szCs w:val="20"/>
                    </w:rPr>
                    <w:t xml:space="preserve"> dilution factor to automatically calculate the concentration of the sample and report the result.  </w:t>
                  </w:r>
                </w:p>
                <w:p w:rsidR="004A5FEC" w:rsidRPr="00EC40A2" w:rsidRDefault="004A5FEC" w:rsidP="004A5FEC">
                  <w:pPr>
                    <w:autoSpaceDE w:val="0"/>
                    <w:autoSpaceDN w:val="0"/>
                    <w:adjustRightInd w:val="0"/>
                    <w:rPr>
                      <w:rFonts w:eastAsia="HelenPro-Regular" w:cs="Arial"/>
                      <w:szCs w:val="20"/>
                    </w:rPr>
                  </w:pPr>
                </w:p>
                <w:p w:rsidR="004A5FEC" w:rsidRPr="00EC40A2" w:rsidRDefault="004A5FEC" w:rsidP="004A5FEC">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0.02 mg/dL</w:t>
                  </w:r>
                  <w:r w:rsidRPr="00EC40A2">
                    <w:rPr>
                      <w:rFonts w:eastAsia="HelenPro-Regular" w:cs="Arial"/>
                      <w:szCs w:val="20"/>
                    </w:rPr>
                    <w:t>, do not report the result. Rerun using an appropriate (lower) dilution or investigate for other possible causes.</w:t>
                  </w:r>
                </w:p>
              </w:tc>
            </w:tr>
          </w:tbl>
          <w:p w:rsidR="00C54E2E" w:rsidRDefault="00C54E2E" w:rsidP="004A5FEC">
            <w:pPr>
              <w:pStyle w:val="CalVerTable"/>
              <w:rPr>
                <w:rFonts w:ascii="Arial" w:hAnsi="Arial" w:cs="Arial"/>
              </w:rPr>
            </w:pPr>
          </w:p>
        </w:tc>
      </w:tr>
      <w:tr w:rsidR="00C54E2E" w:rsidTr="00865008">
        <w:trPr>
          <w:tblHeader/>
        </w:trPr>
        <w:tc>
          <w:tcPr>
            <w:tcW w:w="1800" w:type="dxa"/>
          </w:tcPr>
          <w:p w:rsidR="00C54E2E" w:rsidRDefault="00C54E2E" w:rsidP="00865008">
            <w:pPr>
              <w:rPr>
                <w:rFonts w:cs="Arial"/>
                <w:b/>
                <w:bCs/>
                <w:color w:val="0000FF"/>
              </w:rPr>
            </w:pPr>
            <w:r>
              <w:rPr>
                <w:rFonts w:cs="Arial"/>
                <w:b/>
                <w:bCs/>
                <w:color w:val="0000FF"/>
              </w:rPr>
              <w:t>Result Reporting</w:t>
            </w:r>
          </w:p>
        </w:tc>
        <w:tc>
          <w:tcPr>
            <w:tcW w:w="9360" w:type="dxa"/>
            <w:gridSpan w:val="8"/>
            <w:tcBorders>
              <w:top w:val="single" w:sz="18" w:space="0" w:color="A6A6A6"/>
              <w:bottom w:val="single" w:sz="18" w:space="0" w:color="A6A6A6"/>
            </w:tcBorders>
          </w:tcPr>
          <w:p w:rsidR="00C54E2E" w:rsidRDefault="00C54E2E" w:rsidP="00F9467E">
            <w:pPr>
              <w:pStyle w:val="Header"/>
              <w:numPr>
                <w:ilvl w:val="0"/>
                <w:numId w:val="1"/>
              </w:numPr>
              <w:tabs>
                <w:tab w:val="clear" w:pos="4320"/>
                <w:tab w:val="clear" w:pos="8640"/>
              </w:tabs>
              <w:rPr>
                <w:rFonts w:cs="Arial"/>
              </w:rPr>
            </w:pPr>
            <w:r>
              <w:rPr>
                <w:rFonts w:cs="Arial"/>
              </w:rPr>
              <w:t>Results between 0.02 – 4.5</w:t>
            </w:r>
            <w:r w:rsidR="00850752">
              <w:rPr>
                <w:rFonts w:cs="Arial"/>
              </w:rPr>
              <w:t>0</w:t>
            </w:r>
            <w:r>
              <w:rPr>
                <w:rFonts w:cs="Arial"/>
              </w:rPr>
              <w:t xml:space="preserve"> mmol/L without error messages are released</w:t>
            </w:r>
          </w:p>
          <w:p w:rsidR="00C54E2E" w:rsidRDefault="00C54E2E" w:rsidP="00F9467E">
            <w:pPr>
              <w:numPr>
                <w:ilvl w:val="0"/>
                <w:numId w:val="1"/>
              </w:numPr>
              <w:rPr>
                <w:rFonts w:cs="Arial"/>
              </w:rPr>
            </w:pPr>
            <w:r>
              <w:rPr>
                <w:rFonts w:cs="Arial"/>
              </w:rPr>
              <w:t>Results below 0.02 mmol/L: report as &lt; 0.02 mmol/L instead of the numerical value.</w:t>
            </w:r>
          </w:p>
          <w:p w:rsidR="00C54E2E" w:rsidRDefault="00850752" w:rsidP="00F9467E">
            <w:pPr>
              <w:numPr>
                <w:ilvl w:val="0"/>
                <w:numId w:val="1"/>
              </w:numPr>
              <w:rPr>
                <w:rFonts w:cs="Arial"/>
              </w:rPr>
            </w:pPr>
            <w:r>
              <w:rPr>
                <w:rFonts w:cs="Arial"/>
              </w:rPr>
              <w:t>Results &gt;4.50 mmol/L should have the 1:3 automated instrument dilution performed.</w:t>
            </w:r>
          </w:p>
          <w:p w:rsidR="00850752" w:rsidRDefault="00850752" w:rsidP="00F9467E">
            <w:pPr>
              <w:numPr>
                <w:ilvl w:val="0"/>
                <w:numId w:val="1"/>
              </w:numPr>
              <w:rPr>
                <w:rFonts w:cs="Arial"/>
              </w:rPr>
            </w:pPr>
            <w:r>
              <w:rPr>
                <w:rFonts w:cs="Arial"/>
              </w:rPr>
              <w:t xml:space="preserve">Results &gt; 13.50 mmol/L following the automated instrument dilution should have the 1:10 automated instrument dilution performed.  </w:t>
            </w:r>
          </w:p>
          <w:p w:rsidR="00C54E2E" w:rsidRDefault="00C54E2E" w:rsidP="00F9467E">
            <w:pPr>
              <w:numPr>
                <w:ilvl w:val="0"/>
                <w:numId w:val="1"/>
              </w:numPr>
              <w:rPr>
                <w:rFonts w:cs="Arial"/>
              </w:rPr>
            </w:pPr>
            <w:r>
              <w:rPr>
                <w:rFonts w:cs="Arial"/>
              </w:rPr>
              <w:t>Results that exceed the assay range following the maxi</w:t>
            </w:r>
            <w:r w:rsidR="00850752">
              <w:rPr>
                <w:rFonts w:cs="Arial"/>
              </w:rPr>
              <w:t>mum automated dilution of 1:10 are reported as &gt;45.00</w:t>
            </w:r>
            <w:r>
              <w:rPr>
                <w:rFonts w:cs="Arial"/>
              </w:rPr>
              <w:t xml:space="preserve"> mmol/L.</w:t>
            </w:r>
          </w:p>
          <w:p w:rsidR="00C54E2E" w:rsidRDefault="00C54E2E">
            <w:pPr>
              <w:rPr>
                <w:rFonts w:cs="Arial"/>
              </w:rPr>
            </w:pPr>
          </w:p>
        </w:tc>
      </w:tr>
      <w:tr w:rsidR="00C54E2E" w:rsidTr="00865008">
        <w:trPr>
          <w:trHeight w:val="930"/>
          <w:tblHeader/>
        </w:trPr>
        <w:tc>
          <w:tcPr>
            <w:tcW w:w="1800" w:type="dxa"/>
          </w:tcPr>
          <w:p w:rsidR="00C54E2E" w:rsidRDefault="00C54E2E" w:rsidP="00865008">
            <w:pPr>
              <w:rPr>
                <w:rFonts w:cs="Arial"/>
                <w:b/>
                <w:bCs/>
                <w:color w:val="0000FF"/>
              </w:rPr>
            </w:pPr>
            <w:r>
              <w:rPr>
                <w:rFonts w:cs="Arial"/>
                <w:b/>
                <w:bCs/>
                <w:color w:val="0000FF"/>
              </w:rPr>
              <w:t>Specimen Storage</w:t>
            </w:r>
          </w:p>
        </w:tc>
        <w:tc>
          <w:tcPr>
            <w:tcW w:w="9360" w:type="dxa"/>
            <w:gridSpan w:val="8"/>
            <w:tcBorders>
              <w:top w:val="single" w:sz="18" w:space="0" w:color="A6A6A6"/>
              <w:bottom w:val="single" w:sz="18" w:space="0" w:color="A6A6A6"/>
            </w:tcBorders>
          </w:tcPr>
          <w:p w:rsidR="00C54E2E" w:rsidRDefault="00C54E2E">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p>
        </w:tc>
      </w:tr>
      <w:tr w:rsidR="00C54E2E" w:rsidTr="00865008">
        <w:trPr>
          <w:tblHeader/>
        </w:trPr>
        <w:tc>
          <w:tcPr>
            <w:tcW w:w="1800" w:type="dxa"/>
          </w:tcPr>
          <w:p w:rsidR="00C54E2E" w:rsidRDefault="00C54E2E">
            <w:pPr>
              <w:ind w:right="-108"/>
              <w:rPr>
                <w:rFonts w:cs="Arial"/>
                <w:b/>
                <w:bCs/>
                <w:color w:val="0000FF"/>
              </w:rPr>
            </w:pPr>
            <w:r>
              <w:rPr>
                <w:rFonts w:cs="Arial"/>
                <w:b/>
                <w:bCs/>
                <w:color w:val="0000FF"/>
              </w:rPr>
              <w:t>References</w:t>
            </w:r>
          </w:p>
        </w:tc>
        <w:tc>
          <w:tcPr>
            <w:tcW w:w="9360" w:type="dxa"/>
            <w:gridSpan w:val="8"/>
            <w:tcBorders>
              <w:top w:val="single" w:sz="18" w:space="0" w:color="A6A6A6"/>
              <w:bottom w:val="single" w:sz="18" w:space="0" w:color="A6A6A6"/>
            </w:tcBorders>
          </w:tcPr>
          <w:p w:rsidR="00C54E2E" w:rsidRDefault="00C54E2E" w:rsidP="00F9467E">
            <w:pPr>
              <w:pStyle w:val="Heading1"/>
              <w:numPr>
                <w:ilvl w:val="0"/>
                <w:numId w:val="4"/>
              </w:numPr>
              <w:jc w:val="left"/>
              <w:rPr>
                <w:rFonts w:ascii="Arial" w:hAnsi="Arial"/>
                <w:b w:val="0"/>
                <w:bCs w:val="0"/>
                <w:sz w:val="20"/>
              </w:rPr>
            </w:pPr>
            <w:r>
              <w:rPr>
                <w:rFonts w:ascii="Arial" w:hAnsi="Arial"/>
                <w:b w:val="0"/>
                <w:bCs w:val="0"/>
                <w:sz w:val="20"/>
              </w:rPr>
              <w:t>Stanbio Laboratory B-hydroxybutyrate LiquiColor Procedure #</w:t>
            </w:r>
            <w:r w:rsidR="009A15E0">
              <w:rPr>
                <w:rFonts w:ascii="Arial" w:hAnsi="Arial"/>
                <w:b w:val="0"/>
                <w:bCs w:val="0"/>
                <w:sz w:val="20"/>
              </w:rPr>
              <w:t xml:space="preserve"> 2440,</w:t>
            </w:r>
            <w:r>
              <w:rPr>
                <w:rFonts w:ascii="Arial" w:hAnsi="Arial"/>
                <w:b w:val="0"/>
                <w:bCs w:val="0"/>
                <w:sz w:val="20"/>
              </w:rPr>
              <w:t xml:space="preserve"> 1261 North Main</w:t>
            </w:r>
            <w:r w:rsidR="009A15E0">
              <w:rPr>
                <w:rFonts w:ascii="Arial" w:hAnsi="Arial"/>
                <w:b w:val="0"/>
                <w:bCs w:val="0"/>
                <w:sz w:val="20"/>
              </w:rPr>
              <w:t xml:space="preserve"> Street, Boerne, TX 78006, 4/2017</w:t>
            </w:r>
          </w:p>
          <w:p w:rsidR="004A5FEC" w:rsidRDefault="004A5FEC" w:rsidP="00F9467E">
            <w:pPr>
              <w:pStyle w:val="ListParagraph"/>
              <w:numPr>
                <w:ilvl w:val="0"/>
                <w:numId w:val="4"/>
              </w:numPr>
            </w:pPr>
            <w:r>
              <w:t xml:space="preserve">Architect System Assay Parameters, </w:t>
            </w:r>
            <w:r>
              <w:rPr>
                <w:rFonts w:cs="Arial"/>
              </w:rPr>
              <w:t>ß</w:t>
            </w:r>
            <w:r>
              <w:t xml:space="preserve">-Hydroxybutyrate </w:t>
            </w:r>
            <w:r w:rsidR="009A15E0">
              <w:t>LiquiColor</w:t>
            </w:r>
            <w:r>
              <w:rPr>
                <w:rFonts w:cs="Arial"/>
              </w:rPr>
              <w:t>®</w:t>
            </w:r>
            <w:r>
              <w:t>, Stanbio Chemistry from EKF Diagnostics, Boerne TX, Effective Date 11/15/2018.</w:t>
            </w:r>
          </w:p>
          <w:p w:rsidR="004A5FEC" w:rsidRPr="004A5FEC" w:rsidRDefault="004A5FEC" w:rsidP="00F9467E">
            <w:pPr>
              <w:pStyle w:val="ListParagraph"/>
              <w:numPr>
                <w:ilvl w:val="0"/>
                <w:numId w:val="4"/>
              </w:numPr>
            </w:pPr>
            <w:r>
              <w:t>Abbott Architect Operations Manual, Abbott Diagnostics Division, Abbott Park, IL.  04/29/2016</w:t>
            </w:r>
          </w:p>
          <w:p w:rsidR="00C54E2E" w:rsidRDefault="00C54E2E" w:rsidP="00F9467E">
            <w:pPr>
              <w:numPr>
                <w:ilvl w:val="0"/>
                <w:numId w:val="4"/>
              </w:numPr>
              <w:autoSpaceDE w:val="0"/>
              <w:autoSpaceDN w:val="0"/>
              <w:adjustRightInd w:val="0"/>
              <w:rPr>
                <w:rFonts w:cs="Arial"/>
                <w:szCs w:val="15"/>
              </w:rPr>
            </w:pPr>
            <w:r>
              <w:t>Stanbio Laboratory Tri-Level TDM/</w:t>
            </w:r>
            <w:r>
              <w:sym w:font="Symbol" w:char="F042"/>
            </w:r>
            <w:r>
              <w:t>-hydroxybutyrate Controls, Produc</w:t>
            </w:r>
            <w:r w:rsidR="00AF5FEB">
              <w:t>t Insert, Ref # 2460, 6/2015</w:t>
            </w:r>
          </w:p>
          <w:p w:rsidR="00C54E2E" w:rsidRDefault="00C54E2E" w:rsidP="00F9467E">
            <w:pPr>
              <w:numPr>
                <w:ilvl w:val="0"/>
                <w:numId w:val="4"/>
              </w:numPr>
              <w:autoSpaceDE w:val="0"/>
              <w:autoSpaceDN w:val="0"/>
              <w:adjustRightInd w:val="0"/>
              <w:rPr>
                <w:rFonts w:cs="Arial"/>
                <w:szCs w:val="15"/>
              </w:rPr>
            </w:pPr>
            <w:proofErr w:type="spellStart"/>
            <w:r>
              <w:t>Sena</w:t>
            </w:r>
            <w:proofErr w:type="spellEnd"/>
            <w:r>
              <w:t>, Salvador F.</w:t>
            </w:r>
            <w:r>
              <w:rPr>
                <w:i/>
                <w:iCs/>
              </w:rPr>
              <w:t xml:space="preserve"> Technically Speaking</w:t>
            </w:r>
            <w:r>
              <w:t>, Danbury Hospital Department of Pathology and Laboratory Medicine, Vol 4, No. 8, 07/2010</w:t>
            </w:r>
          </w:p>
          <w:p w:rsidR="00C54E2E" w:rsidRDefault="00C54E2E" w:rsidP="00F9467E">
            <w:pPr>
              <w:numPr>
                <w:ilvl w:val="0"/>
                <w:numId w:val="4"/>
              </w:numPr>
              <w:autoSpaceDE w:val="0"/>
              <w:autoSpaceDN w:val="0"/>
              <w:adjustRightInd w:val="0"/>
              <w:rPr>
                <w:rFonts w:cs="Arial"/>
                <w:szCs w:val="15"/>
              </w:rPr>
            </w:pPr>
            <w:r>
              <w:rPr>
                <w:rFonts w:cs="Arial"/>
                <w:szCs w:val="15"/>
              </w:rPr>
              <w:t>Mayo Medical Laboratories, online test catalogue, 01/2012</w:t>
            </w:r>
          </w:p>
          <w:p w:rsidR="00C54E2E" w:rsidRDefault="00C54E2E" w:rsidP="00F9467E">
            <w:pPr>
              <w:numPr>
                <w:ilvl w:val="0"/>
                <w:numId w:val="4"/>
              </w:numPr>
              <w:rPr>
                <w:rFonts w:cs="Arial"/>
              </w:rPr>
            </w:pPr>
            <w:r>
              <w:rPr>
                <w:rFonts w:cs="Arial"/>
                <w:szCs w:val="12"/>
              </w:rPr>
              <w:t xml:space="preserve">Jacobs &amp; DeMott Laboratory Test Handbook, Lexi-Comp, </w:t>
            </w:r>
            <w:r w:rsidR="009A15E0">
              <w:rPr>
                <w:rFonts w:cs="Arial"/>
                <w:szCs w:val="12"/>
              </w:rPr>
              <w:t>Inc.</w:t>
            </w:r>
            <w:r>
              <w:rPr>
                <w:rFonts w:cs="Arial"/>
                <w:szCs w:val="12"/>
              </w:rPr>
              <w:t>, Hudson, OH, 5</w:t>
            </w:r>
            <w:r>
              <w:rPr>
                <w:rFonts w:cs="Arial"/>
                <w:szCs w:val="12"/>
                <w:vertAlign w:val="superscript"/>
              </w:rPr>
              <w:t>th</w:t>
            </w:r>
            <w:r>
              <w:rPr>
                <w:rFonts w:cs="Arial"/>
                <w:szCs w:val="12"/>
              </w:rPr>
              <w:t xml:space="preserve"> Edition, 2001, p.205.</w:t>
            </w:r>
          </w:p>
          <w:p w:rsidR="00C54E2E" w:rsidRDefault="00C54E2E">
            <w:pPr>
              <w:rPr>
                <w:rFonts w:cs="Arial"/>
              </w:rPr>
            </w:pPr>
          </w:p>
        </w:tc>
      </w:tr>
      <w:tr w:rsidR="002B3054" w:rsidTr="00865008">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2B3054" w:rsidRDefault="002B3054">
            <w:pPr>
              <w:rPr>
                <w:rFonts w:cs="Arial"/>
                <w:b/>
                <w:bCs/>
                <w:color w:val="3366FF"/>
              </w:rPr>
            </w:pPr>
            <w:r>
              <w:rPr>
                <w:rFonts w:cs="Arial"/>
                <w:b/>
                <w:bCs/>
                <w:color w:val="0000FF"/>
              </w:rPr>
              <w:t>Historical Record</w:t>
            </w:r>
          </w:p>
        </w:tc>
        <w:tc>
          <w:tcPr>
            <w:tcW w:w="1440" w:type="dxa"/>
            <w:gridSpan w:val="3"/>
            <w:tcBorders>
              <w:top w:val="single" w:sz="4" w:space="0" w:color="auto"/>
              <w:left w:val="single" w:sz="4" w:space="0" w:color="auto"/>
              <w:bottom w:val="single" w:sz="4" w:space="0" w:color="auto"/>
              <w:right w:val="single" w:sz="4" w:space="0" w:color="auto"/>
            </w:tcBorders>
          </w:tcPr>
          <w:p w:rsidR="002B3054" w:rsidRDefault="002B3054">
            <w:pPr>
              <w:rPr>
                <w:rFonts w:cs="Arial"/>
                <w:b/>
                <w:bCs/>
              </w:rPr>
            </w:pPr>
            <w:r>
              <w:rPr>
                <w:rFonts w:cs="Arial"/>
                <w:b/>
                <w:bCs/>
              </w:rPr>
              <w:t>Version</w:t>
            </w:r>
          </w:p>
        </w:tc>
        <w:tc>
          <w:tcPr>
            <w:tcW w:w="2340" w:type="dxa"/>
            <w:gridSpan w:val="2"/>
            <w:tcBorders>
              <w:top w:val="single" w:sz="4" w:space="0" w:color="auto"/>
              <w:left w:val="single" w:sz="4" w:space="0" w:color="auto"/>
              <w:bottom w:val="single" w:sz="4" w:space="0" w:color="auto"/>
              <w:right w:val="single" w:sz="4" w:space="0" w:color="auto"/>
            </w:tcBorders>
          </w:tcPr>
          <w:p w:rsidR="002B3054" w:rsidRDefault="002B3054">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2B3054" w:rsidRDefault="002B3054">
            <w:pPr>
              <w:rPr>
                <w:rFonts w:cs="Arial"/>
                <w:b/>
                <w:bCs/>
                <w:iCs/>
              </w:rPr>
            </w:pPr>
            <w:r>
              <w:rPr>
                <w:rFonts w:cs="Arial"/>
                <w:b/>
                <w:bCs/>
                <w:iCs/>
              </w:rPr>
              <w:t>Effective Date:</w:t>
            </w:r>
          </w:p>
        </w:tc>
        <w:tc>
          <w:tcPr>
            <w:tcW w:w="3600" w:type="dxa"/>
            <w:tcBorders>
              <w:top w:val="single" w:sz="4" w:space="0" w:color="auto"/>
              <w:left w:val="single" w:sz="4" w:space="0" w:color="auto"/>
              <w:bottom w:val="single" w:sz="4" w:space="0" w:color="auto"/>
              <w:right w:val="single" w:sz="4" w:space="0" w:color="auto"/>
            </w:tcBorders>
          </w:tcPr>
          <w:p w:rsidR="002B3054" w:rsidRDefault="002B3054">
            <w:pPr>
              <w:rPr>
                <w:rFonts w:cs="Arial"/>
                <w:b/>
                <w:bCs/>
                <w:iCs/>
              </w:rPr>
            </w:pPr>
            <w:r>
              <w:rPr>
                <w:rFonts w:cs="Arial"/>
                <w:b/>
                <w:bCs/>
                <w:iCs/>
              </w:rPr>
              <w:t>Summary of Revisions</w:t>
            </w:r>
          </w:p>
        </w:tc>
      </w:tr>
      <w:tr w:rsidR="002B3054" w:rsidTr="00865008">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2B3054" w:rsidRDefault="002B3054">
            <w:pPr>
              <w:rPr>
                <w:rFonts w:cs="Arial"/>
                <w:b/>
                <w:bCs/>
                <w:color w:val="3366FF"/>
              </w:rPr>
            </w:pPr>
          </w:p>
        </w:tc>
        <w:tc>
          <w:tcPr>
            <w:tcW w:w="1440" w:type="dxa"/>
            <w:gridSpan w:val="3"/>
            <w:tcBorders>
              <w:top w:val="single" w:sz="4" w:space="0" w:color="auto"/>
              <w:left w:val="single" w:sz="4" w:space="0" w:color="auto"/>
              <w:bottom w:val="single" w:sz="4" w:space="0" w:color="auto"/>
              <w:right w:val="single" w:sz="4" w:space="0" w:color="auto"/>
            </w:tcBorders>
          </w:tcPr>
          <w:p w:rsidR="002B3054" w:rsidRDefault="002B3054" w:rsidP="00F9467E">
            <w:pPr>
              <w:numPr>
                <w:ilvl w:val="0"/>
                <w:numId w:val="9"/>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2/7/2012</w:t>
            </w:r>
          </w:p>
        </w:tc>
        <w:tc>
          <w:tcPr>
            <w:tcW w:w="3600" w:type="dxa"/>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New test</w:t>
            </w:r>
          </w:p>
        </w:tc>
      </w:tr>
      <w:tr w:rsidR="002B3054" w:rsidTr="00865008">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2B3054" w:rsidRDefault="002B3054">
            <w:pPr>
              <w:rPr>
                <w:rFonts w:cs="Arial"/>
                <w:b/>
                <w:bCs/>
                <w:color w:val="3366FF"/>
              </w:rPr>
            </w:pPr>
          </w:p>
        </w:tc>
        <w:tc>
          <w:tcPr>
            <w:tcW w:w="1440" w:type="dxa"/>
            <w:gridSpan w:val="3"/>
            <w:tcBorders>
              <w:top w:val="single" w:sz="4" w:space="0" w:color="auto"/>
              <w:left w:val="single" w:sz="4" w:space="0" w:color="auto"/>
              <w:bottom w:val="single" w:sz="4" w:space="0" w:color="auto"/>
              <w:right w:val="single" w:sz="4" w:space="0" w:color="auto"/>
            </w:tcBorders>
          </w:tcPr>
          <w:p w:rsidR="002B3054" w:rsidRDefault="002B3054" w:rsidP="00F9467E">
            <w:pPr>
              <w:numPr>
                <w:ilvl w:val="0"/>
                <w:numId w:val="9"/>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6/28/13</w:t>
            </w:r>
          </w:p>
        </w:tc>
        <w:tc>
          <w:tcPr>
            <w:tcW w:w="3600" w:type="dxa"/>
            <w:tcBorders>
              <w:top w:val="single" w:sz="4" w:space="0" w:color="auto"/>
              <w:left w:val="single" w:sz="4" w:space="0" w:color="auto"/>
              <w:bottom w:val="single" w:sz="4" w:space="0" w:color="auto"/>
              <w:right w:val="single" w:sz="4" w:space="0" w:color="auto"/>
            </w:tcBorders>
          </w:tcPr>
          <w:p w:rsidR="002B3054" w:rsidRDefault="002B3054">
            <w:pPr>
              <w:rPr>
                <w:rFonts w:cs="Arial"/>
                <w:iCs/>
              </w:rPr>
            </w:pPr>
            <w:r>
              <w:rPr>
                <w:rFonts w:cs="Arial"/>
                <w:iCs/>
              </w:rPr>
              <w:t>Added policy, do not mix reagents between kits</w:t>
            </w:r>
          </w:p>
        </w:tc>
      </w:tr>
      <w:tr w:rsidR="005E0356" w:rsidTr="00865008">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5E0356" w:rsidRDefault="005E0356">
            <w:pPr>
              <w:rPr>
                <w:rFonts w:cs="Arial"/>
                <w:b/>
                <w:bCs/>
                <w:color w:val="3366FF"/>
              </w:rPr>
            </w:pPr>
          </w:p>
        </w:tc>
        <w:tc>
          <w:tcPr>
            <w:tcW w:w="1440" w:type="dxa"/>
            <w:gridSpan w:val="3"/>
            <w:tcBorders>
              <w:top w:val="single" w:sz="4" w:space="0" w:color="auto"/>
              <w:left w:val="single" w:sz="4" w:space="0" w:color="auto"/>
              <w:bottom w:val="single" w:sz="4" w:space="0" w:color="auto"/>
              <w:right w:val="single" w:sz="4" w:space="0" w:color="auto"/>
            </w:tcBorders>
          </w:tcPr>
          <w:p w:rsidR="005E0356" w:rsidRDefault="005E0356" w:rsidP="00F9467E">
            <w:pPr>
              <w:numPr>
                <w:ilvl w:val="0"/>
                <w:numId w:val="9"/>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5E0356" w:rsidRDefault="005E0356">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5E0356" w:rsidRDefault="005E0356">
            <w:pPr>
              <w:rPr>
                <w:rFonts w:cs="Arial"/>
                <w:iCs/>
              </w:rPr>
            </w:pPr>
            <w:r>
              <w:rPr>
                <w:rFonts w:cs="Arial"/>
                <w:iCs/>
              </w:rPr>
              <w:t>6/1/15</w:t>
            </w:r>
          </w:p>
        </w:tc>
        <w:tc>
          <w:tcPr>
            <w:tcW w:w="3600" w:type="dxa"/>
            <w:tcBorders>
              <w:top w:val="single" w:sz="4" w:space="0" w:color="auto"/>
              <w:left w:val="single" w:sz="4" w:space="0" w:color="auto"/>
              <w:bottom w:val="single" w:sz="4" w:space="0" w:color="auto"/>
              <w:right w:val="single" w:sz="4" w:space="0" w:color="auto"/>
            </w:tcBorders>
          </w:tcPr>
          <w:p w:rsidR="005E0356" w:rsidRDefault="005E0356">
            <w:pPr>
              <w:rPr>
                <w:rFonts w:cs="Arial"/>
                <w:iCs/>
              </w:rPr>
            </w:pPr>
            <w:r>
              <w:rPr>
                <w:rFonts w:cs="Arial"/>
                <w:iCs/>
              </w:rPr>
              <w:t>Omit retired RxL as method</w:t>
            </w:r>
          </w:p>
        </w:tc>
      </w:tr>
      <w:tr w:rsidR="009941AB" w:rsidTr="00865008">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9941AB" w:rsidRDefault="009941AB">
            <w:pPr>
              <w:rPr>
                <w:rFonts w:cs="Arial"/>
                <w:b/>
                <w:bCs/>
                <w:color w:val="3366FF"/>
              </w:rPr>
            </w:pPr>
          </w:p>
        </w:tc>
        <w:tc>
          <w:tcPr>
            <w:tcW w:w="1440" w:type="dxa"/>
            <w:gridSpan w:val="3"/>
            <w:tcBorders>
              <w:top w:val="single" w:sz="4" w:space="0" w:color="auto"/>
              <w:left w:val="single" w:sz="4" w:space="0" w:color="auto"/>
              <w:bottom w:val="single" w:sz="4" w:space="0" w:color="auto"/>
              <w:right w:val="single" w:sz="4" w:space="0" w:color="auto"/>
            </w:tcBorders>
          </w:tcPr>
          <w:p w:rsidR="009941AB" w:rsidRDefault="009941AB" w:rsidP="00F9467E">
            <w:pPr>
              <w:numPr>
                <w:ilvl w:val="0"/>
                <w:numId w:val="9"/>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9941AB" w:rsidRDefault="009941AB">
            <w:pPr>
              <w:rPr>
                <w:rFonts w:cs="Arial"/>
                <w:iCs/>
              </w:rPr>
            </w:pPr>
            <w:r>
              <w:rPr>
                <w:rFonts w:cs="Arial"/>
                <w:iCs/>
              </w:rPr>
              <w:t>Linda Lichty</w:t>
            </w:r>
          </w:p>
        </w:tc>
        <w:tc>
          <w:tcPr>
            <w:tcW w:w="1800" w:type="dxa"/>
            <w:tcBorders>
              <w:top w:val="single" w:sz="4" w:space="0" w:color="auto"/>
              <w:left w:val="single" w:sz="4" w:space="0" w:color="auto"/>
              <w:bottom w:val="single" w:sz="4" w:space="0" w:color="auto"/>
              <w:right w:val="single" w:sz="4" w:space="0" w:color="auto"/>
            </w:tcBorders>
          </w:tcPr>
          <w:p w:rsidR="009941AB" w:rsidRDefault="009941AB">
            <w:pPr>
              <w:rPr>
                <w:rFonts w:cs="Arial"/>
                <w:iCs/>
              </w:rPr>
            </w:pPr>
            <w:r>
              <w:rPr>
                <w:rFonts w:cs="Arial"/>
                <w:iCs/>
              </w:rPr>
              <w:t>9/1/2016</w:t>
            </w:r>
          </w:p>
        </w:tc>
        <w:tc>
          <w:tcPr>
            <w:tcW w:w="3600" w:type="dxa"/>
            <w:tcBorders>
              <w:top w:val="single" w:sz="4" w:space="0" w:color="auto"/>
              <w:left w:val="single" w:sz="4" w:space="0" w:color="auto"/>
              <w:bottom w:val="single" w:sz="4" w:space="0" w:color="auto"/>
              <w:right w:val="single" w:sz="4" w:space="0" w:color="auto"/>
            </w:tcBorders>
          </w:tcPr>
          <w:p w:rsidR="009941AB" w:rsidRDefault="009941AB">
            <w:pPr>
              <w:rPr>
                <w:rFonts w:cs="Arial"/>
                <w:iCs/>
              </w:rPr>
            </w:pPr>
            <w:r>
              <w:rPr>
                <w:rFonts w:cs="Arial"/>
                <w:iCs/>
              </w:rPr>
              <w:t>Added instructions to assure QC is performed on newly loaded flex.</w:t>
            </w:r>
          </w:p>
        </w:tc>
      </w:tr>
      <w:tr w:rsidR="00C77EC2" w:rsidTr="00865008">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C77EC2" w:rsidRDefault="00C77EC2">
            <w:pPr>
              <w:rPr>
                <w:rFonts w:cs="Arial"/>
                <w:b/>
                <w:bCs/>
                <w:color w:val="3366FF"/>
              </w:rPr>
            </w:pPr>
          </w:p>
        </w:tc>
        <w:tc>
          <w:tcPr>
            <w:tcW w:w="1440" w:type="dxa"/>
            <w:gridSpan w:val="3"/>
            <w:tcBorders>
              <w:top w:val="single" w:sz="4" w:space="0" w:color="auto"/>
              <w:left w:val="single" w:sz="4" w:space="0" w:color="auto"/>
              <w:bottom w:val="single" w:sz="4" w:space="0" w:color="auto"/>
              <w:right w:val="single" w:sz="4" w:space="0" w:color="auto"/>
            </w:tcBorders>
          </w:tcPr>
          <w:p w:rsidR="00C77EC2" w:rsidRDefault="00C77EC2" w:rsidP="00F9467E">
            <w:pPr>
              <w:numPr>
                <w:ilvl w:val="0"/>
                <w:numId w:val="9"/>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C77EC2" w:rsidRDefault="00C77EC2">
            <w:pPr>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C77EC2" w:rsidRDefault="00C77EC2">
            <w:pPr>
              <w:rPr>
                <w:rFonts w:cs="Arial"/>
                <w:iCs/>
              </w:rPr>
            </w:pPr>
            <w:r>
              <w:rPr>
                <w:rFonts w:cs="Arial"/>
                <w:iCs/>
              </w:rPr>
              <w:t>10/15/2019</w:t>
            </w:r>
          </w:p>
        </w:tc>
        <w:tc>
          <w:tcPr>
            <w:tcW w:w="3600" w:type="dxa"/>
            <w:tcBorders>
              <w:top w:val="single" w:sz="4" w:space="0" w:color="auto"/>
              <w:left w:val="single" w:sz="4" w:space="0" w:color="auto"/>
              <w:bottom w:val="single" w:sz="4" w:space="0" w:color="auto"/>
              <w:right w:val="single" w:sz="4" w:space="0" w:color="auto"/>
            </w:tcBorders>
          </w:tcPr>
          <w:p w:rsidR="00C77EC2" w:rsidRDefault="00C77EC2">
            <w:pPr>
              <w:rPr>
                <w:rFonts w:cs="Arial"/>
                <w:iCs/>
              </w:rPr>
            </w:pPr>
            <w:r>
              <w:rPr>
                <w:rFonts w:cs="Arial"/>
                <w:iCs/>
              </w:rPr>
              <w:t>Updated procedure for Abbott Architect c4000</w:t>
            </w:r>
            <w:r w:rsidR="0052724D">
              <w:rPr>
                <w:rFonts w:cs="Arial"/>
                <w:iCs/>
              </w:rPr>
              <w:t>, new instrumentation.</w:t>
            </w:r>
          </w:p>
        </w:tc>
      </w:tr>
    </w:tbl>
    <w:p w:rsidR="002B3054" w:rsidRDefault="002B3054" w:rsidP="00AF5FEB">
      <w:pPr>
        <w:rPr>
          <w:rFonts w:cs="Arial"/>
          <w:b/>
          <w:bCs/>
        </w:rPr>
      </w:pPr>
    </w:p>
    <w:sectPr w:rsidR="002B3054">
      <w:headerReference w:type="default" r:id="rId14"/>
      <w:footerReference w:type="default" r:id="rId15"/>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36" w:rsidRDefault="00465B36">
      <w:r>
        <w:separator/>
      </w:r>
    </w:p>
  </w:endnote>
  <w:endnote w:type="continuationSeparator" w:id="0">
    <w:p w:rsidR="00465B36" w:rsidRDefault="004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21" w:rsidRPr="005E2060" w:rsidRDefault="00594821" w:rsidP="005E2060">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04781F">
      <w:rPr>
        <w:rFonts w:cs="Arial"/>
        <w:noProof/>
        <w:sz w:val="16"/>
      </w:rPr>
      <w:t>5</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04781F">
      <w:rPr>
        <w:rFonts w:cs="Arial"/>
        <w:noProof/>
        <w:sz w:val="16"/>
      </w:rPr>
      <w:t>5</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36" w:rsidRDefault="00465B36">
      <w:r>
        <w:separator/>
      </w:r>
    </w:p>
  </w:footnote>
  <w:footnote w:type="continuationSeparator" w:id="0">
    <w:p w:rsidR="00465B36" w:rsidRDefault="0046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21" w:rsidRDefault="000117FC">
    <w:pPr>
      <w:ind w:left="-1260" w:right="-1260"/>
      <w:rPr>
        <w:rFonts w:cs="Arial"/>
        <w:sz w:val="18"/>
      </w:rPr>
    </w:pPr>
    <w:r>
      <w:rPr>
        <w:rFonts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0</wp:posOffset>
          </wp:positionV>
          <wp:extent cx="1078865" cy="34861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9A15E0">
      <w:rPr>
        <w:rFonts w:cs="Arial"/>
        <w:sz w:val="18"/>
      </w:rPr>
      <w:t>CH 6.106 Beta Hydroxybutyrate</w:t>
    </w:r>
  </w:p>
  <w:p w:rsidR="00594821" w:rsidRDefault="00EA09E3">
    <w:pPr>
      <w:ind w:left="-1260" w:right="-1260"/>
      <w:rPr>
        <w:rFonts w:cs="Arial"/>
        <w:sz w:val="18"/>
      </w:rPr>
    </w:pPr>
    <w:r>
      <w:rPr>
        <w:rFonts w:cs="Arial"/>
        <w:sz w:val="18"/>
      </w:rPr>
      <w:t>Version 5</w:t>
    </w:r>
  </w:p>
  <w:p w:rsidR="00594821" w:rsidRDefault="00594821">
    <w:pPr>
      <w:ind w:left="-1260" w:right="-1260"/>
      <w:rPr>
        <w:rFonts w:cs="Arial"/>
        <w:sz w:val="18"/>
      </w:rPr>
    </w:pPr>
    <w:r>
      <w:rPr>
        <w:rFonts w:cs="Arial"/>
        <w:sz w:val="18"/>
      </w:rPr>
      <w:t>E</w:t>
    </w:r>
    <w:r w:rsidR="00EA09E3">
      <w:rPr>
        <w:rFonts w:cs="Arial"/>
        <w:sz w:val="18"/>
      </w:rPr>
      <w:t>ffective Date: October 15, 2019</w:t>
    </w:r>
  </w:p>
  <w:p w:rsidR="00594821" w:rsidRDefault="0059482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91063D4"/>
    <w:multiLevelType w:val="hybridMultilevel"/>
    <w:tmpl w:val="1C601370"/>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B1826"/>
    <w:multiLevelType w:val="hybridMultilevel"/>
    <w:tmpl w:val="446C66A6"/>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FB70EF"/>
    <w:multiLevelType w:val="hybridMultilevel"/>
    <w:tmpl w:val="B450E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2C1BC4"/>
    <w:multiLevelType w:val="hybridMultilevel"/>
    <w:tmpl w:val="E38AE71A"/>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24585"/>
    <w:multiLevelType w:val="hybridMultilevel"/>
    <w:tmpl w:val="A134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14B77"/>
    <w:multiLevelType w:val="hybridMultilevel"/>
    <w:tmpl w:val="D86A03F8"/>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A0339B"/>
    <w:multiLevelType w:val="hybridMultilevel"/>
    <w:tmpl w:val="CC0CA4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352416"/>
    <w:multiLevelType w:val="hybridMultilevel"/>
    <w:tmpl w:val="47F87594"/>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D0345"/>
    <w:multiLevelType w:val="hybridMultilevel"/>
    <w:tmpl w:val="1D943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2406A5"/>
    <w:multiLevelType w:val="hybridMultilevel"/>
    <w:tmpl w:val="30743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0"/>
  </w:num>
  <w:num w:numId="4">
    <w:abstractNumId w:val="7"/>
  </w:num>
  <w:num w:numId="5">
    <w:abstractNumId w:val="5"/>
  </w:num>
  <w:num w:numId="6">
    <w:abstractNumId w:val="1"/>
  </w:num>
  <w:num w:numId="7">
    <w:abstractNumId w:val="2"/>
  </w:num>
  <w:num w:numId="8">
    <w:abstractNumId w:val="10"/>
  </w:num>
  <w:num w:numId="9">
    <w:abstractNumId w:val="4"/>
  </w:num>
  <w:num w:numId="10">
    <w:abstractNumId w:val="9"/>
  </w:num>
  <w:num w:numId="11">
    <w:abstractNumId w:val="6"/>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56"/>
    <w:rsid w:val="000117FC"/>
    <w:rsid w:val="0004781F"/>
    <w:rsid w:val="00071E56"/>
    <w:rsid w:val="00130560"/>
    <w:rsid w:val="0017338C"/>
    <w:rsid w:val="001E5C74"/>
    <w:rsid w:val="00220BF6"/>
    <w:rsid w:val="002B3054"/>
    <w:rsid w:val="002C0FC4"/>
    <w:rsid w:val="002C77DE"/>
    <w:rsid w:val="003C2E2A"/>
    <w:rsid w:val="00402D27"/>
    <w:rsid w:val="00465B36"/>
    <w:rsid w:val="004A5FEC"/>
    <w:rsid w:val="004D4EDE"/>
    <w:rsid w:val="0052724D"/>
    <w:rsid w:val="00565077"/>
    <w:rsid w:val="00594821"/>
    <w:rsid w:val="005E0356"/>
    <w:rsid w:val="005E11C7"/>
    <w:rsid w:val="005E2060"/>
    <w:rsid w:val="006252D1"/>
    <w:rsid w:val="006C3F1E"/>
    <w:rsid w:val="00762EA6"/>
    <w:rsid w:val="00766EE6"/>
    <w:rsid w:val="00815CDC"/>
    <w:rsid w:val="00837C5F"/>
    <w:rsid w:val="00850752"/>
    <w:rsid w:val="00855BFC"/>
    <w:rsid w:val="00865008"/>
    <w:rsid w:val="0086684D"/>
    <w:rsid w:val="00873DA0"/>
    <w:rsid w:val="008E5D18"/>
    <w:rsid w:val="00935C04"/>
    <w:rsid w:val="009941AB"/>
    <w:rsid w:val="009A15E0"/>
    <w:rsid w:val="00A30868"/>
    <w:rsid w:val="00A91BE6"/>
    <w:rsid w:val="00AF5FEB"/>
    <w:rsid w:val="00BB5AF9"/>
    <w:rsid w:val="00C54E2E"/>
    <w:rsid w:val="00C77EC2"/>
    <w:rsid w:val="00CA409B"/>
    <w:rsid w:val="00D0161F"/>
    <w:rsid w:val="00D07CB0"/>
    <w:rsid w:val="00D71484"/>
    <w:rsid w:val="00D826F3"/>
    <w:rsid w:val="00DF3386"/>
    <w:rsid w:val="00E13591"/>
    <w:rsid w:val="00EA09E3"/>
    <w:rsid w:val="00EB0489"/>
    <w:rsid w:val="00F9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FB70C51-9561-4B18-AEF2-6665EB30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3"/>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3"/>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3"/>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3"/>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3"/>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3"/>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3"/>
      </w:numPr>
      <w:jc w:val="both"/>
      <w:outlineLvl w:val="6"/>
    </w:pPr>
    <w:rPr>
      <w:rFonts w:ascii="Times New Roman" w:hAnsi="Times New Roman"/>
      <w:sz w:val="28"/>
    </w:rPr>
  </w:style>
  <w:style w:type="paragraph" w:styleId="Heading8">
    <w:name w:val="heading 8"/>
    <w:basedOn w:val="Normal"/>
    <w:next w:val="Normal"/>
    <w:qFormat/>
    <w:pPr>
      <w:keepNext/>
      <w:numPr>
        <w:ilvl w:val="7"/>
        <w:numId w:val="3"/>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3"/>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semiHidden/>
    <w:pPr>
      <w:spacing w:after="120"/>
    </w:pPr>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paragraph" w:styleId="ListParagraph">
    <w:name w:val="List Paragraph"/>
    <w:basedOn w:val="Normal"/>
    <w:uiPriority w:val="34"/>
    <w:qFormat/>
    <w:rsid w:val="00850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operator/abbott-architect-operations-manual.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quality/ch-2.17-unity-real-time-qc-review-general-us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2020-08-21T05:00:00+00:00</Renewal_x0020_Date>
    <Legacy_x0020_Name xmlns="199f0838-75a6-4f0c-9be1-f2c07140bccc">6.106 B-Hydroxybutyrate.doc</Legacy_x0020_Name>
    <Legacy_x0020_Document_x0020_ID xmlns="199f0838-75a6-4f0c-9be1-f2c07140bccc">201888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F6TN54CWY5RS-50183619-29311</_dlc_DocId>
    <_Version xmlns="http://schemas.microsoft.com/sharepoint/v3/fields">6</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http://vcpsharepoint2/references/_layouts/15/DocIdRedir.aspx?ID=F6TN54CWY5RS-50183619-29311</Url>
      <Description>F6TN54CWY5RS-50183619-29311</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CH6.106 B-Hydroxybutyrate </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2016-08-25T23:21:00+00:00</_DCDateCreated>
    <Owner xmlns="http://schemas.microsoft.com/sharepoint/v3">CHEM</Owner>
    <Summary xmlns="199f0838-75a6-4f0c-9be1-f2c07140bccc">version 4</Summary>
    <SubTitle xmlns="199f0838-75a6-4f0c-9be1-f2c07140bccc" xsi:nil="true"/>
    <Content_x0020_Release_x0020_Date xmlns="199f0838-75a6-4f0c-9be1-f2c07140bccc">2016-08-25T05:00:00+00:00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57219-D007-43BE-8F1C-ED47B0ED2BC7}">
  <ds:schemaRefs>
    <ds:schemaRef ds:uri="http://schemas.microsoft.com/sharepoint/v3/contenttype/forms"/>
  </ds:schemaRefs>
</ds:datastoreItem>
</file>

<file path=customXml/itemProps2.xml><?xml version="1.0" encoding="utf-8"?>
<ds:datastoreItem xmlns:ds="http://schemas.openxmlformats.org/officeDocument/2006/customXml" ds:itemID="{484F9309-469A-444B-B3D8-137D150C9435}">
  <ds:schemaRefs>
    <ds:schemaRef ds:uri="http://schemas.microsoft.com/sharepoint/events"/>
  </ds:schemaRefs>
</ds:datastoreItem>
</file>

<file path=customXml/itemProps3.xml><?xml version="1.0" encoding="utf-8"?>
<ds:datastoreItem xmlns:ds="http://schemas.openxmlformats.org/officeDocument/2006/customXml" ds:itemID="{C43A144F-2734-4455-874E-D9A08844D209}">
  <ds:schemaRefs>
    <ds:schemaRef ds:uri="http://purl.org/dc/dcmitype/"/>
    <ds:schemaRef ds:uri="http://purl.org/dc/terms/"/>
    <ds:schemaRef ds:uri="http://purl.org/dc/elements/1.1/"/>
    <ds:schemaRef ds:uri="http://schemas.microsoft.com/office/2006/metadata/properties"/>
    <ds:schemaRef ds:uri="199f0838-75a6-4f0c-9be1-f2c07140bccc"/>
    <ds:schemaRef ds:uri="c1848e11-9cf6-4ce4-877e-6837d2c2fa2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A55CCD79-9DA8-4DCB-93EF-2A1DE8A4D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06882E-0976-4A30-AB23-8264D322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1798</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 Hydroxybutyrate</vt:lpstr>
    </vt:vector>
  </TitlesOfParts>
  <Company>Children's Hospitals and Clinics of MN</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Hydroxybutyrate</dc:title>
  <dc:subject/>
  <dc:creator>CE080372</dc:creator>
  <cp:keywords/>
  <dc:description>5/19/2015: New Lab Director review, Chem TS bienniel review, omit retired RxL\n10/28/15: fixed typo\n8/25/16: TS Review, Add instruction to assure QC is run on newly prepared flex, LL_x000d_
Annual Review ERB 8/21/18</dc:description>
  <cp:lastModifiedBy>Erin Bartos</cp:lastModifiedBy>
  <cp:revision>7</cp:revision>
  <cp:lastPrinted>2012-02-16T20:43:00Z</cp:lastPrinted>
  <dcterms:created xsi:type="dcterms:W3CDTF">2019-10-07T17:42:00Z</dcterms:created>
  <dcterms:modified xsi:type="dcterms:W3CDTF">2019-10-11T16:41:00Z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ee07ee81-643c-4e30-a007-fecfd74356fe</vt:lpwstr>
  </property>
</Properties>
</file>