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1152" w:type="dxa"/>
        <w:tblLayout w:type="fixed"/>
        <w:tblLook w:val="0000"/>
      </w:tblPr>
      <w:tblGrid>
        <w:gridCol w:w="1473"/>
        <w:gridCol w:w="950"/>
        <w:gridCol w:w="2167"/>
        <w:gridCol w:w="1620"/>
        <w:gridCol w:w="5040"/>
      </w:tblGrid>
      <w:tr w:rsidR="004677C5" w:rsidTr="00436FF0">
        <w:trPr>
          <w:tblHeader/>
        </w:trPr>
        <w:tc>
          <w:tcPr>
            <w:tcW w:w="11250" w:type="dxa"/>
            <w:gridSpan w:val="5"/>
          </w:tcPr>
          <w:p w:rsidR="004677C5" w:rsidRDefault="004677C5">
            <w:pPr>
              <w:pStyle w:val="Header"/>
              <w:tabs>
                <w:tab w:val="clear" w:pos="4320"/>
                <w:tab w:val="clear" w:pos="8640"/>
                <w:tab w:val="left" w:pos="11520"/>
              </w:tabs>
              <w:jc w:val="both"/>
              <w:rPr>
                <w:b/>
                <w:bCs/>
                <w:color w:val="0000FF"/>
                <w:sz w:val="36"/>
              </w:rPr>
            </w:pPr>
            <w:r>
              <w:rPr>
                <w:b/>
                <w:bCs/>
                <w:color w:val="0000FF"/>
                <w:sz w:val="36"/>
              </w:rPr>
              <w:t>Iron</w:t>
            </w:r>
          </w:p>
          <w:p w:rsidR="004677C5" w:rsidRDefault="004677C5">
            <w:pPr>
              <w:pStyle w:val="Header"/>
              <w:tabs>
                <w:tab w:val="clear" w:pos="4320"/>
                <w:tab w:val="clear" w:pos="8640"/>
                <w:tab w:val="left" w:pos="11520"/>
              </w:tabs>
              <w:jc w:val="both"/>
              <w:rPr>
                <w:color w:val="0000FF"/>
              </w:rPr>
            </w:pPr>
          </w:p>
        </w:tc>
      </w:tr>
      <w:tr w:rsidR="004677C5" w:rsidTr="00436FF0">
        <w:trPr>
          <w:trHeight w:val="1161"/>
          <w:tblHeader/>
        </w:trPr>
        <w:tc>
          <w:tcPr>
            <w:tcW w:w="1473" w:type="dxa"/>
            <w:vAlign w:val="center"/>
          </w:tcPr>
          <w:p w:rsidR="004677C5" w:rsidRDefault="004677C5">
            <w:pPr>
              <w:rPr>
                <w:b/>
                <w:bCs/>
                <w:color w:val="0000FF"/>
              </w:rPr>
            </w:pPr>
            <w:r>
              <w:rPr>
                <w:b/>
                <w:bCs/>
                <w:color w:val="0000FF"/>
              </w:rPr>
              <w:t>Purpose</w:t>
            </w:r>
          </w:p>
        </w:tc>
        <w:tc>
          <w:tcPr>
            <w:tcW w:w="9777" w:type="dxa"/>
            <w:gridSpan w:val="4"/>
            <w:tcBorders>
              <w:top w:val="single" w:sz="18" w:space="0" w:color="BFBFBF"/>
              <w:bottom w:val="single" w:sz="18" w:space="0" w:color="BFBFBF"/>
            </w:tcBorders>
            <w:vAlign w:val="center"/>
          </w:tcPr>
          <w:p w:rsidR="004677C5" w:rsidRPr="00AE3ACF" w:rsidRDefault="004677C5" w:rsidP="00AE3ACF">
            <w:pPr>
              <w:autoSpaceDE w:val="0"/>
              <w:autoSpaceDN w:val="0"/>
              <w:adjustRightInd w:val="0"/>
              <w:rPr>
                <w:rFonts w:cs="Arial"/>
                <w:szCs w:val="20"/>
              </w:rPr>
            </w:pPr>
            <w:r w:rsidRPr="00AE3ACF">
              <w:rPr>
                <w:rFonts w:cs="Arial"/>
                <w:szCs w:val="20"/>
              </w:rPr>
              <w:t xml:space="preserve">This procedure provides instructions for performing the IRON test procedure. The IRON method is an </w:t>
            </w:r>
            <w:r w:rsidRPr="00AE3ACF">
              <w:rPr>
                <w:rFonts w:cs="Arial"/>
                <w:i/>
                <w:iCs/>
                <w:szCs w:val="20"/>
              </w:rPr>
              <w:t xml:space="preserve">in vitro </w:t>
            </w:r>
            <w:r w:rsidRPr="00AE3ACF">
              <w:rPr>
                <w:rFonts w:cs="Arial"/>
                <w:szCs w:val="20"/>
              </w:rPr>
              <w:t>diagnostic test for the quantitative measurement of iron</w:t>
            </w:r>
            <w:r w:rsidR="00AE3ACF">
              <w:rPr>
                <w:rFonts w:cs="Arial"/>
                <w:szCs w:val="20"/>
              </w:rPr>
              <w:t xml:space="preserve"> </w:t>
            </w:r>
            <w:r w:rsidRPr="00AE3ACF">
              <w:rPr>
                <w:rFonts w:cs="Arial"/>
                <w:szCs w:val="20"/>
              </w:rPr>
              <w:t xml:space="preserve">in human serum and plasma on the Dimension Vista® System. </w:t>
            </w:r>
          </w:p>
        </w:tc>
      </w:tr>
      <w:tr w:rsidR="004677C5" w:rsidTr="00436FF0">
        <w:trPr>
          <w:trHeight w:val="954"/>
          <w:tblHeader/>
        </w:trPr>
        <w:tc>
          <w:tcPr>
            <w:tcW w:w="1473" w:type="dxa"/>
            <w:vAlign w:val="center"/>
          </w:tcPr>
          <w:p w:rsidR="004677C5" w:rsidRDefault="004677C5">
            <w:pPr>
              <w:rPr>
                <w:b/>
                <w:bCs/>
                <w:color w:val="0000FF"/>
              </w:rPr>
            </w:pPr>
            <w:r>
              <w:rPr>
                <w:b/>
                <w:bCs/>
                <w:color w:val="0000FF"/>
              </w:rPr>
              <w:t>Policy Statements</w:t>
            </w:r>
          </w:p>
        </w:tc>
        <w:tc>
          <w:tcPr>
            <w:tcW w:w="9777" w:type="dxa"/>
            <w:gridSpan w:val="4"/>
            <w:tcBorders>
              <w:top w:val="single" w:sz="18" w:space="0" w:color="BFBFBF"/>
              <w:bottom w:val="single" w:sz="18" w:space="0" w:color="BFBFBF"/>
            </w:tcBorders>
            <w:vAlign w:val="center"/>
          </w:tcPr>
          <w:p w:rsidR="004677C5" w:rsidRDefault="004677C5" w:rsidP="00AE3ACF">
            <w:pPr>
              <w:pStyle w:val="Header"/>
              <w:tabs>
                <w:tab w:val="clear" w:pos="4320"/>
                <w:tab w:val="clear" w:pos="8640"/>
              </w:tabs>
              <w:autoSpaceDE w:val="0"/>
              <w:autoSpaceDN w:val="0"/>
              <w:adjustRightInd w:val="0"/>
              <w:rPr>
                <w:rFonts w:cs="Arial"/>
                <w:b/>
                <w:bCs/>
                <w:szCs w:val="15"/>
              </w:rPr>
            </w:pPr>
            <w:r>
              <w:rPr>
                <w:rFonts w:cs="Arial"/>
                <w:szCs w:val="15"/>
              </w:rPr>
              <w:t>This procedure applies to all personnel responsible for operating the</w:t>
            </w:r>
            <w:r w:rsidR="00AE3ACF">
              <w:rPr>
                <w:rFonts w:cs="Arial"/>
                <w:szCs w:val="15"/>
              </w:rPr>
              <w:t xml:space="preserve"> Siemens</w:t>
            </w:r>
            <w:r>
              <w:rPr>
                <w:rFonts w:cs="Arial"/>
                <w:szCs w:val="15"/>
              </w:rPr>
              <w:t xml:space="preserve"> Dimension </w:t>
            </w:r>
            <w:r w:rsidR="00AE3ACF">
              <w:rPr>
                <w:rFonts w:cs="Arial"/>
                <w:szCs w:val="15"/>
              </w:rPr>
              <w:t>Vista ®</w:t>
            </w:r>
            <w:r>
              <w:rPr>
                <w:rFonts w:cs="Arial"/>
                <w:szCs w:val="15"/>
              </w:rPr>
              <w:t xml:space="preserve"> at Children’s Hospitals and Clinics of Minnesota.</w:t>
            </w:r>
          </w:p>
        </w:tc>
      </w:tr>
      <w:tr w:rsidR="004677C5" w:rsidTr="00850072">
        <w:trPr>
          <w:trHeight w:val="2916"/>
          <w:tblHeader/>
        </w:trPr>
        <w:tc>
          <w:tcPr>
            <w:tcW w:w="1473" w:type="dxa"/>
          </w:tcPr>
          <w:p w:rsidR="00850072" w:rsidRDefault="00850072" w:rsidP="00850072">
            <w:pPr>
              <w:rPr>
                <w:b/>
                <w:bCs/>
                <w:color w:val="0000FF"/>
              </w:rPr>
            </w:pPr>
          </w:p>
          <w:p w:rsidR="004677C5" w:rsidRDefault="004677C5" w:rsidP="00850072">
            <w:pPr>
              <w:rPr>
                <w:b/>
                <w:bCs/>
                <w:color w:val="0000FF"/>
              </w:rPr>
            </w:pPr>
            <w:r>
              <w:rPr>
                <w:b/>
                <w:bCs/>
                <w:color w:val="0000FF"/>
              </w:rPr>
              <w:t>Principle</w:t>
            </w:r>
          </w:p>
        </w:tc>
        <w:tc>
          <w:tcPr>
            <w:tcW w:w="9777" w:type="dxa"/>
            <w:gridSpan w:val="4"/>
            <w:tcBorders>
              <w:top w:val="single" w:sz="18" w:space="0" w:color="BFBFBF"/>
              <w:bottom w:val="single" w:sz="18" w:space="0" w:color="BFBFBF"/>
            </w:tcBorders>
            <w:vAlign w:val="center"/>
          </w:tcPr>
          <w:p w:rsidR="000C12BC" w:rsidRDefault="004677C5" w:rsidP="000C12BC">
            <w:pPr>
              <w:autoSpaceDE w:val="0"/>
              <w:autoSpaceDN w:val="0"/>
              <w:adjustRightInd w:val="0"/>
              <w:jc w:val="both"/>
              <w:rPr>
                <w:rFonts w:cs="Arial"/>
                <w:szCs w:val="20"/>
              </w:rPr>
            </w:pPr>
            <w:r w:rsidRPr="000C12BC">
              <w:rPr>
                <w:rStyle w:val="Body"/>
                <w:rFonts w:ascii="Arial" w:hAnsi="Arial" w:cs="Arial"/>
                <w:bCs/>
                <w:sz w:val="20"/>
                <w:szCs w:val="20"/>
              </w:rPr>
              <w:t>Under acidic conditions, iron (Fe</w:t>
            </w:r>
            <w:r w:rsidRPr="000C12BC">
              <w:rPr>
                <w:rStyle w:val="Superscript"/>
                <w:rFonts w:ascii="Arial" w:hAnsi="Arial" w:cs="Arial"/>
                <w:bCs/>
                <w:sz w:val="20"/>
                <w:szCs w:val="20"/>
              </w:rPr>
              <w:t>3+</w:t>
            </w:r>
            <w:r w:rsidRPr="000C12BC">
              <w:rPr>
                <w:rStyle w:val="Body"/>
                <w:rFonts w:ascii="Arial" w:hAnsi="Arial" w:cs="Arial"/>
                <w:bCs/>
                <w:sz w:val="20"/>
                <w:szCs w:val="20"/>
              </w:rPr>
              <w:t xml:space="preserve">) bound to the protein </w:t>
            </w:r>
            <w:proofErr w:type="spellStart"/>
            <w:r w:rsidRPr="000C12BC">
              <w:rPr>
                <w:rStyle w:val="Body"/>
                <w:rFonts w:ascii="Arial" w:hAnsi="Arial" w:cs="Arial"/>
                <w:bCs/>
                <w:sz w:val="20"/>
                <w:szCs w:val="20"/>
              </w:rPr>
              <w:t>transferrin</w:t>
            </w:r>
            <w:proofErr w:type="spellEnd"/>
            <w:r w:rsidRPr="000C12BC">
              <w:rPr>
                <w:rStyle w:val="Body"/>
                <w:rFonts w:ascii="Arial" w:hAnsi="Arial" w:cs="Arial"/>
                <w:bCs/>
                <w:sz w:val="20"/>
                <w:szCs w:val="20"/>
              </w:rPr>
              <w:t xml:space="preserve"> is released. In the presence of the reducing agent ascorbic acid, (Fe</w:t>
            </w:r>
            <w:r w:rsidRPr="000C12BC">
              <w:rPr>
                <w:rStyle w:val="Superscript"/>
                <w:rFonts w:ascii="Arial" w:hAnsi="Arial" w:cs="Arial"/>
                <w:bCs/>
                <w:sz w:val="20"/>
                <w:szCs w:val="20"/>
              </w:rPr>
              <w:t>3+</w:t>
            </w:r>
            <w:r w:rsidRPr="000C12BC">
              <w:rPr>
                <w:rStyle w:val="Body"/>
                <w:rFonts w:ascii="Arial" w:hAnsi="Arial" w:cs="Arial"/>
                <w:bCs/>
                <w:sz w:val="20"/>
                <w:szCs w:val="20"/>
              </w:rPr>
              <w:t>) is reduced to (Fe</w:t>
            </w:r>
            <w:r w:rsidRPr="000C12BC">
              <w:rPr>
                <w:rStyle w:val="Superscript"/>
                <w:rFonts w:ascii="Arial" w:hAnsi="Arial" w:cs="Arial"/>
                <w:bCs/>
                <w:sz w:val="20"/>
                <w:szCs w:val="20"/>
              </w:rPr>
              <w:t>2+</w:t>
            </w:r>
            <w:r w:rsidRPr="000C12BC">
              <w:rPr>
                <w:rStyle w:val="Body"/>
                <w:rFonts w:ascii="Arial" w:hAnsi="Arial" w:cs="Arial"/>
                <w:bCs/>
                <w:sz w:val="20"/>
                <w:szCs w:val="20"/>
              </w:rPr>
              <w:t>). (Fe</w:t>
            </w:r>
            <w:r w:rsidRPr="000C12BC">
              <w:rPr>
                <w:rStyle w:val="Superscript"/>
                <w:rFonts w:ascii="Arial" w:hAnsi="Arial" w:cs="Arial"/>
                <w:bCs/>
                <w:sz w:val="20"/>
                <w:szCs w:val="20"/>
              </w:rPr>
              <w:t>2+</w:t>
            </w:r>
            <w:r w:rsidRPr="000C12BC">
              <w:rPr>
                <w:rStyle w:val="Body"/>
                <w:rFonts w:ascii="Arial" w:hAnsi="Arial" w:cs="Arial"/>
                <w:bCs/>
                <w:sz w:val="20"/>
                <w:szCs w:val="20"/>
              </w:rPr>
              <w:t>) forms a blue complex with 5</w:t>
            </w:r>
            <w:proofErr w:type="gramStart"/>
            <w:r w:rsidRPr="000C12BC">
              <w:rPr>
                <w:rStyle w:val="Body"/>
                <w:rFonts w:ascii="Arial" w:hAnsi="Arial" w:cs="Arial"/>
                <w:bCs/>
                <w:sz w:val="20"/>
                <w:szCs w:val="20"/>
              </w:rPr>
              <w:t>,5’</w:t>
            </w:r>
            <w:proofErr w:type="gramEnd"/>
            <w:r w:rsidRPr="000C12BC">
              <w:rPr>
                <w:rStyle w:val="Body"/>
                <w:rFonts w:ascii="Arial" w:hAnsi="Arial" w:cs="Arial"/>
                <w:bCs/>
                <w:sz w:val="20"/>
                <w:szCs w:val="20"/>
              </w:rPr>
              <w:t>(3-(2-pyridyl)-1,2,4-triazine-5,6-diyl)-bis-2-furansulfonic acid disodium salt (</w:t>
            </w:r>
            <w:proofErr w:type="spellStart"/>
            <w:r w:rsidRPr="000C12BC">
              <w:rPr>
                <w:rStyle w:val="Body"/>
                <w:rFonts w:ascii="Arial" w:hAnsi="Arial" w:cs="Arial"/>
                <w:bCs/>
                <w:sz w:val="20"/>
                <w:szCs w:val="20"/>
              </w:rPr>
              <w:t>Ferene</w:t>
            </w:r>
            <w:proofErr w:type="spellEnd"/>
            <w:r w:rsidRPr="000C12BC">
              <w:rPr>
                <w:rStyle w:val="Body"/>
                <w:rFonts w:ascii="Arial" w:hAnsi="Arial" w:cs="Arial"/>
                <w:bCs/>
                <w:sz w:val="20"/>
                <w:szCs w:val="20"/>
              </w:rPr>
              <w:t xml:space="preserve">®). The absorbance of the complex, measured using a </w:t>
            </w:r>
            <w:proofErr w:type="spellStart"/>
            <w:r w:rsidRPr="000C12BC">
              <w:rPr>
                <w:rStyle w:val="Body"/>
                <w:rFonts w:ascii="Arial" w:hAnsi="Arial" w:cs="Arial"/>
                <w:bCs/>
                <w:sz w:val="20"/>
                <w:szCs w:val="20"/>
              </w:rPr>
              <w:t>bichromatic</w:t>
            </w:r>
            <w:proofErr w:type="spellEnd"/>
            <w:r w:rsidRPr="000C12BC">
              <w:rPr>
                <w:rStyle w:val="Body"/>
                <w:rFonts w:ascii="Arial" w:hAnsi="Arial" w:cs="Arial"/>
                <w:bCs/>
                <w:sz w:val="20"/>
                <w:szCs w:val="20"/>
              </w:rPr>
              <w:t xml:space="preserve"> (600, 700 nm) endpoint technique, is directly proportional to the concentration of </w:t>
            </w:r>
            <w:proofErr w:type="spellStart"/>
            <w:r w:rsidR="00AE3ACF" w:rsidRPr="000C12BC">
              <w:rPr>
                <w:rFonts w:cs="Arial"/>
                <w:szCs w:val="20"/>
              </w:rPr>
              <w:t>transferrin</w:t>
            </w:r>
            <w:proofErr w:type="spellEnd"/>
            <w:r w:rsidR="00AE3ACF" w:rsidRPr="000C12BC">
              <w:rPr>
                <w:rFonts w:cs="Arial"/>
                <w:szCs w:val="20"/>
              </w:rPr>
              <w:t xml:space="preserve">-bound iron </w:t>
            </w:r>
            <w:r w:rsidRPr="000C12BC">
              <w:rPr>
                <w:rStyle w:val="Body"/>
                <w:rFonts w:ascii="Arial" w:hAnsi="Arial" w:cs="Arial"/>
                <w:bCs/>
                <w:sz w:val="20"/>
                <w:szCs w:val="20"/>
              </w:rPr>
              <w:t>in the serum.</w:t>
            </w:r>
            <w:r w:rsidR="000C12BC" w:rsidRPr="000C12BC">
              <w:rPr>
                <w:rFonts w:cs="Arial"/>
                <w:szCs w:val="20"/>
              </w:rPr>
              <w:t xml:space="preserve"> </w:t>
            </w:r>
          </w:p>
          <w:p w:rsidR="000C12BC" w:rsidRDefault="000C12BC" w:rsidP="000C12BC">
            <w:pPr>
              <w:autoSpaceDE w:val="0"/>
              <w:autoSpaceDN w:val="0"/>
              <w:adjustRightInd w:val="0"/>
              <w:jc w:val="both"/>
              <w:rPr>
                <w:rFonts w:cs="Arial"/>
                <w:szCs w:val="20"/>
              </w:rPr>
            </w:pPr>
          </w:p>
          <w:p w:rsidR="004677C5" w:rsidRPr="000C12BC" w:rsidRDefault="000C12BC" w:rsidP="000C12BC">
            <w:pPr>
              <w:autoSpaceDE w:val="0"/>
              <w:autoSpaceDN w:val="0"/>
              <w:adjustRightInd w:val="0"/>
              <w:jc w:val="both"/>
              <w:rPr>
                <w:rFonts w:cs="Arial"/>
                <w:bCs/>
                <w:szCs w:val="20"/>
              </w:rPr>
            </w:pPr>
            <w:r w:rsidRPr="000C12BC">
              <w:rPr>
                <w:rStyle w:val="Body"/>
                <w:rFonts w:ascii="Arial" w:hAnsi="Arial" w:cs="Arial"/>
                <w:bCs/>
                <w:sz w:val="20"/>
                <w:szCs w:val="20"/>
              </w:rPr>
              <w:t xml:space="preserve">The IRON method is an adaptation of direct iron assays developed by Smith et al. using the </w:t>
            </w:r>
            <w:proofErr w:type="spellStart"/>
            <w:r w:rsidRPr="000C12BC">
              <w:rPr>
                <w:rStyle w:val="Body"/>
                <w:rFonts w:ascii="Arial" w:hAnsi="Arial" w:cs="Arial"/>
                <w:bCs/>
                <w:sz w:val="20"/>
                <w:szCs w:val="20"/>
              </w:rPr>
              <w:t>chromophore</w:t>
            </w:r>
            <w:proofErr w:type="spellEnd"/>
            <w:r w:rsidRPr="000C12BC">
              <w:rPr>
                <w:rStyle w:val="Body"/>
                <w:rFonts w:ascii="Arial" w:hAnsi="Arial" w:cs="Arial"/>
                <w:bCs/>
                <w:sz w:val="20"/>
                <w:szCs w:val="20"/>
              </w:rPr>
              <w:t xml:space="preserve"> </w:t>
            </w:r>
            <w:proofErr w:type="spellStart"/>
            <w:r w:rsidRPr="000C12BC">
              <w:rPr>
                <w:rStyle w:val="Body"/>
                <w:rFonts w:ascii="Arial" w:hAnsi="Arial" w:cs="Arial"/>
                <w:bCs/>
                <w:sz w:val="20"/>
                <w:szCs w:val="20"/>
              </w:rPr>
              <w:t>Ferene</w:t>
            </w:r>
            <w:proofErr w:type="spellEnd"/>
            <w:r w:rsidRPr="000C12BC">
              <w:rPr>
                <w:rStyle w:val="Body"/>
                <w:rFonts w:ascii="Arial" w:hAnsi="Arial" w:cs="Arial"/>
                <w:bCs/>
                <w:sz w:val="20"/>
                <w:szCs w:val="20"/>
              </w:rPr>
              <w:t xml:space="preserve">®. Earlier work by Higgins, </w:t>
            </w:r>
            <w:proofErr w:type="spellStart"/>
            <w:r w:rsidRPr="000C12BC">
              <w:rPr>
                <w:rStyle w:val="Body"/>
                <w:rFonts w:ascii="Arial" w:hAnsi="Arial" w:cs="Arial"/>
                <w:bCs/>
                <w:sz w:val="20"/>
                <w:szCs w:val="20"/>
              </w:rPr>
              <w:t>Artiss</w:t>
            </w:r>
            <w:proofErr w:type="spellEnd"/>
            <w:r w:rsidRPr="000C12BC">
              <w:rPr>
                <w:rStyle w:val="Body"/>
                <w:rFonts w:ascii="Arial" w:hAnsi="Arial" w:cs="Arial"/>
                <w:bCs/>
                <w:sz w:val="20"/>
                <w:szCs w:val="20"/>
              </w:rPr>
              <w:t xml:space="preserve"> et al. and Hennessy et al. demonstrated the high sensitivity of </w:t>
            </w:r>
            <w:proofErr w:type="spellStart"/>
            <w:r w:rsidRPr="000C12BC">
              <w:rPr>
                <w:rStyle w:val="Body"/>
                <w:rFonts w:ascii="Arial" w:hAnsi="Arial" w:cs="Arial"/>
                <w:bCs/>
                <w:sz w:val="20"/>
                <w:szCs w:val="20"/>
              </w:rPr>
              <w:t>Ferene</w:t>
            </w:r>
            <w:proofErr w:type="spellEnd"/>
            <w:r w:rsidRPr="000C12BC">
              <w:rPr>
                <w:rStyle w:val="Body"/>
                <w:rFonts w:ascii="Arial" w:hAnsi="Arial" w:cs="Arial"/>
                <w:bCs/>
                <w:sz w:val="20"/>
                <w:szCs w:val="20"/>
              </w:rPr>
              <w:t xml:space="preserve">® and its utility in iron assays. Potential copper interference is minimized by the addition of </w:t>
            </w:r>
            <w:proofErr w:type="spellStart"/>
            <w:r w:rsidRPr="000C12BC">
              <w:rPr>
                <w:rStyle w:val="Body"/>
                <w:rFonts w:ascii="Arial" w:hAnsi="Arial" w:cs="Arial"/>
                <w:bCs/>
                <w:sz w:val="20"/>
                <w:szCs w:val="20"/>
              </w:rPr>
              <w:t>thiourea</w:t>
            </w:r>
            <w:proofErr w:type="spellEnd"/>
            <w:r w:rsidRPr="000C12BC">
              <w:rPr>
                <w:rStyle w:val="Body"/>
                <w:rFonts w:ascii="Arial" w:hAnsi="Arial" w:cs="Arial"/>
                <w:bCs/>
                <w:sz w:val="20"/>
                <w:szCs w:val="20"/>
              </w:rPr>
              <w:t>.</w:t>
            </w:r>
            <w:r w:rsidRPr="000C12BC">
              <w:rPr>
                <w:rFonts w:cs="Arial"/>
                <w:szCs w:val="20"/>
              </w:rPr>
              <w:t xml:space="preserve"> </w:t>
            </w:r>
            <w:proofErr w:type="spellStart"/>
            <w:r w:rsidRPr="000C12BC">
              <w:rPr>
                <w:rFonts w:cs="Arial"/>
                <w:szCs w:val="20"/>
              </w:rPr>
              <w:t>Ferene</w:t>
            </w:r>
            <w:proofErr w:type="spellEnd"/>
            <w:r w:rsidRPr="000C12BC">
              <w:rPr>
                <w:rFonts w:cs="Arial"/>
                <w:szCs w:val="20"/>
              </w:rPr>
              <w:t>® is a registered trademark of Diagnostic Chemicals, LTD., Charlottetown, P.E.I., Canada C1A4H5</w:t>
            </w:r>
          </w:p>
        </w:tc>
      </w:tr>
      <w:tr w:rsidR="000C12BC" w:rsidTr="00436FF0">
        <w:trPr>
          <w:tblHeader/>
        </w:trPr>
        <w:tc>
          <w:tcPr>
            <w:tcW w:w="1473" w:type="dxa"/>
          </w:tcPr>
          <w:p w:rsidR="000C12BC" w:rsidRDefault="000C12BC">
            <w:pPr>
              <w:rPr>
                <w:b/>
                <w:bCs/>
                <w:color w:val="0000FF"/>
              </w:rPr>
            </w:pPr>
          </w:p>
          <w:p w:rsidR="000C12BC" w:rsidRDefault="000C12BC">
            <w:pPr>
              <w:rPr>
                <w:b/>
                <w:bCs/>
                <w:color w:val="0000FF"/>
              </w:rPr>
            </w:pPr>
            <w:r>
              <w:rPr>
                <w:b/>
                <w:bCs/>
                <w:color w:val="0000FF"/>
              </w:rPr>
              <w:t>Clinical Significance</w:t>
            </w:r>
          </w:p>
        </w:tc>
        <w:tc>
          <w:tcPr>
            <w:tcW w:w="9777" w:type="dxa"/>
            <w:gridSpan w:val="4"/>
            <w:vMerge w:val="restart"/>
            <w:tcBorders>
              <w:top w:val="single" w:sz="18" w:space="0" w:color="BFBFBF"/>
            </w:tcBorders>
            <w:vAlign w:val="center"/>
          </w:tcPr>
          <w:p w:rsidR="000C12BC" w:rsidRDefault="000C12BC" w:rsidP="000C12BC">
            <w:pPr>
              <w:pStyle w:val="Subhead1"/>
              <w:jc w:val="both"/>
              <w:rPr>
                <w:rStyle w:val="Body"/>
                <w:rFonts w:ascii="Arial" w:hAnsi="Arial" w:cs="Arial"/>
                <w:b w:val="0"/>
                <w:bCs w:val="0"/>
                <w:sz w:val="20"/>
                <w:szCs w:val="20"/>
              </w:rPr>
            </w:pPr>
            <w:r>
              <w:rPr>
                <w:rStyle w:val="Body"/>
                <w:rFonts w:ascii="Arial" w:hAnsi="Arial" w:cs="Arial"/>
                <w:b w:val="0"/>
                <w:bCs w:val="0"/>
                <w:sz w:val="20"/>
                <w:szCs w:val="20"/>
              </w:rPr>
              <w:t xml:space="preserve">Iron is distributed in the body in such compartments as hemoglobin, tissue, </w:t>
            </w:r>
            <w:proofErr w:type="spellStart"/>
            <w:r>
              <w:rPr>
                <w:rStyle w:val="Body"/>
                <w:rFonts w:ascii="Arial" w:hAnsi="Arial" w:cs="Arial"/>
                <w:b w:val="0"/>
                <w:bCs w:val="0"/>
                <w:sz w:val="20"/>
                <w:szCs w:val="20"/>
              </w:rPr>
              <w:t>myoglobin</w:t>
            </w:r>
            <w:proofErr w:type="spellEnd"/>
            <w:r>
              <w:rPr>
                <w:rStyle w:val="Body"/>
                <w:rFonts w:ascii="Arial" w:hAnsi="Arial" w:cs="Arial"/>
                <w:b w:val="0"/>
                <w:bCs w:val="0"/>
                <w:sz w:val="20"/>
                <w:szCs w:val="20"/>
              </w:rPr>
              <w:t xml:space="preserve">, and a labile pool, with the largest amount of iron being found in the hemoglobin of red blood cells or their precursors in bone marrow. Approximately 2.5 mg of physiologic iron is found in plasma, as compared to the approximate 2.5 g of iron contained in hemoglobin. Disorders of iron metabolism include iron deficiency anemia and iron overload conditions such as </w:t>
            </w:r>
            <w:proofErr w:type="spellStart"/>
            <w:r>
              <w:rPr>
                <w:rStyle w:val="Body"/>
                <w:rFonts w:ascii="Arial" w:hAnsi="Arial" w:cs="Arial"/>
                <w:b w:val="0"/>
                <w:bCs w:val="0"/>
                <w:sz w:val="20"/>
                <w:szCs w:val="20"/>
              </w:rPr>
              <w:t>hemosiderosis</w:t>
            </w:r>
            <w:proofErr w:type="spellEnd"/>
            <w:r>
              <w:rPr>
                <w:rStyle w:val="Body"/>
                <w:rFonts w:ascii="Arial" w:hAnsi="Arial" w:cs="Arial"/>
                <w:b w:val="0"/>
                <w:bCs w:val="0"/>
                <w:sz w:val="20"/>
                <w:szCs w:val="20"/>
              </w:rPr>
              <w:t xml:space="preserve">, </w:t>
            </w:r>
            <w:proofErr w:type="spellStart"/>
            <w:r>
              <w:rPr>
                <w:rStyle w:val="Body"/>
                <w:rFonts w:ascii="Arial" w:hAnsi="Arial" w:cs="Arial"/>
                <w:b w:val="0"/>
                <w:bCs w:val="0"/>
                <w:sz w:val="20"/>
                <w:szCs w:val="20"/>
              </w:rPr>
              <w:t>hemochromatosis</w:t>
            </w:r>
            <w:proofErr w:type="spellEnd"/>
            <w:r>
              <w:rPr>
                <w:rStyle w:val="Body"/>
                <w:rFonts w:ascii="Arial" w:hAnsi="Arial" w:cs="Arial"/>
                <w:b w:val="0"/>
                <w:bCs w:val="0"/>
                <w:sz w:val="20"/>
                <w:szCs w:val="20"/>
              </w:rPr>
              <w:t xml:space="preserve">, and </w:t>
            </w:r>
            <w:proofErr w:type="spellStart"/>
            <w:r>
              <w:rPr>
                <w:rStyle w:val="Body"/>
                <w:rFonts w:ascii="Arial" w:hAnsi="Arial" w:cs="Arial"/>
                <w:b w:val="0"/>
                <w:bCs w:val="0"/>
                <w:sz w:val="20"/>
                <w:szCs w:val="20"/>
              </w:rPr>
              <w:t>sideroblastic</w:t>
            </w:r>
            <w:proofErr w:type="spellEnd"/>
            <w:r>
              <w:rPr>
                <w:rStyle w:val="Body"/>
                <w:rFonts w:ascii="Arial" w:hAnsi="Arial" w:cs="Arial"/>
                <w:b w:val="0"/>
                <w:bCs w:val="0"/>
                <w:sz w:val="20"/>
                <w:szCs w:val="20"/>
              </w:rPr>
              <w:t xml:space="preserve"> anemia. </w:t>
            </w:r>
          </w:p>
          <w:p w:rsidR="000C12BC" w:rsidRDefault="000C12BC" w:rsidP="000C12BC">
            <w:pPr>
              <w:tabs>
                <w:tab w:val="left" w:pos="3293"/>
              </w:tabs>
              <w:autoSpaceDE w:val="0"/>
              <w:autoSpaceDN w:val="0"/>
              <w:adjustRightInd w:val="0"/>
              <w:jc w:val="both"/>
              <w:rPr>
                <w:rFonts w:cs="Arial"/>
                <w:szCs w:val="15"/>
              </w:rPr>
            </w:pPr>
          </w:p>
          <w:p w:rsidR="000C12BC" w:rsidRPr="000C12BC" w:rsidRDefault="000C12BC" w:rsidP="000C12BC">
            <w:pPr>
              <w:jc w:val="both"/>
              <w:rPr>
                <w:rStyle w:val="Body"/>
                <w:rFonts w:ascii="Arial" w:hAnsi="Arial" w:cs="Arial"/>
                <w:color w:val="auto"/>
                <w:sz w:val="20"/>
                <w:szCs w:val="20"/>
              </w:rPr>
            </w:pPr>
            <w:r>
              <w:rPr>
                <w:rFonts w:cs="Arial"/>
                <w:b/>
              </w:rPr>
              <w:t>Increased Serum Iron</w:t>
            </w:r>
            <w:r>
              <w:rPr>
                <w:rFonts w:cs="Arial"/>
              </w:rPr>
              <w:t xml:space="preserve">: </w:t>
            </w:r>
            <w:r>
              <w:rPr>
                <w:rFonts w:cs="Arial"/>
                <w:bCs/>
              </w:rPr>
              <w:t xml:space="preserve">Excessive </w:t>
            </w:r>
            <w:proofErr w:type="spellStart"/>
            <w:r>
              <w:rPr>
                <w:rFonts w:cs="Arial"/>
                <w:bCs/>
              </w:rPr>
              <w:t>parenteral</w:t>
            </w:r>
            <w:proofErr w:type="spellEnd"/>
            <w:r>
              <w:rPr>
                <w:rFonts w:cs="Arial"/>
                <w:bCs/>
              </w:rPr>
              <w:t xml:space="preserve"> administration of iron either as iron salts or in the form</w:t>
            </w:r>
            <w:r>
              <w:rPr>
                <w:rFonts w:cs="Arial"/>
              </w:rPr>
              <w:t xml:space="preserve"> of hemoglobin in transfused red blood cells: The administration of iron in a manner which bypasses the regulatory mechanism in the bowel wall may result in abnormally high and often harmful body iron content. The usual circumstance is the patient with a congenital hemolytic anemia who requires repeated blood transfusions over a period of many years. The overuse of intramuscular or intravenous injections of iron in the treatment of iron deficient anemia may also be an occasional cause of this problem.</w:t>
            </w:r>
          </w:p>
          <w:p w:rsidR="000C12BC" w:rsidRDefault="000C12BC">
            <w:pPr>
              <w:autoSpaceDE w:val="0"/>
              <w:autoSpaceDN w:val="0"/>
              <w:adjustRightInd w:val="0"/>
              <w:rPr>
                <w:rStyle w:val="Body"/>
                <w:rFonts w:ascii="Arial" w:hAnsi="Arial" w:cs="Arial"/>
                <w:sz w:val="20"/>
                <w:szCs w:val="20"/>
              </w:rPr>
            </w:pPr>
          </w:p>
          <w:p w:rsidR="000C12BC" w:rsidRDefault="000C12BC">
            <w:pPr>
              <w:jc w:val="both"/>
              <w:rPr>
                <w:rFonts w:cs="Arial"/>
                <w:b/>
              </w:rPr>
            </w:pPr>
            <w:r>
              <w:rPr>
                <w:rFonts w:cs="Arial"/>
                <w:b/>
              </w:rPr>
              <w:t>Acute Iron Toxicity:</w:t>
            </w:r>
            <w:r>
              <w:rPr>
                <w:rFonts w:cs="Arial"/>
              </w:rPr>
              <w:t xml:space="preserve"> The accidental ingestion of very large quantities of iron by infants or young children may result in death.</w:t>
            </w:r>
            <w:r>
              <w:rPr>
                <w:rFonts w:cs="Arial"/>
                <w:b/>
              </w:rPr>
              <w:t xml:space="preserve"> </w:t>
            </w:r>
          </w:p>
          <w:p w:rsidR="000C12BC" w:rsidRDefault="000C12BC">
            <w:pPr>
              <w:jc w:val="both"/>
              <w:rPr>
                <w:rFonts w:cs="Arial"/>
              </w:rPr>
            </w:pPr>
          </w:p>
          <w:p w:rsidR="000C12BC" w:rsidRDefault="000C12BC">
            <w:pPr>
              <w:jc w:val="both"/>
              <w:rPr>
                <w:rFonts w:cs="Arial"/>
              </w:rPr>
            </w:pPr>
            <w:r>
              <w:rPr>
                <w:rFonts w:cs="Arial"/>
                <w:b/>
              </w:rPr>
              <w:t>Decreased Serum Iron</w:t>
            </w:r>
            <w:r>
              <w:rPr>
                <w:rFonts w:cs="Arial"/>
              </w:rPr>
              <w:t xml:space="preserve">: A decrease in serum iron is much more common than is an increase. Low serum iron may be due either to an absolute, total body deficiency of iron or to a reduction in the quantity of </w:t>
            </w:r>
            <w:proofErr w:type="spellStart"/>
            <w:r>
              <w:rPr>
                <w:rFonts w:cs="Arial"/>
              </w:rPr>
              <w:t>transferrin</w:t>
            </w:r>
            <w:proofErr w:type="spellEnd"/>
            <w:r>
              <w:rPr>
                <w:rFonts w:cs="Arial"/>
              </w:rPr>
              <w:t>. The assay for serum iron is of importance</w:t>
            </w:r>
          </w:p>
          <w:p w:rsidR="000C12BC" w:rsidRDefault="000C12BC">
            <w:pPr>
              <w:jc w:val="both"/>
              <w:rPr>
                <w:rFonts w:cs="Arial"/>
              </w:rPr>
            </w:pPr>
          </w:p>
          <w:p w:rsidR="000C12BC" w:rsidRPr="004A2D47" w:rsidRDefault="000C12BC" w:rsidP="00B830A2">
            <w:pPr>
              <w:tabs>
                <w:tab w:val="left" w:pos="3293"/>
              </w:tabs>
              <w:autoSpaceDE w:val="0"/>
              <w:autoSpaceDN w:val="0"/>
              <w:adjustRightInd w:val="0"/>
              <w:jc w:val="both"/>
              <w:rPr>
                <w:rStyle w:val="Body"/>
                <w:rFonts w:ascii="Arial" w:hAnsi="Arial" w:cs="Arial"/>
                <w:color w:val="auto"/>
                <w:sz w:val="20"/>
                <w:szCs w:val="24"/>
              </w:rPr>
            </w:pPr>
            <w:r>
              <w:rPr>
                <w:rFonts w:cs="Arial"/>
                <w:b/>
              </w:rPr>
              <w:t>Iron Deficiency</w:t>
            </w:r>
            <w:r>
              <w:rPr>
                <w:rFonts w:cs="Arial"/>
              </w:rPr>
              <w:t>: The lack of iron in the diet is an unusual cause of iron deficiency except in very young infants who have been maintained on a milk-only diet for many months.</w:t>
            </w:r>
          </w:p>
        </w:tc>
      </w:tr>
      <w:tr w:rsidR="000C12BC" w:rsidTr="004A2D47">
        <w:trPr>
          <w:trHeight w:val="4752"/>
          <w:tblHeader/>
        </w:trPr>
        <w:tc>
          <w:tcPr>
            <w:tcW w:w="1473" w:type="dxa"/>
          </w:tcPr>
          <w:p w:rsidR="000C12BC" w:rsidRDefault="000C12BC">
            <w:pPr>
              <w:rPr>
                <w:b/>
                <w:bCs/>
                <w:color w:val="0000FF"/>
              </w:rPr>
            </w:pPr>
          </w:p>
          <w:p w:rsidR="000C12BC" w:rsidRDefault="000C12BC" w:rsidP="000C12BC">
            <w:pPr>
              <w:rPr>
                <w:b/>
                <w:bCs/>
                <w:color w:val="0000FF"/>
              </w:rPr>
            </w:pPr>
          </w:p>
        </w:tc>
        <w:tc>
          <w:tcPr>
            <w:tcW w:w="9777" w:type="dxa"/>
            <w:gridSpan w:val="4"/>
            <w:vMerge/>
            <w:tcBorders>
              <w:bottom w:val="single" w:sz="18" w:space="0" w:color="BFBFBF"/>
            </w:tcBorders>
          </w:tcPr>
          <w:p w:rsidR="000C12BC" w:rsidRDefault="000C12BC">
            <w:pPr>
              <w:tabs>
                <w:tab w:val="left" w:pos="3293"/>
              </w:tabs>
              <w:autoSpaceDE w:val="0"/>
              <w:autoSpaceDN w:val="0"/>
              <w:adjustRightInd w:val="0"/>
              <w:jc w:val="both"/>
              <w:rPr>
                <w:rFonts w:cs="Arial"/>
                <w:szCs w:val="15"/>
              </w:rPr>
            </w:pPr>
          </w:p>
        </w:tc>
      </w:tr>
      <w:tr w:rsidR="004677C5" w:rsidTr="00436FF0">
        <w:trPr>
          <w:trHeight w:val="705"/>
          <w:tblHeader/>
        </w:trPr>
        <w:tc>
          <w:tcPr>
            <w:tcW w:w="1473" w:type="dxa"/>
          </w:tcPr>
          <w:p w:rsidR="004677C5" w:rsidRDefault="004677C5">
            <w:pPr>
              <w:rPr>
                <w:b/>
                <w:bCs/>
                <w:color w:val="0000FF"/>
              </w:rPr>
            </w:pPr>
          </w:p>
          <w:p w:rsidR="004677C5" w:rsidRDefault="004677C5">
            <w:pPr>
              <w:rPr>
                <w:b/>
                <w:bCs/>
                <w:color w:val="0000FF"/>
              </w:rPr>
            </w:pPr>
            <w:r>
              <w:rPr>
                <w:b/>
                <w:bCs/>
                <w:color w:val="0000FF"/>
              </w:rPr>
              <w:t>Analyzer</w:t>
            </w:r>
          </w:p>
        </w:tc>
        <w:tc>
          <w:tcPr>
            <w:tcW w:w="9777" w:type="dxa"/>
            <w:gridSpan w:val="4"/>
            <w:tcBorders>
              <w:top w:val="single" w:sz="18" w:space="0" w:color="BFBFBF"/>
              <w:bottom w:val="single" w:sz="18" w:space="0" w:color="BFBFBF"/>
            </w:tcBorders>
          </w:tcPr>
          <w:p w:rsidR="004677C5" w:rsidRDefault="004677C5">
            <w:pPr>
              <w:autoSpaceDE w:val="0"/>
              <w:autoSpaceDN w:val="0"/>
              <w:adjustRightInd w:val="0"/>
            </w:pPr>
          </w:p>
          <w:p w:rsidR="004677C5" w:rsidRPr="00A55968" w:rsidRDefault="004677C5" w:rsidP="004677C5">
            <w:pPr>
              <w:rPr>
                <w:rFonts w:cs="Arial"/>
                <w:iCs/>
                <w:szCs w:val="20"/>
              </w:rPr>
            </w:pPr>
            <w:r w:rsidRPr="00B52D8C">
              <w:rPr>
                <w:rFonts w:cs="Arial"/>
                <w:b/>
                <w:color w:val="5F497A"/>
                <w:szCs w:val="20"/>
              </w:rPr>
              <w:t>PRIMARY METHOD:</w:t>
            </w:r>
            <w:r w:rsidRPr="00B52D8C">
              <w:rPr>
                <w:rFonts w:cs="Arial"/>
                <w:szCs w:val="20"/>
              </w:rPr>
              <w:t xml:space="preserve"> </w:t>
            </w:r>
            <w:r w:rsidRPr="00A55968">
              <w:rPr>
                <w:rFonts w:cs="Arial"/>
                <w:iCs/>
                <w:szCs w:val="20"/>
              </w:rPr>
              <w:t xml:space="preserve">Siemens </w:t>
            </w:r>
            <w:r w:rsidRPr="00A55968">
              <w:rPr>
                <w:rFonts w:cs="Arial"/>
                <w:szCs w:val="20"/>
              </w:rPr>
              <w:t xml:space="preserve">Dimension Vista® </w:t>
            </w:r>
            <w:r w:rsidRPr="00986520">
              <w:rPr>
                <w:rFonts w:cs="Arial"/>
                <w:szCs w:val="20"/>
              </w:rPr>
              <w:t>500</w:t>
            </w:r>
            <w:r>
              <w:rPr>
                <w:rFonts w:cs="Arial"/>
                <w:szCs w:val="20"/>
              </w:rPr>
              <w:t xml:space="preserve"> </w:t>
            </w:r>
            <w:r w:rsidRPr="00A55968">
              <w:rPr>
                <w:rFonts w:cs="Arial"/>
                <w:szCs w:val="20"/>
              </w:rPr>
              <w:t>System</w:t>
            </w:r>
          </w:p>
          <w:p w:rsidR="004677C5" w:rsidRDefault="004677C5" w:rsidP="004677C5">
            <w:pPr>
              <w:autoSpaceDE w:val="0"/>
              <w:autoSpaceDN w:val="0"/>
              <w:adjustRightInd w:val="0"/>
              <w:rPr>
                <w:rFonts w:cs="Arial"/>
                <w:szCs w:val="20"/>
              </w:rPr>
            </w:pPr>
            <w:r w:rsidRPr="00B52D8C">
              <w:rPr>
                <w:rFonts w:cs="Arial"/>
                <w:b/>
                <w:color w:val="76923C"/>
                <w:szCs w:val="20"/>
              </w:rPr>
              <w:t>SECONDARY (BACKUP) METHOD:</w:t>
            </w:r>
            <w:r w:rsidRPr="00B52D8C">
              <w:rPr>
                <w:rFonts w:cs="Arial"/>
                <w:szCs w:val="20"/>
              </w:rPr>
              <w:t xml:space="preserve"> </w:t>
            </w:r>
            <w:r w:rsidRPr="003F09A3">
              <w:rPr>
                <w:rFonts w:cs="Arial"/>
                <w:szCs w:val="20"/>
              </w:rPr>
              <w:t>Siemens Dimension Vista</w:t>
            </w:r>
            <w:r>
              <w:rPr>
                <w:rFonts w:cs="Arial"/>
                <w:szCs w:val="20"/>
              </w:rPr>
              <w:t>®</w:t>
            </w:r>
            <w:r w:rsidRPr="003F09A3">
              <w:rPr>
                <w:rFonts w:cs="Arial"/>
                <w:szCs w:val="20"/>
              </w:rPr>
              <w:t xml:space="preserve"> 500 on opposite campus</w:t>
            </w:r>
          </w:p>
          <w:p w:rsidR="004677C5" w:rsidRDefault="004677C5">
            <w:pPr>
              <w:autoSpaceDE w:val="0"/>
              <w:autoSpaceDN w:val="0"/>
              <w:adjustRightInd w:val="0"/>
              <w:rPr>
                <w:rFonts w:cs="Arial"/>
                <w:b/>
                <w:bCs/>
                <w:szCs w:val="15"/>
              </w:rPr>
            </w:pPr>
          </w:p>
        </w:tc>
      </w:tr>
      <w:tr w:rsidR="004677C5" w:rsidTr="00436FF0">
        <w:trPr>
          <w:trHeight w:val="575"/>
          <w:tblHeader/>
        </w:trPr>
        <w:tc>
          <w:tcPr>
            <w:tcW w:w="1473" w:type="dxa"/>
            <w:vAlign w:val="center"/>
          </w:tcPr>
          <w:p w:rsidR="004677C5" w:rsidRDefault="004677C5">
            <w:pPr>
              <w:rPr>
                <w:b/>
                <w:bCs/>
                <w:color w:val="0000FF"/>
              </w:rPr>
            </w:pPr>
            <w:proofErr w:type="spellStart"/>
            <w:r>
              <w:rPr>
                <w:b/>
                <w:bCs/>
                <w:color w:val="0000FF"/>
              </w:rPr>
              <w:t>Sunquest</w:t>
            </w:r>
            <w:proofErr w:type="spellEnd"/>
            <w:r>
              <w:rPr>
                <w:b/>
                <w:bCs/>
                <w:color w:val="0000FF"/>
              </w:rPr>
              <w:t xml:space="preserve"> Test Code</w:t>
            </w:r>
          </w:p>
        </w:tc>
        <w:tc>
          <w:tcPr>
            <w:tcW w:w="9777" w:type="dxa"/>
            <w:gridSpan w:val="4"/>
            <w:tcBorders>
              <w:top w:val="single" w:sz="18" w:space="0" w:color="BFBFBF"/>
              <w:bottom w:val="single" w:sz="18" w:space="0" w:color="BFBFBF"/>
            </w:tcBorders>
            <w:vAlign w:val="center"/>
          </w:tcPr>
          <w:p w:rsidR="004677C5" w:rsidRDefault="004677C5" w:rsidP="00850072">
            <w:pPr>
              <w:autoSpaceDE w:val="0"/>
              <w:autoSpaceDN w:val="0"/>
              <w:adjustRightInd w:val="0"/>
              <w:rPr>
                <w:rFonts w:cs="Arial"/>
                <w:b/>
                <w:bCs/>
                <w:szCs w:val="15"/>
              </w:rPr>
            </w:pPr>
            <w:r>
              <w:rPr>
                <w:rFonts w:cs="Arial"/>
                <w:b/>
                <w:bCs/>
                <w:szCs w:val="15"/>
              </w:rPr>
              <w:t>FE</w:t>
            </w:r>
            <w:r>
              <w:rPr>
                <w:rFonts w:cs="Arial"/>
                <w:b/>
                <w:bCs/>
                <w:szCs w:val="15"/>
              </w:rPr>
              <w:tab/>
            </w:r>
            <w:r w:rsidRPr="000C12BC">
              <w:rPr>
                <w:rFonts w:cs="Arial"/>
                <w:bCs/>
                <w:szCs w:val="15"/>
              </w:rPr>
              <w:t xml:space="preserve">Iron in </w:t>
            </w:r>
            <w:r w:rsidR="00850072">
              <w:rPr>
                <w:rStyle w:val="ShadeBodyTextCondensed"/>
                <w:rFonts w:ascii="Arial" w:hAnsi="Arial" w:cs="Arial"/>
                <w:u w:val="none"/>
              </w:rPr>
              <w:t>µ</w:t>
            </w:r>
            <w:r w:rsidRPr="000C12BC">
              <w:rPr>
                <w:rStyle w:val="ShadeBodyTextCondensed"/>
                <w:rFonts w:ascii="Arial" w:hAnsi="Arial" w:cs="Arial"/>
                <w:u w:val="none"/>
              </w:rPr>
              <w:t>g/</w:t>
            </w:r>
            <w:proofErr w:type="spellStart"/>
            <w:r w:rsidRPr="000C12BC">
              <w:rPr>
                <w:rStyle w:val="ShadeBodyTextCondensed"/>
                <w:rFonts w:ascii="Arial" w:hAnsi="Arial" w:cs="Arial"/>
                <w:u w:val="none"/>
              </w:rPr>
              <w:t>dL</w:t>
            </w:r>
            <w:proofErr w:type="spellEnd"/>
          </w:p>
        </w:tc>
      </w:tr>
      <w:tr w:rsidR="004677C5" w:rsidTr="006047C3">
        <w:trPr>
          <w:trHeight w:val="7947"/>
          <w:tblHeader/>
        </w:trPr>
        <w:tc>
          <w:tcPr>
            <w:tcW w:w="1473" w:type="dxa"/>
          </w:tcPr>
          <w:p w:rsidR="004677C5" w:rsidRDefault="004677C5">
            <w:pPr>
              <w:rPr>
                <w:b/>
                <w:bCs/>
                <w:color w:val="0000FF"/>
              </w:rPr>
            </w:pPr>
          </w:p>
          <w:p w:rsidR="004677C5" w:rsidRDefault="004677C5">
            <w:pPr>
              <w:rPr>
                <w:b/>
                <w:bCs/>
                <w:color w:val="0000FF"/>
              </w:rPr>
            </w:pPr>
            <w:r>
              <w:rPr>
                <w:b/>
                <w:bCs/>
                <w:color w:val="0000FF"/>
              </w:rPr>
              <w:t>Specimen</w:t>
            </w:r>
          </w:p>
          <w:p w:rsidR="004677C5" w:rsidRDefault="004677C5">
            <w:pPr>
              <w:rPr>
                <w:b/>
                <w:bCs/>
                <w:color w:val="0000FF"/>
              </w:rPr>
            </w:pPr>
          </w:p>
        </w:tc>
        <w:tc>
          <w:tcPr>
            <w:tcW w:w="9777" w:type="dxa"/>
            <w:gridSpan w:val="4"/>
            <w:tcBorders>
              <w:top w:val="single" w:sz="18" w:space="0" w:color="BFBFBF"/>
              <w:bottom w:val="single" w:sz="18" w:space="0" w:color="BFBFBF"/>
            </w:tcBorders>
            <w:vAlign w:val="center"/>
          </w:tcPr>
          <w:p w:rsidR="004677C5" w:rsidRPr="00B57209" w:rsidRDefault="004677C5" w:rsidP="00B57209">
            <w:pPr>
              <w:rPr>
                <w:rFonts w:cs="Arial"/>
                <w:szCs w:val="20"/>
              </w:rPr>
            </w:pPr>
            <w:r w:rsidRPr="00B57209">
              <w:rPr>
                <w:rStyle w:val="BoldBodyText"/>
                <w:rFonts w:ascii="Arial" w:hAnsi="Arial" w:cs="Arial"/>
                <w:b w:val="0"/>
                <w:bCs w:val="0"/>
                <w:sz w:val="20"/>
                <w:szCs w:val="20"/>
              </w:rPr>
              <w:t>Serum p</w:t>
            </w:r>
            <w:r w:rsidR="00B57209" w:rsidRPr="00B57209">
              <w:rPr>
                <w:rStyle w:val="BoldBodyText"/>
                <w:rFonts w:ascii="Arial" w:hAnsi="Arial" w:cs="Arial"/>
                <w:b w:val="0"/>
                <w:bCs w:val="0"/>
                <w:sz w:val="20"/>
                <w:szCs w:val="20"/>
              </w:rPr>
              <w:t xml:space="preserve">referred sample. Sodium heparin </w:t>
            </w:r>
            <w:r w:rsidRPr="00B57209">
              <w:rPr>
                <w:rStyle w:val="BoldBodyText"/>
                <w:rFonts w:ascii="Arial" w:hAnsi="Arial" w:cs="Arial"/>
                <w:b w:val="0"/>
                <w:bCs w:val="0"/>
                <w:sz w:val="20"/>
                <w:szCs w:val="20"/>
              </w:rPr>
              <w:t>and lithium heparin plasma are also acceptable</w:t>
            </w:r>
            <w:r w:rsidRPr="00B57209">
              <w:rPr>
                <w:rFonts w:cs="Arial"/>
                <w:szCs w:val="20"/>
              </w:rPr>
              <w:t xml:space="preserve">. </w:t>
            </w:r>
            <w:r w:rsidR="00B57209" w:rsidRPr="00B57209">
              <w:rPr>
                <w:rFonts w:cs="Arial"/>
                <w:szCs w:val="20"/>
              </w:rPr>
              <w:t>Refer to Specimen Collection procedures.</w:t>
            </w:r>
          </w:p>
          <w:p w:rsidR="004677C5" w:rsidRDefault="004677C5" w:rsidP="00B57209">
            <w:pPr>
              <w:rPr>
                <w:rStyle w:val="ShadeBodyTextBoldCondensed"/>
                <w:rFonts w:ascii="Arial" w:hAnsi="Arial" w:cs="Arial"/>
                <w:szCs w:val="20"/>
              </w:rPr>
            </w:pPr>
          </w:p>
          <w:p w:rsidR="00E008A2" w:rsidRPr="008D2116" w:rsidRDefault="00E008A2" w:rsidP="00E008A2">
            <w:pPr>
              <w:jc w:val="both"/>
              <w:rPr>
                <w:rFonts w:cs="Arial"/>
              </w:rPr>
            </w:pPr>
            <w:r w:rsidRPr="008D2116">
              <w:rPr>
                <w:rFonts w:cs="Arial"/>
                <w:b/>
                <w:bCs/>
              </w:rPr>
              <w:t>Minimum volume:</w:t>
            </w:r>
            <w:r w:rsidRPr="008D2116">
              <w:t xml:space="preserve"> 200 </w:t>
            </w:r>
            <w:r w:rsidRPr="008D2116">
              <w:rPr>
                <w:rFonts w:cs="Arial"/>
              </w:rPr>
              <w:t>µ</w:t>
            </w:r>
            <w:r w:rsidRPr="008D2116">
              <w:t xml:space="preserve">L preferred, 100 </w:t>
            </w:r>
            <w:r w:rsidRPr="008D2116">
              <w:rPr>
                <w:rFonts w:cs="Arial"/>
              </w:rPr>
              <w:t>µ</w:t>
            </w:r>
            <w:r w:rsidRPr="008D2116">
              <w:t xml:space="preserve">L minimum, </w:t>
            </w:r>
            <w:r>
              <w:t>20</w:t>
            </w:r>
            <w:r w:rsidRPr="008D2116">
              <w:t xml:space="preserve"> </w:t>
            </w:r>
            <w:r w:rsidRPr="008D2116">
              <w:rPr>
                <w:rFonts w:cs="Arial"/>
              </w:rPr>
              <w:t>µ</w:t>
            </w:r>
            <w:r w:rsidRPr="008D2116">
              <w:t>L actual test volume</w:t>
            </w:r>
          </w:p>
          <w:p w:rsidR="00E008A2" w:rsidRPr="00B57209" w:rsidRDefault="00E008A2" w:rsidP="00B57209">
            <w:pPr>
              <w:rPr>
                <w:rStyle w:val="ShadeBodyTextBoldCondensed"/>
                <w:rFonts w:ascii="Arial" w:hAnsi="Arial" w:cs="Arial"/>
                <w:szCs w:val="20"/>
              </w:rPr>
            </w:pPr>
          </w:p>
          <w:p w:rsidR="004677C5" w:rsidRPr="00B57209" w:rsidRDefault="004677C5" w:rsidP="00B57209">
            <w:pPr>
              <w:rPr>
                <w:rFonts w:cs="Arial"/>
                <w:b/>
                <w:bCs/>
                <w:szCs w:val="20"/>
              </w:rPr>
            </w:pPr>
            <w:r w:rsidRPr="00B57209">
              <w:rPr>
                <w:rFonts w:cs="Arial"/>
                <w:b/>
                <w:bCs/>
                <w:szCs w:val="20"/>
              </w:rPr>
              <w:t>Patient Preparation:</w:t>
            </w:r>
          </w:p>
          <w:p w:rsidR="004677C5" w:rsidRPr="00B57209" w:rsidRDefault="004677C5" w:rsidP="00B57209">
            <w:pPr>
              <w:rPr>
                <w:rFonts w:cs="Arial"/>
                <w:szCs w:val="20"/>
              </w:rPr>
            </w:pPr>
            <w:r w:rsidRPr="00B57209">
              <w:rPr>
                <w:rFonts w:cs="Arial"/>
                <w:szCs w:val="20"/>
              </w:rPr>
              <w:t>Patient should be fasting. Blood levels should be determined on morning collection. Serum iron levels are 30% higher in the morning.</w:t>
            </w:r>
          </w:p>
          <w:p w:rsidR="004677C5" w:rsidRPr="00B57209" w:rsidRDefault="004677C5" w:rsidP="00B57209">
            <w:pPr>
              <w:pStyle w:val="Header"/>
              <w:tabs>
                <w:tab w:val="clear" w:pos="4320"/>
                <w:tab w:val="clear" w:pos="8640"/>
              </w:tabs>
              <w:rPr>
                <w:rFonts w:cs="Arial"/>
                <w:szCs w:val="20"/>
              </w:rPr>
            </w:pPr>
          </w:p>
          <w:p w:rsidR="004677C5" w:rsidRDefault="004677C5" w:rsidP="00B57209">
            <w:pPr>
              <w:rPr>
                <w:rStyle w:val="BoldBodyText"/>
                <w:rFonts w:ascii="Arial" w:hAnsi="Arial" w:cs="Arial"/>
                <w:b w:val="0"/>
                <w:bCs w:val="0"/>
                <w:sz w:val="20"/>
                <w:szCs w:val="20"/>
              </w:rPr>
            </w:pPr>
            <w:r w:rsidRPr="00B57209">
              <w:rPr>
                <w:rStyle w:val="BoldBodyText"/>
                <w:rFonts w:ascii="Arial" w:hAnsi="Arial" w:cs="Arial"/>
                <w:b w:val="0"/>
                <w:bCs w:val="0"/>
                <w:sz w:val="20"/>
                <w:szCs w:val="20"/>
              </w:rPr>
              <w:t xml:space="preserve">Iron values may remain elevated for several weeks after administration of therapeutic iron-containing compounds such as iron </w:t>
            </w:r>
            <w:proofErr w:type="spellStart"/>
            <w:r w:rsidRPr="00B57209">
              <w:rPr>
                <w:rStyle w:val="BoldBodyText"/>
                <w:rFonts w:ascii="Arial" w:hAnsi="Arial" w:cs="Arial"/>
                <w:b w:val="0"/>
                <w:bCs w:val="0"/>
                <w:sz w:val="20"/>
                <w:szCs w:val="20"/>
              </w:rPr>
              <w:t>dextran</w:t>
            </w:r>
            <w:proofErr w:type="spellEnd"/>
            <w:r w:rsidRPr="00B57209">
              <w:rPr>
                <w:rStyle w:val="BoldBodyText"/>
                <w:rFonts w:ascii="Arial" w:hAnsi="Arial" w:cs="Arial"/>
                <w:b w:val="0"/>
                <w:bCs w:val="0"/>
                <w:sz w:val="20"/>
                <w:szCs w:val="20"/>
              </w:rPr>
              <w:t>.</w:t>
            </w:r>
          </w:p>
          <w:p w:rsidR="004645FD" w:rsidRPr="00B57209" w:rsidRDefault="004645FD" w:rsidP="00B57209">
            <w:pPr>
              <w:rPr>
                <w:rStyle w:val="BoldBodyText"/>
                <w:rFonts w:ascii="Arial" w:hAnsi="Arial" w:cs="Arial"/>
                <w:b w:val="0"/>
                <w:bCs w:val="0"/>
                <w:sz w:val="20"/>
                <w:szCs w:val="20"/>
              </w:rPr>
            </w:pPr>
          </w:p>
          <w:p w:rsidR="004645FD" w:rsidRPr="00B57209" w:rsidRDefault="004645FD" w:rsidP="004645FD">
            <w:pPr>
              <w:rPr>
                <w:rFonts w:cs="Arial"/>
                <w:szCs w:val="20"/>
              </w:rPr>
            </w:pPr>
            <w:proofErr w:type="spellStart"/>
            <w:r w:rsidRPr="00B57209">
              <w:rPr>
                <w:rFonts w:cs="Arial"/>
                <w:szCs w:val="20"/>
              </w:rPr>
              <w:t>Hemolyzed</w:t>
            </w:r>
            <w:proofErr w:type="spellEnd"/>
            <w:r w:rsidRPr="00B57209">
              <w:rPr>
                <w:rFonts w:cs="Arial"/>
                <w:szCs w:val="20"/>
              </w:rPr>
              <w:t xml:space="preserve"> samples</w:t>
            </w:r>
            <w:r>
              <w:rPr>
                <w:rFonts w:cs="Arial"/>
                <w:szCs w:val="20"/>
              </w:rPr>
              <w:t xml:space="preserve"> </w:t>
            </w:r>
            <w:r w:rsidRPr="00B57209">
              <w:rPr>
                <w:rFonts w:cs="Arial"/>
                <w:szCs w:val="20"/>
              </w:rPr>
              <w:t xml:space="preserve">may give </w:t>
            </w:r>
            <w:r w:rsidR="009F432F">
              <w:rPr>
                <w:rFonts w:cs="Arial"/>
                <w:szCs w:val="20"/>
              </w:rPr>
              <w:t xml:space="preserve">falsely </w:t>
            </w:r>
            <w:r w:rsidRPr="00B57209">
              <w:rPr>
                <w:rFonts w:cs="Arial"/>
                <w:szCs w:val="20"/>
              </w:rPr>
              <w:t>elevated IRON results</w:t>
            </w:r>
            <w:r w:rsidR="009F432F">
              <w:rPr>
                <w:rFonts w:cs="Arial"/>
                <w:szCs w:val="20"/>
              </w:rPr>
              <w:t xml:space="preserve">. See </w:t>
            </w:r>
            <w:hyperlink w:anchor="resultreporting" w:history="1">
              <w:r w:rsidR="009F432F" w:rsidRPr="009F432F">
                <w:rPr>
                  <w:rStyle w:val="Hyperlink"/>
                  <w:rFonts w:cs="Arial"/>
                  <w:szCs w:val="20"/>
                </w:rPr>
                <w:t>Resul</w:t>
              </w:r>
              <w:r w:rsidR="009F432F" w:rsidRPr="009F432F">
                <w:rPr>
                  <w:rStyle w:val="Hyperlink"/>
                  <w:rFonts w:cs="Arial"/>
                  <w:szCs w:val="20"/>
                </w:rPr>
                <w:t>t</w:t>
              </w:r>
              <w:r w:rsidR="009F432F" w:rsidRPr="009F432F">
                <w:rPr>
                  <w:rStyle w:val="Hyperlink"/>
                  <w:rFonts w:cs="Arial"/>
                  <w:szCs w:val="20"/>
                </w:rPr>
                <w:t xml:space="preserve"> Reporting</w:t>
              </w:r>
            </w:hyperlink>
            <w:r w:rsidRPr="00B57209">
              <w:rPr>
                <w:rFonts w:cs="Arial"/>
                <w:szCs w:val="20"/>
              </w:rPr>
              <w:t xml:space="preserve"> </w:t>
            </w:r>
          </w:p>
          <w:p w:rsidR="004677C5" w:rsidRPr="00B57209" w:rsidRDefault="004677C5" w:rsidP="00B57209">
            <w:pPr>
              <w:rPr>
                <w:rFonts w:cs="Arial"/>
                <w:szCs w:val="20"/>
              </w:rPr>
            </w:pPr>
          </w:p>
          <w:p w:rsidR="004677C5" w:rsidRPr="00B57209" w:rsidRDefault="004677C5" w:rsidP="00B57209">
            <w:pPr>
              <w:pStyle w:val="Heading"/>
              <w:spacing w:after="0" w:line="240" w:lineRule="auto"/>
              <w:rPr>
                <w:rFonts w:ascii="Arial" w:hAnsi="Arial" w:cs="Arial"/>
                <w:bCs/>
              </w:rPr>
            </w:pPr>
            <w:r w:rsidRPr="00B57209">
              <w:rPr>
                <w:rFonts w:ascii="Arial" w:hAnsi="Arial" w:cs="Arial"/>
                <w:bCs/>
              </w:rPr>
              <w:t>Stability:</w:t>
            </w:r>
          </w:p>
          <w:p w:rsidR="00B57209" w:rsidRPr="00B57209" w:rsidRDefault="004677C5" w:rsidP="00B57209">
            <w:pPr>
              <w:autoSpaceDE w:val="0"/>
              <w:autoSpaceDN w:val="0"/>
              <w:adjustRightInd w:val="0"/>
              <w:rPr>
                <w:rFonts w:cs="Arial"/>
                <w:szCs w:val="20"/>
              </w:rPr>
            </w:pPr>
            <w:r w:rsidRPr="00B57209">
              <w:rPr>
                <w:rFonts w:cs="Arial"/>
                <w:b/>
                <w:bCs/>
                <w:szCs w:val="20"/>
              </w:rPr>
              <w:t>2 – 8 °C.</w:t>
            </w:r>
            <w:r w:rsidRPr="00B57209">
              <w:rPr>
                <w:rFonts w:cs="Arial"/>
                <w:szCs w:val="20"/>
              </w:rPr>
              <w:t xml:space="preserve"> / 7 days,</w:t>
            </w:r>
            <w:r w:rsidRPr="00B57209">
              <w:rPr>
                <w:rFonts w:cs="Arial"/>
                <w:b/>
                <w:bCs/>
                <w:szCs w:val="20"/>
              </w:rPr>
              <w:t xml:space="preserve"> </w:t>
            </w:r>
            <w:r w:rsidRPr="00B57209">
              <w:rPr>
                <w:rFonts w:cs="Arial"/>
                <w:b/>
                <w:szCs w:val="20"/>
              </w:rPr>
              <w:t>-20 °C</w:t>
            </w:r>
            <w:r w:rsidRPr="00B57209">
              <w:rPr>
                <w:rFonts w:cs="Arial"/>
                <w:szCs w:val="20"/>
              </w:rPr>
              <w:t xml:space="preserve"> for up to </w:t>
            </w:r>
            <w:r w:rsidR="00E008A2">
              <w:rPr>
                <w:rFonts w:cs="Arial"/>
                <w:szCs w:val="20"/>
              </w:rPr>
              <w:t>6</w:t>
            </w:r>
            <w:r w:rsidRPr="00B57209">
              <w:rPr>
                <w:rFonts w:cs="Arial"/>
                <w:szCs w:val="20"/>
              </w:rPr>
              <w:t xml:space="preserve"> months</w:t>
            </w:r>
            <w:r w:rsidR="00B57209" w:rsidRPr="00B57209">
              <w:rPr>
                <w:rFonts w:cs="Arial"/>
                <w:szCs w:val="20"/>
              </w:rPr>
              <w:t xml:space="preserve"> </w:t>
            </w:r>
          </w:p>
          <w:p w:rsidR="004677C5" w:rsidRPr="00B57209" w:rsidRDefault="004677C5" w:rsidP="00B57209">
            <w:pPr>
              <w:rPr>
                <w:rFonts w:cs="Arial"/>
                <w:szCs w:val="20"/>
              </w:rPr>
            </w:pPr>
          </w:p>
          <w:p w:rsidR="00B57209" w:rsidRDefault="004677C5" w:rsidP="00B57209">
            <w:pPr>
              <w:rPr>
                <w:rFonts w:cs="Arial"/>
                <w:szCs w:val="20"/>
              </w:rPr>
            </w:pPr>
            <w:r w:rsidRPr="00B57209">
              <w:rPr>
                <w:rFonts w:cs="Arial"/>
                <w:b/>
                <w:bCs/>
                <w:szCs w:val="20"/>
              </w:rPr>
              <w:t>Rejection criteria:</w:t>
            </w:r>
            <w:r w:rsidRPr="00B57209">
              <w:rPr>
                <w:rFonts w:cs="Arial"/>
                <w:szCs w:val="20"/>
              </w:rPr>
              <w:t xml:space="preserve"> </w:t>
            </w:r>
          </w:p>
          <w:p w:rsidR="00B57209" w:rsidRDefault="00B57209" w:rsidP="00B80BD0">
            <w:pPr>
              <w:numPr>
                <w:ilvl w:val="0"/>
                <w:numId w:val="32"/>
              </w:numPr>
              <w:rPr>
                <w:rFonts w:cs="Arial"/>
                <w:szCs w:val="20"/>
              </w:rPr>
            </w:pPr>
            <w:r>
              <w:rPr>
                <w:rFonts w:cs="Arial"/>
                <w:szCs w:val="20"/>
              </w:rPr>
              <w:t>Unlabeled tube</w:t>
            </w:r>
          </w:p>
          <w:p w:rsidR="00B57209" w:rsidRDefault="00B57209" w:rsidP="00B80BD0">
            <w:pPr>
              <w:numPr>
                <w:ilvl w:val="0"/>
                <w:numId w:val="32"/>
              </w:numPr>
              <w:rPr>
                <w:rFonts w:cs="Arial"/>
                <w:szCs w:val="20"/>
              </w:rPr>
            </w:pPr>
            <w:r w:rsidRPr="00B57209">
              <w:rPr>
                <w:rFonts w:cs="Arial"/>
                <w:szCs w:val="20"/>
              </w:rPr>
              <w:t>Other</w:t>
            </w:r>
            <w:r w:rsidR="004677C5" w:rsidRPr="00B57209">
              <w:rPr>
                <w:rFonts w:cs="Arial"/>
                <w:szCs w:val="20"/>
              </w:rPr>
              <w:t xml:space="preserve"> than serum or </w:t>
            </w:r>
            <w:proofErr w:type="spellStart"/>
            <w:r w:rsidR="004677C5" w:rsidRPr="00B57209">
              <w:rPr>
                <w:rFonts w:cs="Arial"/>
                <w:szCs w:val="20"/>
              </w:rPr>
              <w:t>heparinized</w:t>
            </w:r>
            <w:proofErr w:type="spellEnd"/>
            <w:r w:rsidR="004677C5" w:rsidRPr="00B57209">
              <w:rPr>
                <w:rFonts w:cs="Arial"/>
                <w:szCs w:val="20"/>
              </w:rPr>
              <w:t xml:space="preserve"> plasma</w:t>
            </w:r>
            <w:r w:rsidRPr="00B57209">
              <w:rPr>
                <w:rFonts w:cs="Arial"/>
                <w:szCs w:val="20"/>
              </w:rPr>
              <w:t xml:space="preserve"> </w:t>
            </w:r>
          </w:p>
          <w:p w:rsidR="00B80BD0" w:rsidRPr="00B57209" w:rsidRDefault="00B80BD0" w:rsidP="00B80BD0">
            <w:pPr>
              <w:numPr>
                <w:ilvl w:val="0"/>
                <w:numId w:val="32"/>
              </w:numPr>
              <w:rPr>
                <w:rFonts w:cs="Arial"/>
                <w:szCs w:val="20"/>
              </w:rPr>
            </w:pPr>
            <w:r w:rsidRPr="00B57209">
              <w:rPr>
                <w:rStyle w:val="BoldBodyText"/>
                <w:rFonts w:ascii="Arial" w:hAnsi="Arial" w:cs="Arial"/>
                <w:b w:val="0"/>
                <w:bCs w:val="0"/>
                <w:sz w:val="20"/>
                <w:szCs w:val="20"/>
              </w:rPr>
              <w:t xml:space="preserve">Blood collection tubes containing EDTA, a strong </w:t>
            </w:r>
            <w:proofErr w:type="spellStart"/>
            <w:r w:rsidRPr="00B57209">
              <w:rPr>
                <w:rStyle w:val="BoldBodyText"/>
                <w:rFonts w:ascii="Arial" w:hAnsi="Arial" w:cs="Arial"/>
                <w:b w:val="0"/>
                <w:bCs w:val="0"/>
                <w:sz w:val="20"/>
                <w:szCs w:val="20"/>
              </w:rPr>
              <w:t>chelator</w:t>
            </w:r>
            <w:proofErr w:type="spellEnd"/>
            <w:r w:rsidRPr="00B57209">
              <w:rPr>
                <w:rStyle w:val="BoldBodyText"/>
                <w:rFonts w:ascii="Arial" w:hAnsi="Arial" w:cs="Arial"/>
                <w:b w:val="0"/>
                <w:bCs w:val="0"/>
                <w:sz w:val="20"/>
                <w:szCs w:val="20"/>
              </w:rPr>
              <w:t xml:space="preserve"> of metal ions, sodium citrate, or a combination of potassium oxalate and sodium fluoride </w:t>
            </w:r>
          </w:p>
          <w:p w:rsidR="004677C5" w:rsidRPr="00B57209" w:rsidRDefault="004677C5" w:rsidP="00B57209">
            <w:pPr>
              <w:rPr>
                <w:rFonts w:cs="Arial"/>
                <w:b/>
                <w:bCs/>
                <w:szCs w:val="20"/>
              </w:rPr>
            </w:pPr>
          </w:p>
          <w:p w:rsidR="004677C5" w:rsidRPr="00B57209" w:rsidRDefault="004677C5" w:rsidP="00B57209">
            <w:pPr>
              <w:rPr>
                <w:rFonts w:cs="Arial"/>
                <w:szCs w:val="20"/>
              </w:rPr>
            </w:pPr>
            <w:r w:rsidRPr="00B57209">
              <w:rPr>
                <w:rFonts w:cs="Arial"/>
                <w:b/>
                <w:bCs/>
                <w:szCs w:val="20"/>
              </w:rPr>
              <w:t>Preparation:</w:t>
            </w:r>
            <w:r w:rsidRPr="00B57209">
              <w:rPr>
                <w:rFonts w:cs="Arial"/>
                <w:szCs w:val="20"/>
              </w:rPr>
              <w:t xml:space="preserve"> </w:t>
            </w:r>
          </w:p>
          <w:p w:rsidR="004677C5" w:rsidRPr="00B57209" w:rsidRDefault="004677C5" w:rsidP="00B57209">
            <w:pPr>
              <w:numPr>
                <w:ilvl w:val="0"/>
                <w:numId w:val="27"/>
              </w:numPr>
              <w:rPr>
                <w:rFonts w:cs="Arial"/>
                <w:szCs w:val="20"/>
              </w:rPr>
            </w:pPr>
            <w:r w:rsidRPr="00B57209">
              <w:rPr>
                <w:rFonts w:cs="Arial"/>
                <w:szCs w:val="20"/>
              </w:rPr>
              <w:t>Whole blood specimens should be centrifuged following complete clot formation, according to Specimen Processing procedures prior to analysis. See Processing Procedure Manual.</w:t>
            </w:r>
          </w:p>
          <w:p w:rsidR="00B57209" w:rsidRPr="00B57209" w:rsidRDefault="00B57209" w:rsidP="00B57209">
            <w:pPr>
              <w:numPr>
                <w:ilvl w:val="0"/>
                <w:numId w:val="27"/>
              </w:numPr>
              <w:autoSpaceDE w:val="0"/>
              <w:autoSpaceDN w:val="0"/>
              <w:adjustRightInd w:val="0"/>
              <w:rPr>
                <w:rFonts w:cs="Arial"/>
                <w:szCs w:val="20"/>
              </w:rPr>
            </w:pPr>
            <w:r w:rsidRPr="00B57209">
              <w:rPr>
                <w:rFonts w:cs="Arial"/>
                <w:szCs w:val="20"/>
              </w:rPr>
              <w:t>Serum or plasma should be physically separated from cells as soon as possible with a maximum limit of two hours from the time of collection.</w:t>
            </w:r>
          </w:p>
          <w:p w:rsidR="00B57209" w:rsidRPr="00B57209" w:rsidRDefault="00B57209" w:rsidP="00B57209">
            <w:pPr>
              <w:numPr>
                <w:ilvl w:val="0"/>
                <w:numId w:val="27"/>
              </w:numPr>
              <w:autoSpaceDE w:val="0"/>
              <w:autoSpaceDN w:val="0"/>
              <w:adjustRightInd w:val="0"/>
              <w:rPr>
                <w:rFonts w:cs="Arial"/>
                <w:szCs w:val="20"/>
              </w:rPr>
            </w:pPr>
            <w:r w:rsidRPr="00B57209">
              <w:rPr>
                <w:rFonts w:cs="Arial"/>
                <w:szCs w:val="20"/>
              </w:rPr>
              <w:t>Specimens should be free of particulate matter.</w:t>
            </w:r>
          </w:p>
          <w:p w:rsidR="004677C5" w:rsidRPr="00B57209" w:rsidRDefault="00B57209" w:rsidP="00B57209">
            <w:pPr>
              <w:numPr>
                <w:ilvl w:val="0"/>
                <w:numId w:val="27"/>
              </w:numPr>
              <w:rPr>
                <w:rFonts w:cs="Arial"/>
                <w:szCs w:val="20"/>
              </w:rPr>
            </w:pPr>
            <w:r w:rsidRPr="008D2116">
              <w:rPr>
                <w:rFonts w:cs="Arial"/>
                <w:szCs w:val="14"/>
              </w:rPr>
              <w:t>Transfer serum or plasma</w:t>
            </w:r>
            <w:r>
              <w:rPr>
                <w:rFonts w:cs="Arial"/>
                <w:szCs w:val="14"/>
              </w:rPr>
              <w:t xml:space="preserve"> </w:t>
            </w:r>
            <w:r w:rsidRPr="008D2116">
              <w:rPr>
                <w:rFonts w:cs="Arial"/>
                <w:szCs w:val="14"/>
              </w:rPr>
              <w:t>to a properly labeled Siemens SSC nested on a bar-coded pilot tube. Minimum labeling includes sample accession ID, and/ or patient name, medical record number, collection date and time.</w:t>
            </w:r>
          </w:p>
        </w:tc>
      </w:tr>
      <w:tr w:rsidR="004677C5" w:rsidTr="00436FF0">
        <w:trPr>
          <w:trHeight w:val="881"/>
          <w:tblHeader/>
        </w:trPr>
        <w:tc>
          <w:tcPr>
            <w:tcW w:w="1473" w:type="dxa"/>
          </w:tcPr>
          <w:p w:rsidR="00735AEC" w:rsidRDefault="00735AEC" w:rsidP="00735AEC">
            <w:pPr>
              <w:rPr>
                <w:b/>
                <w:bCs/>
                <w:color w:val="0000FF"/>
              </w:rPr>
            </w:pPr>
          </w:p>
          <w:p w:rsidR="004677C5" w:rsidRDefault="004677C5" w:rsidP="00735AEC">
            <w:pPr>
              <w:rPr>
                <w:b/>
                <w:bCs/>
                <w:color w:val="0000FF"/>
              </w:rPr>
            </w:pPr>
            <w:r>
              <w:rPr>
                <w:b/>
                <w:bCs/>
                <w:color w:val="0000FF"/>
              </w:rPr>
              <w:t>Reagents</w:t>
            </w:r>
          </w:p>
        </w:tc>
        <w:tc>
          <w:tcPr>
            <w:tcW w:w="9777" w:type="dxa"/>
            <w:gridSpan w:val="4"/>
            <w:tcBorders>
              <w:top w:val="single" w:sz="18" w:space="0" w:color="BFBFBF"/>
              <w:bottom w:val="single" w:sz="18" w:space="0" w:color="BFBFBF"/>
            </w:tcBorders>
            <w:vAlign w:val="center"/>
          </w:tcPr>
          <w:p w:rsidR="00CD0731" w:rsidRDefault="00CD0731" w:rsidP="004677C5">
            <w:pPr>
              <w:autoSpaceDE w:val="0"/>
              <w:autoSpaceDN w:val="0"/>
              <w:adjustRightInd w:val="0"/>
              <w:rPr>
                <w:rFonts w:ascii="HelenPro-Cond" w:hAnsi="HelenPro-Cond" w:cs="HelenPro-Cond"/>
                <w:sz w:val="15"/>
                <w:szCs w:val="15"/>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CD0731" w:rsidRPr="00DB1AC3" w:rsidTr="00436FF0">
              <w:tc>
                <w:tcPr>
                  <w:tcW w:w="2677" w:type="dxa"/>
                </w:tcPr>
                <w:p w:rsidR="00CD0731" w:rsidRPr="00DB1AC3" w:rsidRDefault="00CD0731" w:rsidP="006716D3">
                  <w:pPr>
                    <w:jc w:val="center"/>
                    <w:rPr>
                      <w:rFonts w:cs="Arial"/>
                      <w:b/>
                      <w:bCs/>
                      <w:i/>
                      <w:szCs w:val="20"/>
                    </w:rPr>
                  </w:pPr>
                  <w:r w:rsidRPr="00DB1AC3">
                    <w:rPr>
                      <w:rFonts w:cs="Arial"/>
                      <w:b/>
                      <w:bCs/>
                      <w:i/>
                      <w:szCs w:val="20"/>
                    </w:rPr>
                    <w:t>Product Description</w:t>
                  </w:r>
                </w:p>
              </w:tc>
              <w:tc>
                <w:tcPr>
                  <w:tcW w:w="1620" w:type="dxa"/>
                </w:tcPr>
                <w:p w:rsidR="00CD0731" w:rsidRPr="00DB1AC3" w:rsidRDefault="00CD0731" w:rsidP="006716D3">
                  <w:pPr>
                    <w:jc w:val="center"/>
                    <w:rPr>
                      <w:rFonts w:cs="Arial"/>
                      <w:b/>
                      <w:bCs/>
                      <w:i/>
                      <w:szCs w:val="20"/>
                    </w:rPr>
                  </w:pPr>
                  <w:r w:rsidRPr="00DB1AC3">
                    <w:rPr>
                      <w:rFonts w:cs="Arial"/>
                      <w:b/>
                      <w:bCs/>
                      <w:i/>
                      <w:szCs w:val="20"/>
                    </w:rPr>
                    <w:t>Product Code</w:t>
                  </w:r>
                </w:p>
              </w:tc>
              <w:tc>
                <w:tcPr>
                  <w:tcW w:w="4837" w:type="dxa"/>
                </w:tcPr>
                <w:p w:rsidR="00CD0731" w:rsidRPr="00DB1AC3" w:rsidRDefault="00CD0731" w:rsidP="006716D3">
                  <w:pPr>
                    <w:jc w:val="center"/>
                    <w:rPr>
                      <w:rFonts w:cs="Arial"/>
                      <w:b/>
                      <w:bCs/>
                      <w:i/>
                      <w:szCs w:val="20"/>
                    </w:rPr>
                  </w:pPr>
                  <w:r w:rsidRPr="00DB1AC3">
                    <w:rPr>
                      <w:rFonts w:cs="Arial"/>
                      <w:b/>
                      <w:bCs/>
                      <w:i/>
                      <w:szCs w:val="20"/>
                    </w:rPr>
                    <w:t>Stability</w:t>
                  </w:r>
                </w:p>
              </w:tc>
            </w:tr>
            <w:tr w:rsidR="00CD0731" w:rsidRPr="00DB1AC3" w:rsidTr="00436FF0">
              <w:trPr>
                <w:trHeight w:val="2105"/>
              </w:trPr>
              <w:tc>
                <w:tcPr>
                  <w:tcW w:w="2677" w:type="dxa"/>
                </w:tcPr>
                <w:p w:rsidR="00CD0731" w:rsidRDefault="00CD0731" w:rsidP="00CD0731">
                  <w:pPr>
                    <w:autoSpaceDE w:val="0"/>
                    <w:autoSpaceDN w:val="0"/>
                    <w:adjustRightInd w:val="0"/>
                    <w:rPr>
                      <w:rFonts w:cs="Arial"/>
                      <w:szCs w:val="20"/>
                    </w:rPr>
                  </w:pPr>
                  <w:r>
                    <w:rPr>
                      <w:rFonts w:cs="Arial"/>
                      <w:szCs w:val="20"/>
                    </w:rPr>
                    <w:t>IRON Flex® Reagent C</w:t>
                  </w:r>
                  <w:r w:rsidRPr="00CD0731">
                    <w:rPr>
                      <w:rFonts w:cs="Arial"/>
                      <w:szCs w:val="20"/>
                    </w:rPr>
                    <w:t>artridge (Vista)</w:t>
                  </w:r>
                </w:p>
                <w:p w:rsidR="00CD0731" w:rsidRPr="00CD0731" w:rsidRDefault="00CD0731" w:rsidP="00CD0731">
                  <w:pPr>
                    <w:autoSpaceDE w:val="0"/>
                    <w:autoSpaceDN w:val="0"/>
                    <w:adjustRightInd w:val="0"/>
                    <w:rPr>
                      <w:rFonts w:cs="Arial"/>
                      <w:szCs w:val="20"/>
                    </w:rPr>
                  </w:pPr>
                  <w:r w:rsidRPr="00CD0731">
                    <w:rPr>
                      <w:rFonts w:cs="Arial"/>
                      <w:szCs w:val="20"/>
                    </w:rPr>
                    <w:t>All reagents are liquid and ready to use</w:t>
                  </w:r>
                </w:p>
              </w:tc>
              <w:tc>
                <w:tcPr>
                  <w:tcW w:w="1620" w:type="dxa"/>
                </w:tcPr>
                <w:p w:rsidR="00CD0731" w:rsidRPr="00CD0731" w:rsidRDefault="00CD0731" w:rsidP="006716D3">
                  <w:pPr>
                    <w:autoSpaceDE w:val="0"/>
                    <w:autoSpaceDN w:val="0"/>
                    <w:adjustRightInd w:val="0"/>
                    <w:rPr>
                      <w:rFonts w:cs="Arial"/>
                      <w:szCs w:val="20"/>
                    </w:rPr>
                  </w:pPr>
                  <w:r w:rsidRPr="00CD0731">
                    <w:rPr>
                      <w:rFonts w:cs="Arial"/>
                      <w:szCs w:val="20"/>
                    </w:rPr>
                    <w:t>K3085</w:t>
                  </w:r>
                </w:p>
              </w:tc>
              <w:tc>
                <w:tcPr>
                  <w:tcW w:w="4837" w:type="dxa"/>
                </w:tcPr>
                <w:p w:rsidR="00CD0731" w:rsidRPr="00CD0731" w:rsidRDefault="00CD0731" w:rsidP="006716D3">
                  <w:pPr>
                    <w:autoSpaceDE w:val="0"/>
                    <w:autoSpaceDN w:val="0"/>
                    <w:adjustRightInd w:val="0"/>
                    <w:spacing w:after="120"/>
                    <w:rPr>
                      <w:rFonts w:cs="Arial"/>
                      <w:szCs w:val="20"/>
                    </w:rPr>
                  </w:pPr>
                  <w:r w:rsidRPr="00CD0731">
                    <w:rPr>
                      <w:rFonts w:cs="Arial"/>
                      <w:b/>
                      <w:bCs/>
                      <w:szCs w:val="20"/>
                    </w:rPr>
                    <w:t xml:space="preserve">Store at: </w:t>
                  </w:r>
                  <w:r w:rsidRPr="00CD0731">
                    <w:rPr>
                      <w:rFonts w:cs="Arial"/>
                      <w:szCs w:val="20"/>
                    </w:rPr>
                    <w:t>2 - 8 °C.</w:t>
                  </w:r>
                </w:p>
                <w:p w:rsidR="00CD0731" w:rsidRPr="00CD0731" w:rsidRDefault="00CD0731" w:rsidP="006716D3">
                  <w:pPr>
                    <w:autoSpaceDE w:val="0"/>
                    <w:autoSpaceDN w:val="0"/>
                    <w:adjustRightInd w:val="0"/>
                    <w:spacing w:after="120"/>
                    <w:rPr>
                      <w:rFonts w:cs="Arial"/>
                      <w:szCs w:val="20"/>
                    </w:rPr>
                  </w:pPr>
                  <w:r w:rsidRPr="00CD0731">
                    <w:rPr>
                      <w:rFonts w:cs="Arial"/>
                      <w:b/>
                      <w:bCs/>
                      <w:szCs w:val="20"/>
                    </w:rPr>
                    <w:t xml:space="preserve">Unopened: </w:t>
                  </w:r>
                  <w:r w:rsidRPr="00CD0731">
                    <w:rPr>
                      <w:rFonts w:cs="Arial"/>
                      <w:szCs w:val="20"/>
                    </w:rPr>
                    <w:t xml:space="preserve">Refer to carton for expiration date of individual unopened reagent cartridges. </w:t>
                  </w:r>
                </w:p>
                <w:p w:rsidR="00CD0731" w:rsidRPr="00CD0731" w:rsidRDefault="00CD0731" w:rsidP="006716D3">
                  <w:pPr>
                    <w:autoSpaceDE w:val="0"/>
                    <w:autoSpaceDN w:val="0"/>
                    <w:adjustRightInd w:val="0"/>
                    <w:spacing w:after="120"/>
                    <w:rPr>
                      <w:rFonts w:cs="Arial"/>
                      <w:szCs w:val="20"/>
                    </w:rPr>
                  </w:pPr>
                  <w:r w:rsidRPr="00CD0731">
                    <w:rPr>
                      <w:rFonts w:cs="Arial"/>
                      <w:b/>
                      <w:szCs w:val="20"/>
                    </w:rPr>
                    <w:t>On-board:</w:t>
                  </w:r>
                  <w:r w:rsidRPr="00CD0731">
                    <w:rPr>
                      <w:rFonts w:cs="Arial"/>
                      <w:szCs w:val="20"/>
                    </w:rPr>
                    <w:t xml:space="preserve"> Sealed wells on the instrument are stable for 30 days.</w:t>
                  </w:r>
                </w:p>
                <w:p w:rsidR="00CD0731" w:rsidRPr="00CD0731" w:rsidRDefault="00CD0731" w:rsidP="00CD0731">
                  <w:pPr>
                    <w:rPr>
                      <w:rFonts w:cs="Arial"/>
                      <w:szCs w:val="20"/>
                    </w:rPr>
                  </w:pPr>
                  <w:r w:rsidRPr="00CD0731">
                    <w:rPr>
                      <w:rFonts w:cs="Arial"/>
                      <w:b/>
                      <w:bCs/>
                      <w:szCs w:val="20"/>
                    </w:rPr>
                    <w:t>Open well stability:</w:t>
                  </w:r>
                  <w:r>
                    <w:rPr>
                      <w:rFonts w:cs="Arial"/>
                      <w:b/>
                      <w:bCs/>
                      <w:szCs w:val="20"/>
                    </w:rPr>
                    <w:t xml:space="preserve"> </w:t>
                  </w:r>
                  <w:r w:rsidRPr="00CD0731">
                    <w:rPr>
                      <w:rFonts w:cs="Arial"/>
                      <w:szCs w:val="20"/>
                    </w:rPr>
                    <w:t>3 days for wells 1 – 8, 14 days for wells 9–12</w:t>
                  </w:r>
                </w:p>
              </w:tc>
            </w:tr>
            <w:tr w:rsidR="00CD0731" w:rsidRPr="00DB1AC3" w:rsidTr="00436FF0">
              <w:trPr>
                <w:trHeight w:val="837"/>
              </w:trPr>
              <w:tc>
                <w:tcPr>
                  <w:tcW w:w="2677" w:type="dxa"/>
                </w:tcPr>
                <w:p w:rsidR="00CD0731" w:rsidRPr="00735AEC" w:rsidRDefault="00735AEC" w:rsidP="008F2EFB">
                  <w:pPr>
                    <w:autoSpaceDE w:val="0"/>
                    <w:autoSpaceDN w:val="0"/>
                    <w:adjustRightInd w:val="0"/>
                    <w:rPr>
                      <w:rFonts w:eastAsia="Arial Unicode MS" w:cs="Arial"/>
                      <w:szCs w:val="20"/>
                    </w:rPr>
                  </w:pPr>
                  <w:r w:rsidRPr="00735AEC">
                    <w:rPr>
                      <w:rFonts w:cs="Arial"/>
                      <w:szCs w:val="20"/>
                    </w:rPr>
                    <w:t>IRON CAL</w:t>
                  </w:r>
                  <w:r w:rsidR="008F2EFB">
                    <w:rPr>
                      <w:rFonts w:cs="Arial"/>
                      <w:szCs w:val="20"/>
                    </w:rPr>
                    <w:t xml:space="preserve"> – National Institutes of Standards and Technology SRM 934</w:t>
                  </w:r>
                </w:p>
              </w:tc>
              <w:tc>
                <w:tcPr>
                  <w:tcW w:w="1620" w:type="dxa"/>
                </w:tcPr>
                <w:p w:rsidR="00CD0731" w:rsidRPr="00735AEC" w:rsidRDefault="00735AEC" w:rsidP="006716D3">
                  <w:pPr>
                    <w:autoSpaceDE w:val="0"/>
                    <w:autoSpaceDN w:val="0"/>
                    <w:adjustRightInd w:val="0"/>
                    <w:rPr>
                      <w:rFonts w:eastAsia="Arial Unicode MS" w:cs="Arial"/>
                      <w:szCs w:val="20"/>
                    </w:rPr>
                  </w:pPr>
                  <w:r w:rsidRPr="00735AEC">
                    <w:rPr>
                      <w:rFonts w:cs="Arial"/>
                      <w:szCs w:val="20"/>
                    </w:rPr>
                    <w:t>KC240</w:t>
                  </w:r>
                </w:p>
              </w:tc>
              <w:tc>
                <w:tcPr>
                  <w:tcW w:w="4837" w:type="dxa"/>
                  <w:vAlign w:val="center"/>
                </w:tcPr>
                <w:p w:rsidR="00CD0731" w:rsidRPr="00DB1AC3" w:rsidRDefault="00CD0731" w:rsidP="006716D3">
                  <w:pPr>
                    <w:autoSpaceDE w:val="0"/>
                    <w:autoSpaceDN w:val="0"/>
                    <w:adjustRightInd w:val="0"/>
                    <w:spacing w:after="120"/>
                    <w:rPr>
                      <w:rFonts w:cs="Arial"/>
                      <w:szCs w:val="20"/>
                    </w:rPr>
                  </w:pPr>
                  <w:r w:rsidRPr="00DB1AC3">
                    <w:rPr>
                      <w:rFonts w:cs="Arial"/>
                      <w:b/>
                      <w:bCs/>
                      <w:szCs w:val="20"/>
                    </w:rPr>
                    <w:t xml:space="preserve">Store at: </w:t>
                  </w:r>
                  <w:r w:rsidRPr="00DB1AC3">
                    <w:rPr>
                      <w:rFonts w:cs="Arial"/>
                      <w:szCs w:val="20"/>
                    </w:rPr>
                    <w:t>2 - 8 °C.</w:t>
                  </w:r>
                </w:p>
                <w:p w:rsidR="00CD0731" w:rsidRDefault="00CD0731" w:rsidP="006716D3">
                  <w:pPr>
                    <w:autoSpaceDE w:val="0"/>
                    <w:autoSpaceDN w:val="0"/>
                    <w:adjustRightInd w:val="0"/>
                    <w:spacing w:after="120"/>
                    <w:rPr>
                      <w:rFonts w:cs="Arial"/>
                      <w:b/>
                      <w:szCs w:val="20"/>
                    </w:rPr>
                  </w:pPr>
                  <w:r w:rsidRPr="00DB1AC3">
                    <w:rPr>
                      <w:rFonts w:cs="Arial"/>
                      <w:b/>
                      <w:bCs/>
                      <w:szCs w:val="20"/>
                    </w:rPr>
                    <w:t>Unopened:</w:t>
                  </w:r>
                  <w:r>
                    <w:rPr>
                      <w:rFonts w:cs="Arial"/>
                      <w:b/>
                      <w:bCs/>
                      <w:szCs w:val="20"/>
                    </w:rPr>
                    <w:t xml:space="preserve"> </w:t>
                  </w:r>
                  <w:r w:rsidRPr="00DB1AC3">
                    <w:rPr>
                      <w:rFonts w:cs="Arial"/>
                      <w:szCs w:val="20"/>
                    </w:rPr>
                    <w:t>Refer to carton for expiration date.</w:t>
                  </w:r>
                  <w:r w:rsidRPr="00DB1AC3">
                    <w:rPr>
                      <w:rFonts w:cs="Arial"/>
                      <w:b/>
                      <w:szCs w:val="20"/>
                    </w:rPr>
                    <w:t xml:space="preserve"> </w:t>
                  </w:r>
                </w:p>
                <w:p w:rsidR="00CD0731" w:rsidRDefault="00CD0731" w:rsidP="006716D3">
                  <w:pPr>
                    <w:autoSpaceDE w:val="0"/>
                    <w:autoSpaceDN w:val="0"/>
                    <w:adjustRightInd w:val="0"/>
                    <w:spacing w:after="120"/>
                    <w:rPr>
                      <w:rFonts w:cs="Arial"/>
                      <w:szCs w:val="20"/>
                    </w:rPr>
                  </w:pPr>
                  <w:r w:rsidRPr="00DB1AC3">
                    <w:rPr>
                      <w:rFonts w:cs="Arial"/>
                      <w:b/>
                      <w:szCs w:val="20"/>
                    </w:rPr>
                    <w:t>On-board:</w:t>
                  </w:r>
                  <w:r>
                    <w:rPr>
                      <w:rFonts w:cs="Arial"/>
                      <w:szCs w:val="20"/>
                    </w:rPr>
                    <w:t xml:space="preserve"> </w:t>
                  </w:r>
                  <w:r w:rsidR="00255A82">
                    <w:rPr>
                      <w:rFonts w:cs="Arial"/>
                      <w:szCs w:val="20"/>
                    </w:rPr>
                    <w:t xml:space="preserve">Do not place ampoules directly on board the </w:t>
                  </w:r>
                  <w:r w:rsidR="00255A82" w:rsidRPr="00DB1AC3">
                    <w:rPr>
                      <w:rFonts w:cs="Arial"/>
                      <w:szCs w:val="20"/>
                    </w:rPr>
                    <w:t>Dimension Vista</w:t>
                  </w:r>
                  <w:r w:rsidR="00255A82" w:rsidRPr="00DB1AC3">
                    <w:rPr>
                      <w:rStyle w:val="A5"/>
                      <w:rFonts w:cs="Arial"/>
                      <w:szCs w:val="20"/>
                    </w:rPr>
                    <w:t xml:space="preserve">® </w:t>
                  </w:r>
                  <w:r w:rsidR="00E008A2" w:rsidRPr="00DB1AC3">
                    <w:rPr>
                      <w:rFonts w:cs="Arial"/>
                      <w:szCs w:val="20"/>
                    </w:rPr>
                    <w:t>System</w:t>
                  </w:r>
                  <w:r w:rsidR="00E008A2">
                    <w:rPr>
                      <w:rFonts w:cs="Arial"/>
                      <w:szCs w:val="20"/>
                    </w:rPr>
                    <w:t>;</w:t>
                  </w:r>
                  <w:r w:rsidR="00255A82">
                    <w:rPr>
                      <w:rFonts w:cs="Arial"/>
                      <w:szCs w:val="20"/>
                    </w:rPr>
                    <w:t xml:space="preserve"> do not place the calibrator in empty Vista vials.</w:t>
                  </w:r>
                </w:p>
                <w:p w:rsidR="00CD0731" w:rsidRPr="00DB1AC3" w:rsidRDefault="00CD0731" w:rsidP="00255A82">
                  <w:pPr>
                    <w:autoSpaceDE w:val="0"/>
                    <w:autoSpaceDN w:val="0"/>
                    <w:adjustRightInd w:val="0"/>
                    <w:spacing w:after="120"/>
                    <w:rPr>
                      <w:rFonts w:cs="Arial"/>
                      <w:szCs w:val="20"/>
                    </w:rPr>
                  </w:pPr>
                  <w:r w:rsidRPr="00A12605">
                    <w:rPr>
                      <w:rFonts w:cs="Arial"/>
                      <w:b/>
                      <w:szCs w:val="20"/>
                    </w:rPr>
                    <w:t>Opened:</w:t>
                  </w:r>
                  <w:r w:rsidRPr="00A12605">
                    <w:rPr>
                      <w:rFonts w:cs="Arial"/>
                      <w:szCs w:val="20"/>
                    </w:rPr>
                    <w:t xml:space="preserve"> </w:t>
                  </w:r>
                  <w:r w:rsidR="00255A82">
                    <w:rPr>
                      <w:rFonts w:cs="Arial"/>
                      <w:szCs w:val="20"/>
                    </w:rPr>
                    <w:t>Opened ampoules must be used immediately, and any unused portion discarded in the Acid waste container.</w:t>
                  </w:r>
                </w:p>
              </w:tc>
            </w:tr>
          </w:tbl>
          <w:p w:rsidR="004677C5" w:rsidRDefault="004677C5" w:rsidP="00735AEC">
            <w:r>
              <w:rPr>
                <w:rFonts w:ascii="HelenPro-Cond" w:hAnsi="HelenPro-Cond" w:cs="HelenPro-Cond"/>
                <w:sz w:val="15"/>
                <w:szCs w:val="15"/>
              </w:rPr>
              <w:t xml:space="preserve"> </w:t>
            </w:r>
          </w:p>
        </w:tc>
      </w:tr>
      <w:tr w:rsidR="004677C5" w:rsidTr="00436FF0">
        <w:trPr>
          <w:trHeight w:val="1737"/>
          <w:tblHeader/>
        </w:trPr>
        <w:tc>
          <w:tcPr>
            <w:tcW w:w="1473" w:type="dxa"/>
          </w:tcPr>
          <w:p w:rsidR="004677C5" w:rsidRDefault="004677C5">
            <w:pPr>
              <w:ind w:right="-108"/>
              <w:rPr>
                <w:rFonts w:cs="Arial"/>
                <w:b/>
                <w:bCs/>
                <w:color w:val="0000FF"/>
              </w:rPr>
            </w:pPr>
          </w:p>
          <w:p w:rsidR="004677C5" w:rsidRDefault="004677C5">
            <w:pPr>
              <w:ind w:right="-108"/>
              <w:rPr>
                <w:rFonts w:cs="Arial"/>
                <w:b/>
                <w:bCs/>
                <w:color w:val="0000FF"/>
              </w:rPr>
            </w:pPr>
            <w:r>
              <w:rPr>
                <w:rFonts w:cs="Arial"/>
                <w:b/>
                <w:bCs/>
                <w:color w:val="0000FF"/>
              </w:rPr>
              <w:t>Risk and Safety</w:t>
            </w:r>
          </w:p>
        </w:tc>
        <w:tc>
          <w:tcPr>
            <w:tcW w:w="9777" w:type="dxa"/>
            <w:gridSpan w:val="4"/>
            <w:tcBorders>
              <w:top w:val="single" w:sz="18" w:space="0" w:color="BFBFBF"/>
              <w:bottom w:val="single" w:sz="18" w:space="0" w:color="BFBFBF"/>
            </w:tcBorders>
            <w:vAlign w:val="center"/>
          </w:tcPr>
          <w:p w:rsidR="004677C5" w:rsidRDefault="004677C5">
            <w:pPr>
              <w:numPr>
                <w:ilvl w:val="0"/>
                <w:numId w:val="28"/>
              </w:numPr>
              <w:rPr>
                <w:rFonts w:cs="Arial"/>
                <w:szCs w:val="20"/>
              </w:rPr>
            </w:pPr>
            <w:r>
              <w:rPr>
                <w:rFonts w:cs="Arial"/>
                <w:szCs w:val="20"/>
              </w:rPr>
              <w:t xml:space="preserve">Harmful. Contains </w:t>
            </w:r>
            <w:proofErr w:type="spellStart"/>
            <w:r>
              <w:rPr>
                <w:rFonts w:cs="Arial"/>
                <w:szCs w:val="20"/>
              </w:rPr>
              <w:t>Thiourea</w:t>
            </w:r>
            <w:proofErr w:type="spellEnd"/>
            <w:r>
              <w:rPr>
                <w:rFonts w:cs="Arial"/>
                <w:szCs w:val="20"/>
              </w:rPr>
              <w:t xml:space="preserve">. Limited evidence of a carcinogenic effect. </w:t>
            </w:r>
            <w:r>
              <w:rPr>
                <w:rFonts w:cs="Arial"/>
                <w:szCs w:val="20"/>
                <w:u w:color="000000"/>
              </w:rPr>
              <w:t>Wear suitable protective clothing and gloves.</w:t>
            </w:r>
          </w:p>
          <w:p w:rsidR="004677C5" w:rsidRDefault="004677C5">
            <w:pPr>
              <w:numPr>
                <w:ilvl w:val="0"/>
                <w:numId w:val="28"/>
              </w:numPr>
              <w:rPr>
                <w:rFonts w:cs="Arial"/>
                <w:szCs w:val="20"/>
              </w:rPr>
            </w:pPr>
            <w:r>
              <w:rPr>
                <w:rFonts w:cs="Arial"/>
                <w:szCs w:val="20"/>
              </w:rPr>
              <w:t xml:space="preserve">Safety data sheets (MSDS/SDS) available on </w:t>
            </w:r>
            <w:hyperlink r:id="rId8" w:history="1">
              <w:r w:rsidR="00F46D39" w:rsidRPr="00F46D39">
                <w:rPr>
                  <w:rStyle w:val="Hyperlink"/>
                  <w:rFonts w:cs="Arial"/>
                  <w:szCs w:val="20"/>
                </w:rPr>
                <w:t>www.siemens-healthineers.com</w:t>
              </w:r>
            </w:hyperlink>
            <w:r w:rsidR="00F46D39">
              <w:rPr>
                <w:rFonts w:cs="Arial"/>
                <w:szCs w:val="20"/>
              </w:rPr>
              <w:t xml:space="preserve"> or Children’s </w:t>
            </w:r>
            <w:hyperlink r:id="rId9" w:history="1">
              <w:r w:rsidR="00F46D39" w:rsidRPr="00F46D39">
                <w:rPr>
                  <w:rStyle w:val="Hyperlink"/>
                  <w:rFonts w:cs="Arial"/>
                  <w:szCs w:val="20"/>
                </w:rPr>
                <w:t>MSDS</w:t>
              </w:r>
            </w:hyperlink>
          </w:p>
          <w:p w:rsidR="004677C5" w:rsidRDefault="004677C5">
            <w:pPr>
              <w:numPr>
                <w:ilvl w:val="0"/>
                <w:numId w:val="28"/>
              </w:numPr>
              <w:rPr>
                <w:rFonts w:cs="Arial"/>
                <w:bCs/>
                <w:szCs w:val="20"/>
              </w:rPr>
            </w:pPr>
            <w:r>
              <w:rPr>
                <w:rFonts w:cs="Arial"/>
                <w:bCs/>
                <w:szCs w:val="20"/>
              </w:rPr>
              <w:t xml:space="preserve">Used </w:t>
            </w:r>
            <w:proofErr w:type="spellStart"/>
            <w:r>
              <w:rPr>
                <w:rFonts w:cs="Arial"/>
                <w:bCs/>
                <w:szCs w:val="20"/>
              </w:rPr>
              <w:t>cuvettes</w:t>
            </w:r>
            <w:proofErr w:type="spellEnd"/>
            <w:r>
              <w:rPr>
                <w:rFonts w:cs="Arial"/>
                <w:bCs/>
                <w:szCs w:val="20"/>
              </w:rPr>
              <w:t xml:space="preserve"> contain human body fluids; handle with appropriate care to avoid skin contact or ingestion.</w:t>
            </w:r>
          </w:p>
          <w:p w:rsidR="004677C5" w:rsidRDefault="004677C5">
            <w:pPr>
              <w:numPr>
                <w:ilvl w:val="0"/>
                <w:numId w:val="28"/>
              </w:numPr>
              <w:rPr>
                <w:rFonts w:cs="Arial"/>
              </w:rPr>
            </w:pPr>
            <w:r>
              <w:rPr>
                <w:rFonts w:cs="Arial"/>
                <w:color w:val="000000"/>
                <w:szCs w:val="15"/>
              </w:rPr>
              <w:t>Follow Children’s Laboratory Safety guidelines when handling patient samples and reagents.</w:t>
            </w:r>
          </w:p>
        </w:tc>
      </w:tr>
      <w:tr w:rsidR="004677C5" w:rsidTr="00436FF0">
        <w:trPr>
          <w:trHeight w:val="10476"/>
          <w:tblHeader/>
        </w:trPr>
        <w:tc>
          <w:tcPr>
            <w:tcW w:w="1473" w:type="dxa"/>
          </w:tcPr>
          <w:p w:rsidR="00A338DE" w:rsidRDefault="00A338DE">
            <w:pPr>
              <w:ind w:right="-108"/>
              <w:rPr>
                <w:rFonts w:cs="Arial"/>
                <w:b/>
                <w:bCs/>
                <w:color w:val="0000FF"/>
              </w:rPr>
            </w:pPr>
          </w:p>
          <w:p w:rsidR="004677C5" w:rsidRDefault="004677C5">
            <w:pPr>
              <w:ind w:right="-108"/>
              <w:rPr>
                <w:rFonts w:cs="Arial"/>
                <w:b/>
                <w:bCs/>
                <w:color w:val="0000FF"/>
              </w:rPr>
            </w:pPr>
            <w:r>
              <w:rPr>
                <w:rFonts w:cs="Arial"/>
                <w:b/>
                <w:bCs/>
                <w:color w:val="0000FF"/>
              </w:rPr>
              <w:t>Calibration</w:t>
            </w:r>
          </w:p>
        </w:tc>
        <w:tc>
          <w:tcPr>
            <w:tcW w:w="9777" w:type="dxa"/>
            <w:gridSpan w:val="4"/>
            <w:tcBorders>
              <w:top w:val="single" w:sz="18" w:space="0" w:color="BFBFBF"/>
              <w:bottom w:val="single" w:sz="18" w:space="0" w:color="BFBFBF"/>
            </w:tcBorders>
          </w:tcPr>
          <w:tbl>
            <w:tblPr>
              <w:tblpPr w:leftFromText="180" w:rightFromText="180" w:vertAnchor="page" w:horzAnchor="margin" w:tblpY="185"/>
              <w:tblOverlap w:val="neve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2"/>
              <w:gridCol w:w="6444"/>
            </w:tblGrid>
            <w:tr w:rsidR="00A338DE" w:rsidTr="00436FF0">
              <w:trPr>
                <w:trHeight w:val="349"/>
              </w:trPr>
              <w:tc>
                <w:tcPr>
                  <w:tcW w:w="2772" w:type="dxa"/>
                  <w:tcBorders>
                    <w:top w:val="single" w:sz="4" w:space="0" w:color="auto"/>
                  </w:tcBorders>
                  <w:vAlign w:val="center"/>
                </w:tcPr>
                <w:p w:rsidR="00A338DE" w:rsidRPr="00A338DE" w:rsidRDefault="00A338DE" w:rsidP="00A338DE">
                  <w:pPr>
                    <w:rPr>
                      <w:rFonts w:cs="Arial"/>
                      <w:szCs w:val="20"/>
                    </w:rPr>
                  </w:pPr>
                  <w:r w:rsidRPr="00A338DE">
                    <w:rPr>
                      <w:rFonts w:cs="Arial"/>
                      <w:szCs w:val="20"/>
                    </w:rPr>
                    <w:t xml:space="preserve">Analytical Measuring Range </w:t>
                  </w:r>
                </w:p>
              </w:tc>
              <w:tc>
                <w:tcPr>
                  <w:tcW w:w="6444" w:type="dxa"/>
                  <w:tcBorders>
                    <w:top w:val="single" w:sz="4" w:space="0" w:color="auto"/>
                  </w:tcBorders>
                  <w:vAlign w:val="center"/>
                </w:tcPr>
                <w:p w:rsidR="00A338DE" w:rsidRPr="00A338DE" w:rsidRDefault="00A338DE" w:rsidP="00A338DE">
                  <w:pPr>
                    <w:pStyle w:val="Header"/>
                    <w:tabs>
                      <w:tab w:val="clear" w:pos="4320"/>
                      <w:tab w:val="clear" w:pos="8640"/>
                    </w:tabs>
                    <w:rPr>
                      <w:rFonts w:cs="Arial"/>
                      <w:szCs w:val="20"/>
                      <w:u w:color="000000"/>
                    </w:rPr>
                  </w:pPr>
                  <w:r w:rsidRPr="00A338DE">
                    <w:rPr>
                      <w:rStyle w:val="ShadeBodyTextCondensed"/>
                      <w:rFonts w:ascii="Arial" w:hAnsi="Arial" w:cs="Arial"/>
                      <w:szCs w:val="20"/>
                      <w:u w:val="none"/>
                    </w:rPr>
                    <w:t>5 – 1000 mcg/</w:t>
                  </w:r>
                  <w:proofErr w:type="spellStart"/>
                  <w:r w:rsidRPr="00A338DE">
                    <w:rPr>
                      <w:rStyle w:val="ShadeBodyTextCondensed"/>
                      <w:rFonts w:ascii="Arial" w:hAnsi="Arial" w:cs="Arial"/>
                      <w:szCs w:val="20"/>
                      <w:u w:val="none"/>
                    </w:rPr>
                    <w:t>dL</w:t>
                  </w:r>
                  <w:proofErr w:type="spellEnd"/>
                </w:p>
              </w:tc>
            </w:tr>
            <w:tr w:rsidR="00A338DE" w:rsidTr="00436FF0">
              <w:tc>
                <w:tcPr>
                  <w:tcW w:w="2772" w:type="dxa"/>
                  <w:vAlign w:val="center"/>
                </w:tcPr>
                <w:p w:rsidR="00A338DE" w:rsidRPr="00A338DE" w:rsidRDefault="00A338DE" w:rsidP="00A338DE">
                  <w:pPr>
                    <w:rPr>
                      <w:rFonts w:cs="Arial"/>
                      <w:szCs w:val="20"/>
                    </w:rPr>
                  </w:pPr>
                  <w:r w:rsidRPr="00A338DE">
                    <w:rPr>
                      <w:rFonts w:cs="Arial"/>
                      <w:szCs w:val="20"/>
                    </w:rPr>
                    <w:t>Calibration Material:</w:t>
                  </w:r>
                </w:p>
              </w:tc>
              <w:tc>
                <w:tcPr>
                  <w:tcW w:w="6444" w:type="dxa"/>
                  <w:vAlign w:val="center"/>
                </w:tcPr>
                <w:p w:rsidR="00A338DE" w:rsidRPr="00A338DE" w:rsidRDefault="00A338DE" w:rsidP="00A338DE">
                  <w:pPr>
                    <w:rPr>
                      <w:rFonts w:cs="Arial"/>
                      <w:szCs w:val="20"/>
                    </w:rPr>
                  </w:pPr>
                  <w:r w:rsidRPr="00A338DE">
                    <w:rPr>
                      <w:rStyle w:val="ShadeBodyTextCondensed"/>
                      <w:rFonts w:ascii="Arial" w:hAnsi="Arial" w:cs="Arial"/>
                      <w:szCs w:val="20"/>
                      <w:u w:val="none"/>
                    </w:rPr>
                    <w:t xml:space="preserve">IRON </w:t>
                  </w:r>
                  <w:r w:rsidRPr="00A338DE">
                    <w:rPr>
                      <w:rFonts w:cs="Arial"/>
                      <w:szCs w:val="20"/>
                    </w:rPr>
                    <w:t>CAL</w:t>
                  </w:r>
                  <w:r w:rsidRPr="00A338DE">
                    <w:rPr>
                      <w:rStyle w:val="ShadeBodyTextCondensed"/>
                      <w:rFonts w:ascii="Arial" w:hAnsi="Arial" w:cs="Arial"/>
                      <w:szCs w:val="20"/>
                      <w:u w:val="none"/>
                    </w:rPr>
                    <w:t>, Cat. No.</w:t>
                  </w:r>
                  <w:r w:rsidRPr="00A338DE">
                    <w:rPr>
                      <w:rFonts w:cs="Arial"/>
                      <w:szCs w:val="20"/>
                    </w:rPr>
                    <w:t xml:space="preserve"> KC240</w:t>
                  </w:r>
                  <w:r w:rsidRPr="00A338DE">
                    <w:rPr>
                      <w:rStyle w:val="ShadeBodyTextCondensed"/>
                      <w:rFonts w:ascii="Arial" w:hAnsi="Arial" w:cs="Arial"/>
                      <w:szCs w:val="20"/>
                      <w:u w:val="none"/>
                    </w:rPr>
                    <w:t xml:space="preserve">. </w:t>
                  </w:r>
                </w:p>
                <w:p w:rsidR="00A338DE" w:rsidRPr="00A338DE" w:rsidRDefault="00A338DE" w:rsidP="00A338DE">
                  <w:pPr>
                    <w:rPr>
                      <w:rFonts w:cs="Arial"/>
                      <w:szCs w:val="20"/>
                    </w:rPr>
                  </w:pPr>
                  <w:r w:rsidRPr="00A338DE">
                    <w:rPr>
                      <w:rStyle w:val="BoldBodyText"/>
                      <w:rFonts w:ascii="Arial" w:hAnsi="Arial" w:cs="Arial"/>
                      <w:sz w:val="20"/>
                      <w:szCs w:val="20"/>
                    </w:rPr>
                    <w:t>Note:</w:t>
                  </w:r>
                  <w:r w:rsidRPr="00A338DE">
                    <w:rPr>
                      <w:rStyle w:val="Body"/>
                      <w:rFonts w:ascii="Arial" w:hAnsi="Arial" w:cs="Arial"/>
                      <w:sz w:val="20"/>
                      <w:szCs w:val="20"/>
                    </w:rPr>
                    <w:t xml:space="preserve"> Level 1 calibrator is System Water. It is not necessary to load Level 1.</w:t>
                  </w:r>
                </w:p>
              </w:tc>
            </w:tr>
            <w:tr w:rsidR="00A338DE" w:rsidTr="00436FF0">
              <w:tc>
                <w:tcPr>
                  <w:tcW w:w="2772" w:type="dxa"/>
                  <w:vAlign w:val="center"/>
                </w:tcPr>
                <w:p w:rsidR="00A338DE" w:rsidRPr="00A338DE" w:rsidRDefault="00A338DE" w:rsidP="00A338DE">
                  <w:pPr>
                    <w:rPr>
                      <w:rFonts w:cs="Arial"/>
                      <w:szCs w:val="20"/>
                    </w:rPr>
                  </w:pPr>
                  <w:r w:rsidRPr="00A338DE">
                    <w:rPr>
                      <w:rFonts w:cs="Arial"/>
                      <w:szCs w:val="20"/>
                    </w:rPr>
                    <w:t>Calibration Levels:</w:t>
                  </w:r>
                </w:p>
              </w:tc>
              <w:tc>
                <w:tcPr>
                  <w:tcW w:w="6444" w:type="dxa"/>
                  <w:vAlign w:val="center"/>
                </w:tcPr>
                <w:p w:rsidR="00A338DE" w:rsidRPr="00A338DE" w:rsidRDefault="00A338DE" w:rsidP="00A338DE">
                  <w:pPr>
                    <w:autoSpaceDE w:val="0"/>
                    <w:autoSpaceDN w:val="0"/>
                    <w:adjustRightInd w:val="0"/>
                    <w:rPr>
                      <w:rFonts w:cs="Arial"/>
                      <w:szCs w:val="20"/>
                    </w:rPr>
                  </w:pPr>
                  <w:r w:rsidRPr="00A338DE">
                    <w:rPr>
                      <w:rFonts w:cs="Arial"/>
                      <w:szCs w:val="20"/>
                    </w:rPr>
                    <w:t xml:space="preserve">Level 1 (System water): 0.0 </w:t>
                  </w:r>
                  <w:proofErr w:type="spellStart"/>
                  <w:r w:rsidRPr="00A338DE">
                    <w:rPr>
                      <w:rFonts w:cs="Arial"/>
                      <w:szCs w:val="20"/>
                    </w:rPr>
                    <w:t>μg</w:t>
                  </w:r>
                  <w:proofErr w:type="spellEnd"/>
                  <w:r w:rsidRPr="00A338DE">
                    <w:rPr>
                      <w:rFonts w:cs="Arial"/>
                      <w:szCs w:val="20"/>
                    </w:rPr>
                    <w:t>/</w:t>
                  </w:r>
                  <w:proofErr w:type="spellStart"/>
                  <w:r w:rsidRPr="00A338DE">
                    <w:rPr>
                      <w:rFonts w:cs="Arial"/>
                      <w:szCs w:val="20"/>
                    </w:rPr>
                    <w:t>dL</w:t>
                  </w:r>
                  <w:proofErr w:type="spellEnd"/>
                </w:p>
                <w:p w:rsidR="00A338DE" w:rsidRPr="00A338DE" w:rsidRDefault="00A338DE" w:rsidP="00A338DE">
                  <w:pPr>
                    <w:pStyle w:val="Header"/>
                    <w:tabs>
                      <w:tab w:val="clear" w:pos="4320"/>
                      <w:tab w:val="clear" w:pos="8640"/>
                    </w:tabs>
                    <w:rPr>
                      <w:rFonts w:cs="Arial"/>
                      <w:szCs w:val="20"/>
                      <w:u w:color="000000"/>
                    </w:rPr>
                  </w:pPr>
                  <w:r w:rsidRPr="00A338DE">
                    <w:rPr>
                      <w:rFonts w:cs="Arial"/>
                      <w:szCs w:val="20"/>
                    </w:rPr>
                    <w:t xml:space="preserve">Level 2 (Calibrator A): 1075 </w:t>
                  </w:r>
                  <w:proofErr w:type="spellStart"/>
                  <w:r w:rsidRPr="00A338DE">
                    <w:rPr>
                      <w:rFonts w:cs="Arial"/>
                      <w:szCs w:val="20"/>
                    </w:rPr>
                    <w:t>μg</w:t>
                  </w:r>
                  <w:proofErr w:type="spellEnd"/>
                  <w:r w:rsidRPr="00A338DE">
                    <w:rPr>
                      <w:rFonts w:cs="Arial"/>
                      <w:szCs w:val="20"/>
                    </w:rPr>
                    <w:t>/</w:t>
                  </w:r>
                  <w:proofErr w:type="spellStart"/>
                  <w:r w:rsidRPr="00A338DE">
                    <w:rPr>
                      <w:rFonts w:cs="Arial"/>
                      <w:szCs w:val="20"/>
                    </w:rPr>
                    <w:t>dL</w:t>
                  </w:r>
                  <w:proofErr w:type="spellEnd"/>
                </w:p>
              </w:tc>
            </w:tr>
            <w:tr w:rsidR="00A338DE" w:rsidTr="00436FF0">
              <w:tc>
                <w:tcPr>
                  <w:tcW w:w="2772" w:type="dxa"/>
                  <w:vAlign w:val="center"/>
                </w:tcPr>
                <w:p w:rsidR="00A338DE" w:rsidRPr="00A338DE" w:rsidRDefault="00A338DE" w:rsidP="00A338DE">
                  <w:pPr>
                    <w:rPr>
                      <w:rFonts w:cs="Arial"/>
                      <w:szCs w:val="20"/>
                    </w:rPr>
                  </w:pPr>
                  <w:r w:rsidRPr="00A338DE">
                    <w:rPr>
                      <w:rFonts w:cs="Arial"/>
                      <w:szCs w:val="20"/>
                    </w:rPr>
                    <w:t>Calibration Scheme:</w:t>
                  </w:r>
                </w:p>
              </w:tc>
              <w:tc>
                <w:tcPr>
                  <w:tcW w:w="6444" w:type="dxa"/>
                  <w:vAlign w:val="center"/>
                </w:tcPr>
                <w:p w:rsidR="00A338DE" w:rsidRPr="00A338DE" w:rsidRDefault="00A338DE" w:rsidP="00A338DE">
                  <w:pPr>
                    <w:rPr>
                      <w:rFonts w:cs="Arial"/>
                      <w:szCs w:val="20"/>
                    </w:rPr>
                  </w:pPr>
                  <w:r w:rsidRPr="00A338DE">
                    <w:rPr>
                      <w:rFonts w:cs="Arial"/>
                      <w:szCs w:val="20"/>
                    </w:rPr>
                    <w:t>2 levels, n=5</w:t>
                  </w:r>
                </w:p>
              </w:tc>
            </w:tr>
            <w:tr w:rsidR="00A338DE" w:rsidTr="00436FF0">
              <w:trPr>
                <w:trHeight w:val="1363"/>
              </w:trPr>
              <w:tc>
                <w:tcPr>
                  <w:tcW w:w="2772" w:type="dxa"/>
                  <w:vAlign w:val="center"/>
                </w:tcPr>
                <w:p w:rsidR="00A338DE" w:rsidRPr="00A338DE" w:rsidRDefault="00A338DE" w:rsidP="00A338DE">
                  <w:pPr>
                    <w:rPr>
                      <w:rFonts w:cs="Arial"/>
                      <w:szCs w:val="20"/>
                    </w:rPr>
                  </w:pPr>
                  <w:r w:rsidRPr="00A338DE">
                    <w:rPr>
                      <w:rFonts w:cs="Arial"/>
                      <w:szCs w:val="20"/>
                    </w:rPr>
                    <w:t>Calibration Frequency:</w:t>
                  </w:r>
                </w:p>
              </w:tc>
              <w:tc>
                <w:tcPr>
                  <w:tcW w:w="6444" w:type="dxa"/>
                  <w:vAlign w:val="center"/>
                </w:tcPr>
                <w:p w:rsidR="00A338DE" w:rsidRPr="00A338DE" w:rsidRDefault="00A338DE" w:rsidP="004A2D47">
                  <w:pPr>
                    <w:numPr>
                      <w:ilvl w:val="0"/>
                      <w:numId w:val="38"/>
                    </w:numPr>
                    <w:rPr>
                      <w:rFonts w:cs="Arial"/>
                      <w:szCs w:val="20"/>
                    </w:rPr>
                  </w:pPr>
                  <w:r w:rsidRPr="00A338DE">
                    <w:rPr>
                      <w:rStyle w:val="ShadeBodyTextCondensed"/>
                      <w:rFonts w:ascii="Arial" w:hAnsi="Arial" w:cs="Arial"/>
                      <w:szCs w:val="20"/>
                      <w:u w:val="none"/>
                    </w:rPr>
                    <w:t>Every 90 days for any one lot</w:t>
                  </w:r>
                  <w:r w:rsidRPr="00A338DE">
                    <w:rPr>
                      <w:rFonts w:cs="Arial"/>
                      <w:szCs w:val="20"/>
                    </w:rPr>
                    <w:t xml:space="preserve"> </w:t>
                  </w:r>
                </w:p>
                <w:p w:rsidR="00A338DE" w:rsidRPr="00A338DE" w:rsidRDefault="00A338DE" w:rsidP="004A2D47">
                  <w:pPr>
                    <w:numPr>
                      <w:ilvl w:val="0"/>
                      <w:numId w:val="38"/>
                    </w:numPr>
                    <w:rPr>
                      <w:rFonts w:cs="Arial"/>
                      <w:szCs w:val="20"/>
                    </w:rPr>
                  </w:pPr>
                  <w:r w:rsidRPr="00A338DE">
                    <w:rPr>
                      <w:rFonts w:cs="Arial"/>
                      <w:szCs w:val="20"/>
                    </w:rPr>
                    <w:t>Each new lot of Flex® reagent cartridges</w:t>
                  </w:r>
                </w:p>
                <w:p w:rsidR="00A338DE" w:rsidRPr="00A338DE" w:rsidRDefault="00A338DE" w:rsidP="004A2D47">
                  <w:pPr>
                    <w:numPr>
                      <w:ilvl w:val="0"/>
                      <w:numId w:val="38"/>
                    </w:numPr>
                    <w:rPr>
                      <w:rFonts w:cs="Arial"/>
                      <w:color w:val="000000"/>
                      <w:szCs w:val="20"/>
                    </w:rPr>
                  </w:pPr>
                  <w:r w:rsidRPr="00A338DE">
                    <w:rPr>
                      <w:rFonts w:cs="Arial"/>
                      <w:color w:val="000000"/>
                      <w:szCs w:val="20"/>
                    </w:rPr>
                    <w:t>After major maintenance or service, if indicated by quality control results</w:t>
                  </w:r>
                </w:p>
                <w:p w:rsidR="00A338DE" w:rsidRPr="00A338DE" w:rsidRDefault="00A338DE" w:rsidP="004A2D47">
                  <w:pPr>
                    <w:numPr>
                      <w:ilvl w:val="0"/>
                      <w:numId w:val="38"/>
                    </w:numPr>
                    <w:rPr>
                      <w:rFonts w:cs="Arial"/>
                      <w:szCs w:val="20"/>
                    </w:rPr>
                  </w:pPr>
                  <w:r w:rsidRPr="00A338DE">
                    <w:rPr>
                      <w:rFonts w:cs="Arial"/>
                      <w:color w:val="000000"/>
                      <w:szCs w:val="20"/>
                    </w:rPr>
                    <w:t>As indicated in laboratory quality control procedures</w:t>
                  </w:r>
                </w:p>
              </w:tc>
            </w:tr>
            <w:tr w:rsidR="00B556A8" w:rsidTr="00820C5A">
              <w:trPr>
                <w:trHeight w:val="6741"/>
              </w:trPr>
              <w:tc>
                <w:tcPr>
                  <w:tcW w:w="2772" w:type="dxa"/>
                </w:tcPr>
                <w:p w:rsidR="003806AF" w:rsidRDefault="003806AF" w:rsidP="003806AF">
                  <w:pPr>
                    <w:rPr>
                      <w:rFonts w:cs="Arial"/>
                      <w:szCs w:val="20"/>
                    </w:rPr>
                  </w:pPr>
                </w:p>
                <w:p w:rsidR="00B556A8" w:rsidRPr="00A338DE" w:rsidRDefault="00B556A8" w:rsidP="003806AF">
                  <w:pPr>
                    <w:rPr>
                      <w:rFonts w:cs="Arial"/>
                      <w:szCs w:val="20"/>
                    </w:rPr>
                  </w:pPr>
                  <w:r>
                    <w:rPr>
                      <w:rFonts w:cs="Arial"/>
                      <w:szCs w:val="20"/>
                    </w:rPr>
                    <w:t>Calibration Instructions:</w:t>
                  </w:r>
                </w:p>
              </w:tc>
              <w:tc>
                <w:tcPr>
                  <w:tcW w:w="6444" w:type="dxa"/>
                  <w:vAlign w:val="center"/>
                </w:tcPr>
                <w:p w:rsidR="0074470C" w:rsidRDefault="0074470C" w:rsidP="0074470C">
                  <w:pPr>
                    <w:rPr>
                      <w:rStyle w:val="ShadeBodyTextCondensed"/>
                      <w:rFonts w:ascii="Arial" w:hAnsi="Arial" w:cs="Arial"/>
                      <w:szCs w:val="20"/>
                      <w:u w:val="none"/>
                    </w:rPr>
                  </w:pPr>
                </w:p>
                <w:p w:rsidR="00B556A8" w:rsidRDefault="00B556A8" w:rsidP="0074470C">
                  <w:pPr>
                    <w:rPr>
                      <w:rStyle w:val="ShadeBodyTextCondensed"/>
                      <w:rFonts w:ascii="Arial" w:hAnsi="Arial" w:cs="Arial"/>
                      <w:szCs w:val="20"/>
                      <w:u w:val="none"/>
                    </w:rPr>
                  </w:pPr>
                  <w:r>
                    <w:rPr>
                      <w:rStyle w:val="ShadeBodyTextCondensed"/>
                      <w:rFonts w:ascii="Arial" w:hAnsi="Arial" w:cs="Arial"/>
                      <w:szCs w:val="20"/>
                      <w:u w:val="none"/>
                    </w:rPr>
                    <w:t xml:space="preserve">Calibrate IRON using </w:t>
                  </w:r>
                  <w:r w:rsidR="00B775D2">
                    <w:rPr>
                      <w:rStyle w:val="ShadeBodyTextCondensed"/>
                      <w:rFonts w:ascii="Arial" w:hAnsi="Arial" w:cs="Arial"/>
                      <w:szCs w:val="20"/>
                      <w:u w:val="none"/>
                    </w:rPr>
                    <w:t xml:space="preserve">sample </w:t>
                  </w:r>
                  <w:r>
                    <w:rPr>
                      <w:rStyle w:val="ShadeBodyTextCondensed"/>
                      <w:rFonts w:ascii="Arial" w:hAnsi="Arial" w:cs="Arial"/>
                      <w:szCs w:val="20"/>
                      <w:u w:val="none"/>
                    </w:rPr>
                    <w:t>cups on the Vista</w:t>
                  </w:r>
                </w:p>
                <w:p w:rsidR="00A81DD2" w:rsidRPr="003806AF" w:rsidRDefault="00A81DD2" w:rsidP="0074470C">
                  <w:pPr>
                    <w:numPr>
                      <w:ilvl w:val="0"/>
                      <w:numId w:val="33"/>
                    </w:numPr>
                    <w:rPr>
                      <w:szCs w:val="20"/>
                    </w:rPr>
                  </w:pPr>
                  <w:r w:rsidRPr="003806AF">
                    <w:rPr>
                      <w:szCs w:val="20"/>
                    </w:rPr>
                    <w:t xml:space="preserve">Verify that reagents are in inventory on the instrument. </w:t>
                  </w:r>
                </w:p>
                <w:p w:rsidR="00A81DD2" w:rsidRPr="003806AF" w:rsidRDefault="00A81DD2" w:rsidP="0074470C">
                  <w:pPr>
                    <w:numPr>
                      <w:ilvl w:val="0"/>
                      <w:numId w:val="33"/>
                    </w:numPr>
                    <w:rPr>
                      <w:szCs w:val="20"/>
                    </w:rPr>
                  </w:pPr>
                  <w:r w:rsidRPr="003806AF">
                    <w:rPr>
                      <w:szCs w:val="20"/>
                    </w:rPr>
                    <w:t xml:space="preserve">Press </w:t>
                  </w:r>
                  <w:r w:rsidRPr="003806AF">
                    <w:rPr>
                      <w:b/>
                      <w:bCs/>
                      <w:szCs w:val="20"/>
                    </w:rPr>
                    <w:t>System &gt; Method Summary &gt; Calibration</w:t>
                  </w:r>
                </w:p>
                <w:p w:rsidR="00A81DD2" w:rsidRPr="003806AF" w:rsidRDefault="00A81DD2" w:rsidP="0074470C">
                  <w:pPr>
                    <w:numPr>
                      <w:ilvl w:val="0"/>
                      <w:numId w:val="33"/>
                    </w:numPr>
                    <w:rPr>
                      <w:szCs w:val="20"/>
                    </w:rPr>
                  </w:pPr>
                  <w:r w:rsidRPr="003806AF">
                    <w:rPr>
                      <w:szCs w:val="20"/>
                    </w:rPr>
                    <w:t xml:space="preserve">Select IRON method from the sidebar menu. Press the </w:t>
                  </w:r>
                  <w:r w:rsidRPr="003806AF">
                    <w:rPr>
                      <w:b/>
                      <w:bCs/>
                      <w:szCs w:val="20"/>
                    </w:rPr>
                    <w:t xml:space="preserve">Order Calibration </w:t>
                  </w:r>
                  <w:r w:rsidRPr="003806AF">
                    <w:rPr>
                      <w:szCs w:val="20"/>
                    </w:rPr>
                    <w:t>button on the screen.</w:t>
                  </w:r>
                </w:p>
                <w:p w:rsidR="00B556A8" w:rsidRDefault="008B21A5" w:rsidP="0074470C">
                  <w:r>
                    <w:rPr>
                      <w:noProof/>
                    </w:rPr>
                    <w:pict>
                      <v:shapetype id="_x0000_t32" coordsize="21600,21600" o:spt="32" o:oned="t" path="m,l21600,21600e" filled="f">
                        <v:path arrowok="t" fillok="f" o:connecttype="none"/>
                        <o:lock v:ext="edit" shapetype="t"/>
                      </v:shapetype>
                      <v:shape id="_x0000_s1043" type="#_x0000_t32" style="position:absolute;margin-left:49.8pt;margin-top:.6pt;width:20.2pt;height:172.2pt;flip:x;z-index:251658240" o:connectortype="straight">
                        <v:stroke endarrow="block"/>
                      </v:shape>
                    </w:pict>
                  </w:r>
                  <w:r w:rsidR="000368CC">
                    <w:rPr>
                      <w:noProof/>
                    </w:rPr>
                    <w:drawing>
                      <wp:inline distT="0" distB="0" distL="0" distR="0">
                        <wp:extent cx="3503930" cy="28746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03930" cy="2874645"/>
                                </a:xfrm>
                                <a:prstGeom prst="rect">
                                  <a:avLst/>
                                </a:prstGeom>
                                <a:noFill/>
                                <a:ln w="9525">
                                  <a:noFill/>
                                  <a:miter lim="800000"/>
                                  <a:headEnd/>
                                  <a:tailEnd/>
                                </a:ln>
                              </pic:spPr>
                            </pic:pic>
                          </a:graphicData>
                        </a:graphic>
                      </wp:inline>
                    </w:drawing>
                  </w:r>
                </w:p>
                <w:p w:rsidR="009F5D11" w:rsidRPr="00B775D2" w:rsidRDefault="009F5D11" w:rsidP="0074470C">
                  <w:pPr>
                    <w:rPr>
                      <w:rStyle w:val="ShadeBodyTextCondensed"/>
                      <w:rFonts w:ascii="Arial" w:hAnsi="Arial" w:cs="Times New Roman"/>
                      <w:u w:val="none"/>
                    </w:rPr>
                  </w:pPr>
                  <w:r>
                    <w:t>(continued on next page)</w:t>
                  </w:r>
                </w:p>
              </w:tc>
            </w:tr>
          </w:tbl>
          <w:p w:rsidR="004677C5" w:rsidRDefault="004677C5">
            <w:pPr>
              <w:rPr>
                <w:rFonts w:cs="Arial"/>
              </w:rPr>
            </w:pPr>
          </w:p>
        </w:tc>
      </w:tr>
      <w:tr w:rsidR="00BA4CAD" w:rsidTr="00436FF0">
        <w:trPr>
          <w:trHeight w:val="7137"/>
          <w:tblHeader/>
        </w:trPr>
        <w:tc>
          <w:tcPr>
            <w:tcW w:w="1473" w:type="dxa"/>
            <w:vAlign w:val="center"/>
          </w:tcPr>
          <w:p w:rsidR="00BA4CAD" w:rsidRDefault="00BA4CAD">
            <w:pPr>
              <w:rPr>
                <w:rFonts w:cs="Arial"/>
                <w:b/>
                <w:bCs/>
                <w:color w:val="0000FF"/>
              </w:rPr>
            </w:pPr>
          </w:p>
        </w:tc>
        <w:tc>
          <w:tcPr>
            <w:tcW w:w="9777" w:type="dxa"/>
            <w:gridSpan w:val="4"/>
            <w:tcBorders>
              <w:top w:val="single" w:sz="18" w:space="0" w:color="BFBFBF"/>
              <w:bottom w:val="single" w:sz="18" w:space="0" w:color="BFBFBF"/>
            </w:tcBorders>
            <w:vAlign w:val="center"/>
          </w:tcPr>
          <w:p w:rsidR="00986C5B" w:rsidRDefault="00986C5B"/>
          <w:tbl>
            <w:tblPr>
              <w:tblpPr w:leftFromText="180" w:rightFromText="180" w:vertAnchor="page" w:horzAnchor="margin" w:tblpY="185"/>
              <w:tblOverlap w:val="neve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2"/>
              <w:gridCol w:w="6444"/>
            </w:tblGrid>
            <w:tr w:rsidR="00BA4CAD" w:rsidTr="00436FF0">
              <w:trPr>
                <w:trHeight w:val="6916"/>
              </w:trPr>
              <w:tc>
                <w:tcPr>
                  <w:tcW w:w="2772" w:type="dxa"/>
                </w:tcPr>
                <w:p w:rsidR="00986C5B" w:rsidRDefault="00986C5B" w:rsidP="00BA4CAD">
                  <w:pPr>
                    <w:rPr>
                      <w:rFonts w:cs="Arial"/>
                      <w:szCs w:val="20"/>
                    </w:rPr>
                  </w:pPr>
                </w:p>
                <w:p w:rsidR="00BA4CAD" w:rsidRDefault="00986C5B" w:rsidP="00BA4CAD">
                  <w:pPr>
                    <w:rPr>
                      <w:rFonts w:cs="Arial"/>
                      <w:szCs w:val="20"/>
                    </w:rPr>
                  </w:pPr>
                  <w:r>
                    <w:rPr>
                      <w:rFonts w:cs="Arial"/>
                      <w:szCs w:val="20"/>
                    </w:rPr>
                    <w:t>Calibration Instructions(cont)</w:t>
                  </w:r>
                </w:p>
              </w:tc>
              <w:tc>
                <w:tcPr>
                  <w:tcW w:w="6444" w:type="dxa"/>
                  <w:vAlign w:val="center"/>
                </w:tcPr>
                <w:p w:rsidR="00986C5B" w:rsidRDefault="00986C5B" w:rsidP="00986C5B">
                  <w:pPr>
                    <w:rPr>
                      <w:szCs w:val="20"/>
                    </w:rPr>
                  </w:pPr>
                </w:p>
                <w:p w:rsidR="00BA4CAD" w:rsidRPr="003806AF" w:rsidRDefault="00BA4CAD" w:rsidP="005F0A0F">
                  <w:pPr>
                    <w:numPr>
                      <w:ilvl w:val="0"/>
                      <w:numId w:val="36"/>
                    </w:numPr>
                    <w:rPr>
                      <w:szCs w:val="20"/>
                    </w:rPr>
                  </w:pPr>
                  <w:r w:rsidRPr="003806AF">
                    <w:rPr>
                      <w:szCs w:val="20"/>
                    </w:rPr>
                    <w:t xml:space="preserve">When the Calibration Order Confirmation box appears, verify that the information on the screen is correct. Verify that the calibrator lot is correct using the drop-down menu. </w:t>
                  </w:r>
                </w:p>
                <w:p w:rsidR="00BA4CAD" w:rsidRPr="003806AF" w:rsidRDefault="008B21A5" w:rsidP="005F0A0F">
                  <w:pPr>
                    <w:numPr>
                      <w:ilvl w:val="0"/>
                      <w:numId w:val="36"/>
                    </w:numPr>
                    <w:rPr>
                      <w:szCs w:val="20"/>
                    </w:rPr>
                  </w:pPr>
                  <w:r>
                    <w:rPr>
                      <w:noProof/>
                      <w:szCs w:val="20"/>
                    </w:rPr>
                    <w:pict>
                      <v:shape id="_x0000_s1042" type="#_x0000_t32" style="position:absolute;left:0;text-align:left;margin-left:108.6pt;margin-top:11.35pt;width:92.15pt;height:46.05pt;z-index:251657216" o:connectortype="straight">
                        <v:stroke endarrow="block"/>
                      </v:shape>
                    </w:pict>
                  </w:r>
                  <w:r w:rsidR="00BA4CAD" w:rsidRPr="003806AF">
                    <w:rPr>
                      <w:szCs w:val="20"/>
                    </w:rPr>
                    <w:t>Check the “Use Cups” box. This displays the rack and cup position fields</w:t>
                  </w:r>
                </w:p>
                <w:p w:rsidR="00BA4CAD" w:rsidRPr="003806AF" w:rsidRDefault="000368CC" w:rsidP="005F0A0F">
                  <w:pPr>
                    <w:rPr>
                      <w:rFonts w:cs="Arial"/>
                    </w:rPr>
                  </w:pPr>
                  <w:r>
                    <w:rPr>
                      <w:rFonts w:cs="Arial"/>
                      <w:noProof/>
                    </w:rPr>
                    <w:drawing>
                      <wp:inline distT="0" distB="0" distL="0" distR="0">
                        <wp:extent cx="2860040" cy="24872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60040" cy="2487295"/>
                                </a:xfrm>
                                <a:prstGeom prst="rect">
                                  <a:avLst/>
                                </a:prstGeom>
                                <a:noFill/>
                                <a:ln w="9525">
                                  <a:noFill/>
                                  <a:miter lim="800000"/>
                                  <a:headEnd/>
                                  <a:tailEnd/>
                                </a:ln>
                              </pic:spPr>
                            </pic:pic>
                          </a:graphicData>
                        </a:graphic>
                      </wp:inline>
                    </w:drawing>
                  </w:r>
                </w:p>
                <w:p w:rsidR="0074470C" w:rsidRDefault="0074470C" w:rsidP="005F0A0F">
                  <w:pPr>
                    <w:rPr>
                      <w:sz w:val="22"/>
                      <w:szCs w:val="22"/>
                    </w:rPr>
                  </w:pPr>
                </w:p>
                <w:p w:rsidR="00BA4CAD" w:rsidRPr="009F5D11" w:rsidRDefault="0074470C" w:rsidP="005F0A0F">
                  <w:pPr>
                    <w:numPr>
                      <w:ilvl w:val="0"/>
                      <w:numId w:val="37"/>
                    </w:numPr>
                    <w:rPr>
                      <w:rFonts w:cs="Arial"/>
                      <w:szCs w:val="20"/>
                      <w:u w:color="000000"/>
                    </w:rPr>
                  </w:pPr>
                  <w:r w:rsidRPr="009F5D11">
                    <w:rPr>
                      <w:szCs w:val="20"/>
                    </w:rPr>
                    <w:t>Scan the rack barcode</w:t>
                  </w:r>
                  <w:r w:rsidR="00C8374F">
                    <w:rPr>
                      <w:szCs w:val="20"/>
                    </w:rPr>
                    <w:t>. Open the ampoule of Calibrator A</w:t>
                  </w:r>
                  <w:r w:rsidRPr="009F5D11">
                    <w:rPr>
                      <w:szCs w:val="20"/>
                    </w:rPr>
                    <w:t xml:space="preserve"> and place </w:t>
                  </w:r>
                  <w:r w:rsidR="00C8374F">
                    <w:rPr>
                      <w:szCs w:val="20"/>
                    </w:rPr>
                    <w:t xml:space="preserve">in a sample cup in a teal or brown adapter in </w:t>
                  </w:r>
                  <w:r w:rsidRPr="009F5D11">
                    <w:rPr>
                      <w:szCs w:val="20"/>
                    </w:rPr>
                    <w:t xml:space="preserve">position 1 on </w:t>
                  </w:r>
                  <w:r w:rsidR="00C8374F">
                    <w:rPr>
                      <w:szCs w:val="20"/>
                    </w:rPr>
                    <w:t xml:space="preserve">the </w:t>
                  </w:r>
                  <w:r w:rsidRPr="009F5D11">
                    <w:rPr>
                      <w:szCs w:val="20"/>
                    </w:rPr>
                    <w:t xml:space="preserve">rack. Press </w:t>
                  </w:r>
                  <w:r w:rsidRPr="009F5D11">
                    <w:rPr>
                      <w:b/>
                      <w:bCs/>
                      <w:szCs w:val="20"/>
                    </w:rPr>
                    <w:t xml:space="preserve">OK </w:t>
                  </w:r>
                  <w:r w:rsidRPr="009F5D11">
                    <w:rPr>
                      <w:szCs w:val="20"/>
                    </w:rPr>
                    <w:t>and load the rack on the instrument.</w:t>
                  </w:r>
                </w:p>
                <w:p w:rsidR="009F5D11" w:rsidRPr="00606E5E" w:rsidRDefault="009F5D11" w:rsidP="005F0A0F">
                  <w:pPr>
                    <w:numPr>
                      <w:ilvl w:val="0"/>
                      <w:numId w:val="37"/>
                    </w:numPr>
                    <w:rPr>
                      <w:rFonts w:cs="Arial"/>
                      <w:szCs w:val="20"/>
                      <w:u w:color="000000"/>
                    </w:rPr>
                  </w:pPr>
                  <w:r w:rsidRPr="009F5D11">
                    <w:rPr>
                      <w:iCs/>
                      <w:szCs w:val="20"/>
                    </w:rPr>
                    <w:t>QC must be manually ordered after calibration is complete.</w:t>
                  </w:r>
                </w:p>
                <w:p w:rsidR="00606E5E" w:rsidRDefault="00606E5E" w:rsidP="00606E5E">
                  <w:pPr>
                    <w:numPr>
                      <w:ilvl w:val="0"/>
                      <w:numId w:val="37"/>
                    </w:numPr>
                    <w:rPr>
                      <w:rStyle w:val="ShadeBodyTextCondensed"/>
                      <w:rFonts w:ascii="Arial" w:hAnsi="Arial" w:cs="Arial"/>
                      <w:szCs w:val="20"/>
                      <w:u w:val="none"/>
                    </w:rPr>
                  </w:pPr>
                  <w:r>
                    <w:rPr>
                      <w:iCs/>
                      <w:szCs w:val="20"/>
                    </w:rPr>
                    <w:t>Refer to the Vista Operator’s Guide to Review Calibration</w:t>
                  </w:r>
                </w:p>
              </w:tc>
            </w:tr>
          </w:tbl>
          <w:p w:rsidR="00BA4CAD" w:rsidRDefault="00BA4CAD" w:rsidP="00BA4CAD">
            <w:pPr>
              <w:rPr>
                <w:sz w:val="22"/>
                <w:szCs w:val="22"/>
              </w:rPr>
            </w:pPr>
          </w:p>
        </w:tc>
      </w:tr>
      <w:tr w:rsidR="004677C5" w:rsidTr="00436FF0">
        <w:trPr>
          <w:trHeight w:val="1485"/>
          <w:tblHeader/>
        </w:trPr>
        <w:tc>
          <w:tcPr>
            <w:tcW w:w="1473" w:type="dxa"/>
            <w:vAlign w:val="center"/>
          </w:tcPr>
          <w:p w:rsidR="004677C5" w:rsidRDefault="004677C5">
            <w:pPr>
              <w:rPr>
                <w:rFonts w:cs="Arial"/>
                <w:b/>
                <w:bCs/>
                <w:color w:val="0000FF"/>
              </w:rPr>
            </w:pPr>
            <w:r>
              <w:rPr>
                <w:rFonts w:cs="Arial"/>
                <w:b/>
                <w:bCs/>
                <w:color w:val="0000FF"/>
              </w:rPr>
              <w:t>Analytical Measuring Range (AMR)</w:t>
            </w:r>
          </w:p>
        </w:tc>
        <w:tc>
          <w:tcPr>
            <w:tcW w:w="9777" w:type="dxa"/>
            <w:gridSpan w:val="4"/>
            <w:tcBorders>
              <w:top w:val="single" w:sz="18" w:space="0" w:color="BFBFBF"/>
              <w:bottom w:val="single" w:sz="18" w:space="0" w:color="BFBFBF"/>
            </w:tcBorders>
            <w:vAlign w:val="center"/>
          </w:tcPr>
          <w:p w:rsidR="00474EBD" w:rsidRDefault="00474EBD" w:rsidP="00A338DE">
            <w:pPr>
              <w:numPr>
                <w:ilvl w:val="0"/>
                <w:numId w:val="33"/>
              </w:numPr>
            </w:pPr>
            <w:r w:rsidRPr="00192FFA">
              <w:t>Cal Verification and AMR</w:t>
            </w:r>
            <w:r>
              <w:t xml:space="preserve"> verification are performed at least once every six (6) months.</w:t>
            </w:r>
          </w:p>
          <w:p w:rsidR="00474EBD" w:rsidRDefault="00474EBD" w:rsidP="00A338DE">
            <w:pPr>
              <w:numPr>
                <w:ilvl w:val="0"/>
                <w:numId w:val="33"/>
              </w:numPr>
            </w:pPr>
            <w:r>
              <w:t xml:space="preserve">Touch  Advanced </w:t>
            </w:r>
            <w:r>
              <w:sym w:font="Wingdings" w:char="F0E0"/>
            </w:r>
            <w:r>
              <w:t xml:space="preserve"> Calibrations </w:t>
            </w:r>
            <w:r>
              <w:sym w:font="Wingdings" w:char="F0E0"/>
            </w:r>
            <w:r>
              <w:t xml:space="preserve"> Calibrations by Lot, select method IRON and “</w:t>
            </w:r>
            <w:r>
              <w:rPr>
                <w:rFonts w:cs="Arial"/>
              </w:rPr>
              <w:t>Order a Linearity Study”</w:t>
            </w:r>
          </w:p>
          <w:p w:rsidR="004677C5" w:rsidRPr="00A338DE" w:rsidRDefault="00474EBD" w:rsidP="00A338DE">
            <w:pPr>
              <w:numPr>
                <w:ilvl w:val="0"/>
                <w:numId w:val="33"/>
              </w:numPr>
            </w:pPr>
            <w:r>
              <w:t xml:space="preserve">See </w:t>
            </w:r>
            <w:proofErr w:type="spellStart"/>
            <w:r>
              <w:t>iGuide</w:t>
            </w:r>
            <w:proofErr w:type="spellEnd"/>
            <w:r>
              <w:t xml:space="preserve"> “Calibration by Lot” for more information.</w:t>
            </w:r>
          </w:p>
        </w:tc>
      </w:tr>
      <w:tr w:rsidR="00A338DE" w:rsidTr="00436FF0">
        <w:trPr>
          <w:trHeight w:val="1894"/>
          <w:tblHeader/>
        </w:trPr>
        <w:tc>
          <w:tcPr>
            <w:tcW w:w="1473" w:type="dxa"/>
            <w:tcBorders>
              <w:bottom w:val="nil"/>
            </w:tcBorders>
          </w:tcPr>
          <w:p w:rsidR="00A338DE" w:rsidRDefault="00A338DE">
            <w:pPr>
              <w:ind w:right="-108"/>
              <w:rPr>
                <w:rFonts w:cs="Arial"/>
                <w:b/>
                <w:bCs/>
                <w:color w:val="0000FF"/>
              </w:rPr>
            </w:pPr>
          </w:p>
          <w:p w:rsidR="00A338DE" w:rsidRDefault="00A338DE">
            <w:pPr>
              <w:ind w:right="-108"/>
              <w:rPr>
                <w:rFonts w:cs="Arial"/>
                <w:b/>
                <w:bCs/>
                <w:color w:val="0000FF"/>
              </w:rPr>
            </w:pPr>
            <w:r>
              <w:rPr>
                <w:rFonts w:cs="Arial"/>
                <w:b/>
                <w:bCs/>
                <w:color w:val="0000FF"/>
              </w:rPr>
              <w:t>Quality Control</w:t>
            </w:r>
          </w:p>
        </w:tc>
        <w:tc>
          <w:tcPr>
            <w:tcW w:w="9777" w:type="dxa"/>
            <w:gridSpan w:val="4"/>
            <w:tcBorders>
              <w:top w:val="single" w:sz="18" w:space="0" w:color="BFBFBF"/>
              <w:bottom w:val="single" w:sz="18" w:space="0" w:color="BFBFBF"/>
            </w:tcBorders>
          </w:tcPr>
          <w:p w:rsidR="00A338DE" w:rsidRDefault="00A338DE" w:rsidP="00B556A8">
            <w:pPr>
              <w:pStyle w:val="Header"/>
              <w:tabs>
                <w:tab w:val="clear" w:pos="4320"/>
                <w:tab w:val="clear" w:pos="8640"/>
              </w:tabs>
              <w:rPr>
                <w:rFonts w:cs="Arial"/>
              </w:rPr>
            </w:pPr>
          </w:p>
          <w:p w:rsidR="00A338DE" w:rsidRDefault="00F46D39" w:rsidP="00B556A8">
            <w:pPr>
              <w:rPr>
                <w:rFonts w:cs="Arial"/>
                <w:b/>
                <w:bCs/>
              </w:rPr>
            </w:pPr>
            <w:proofErr w:type="spellStart"/>
            <w:r>
              <w:rPr>
                <w:rFonts w:cs="Arial"/>
                <w:color w:val="000000"/>
                <w:szCs w:val="20"/>
              </w:rPr>
              <w:t>BioRad</w:t>
            </w:r>
            <w:proofErr w:type="spellEnd"/>
            <w:r>
              <w:rPr>
                <w:rFonts w:cs="Arial"/>
                <w:color w:val="000000"/>
                <w:szCs w:val="20"/>
              </w:rPr>
              <w:t xml:space="preserve"> </w:t>
            </w:r>
            <w:proofErr w:type="spellStart"/>
            <w:r>
              <w:rPr>
                <w:rFonts w:cs="Arial"/>
                <w:color w:val="000000"/>
                <w:szCs w:val="20"/>
              </w:rPr>
              <w:t>Mulitqual</w:t>
            </w:r>
            <w:proofErr w:type="spellEnd"/>
            <w:r>
              <w:rPr>
                <w:rFonts w:cs="Arial"/>
                <w:color w:val="000000"/>
                <w:szCs w:val="20"/>
              </w:rPr>
              <w:t>® 1 &amp; 3 Control Levels, contained in Vista vials</w:t>
            </w:r>
          </w:p>
          <w:p w:rsidR="00F46D39" w:rsidRDefault="00F46D39" w:rsidP="00B556A8">
            <w:pPr>
              <w:rPr>
                <w:rFonts w:cs="Arial"/>
                <w:b/>
                <w:bCs/>
              </w:rPr>
            </w:pPr>
          </w:p>
          <w:p w:rsidR="00A338DE" w:rsidRDefault="00A338DE" w:rsidP="00B556A8">
            <w:pPr>
              <w:rPr>
                <w:rFonts w:cs="Arial"/>
              </w:rPr>
            </w:pPr>
            <w:r>
              <w:rPr>
                <w:rFonts w:cs="Arial"/>
                <w:b/>
                <w:bCs/>
              </w:rPr>
              <w:t>Frequency:</w:t>
            </w:r>
            <w:r>
              <w:rPr>
                <w:rFonts w:cs="Arial"/>
              </w:rPr>
              <w:t xml:space="preserve"> Two levels each day of use</w:t>
            </w:r>
          </w:p>
          <w:p w:rsidR="00A338DE" w:rsidRDefault="00A338DE" w:rsidP="00B556A8">
            <w:pPr>
              <w:rPr>
                <w:rFonts w:cs="Arial"/>
                <w:b/>
                <w:bCs/>
              </w:rPr>
            </w:pPr>
          </w:p>
          <w:p w:rsidR="00A338DE" w:rsidRDefault="00A338DE" w:rsidP="00B556A8">
            <w:pPr>
              <w:rPr>
                <w:rFonts w:cs="Arial"/>
                <w:szCs w:val="20"/>
              </w:rPr>
            </w:pPr>
            <w:r w:rsidRPr="000E0E15">
              <w:rPr>
                <w:rFonts w:cs="Arial"/>
                <w:b/>
                <w:bCs/>
                <w:szCs w:val="20"/>
              </w:rPr>
              <w:t>Stability:</w:t>
            </w:r>
            <w:r w:rsidRPr="000E0E15">
              <w:rPr>
                <w:rFonts w:cs="Arial"/>
                <w:szCs w:val="20"/>
              </w:rPr>
              <w:t xml:space="preserve"> </w:t>
            </w:r>
            <w:r>
              <w:rPr>
                <w:rFonts w:cs="Arial"/>
                <w:szCs w:val="20"/>
              </w:rPr>
              <w:t xml:space="preserve">Stable until the date on vial when stored at -20 to -50 </w:t>
            </w:r>
            <w:r>
              <w:rPr>
                <w:rFonts w:cs="Arial"/>
                <w:szCs w:val="20"/>
              </w:rPr>
              <w:sym w:font="Symbol" w:char="F0B0"/>
            </w:r>
            <w:r>
              <w:rPr>
                <w:rFonts w:cs="Arial"/>
                <w:szCs w:val="20"/>
              </w:rPr>
              <w:t xml:space="preserve">C protect from light. Thawed and unopened, 7 days at 2 -8 </w:t>
            </w:r>
            <w:r>
              <w:rPr>
                <w:rFonts w:cs="Arial"/>
                <w:szCs w:val="20"/>
              </w:rPr>
              <w:sym w:font="Symbol" w:char="F0B0"/>
            </w:r>
            <w:r>
              <w:rPr>
                <w:rFonts w:cs="Arial"/>
                <w:szCs w:val="20"/>
              </w:rPr>
              <w:t xml:space="preserve">C. 7 days on board the Vista, and 5 days opened and stored at 2 – 8 </w:t>
            </w:r>
            <w:r>
              <w:rPr>
                <w:rFonts w:cs="Arial"/>
                <w:szCs w:val="20"/>
              </w:rPr>
              <w:sym w:font="Symbol" w:char="F0B0"/>
            </w:r>
            <w:r>
              <w:rPr>
                <w:rFonts w:cs="Arial"/>
                <w:szCs w:val="20"/>
              </w:rPr>
              <w:t>C</w:t>
            </w:r>
          </w:p>
          <w:p w:rsidR="00A338DE" w:rsidRDefault="00A338DE" w:rsidP="00B556A8">
            <w:pPr>
              <w:rPr>
                <w:rFonts w:cs="Arial"/>
                <w:szCs w:val="20"/>
              </w:rPr>
            </w:pPr>
          </w:p>
          <w:p w:rsidR="00A338DE" w:rsidRPr="000E0E15" w:rsidRDefault="00A338DE" w:rsidP="00B556A8">
            <w:pPr>
              <w:rPr>
                <w:rFonts w:cs="Arial"/>
                <w:szCs w:val="20"/>
              </w:rPr>
            </w:pPr>
            <w:r w:rsidRPr="00E673B7">
              <w:rPr>
                <w:rFonts w:cs="Arial"/>
                <w:b/>
                <w:szCs w:val="20"/>
              </w:rPr>
              <w:t>Preparation</w:t>
            </w:r>
            <w:r>
              <w:rPr>
                <w:rFonts w:cs="Arial"/>
                <w:szCs w:val="20"/>
              </w:rPr>
              <w:t xml:space="preserve">: Allow the control to stand at 18 – 25 </w:t>
            </w:r>
            <w:r>
              <w:rPr>
                <w:rFonts w:cs="Arial"/>
                <w:szCs w:val="20"/>
              </w:rPr>
              <w:sym w:font="Symbol" w:char="F0B0"/>
            </w:r>
            <w:r w:rsidR="00F46D39">
              <w:rPr>
                <w:rFonts w:cs="Arial"/>
                <w:szCs w:val="20"/>
              </w:rPr>
              <w:t>C for 6</w:t>
            </w:r>
            <w:r>
              <w:rPr>
                <w:rFonts w:cs="Arial"/>
                <w:szCs w:val="20"/>
              </w:rPr>
              <w:t>0 minutes until completely thawed. Gently mix the vials until homogeneous to dissolve any precipitate.</w:t>
            </w:r>
          </w:p>
          <w:p w:rsidR="00A338DE" w:rsidRDefault="00A338DE" w:rsidP="00B556A8">
            <w:pPr>
              <w:ind w:right="-108"/>
              <w:rPr>
                <w:rFonts w:cs="Arial"/>
                <w:b/>
                <w:bCs/>
              </w:rPr>
            </w:pPr>
          </w:p>
          <w:p w:rsidR="00F46D39" w:rsidRDefault="00F46D39" w:rsidP="00F46D39">
            <w:pPr>
              <w:jc w:val="both"/>
              <w:rPr>
                <w:rFonts w:cs="Arial"/>
              </w:rPr>
            </w:pPr>
            <w:r>
              <w:rPr>
                <w:rFonts w:cs="Arial"/>
                <w:b/>
                <w:bCs/>
              </w:rPr>
              <w:t>Acceptable ranges:</w:t>
            </w:r>
            <w:r>
              <w:rPr>
                <w:rFonts w:cs="Arial"/>
              </w:rPr>
              <w:t xml:space="preserve"> </w:t>
            </w:r>
          </w:p>
          <w:p w:rsidR="00F46D39" w:rsidRDefault="00F46D39" w:rsidP="00F46D39">
            <w:pPr>
              <w:pStyle w:val="ListParagraph"/>
              <w:numPr>
                <w:ilvl w:val="0"/>
                <w:numId w:val="40"/>
              </w:numPr>
              <w:jc w:val="both"/>
              <w:rPr>
                <w:rFonts w:cs="Arial"/>
              </w:rPr>
            </w:pPr>
            <w:r>
              <w:rPr>
                <w:rFonts w:cs="Arial"/>
              </w:rPr>
              <w:t xml:space="preserve">Non-Bio-Rad controls will utilize manufacturer ranges and 2 SD </w:t>
            </w:r>
            <w:proofErr w:type="spellStart"/>
            <w:r>
              <w:rPr>
                <w:rFonts w:cs="Arial"/>
              </w:rPr>
              <w:t>Westgard</w:t>
            </w:r>
            <w:proofErr w:type="spellEnd"/>
            <w:r>
              <w:rPr>
                <w:rFonts w:cs="Arial"/>
              </w:rPr>
              <w:t xml:space="preserve"> rules.  </w:t>
            </w:r>
          </w:p>
          <w:p w:rsidR="00F46D39" w:rsidRDefault="00F46D39" w:rsidP="00F46D39">
            <w:pPr>
              <w:pStyle w:val="ListParagraph"/>
              <w:numPr>
                <w:ilvl w:val="0"/>
                <w:numId w:val="40"/>
              </w:numPr>
              <w:jc w:val="both"/>
              <w:rPr>
                <w:rFonts w:cs="Arial"/>
              </w:rPr>
            </w:pPr>
            <w:r>
              <w:rPr>
                <w:rFonts w:cs="Arial"/>
              </w:rPr>
              <w:t xml:space="preserve">New lots of Bio-Rad controls should be run for 20 days in parallel with the current lot whenever possible prior to switching to the new lot.  </w:t>
            </w:r>
          </w:p>
          <w:p w:rsidR="00F46D39" w:rsidRPr="00AD2383" w:rsidRDefault="00F46D39" w:rsidP="00F46D39">
            <w:pPr>
              <w:pStyle w:val="ListParagraph"/>
              <w:numPr>
                <w:ilvl w:val="0"/>
                <w:numId w:val="40"/>
              </w:numPr>
              <w:jc w:val="both"/>
              <w:rPr>
                <w:rFonts w:cs="Arial"/>
              </w:rPr>
            </w:pPr>
            <w:r>
              <w:rPr>
                <w:rFonts w:cs="Arial"/>
              </w:rPr>
              <w:t xml:space="preserve">Refer to the </w:t>
            </w:r>
            <w:hyperlink r:id="rId12" w:history="1">
              <w:proofErr w:type="spellStart"/>
              <w:r w:rsidRPr="008D768B">
                <w:rPr>
                  <w:rStyle w:val="Hyperlink"/>
                  <w:rFonts w:cs="Arial"/>
                </w:rPr>
                <w:t>Westgard</w:t>
              </w:r>
              <w:proofErr w:type="spellEnd"/>
              <w:r w:rsidRPr="008D768B">
                <w:rPr>
                  <w:rStyle w:val="Hyperlink"/>
                  <w:rFonts w:cs="Arial"/>
                </w:rPr>
                <w:t xml:space="preserve"> Rules in Chemistry procedure</w:t>
              </w:r>
            </w:hyperlink>
            <w:r>
              <w:rPr>
                <w:rFonts w:cs="Arial"/>
              </w:rPr>
              <w:t xml:space="preserve"> for current </w:t>
            </w:r>
            <w:proofErr w:type="spellStart"/>
            <w:r>
              <w:rPr>
                <w:rFonts w:cs="Arial"/>
              </w:rPr>
              <w:t>Westgard</w:t>
            </w:r>
            <w:proofErr w:type="spellEnd"/>
            <w:r>
              <w:rPr>
                <w:rFonts w:cs="Arial"/>
              </w:rPr>
              <w:t xml:space="preserve"> rules in place for each </w:t>
            </w:r>
            <w:proofErr w:type="spellStart"/>
            <w:r>
              <w:rPr>
                <w:rFonts w:cs="Arial"/>
              </w:rPr>
              <w:t>analyte</w:t>
            </w:r>
            <w:proofErr w:type="spellEnd"/>
            <w:r>
              <w:rPr>
                <w:rFonts w:cs="Arial"/>
              </w:rPr>
              <w:t xml:space="preserve">.  </w:t>
            </w:r>
          </w:p>
          <w:p w:rsidR="00F46D39" w:rsidRDefault="00F46D39" w:rsidP="00F46D39">
            <w:pPr>
              <w:numPr>
                <w:ilvl w:val="0"/>
                <w:numId w:val="40"/>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w:t>
            </w:r>
            <w:proofErr w:type="spellStart"/>
            <w:r>
              <w:rPr>
                <w:rFonts w:cs="Arial"/>
                <w:szCs w:val="20"/>
              </w:rPr>
              <w:t>Sunquest</w:t>
            </w:r>
            <w:proofErr w:type="spellEnd"/>
            <w:r>
              <w:rPr>
                <w:rFonts w:cs="Arial"/>
                <w:szCs w:val="20"/>
              </w:rPr>
              <w:t xml:space="preserve"> when the results cross the interface.  </w:t>
            </w:r>
          </w:p>
          <w:p w:rsidR="00F46D39" w:rsidRDefault="00F46D39" w:rsidP="00F46D39">
            <w:pPr>
              <w:numPr>
                <w:ilvl w:val="0"/>
                <w:numId w:val="40"/>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sidRPr="00AD2383">
                <w:rPr>
                  <w:rStyle w:val="Hyperlink"/>
                  <w:rFonts w:cs="Arial"/>
                  <w:szCs w:val="20"/>
                </w:rPr>
                <w:t>Unity Real Time QC Review, General User</w:t>
              </w:r>
            </w:hyperlink>
            <w:r>
              <w:rPr>
                <w:rFonts w:cs="Arial"/>
                <w:szCs w:val="20"/>
              </w:rPr>
              <w:t xml:space="preserve"> and navigate to the QC Troubleshooting section.</w:t>
            </w:r>
          </w:p>
          <w:p w:rsidR="00F46D39" w:rsidRPr="00AD2383" w:rsidRDefault="00F46D39" w:rsidP="00F46D39">
            <w:pPr>
              <w:numPr>
                <w:ilvl w:val="0"/>
                <w:numId w:val="40"/>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rsidR="00F46D39" w:rsidRDefault="00F46D39" w:rsidP="00B556A8">
            <w:pPr>
              <w:ind w:right="-108"/>
              <w:rPr>
                <w:rFonts w:cs="Arial"/>
                <w:b/>
                <w:bCs/>
              </w:rPr>
            </w:pPr>
          </w:p>
          <w:p w:rsidR="0006037B" w:rsidRPr="0006037B" w:rsidRDefault="0006037B" w:rsidP="00F46D39">
            <w:pPr>
              <w:ind w:left="360"/>
              <w:jc w:val="both"/>
              <w:rPr>
                <w:rFonts w:eastAsia="Arial Unicode MS" w:cs="Arial"/>
                <w:szCs w:val="22"/>
              </w:rPr>
            </w:pPr>
          </w:p>
        </w:tc>
      </w:tr>
      <w:tr w:rsidR="00A338DE" w:rsidTr="00436FF0">
        <w:trPr>
          <w:tblHeader/>
        </w:trPr>
        <w:tc>
          <w:tcPr>
            <w:tcW w:w="1473" w:type="dxa"/>
          </w:tcPr>
          <w:p w:rsidR="00A338DE" w:rsidRDefault="00A338DE">
            <w:pPr>
              <w:rPr>
                <w:b/>
                <w:bCs/>
                <w:color w:val="0000FF"/>
              </w:rPr>
            </w:pPr>
          </w:p>
          <w:p w:rsidR="00A338DE" w:rsidRDefault="00A338DE">
            <w:pPr>
              <w:rPr>
                <w:b/>
                <w:bCs/>
                <w:color w:val="0000FF"/>
              </w:rPr>
            </w:pPr>
            <w:r>
              <w:rPr>
                <w:b/>
                <w:bCs/>
                <w:color w:val="0000FF"/>
              </w:rPr>
              <w:t>Calculations</w:t>
            </w:r>
          </w:p>
          <w:p w:rsidR="00A338DE" w:rsidRDefault="00A338DE">
            <w:pPr>
              <w:rPr>
                <w:b/>
                <w:bCs/>
                <w:color w:val="0000FF"/>
              </w:rPr>
            </w:pPr>
          </w:p>
        </w:tc>
        <w:tc>
          <w:tcPr>
            <w:tcW w:w="9777" w:type="dxa"/>
            <w:gridSpan w:val="4"/>
            <w:tcBorders>
              <w:top w:val="single" w:sz="18" w:space="0" w:color="BFBFBF"/>
              <w:bottom w:val="single" w:sz="18" w:space="0" w:color="BFBFBF"/>
            </w:tcBorders>
            <w:vAlign w:val="center"/>
          </w:tcPr>
          <w:p w:rsidR="00A338DE" w:rsidRDefault="00A338DE" w:rsidP="00A338DE">
            <w:proofErr w:type="spellStart"/>
            <w:r>
              <w:t>Transferrin</w:t>
            </w:r>
            <w:proofErr w:type="spellEnd"/>
            <w:r>
              <w:t xml:space="preserve"> Saturation (%): ISAT = 100[IRON/IBCT]</w:t>
            </w:r>
          </w:p>
        </w:tc>
      </w:tr>
      <w:tr w:rsidR="00A338DE" w:rsidTr="00436FF0">
        <w:trPr>
          <w:tblHeader/>
        </w:trPr>
        <w:tc>
          <w:tcPr>
            <w:tcW w:w="1473" w:type="dxa"/>
          </w:tcPr>
          <w:p w:rsidR="00A338DE" w:rsidRDefault="00A338DE">
            <w:pPr>
              <w:rPr>
                <w:b/>
                <w:bCs/>
                <w:color w:val="0000FF"/>
              </w:rPr>
            </w:pPr>
          </w:p>
          <w:p w:rsidR="00A338DE" w:rsidRDefault="00A338DE">
            <w:pPr>
              <w:rPr>
                <w:b/>
                <w:bCs/>
                <w:color w:val="0000FF"/>
              </w:rPr>
            </w:pPr>
            <w:r>
              <w:rPr>
                <w:b/>
                <w:bCs/>
                <w:color w:val="0000FF"/>
              </w:rPr>
              <w:t>Interferences</w:t>
            </w:r>
          </w:p>
          <w:p w:rsidR="00A338DE" w:rsidRDefault="00A338DE">
            <w:pPr>
              <w:rPr>
                <w:b/>
                <w:bCs/>
                <w:color w:val="0000FF"/>
              </w:rPr>
            </w:pPr>
          </w:p>
        </w:tc>
        <w:tc>
          <w:tcPr>
            <w:tcW w:w="9777" w:type="dxa"/>
            <w:gridSpan w:val="4"/>
            <w:tcBorders>
              <w:top w:val="single" w:sz="18" w:space="0" w:color="BFBFBF"/>
              <w:bottom w:val="single" w:sz="18" w:space="0" w:color="BFBFBF"/>
            </w:tcBorders>
          </w:tcPr>
          <w:p w:rsidR="00606E5E" w:rsidRDefault="00606E5E" w:rsidP="00850072">
            <w:pPr>
              <w:autoSpaceDE w:val="0"/>
              <w:autoSpaceDN w:val="0"/>
              <w:adjustRightInd w:val="0"/>
              <w:jc w:val="both"/>
              <w:rPr>
                <w:rFonts w:ascii="HelenPro-Cond" w:hAnsi="HelenPro-Cond" w:cs="HelenPro-Cond"/>
                <w:sz w:val="15"/>
                <w:szCs w:val="15"/>
              </w:rPr>
            </w:pPr>
          </w:p>
          <w:p w:rsidR="00A338DE" w:rsidRDefault="00A338DE" w:rsidP="00850072">
            <w:pPr>
              <w:pStyle w:val="TableText"/>
              <w:adjustRightInd w:val="0"/>
              <w:spacing w:after="120"/>
              <w:jc w:val="both"/>
              <w:rPr>
                <w:rFonts w:ascii="Arial" w:hAnsi="Arial" w:cs="Arial"/>
                <w:szCs w:val="12"/>
              </w:rPr>
            </w:pPr>
            <w:proofErr w:type="spellStart"/>
            <w:r>
              <w:rPr>
                <w:rFonts w:ascii="Arial" w:hAnsi="Arial"/>
              </w:rPr>
              <w:t>Hemolysis</w:t>
            </w:r>
            <w:proofErr w:type="spellEnd"/>
            <w:r>
              <w:rPr>
                <w:rFonts w:ascii="Arial" w:hAnsi="Arial"/>
              </w:rPr>
              <w:t xml:space="preserve">, </w:t>
            </w:r>
            <w:proofErr w:type="spellStart"/>
            <w:r>
              <w:rPr>
                <w:rFonts w:ascii="Arial" w:hAnsi="Arial"/>
              </w:rPr>
              <w:t>Icterus</w:t>
            </w:r>
            <w:proofErr w:type="spellEnd"/>
            <w:r>
              <w:rPr>
                <w:rFonts w:ascii="Arial" w:hAnsi="Arial"/>
              </w:rPr>
              <w:t xml:space="preserve"> &amp; </w:t>
            </w:r>
            <w:proofErr w:type="spellStart"/>
            <w:r>
              <w:rPr>
                <w:rFonts w:ascii="Arial" w:hAnsi="Arial"/>
              </w:rPr>
              <w:t>Lipemia</w:t>
            </w:r>
            <w:proofErr w:type="spellEnd"/>
            <w:r>
              <w:rPr>
                <w:rFonts w:ascii="Arial" w:hAnsi="Arial"/>
              </w:rPr>
              <w:t xml:space="preserve"> (HIL) Index Values</w:t>
            </w:r>
            <w:r>
              <w:rPr>
                <w:rFonts w:ascii="Arial" w:hAnsi="Arial" w:cs="Arial"/>
                <w:szCs w:val="1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A338DE" w:rsidRPr="00173A10" w:rsidTr="00436FF0">
              <w:tc>
                <w:tcPr>
                  <w:tcW w:w="517" w:type="dxa"/>
                </w:tcPr>
                <w:p w:rsidR="00A338DE" w:rsidRPr="00173A10" w:rsidRDefault="00A338DE" w:rsidP="00850072">
                  <w:pPr>
                    <w:autoSpaceDE w:val="0"/>
                    <w:autoSpaceDN w:val="0"/>
                    <w:adjustRightInd w:val="0"/>
                    <w:jc w:val="both"/>
                    <w:rPr>
                      <w:rFonts w:cs="Arial"/>
                      <w:b/>
                      <w:szCs w:val="12"/>
                    </w:rPr>
                  </w:pPr>
                  <w:r w:rsidRPr="00173A10">
                    <w:rPr>
                      <w:rFonts w:cs="Arial"/>
                      <w:b/>
                      <w:szCs w:val="12"/>
                    </w:rPr>
                    <w:t>H</w:t>
                  </w:r>
                </w:p>
              </w:tc>
              <w:tc>
                <w:tcPr>
                  <w:tcW w:w="450" w:type="dxa"/>
                </w:tcPr>
                <w:p w:rsidR="00A338DE" w:rsidRPr="00173A10" w:rsidRDefault="00A338DE" w:rsidP="00850072">
                  <w:pPr>
                    <w:autoSpaceDE w:val="0"/>
                    <w:autoSpaceDN w:val="0"/>
                    <w:adjustRightInd w:val="0"/>
                    <w:jc w:val="both"/>
                    <w:rPr>
                      <w:rFonts w:cs="Arial"/>
                      <w:b/>
                      <w:szCs w:val="12"/>
                    </w:rPr>
                  </w:pPr>
                  <w:r w:rsidRPr="00173A10">
                    <w:rPr>
                      <w:rFonts w:cs="Arial"/>
                      <w:b/>
                      <w:szCs w:val="12"/>
                    </w:rPr>
                    <w:t>I</w:t>
                  </w:r>
                </w:p>
              </w:tc>
              <w:tc>
                <w:tcPr>
                  <w:tcW w:w="450" w:type="dxa"/>
                </w:tcPr>
                <w:p w:rsidR="00A338DE" w:rsidRPr="00173A10" w:rsidRDefault="00A338DE" w:rsidP="00850072">
                  <w:pPr>
                    <w:autoSpaceDE w:val="0"/>
                    <w:autoSpaceDN w:val="0"/>
                    <w:adjustRightInd w:val="0"/>
                    <w:jc w:val="both"/>
                    <w:rPr>
                      <w:rFonts w:cs="Arial"/>
                      <w:b/>
                      <w:szCs w:val="12"/>
                    </w:rPr>
                  </w:pPr>
                  <w:r w:rsidRPr="00173A10">
                    <w:rPr>
                      <w:rFonts w:cs="Arial"/>
                      <w:b/>
                      <w:szCs w:val="12"/>
                    </w:rPr>
                    <w:t>L</w:t>
                  </w:r>
                </w:p>
              </w:tc>
            </w:tr>
            <w:tr w:rsidR="00A338DE" w:rsidRPr="00097CD5" w:rsidTr="00436FF0">
              <w:tc>
                <w:tcPr>
                  <w:tcW w:w="517" w:type="dxa"/>
                </w:tcPr>
                <w:p w:rsidR="00A338DE" w:rsidRPr="004645FD" w:rsidRDefault="004645FD" w:rsidP="00850072">
                  <w:pPr>
                    <w:autoSpaceDE w:val="0"/>
                    <w:autoSpaceDN w:val="0"/>
                    <w:adjustRightInd w:val="0"/>
                    <w:jc w:val="both"/>
                    <w:rPr>
                      <w:rFonts w:cs="Arial"/>
                      <w:szCs w:val="12"/>
                    </w:rPr>
                  </w:pPr>
                  <w:r>
                    <w:rPr>
                      <w:rFonts w:cs="Arial"/>
                      <w:szCs w:val="12"/>
                    </w:rPr>
                    <w:t>3</w:t>
                  </w:r>
                </w:p>
              </w:tc>
              <w:tc>
                <w:tcPr>
                  <w:tcW w:w="450" w:type="dxa"/>
                </w:tcPr>
                <w:p w:rsidR="00A338DE" w:rsidRPr="004645FD" w:rsidRDefault="00A338DE" w:rsidP="00850072">
                  <w:pPr>
                    <w:autoSpaceDE w:val="0"/>
                    <w:autoSpaceDN w:val="0"/>
                    <w:adjustRightInd w:val="0"/>
                    <w:jc w:val="both"/>
                    <w:rPr>
                      <w:rFonts w:cs="Arial"/>
                      <w:szCs w:val="12"/>
                    </w:rPr>
                  </w:pPr>
                  <w:r w:rsidRPr="004645FD">
                    <w:rPr>
                      <w:rFonts w:cs="Arial"/>
                      <w:szCs w:val="12"/>
                    </w:rPr>
                    <w:t>-</w:t>
                  </w:r>
                </w:p>
              </w:tc>
              <w:tc>
                <w:tcPr>
                  <w:tcW w:w="450" w:type="dxa"/>
                </w:tcPr>
                <w:p w:rsidR="00A338DE" w:rsidRPr="004645FD" w:rsidRDefault="004645FD" w:rsidP="00850072">
                  <w:pPr>
                    <w:autoSpaceDE w:val="0"/>
                    <w:autoSpaceDN w:val="0"/>
                    <w:adjustRightInd w:val="0"/>
                    <w:jc w:val="both"/>
                    <w:rPr>
                      <w:rFonts w:cs="Arial"/>
                      <w:szCs w:val="12"/>
                    </w:rPr>
                  </w:pPr>
                  <w:r>
                    <w:rPr>
                      <w:rFonts w:cs="Arial"/>
                      <w:szCs w:val="12"/>
                    </w:rPr>
                    <w:t>-</w:t>
                  </w:r>
                </w:p>
              </w:tc>
            </w:tr>
          </w:tbl>
          <w:p w:rsidR="00A338DE" w:rsidRPr="004645FD" w:rsidRDefault="00A338DE" w:rsidP="00850072">
            <w:pPr>
              <w:jc w:val="both"/>
              <w:rPr>
                <w:rFonts w:cs="Arial"/>
                <w:szCs w:val="20"/>
              </w:rPr>
            </w:pPr>
          </w:p>
          <w:p w:rsidR="00A338DE" w:rsidRPr="004645FD" w:rsidRDefault="00A338DE" w:rsidP="00850072">
            <w:pPr>
              <w:jc w:val="both"/>
              <w:rPr>
                <w:rFonts w:cs="Arial"/>
                <w:szCs w:val="20"/>
              </w:rPr>
            </w:pPr>
            <w:r w:rsidRPr="004645FD">
              <w:rPr>
                <w:rFonts w:cs="Arial"/>
                <w:szCs w:val="20"/>
              </w:rPr>
              <w:t xml:space="preserve">Iron </w:t>
            </w:r>
            <w:proofErr w:type="spellStart"/>
            <w:r w:rsidRPr="004645FD">
              <w:rPr>
                <w:rFonts w:cs="Arial"/>
                <w:szCs w:val="20"/>
              </w:rPr>
              <w:t>Dextran</w:t>
            </w:r>
            <w:proofErr w:type="spellEnd"/>
            <w:r w:rsidRPr="004645FD">
              <w:rPr>
                <w:rFonts w:cs="Arial"/>
                <w:szCs w:val="20"/>
              </w:rPr>
              <w:t xml:space="preserve"> at a concentration of </w:t>
            </w:r>
            <w:r w:rsidRPr="004645FD">
              <w:rPr>
                <w:rStyle w:val="Body"/>
                <w:rFonts w:ascii="Arial" w:hAnsi="Arial" w:cs="Arial"/>
                <w:sz w:val="20"/>
                <w:szCs w:val="20"/>
              </w:rPr>
              <w:t>60 mcg/</w:t>
            </w:r>
            <w:proofErr w:type="spellStart"/>
            <w:r w:rsidRPr="004645FD">
              <w:rPr>
                <w:rStyle w:val="Body"/>
                <w:rFonts w:ascii="Arial" w:hAnsi="Arial" w:cs="Arial"/>
                <w:sz w:val="20"/>
                <w:szCs w:val="20"/>
              </w:rPr>
              <w:t>mL</w:t>
            </w:r>
            <w:proofErr w:type="spellEnd"/>
            <w:r w:rsidRPr="004645FD">
              <w:rPr>
                <w:rStyle w:val="Body"/>
                <w:rFonts w:ascii="Arial" w:hAnsi="Arial" w:cs="Arial"/>
                <w:sz w:val="20"/>
                <w:szCs w:val="20"/>
              </w:rPr>
              <w:t xml:space="preserve"> causes significantly elevated IRON results.</w:t>
            </w:r>
          </w:p>
          <w:p w:rsidR="00A338DE" w:rsidRPr="004645FD" w:rsidRDefault="00A338DE" w:rsidP="00850072">
            <w:pPr>
              <w:jc w:val="both"/>
              <w:rPr>
                <w:rFonts w:cs="Arial"/>
                <w:szCs w:val="20"/>
              </w:rPr>
            </w:pPr>
            <w:r w:rsidRPr="004645FD">
              <w:rPr>
                <w:rFonts w:cs="Arial"/>
                <w:szCs w:val="20"/>
              </w:rPr>
              <w:t xml:space="preserve">Moderate and gross </w:t>
            </w:r>
            <w:proofErr w:type="spellStart"/>
            <w:r w:rsidRPr="004645FD">
              <w:rPr>
                <w:rFonts w:cs="Arial"/>
                <w:szCs w:val="20"/>
              </w:rPr>
              <w:t>hemolysis</w:t>
            </w:r>
            <w:proofErr w:type="spellEnd"/>
            <w:r w:rsidRPr="004645FD">
              <w:rPr>
                <w:rFonts w:cs="Arial"/>
                <w:szCs w:val="20"/>
              </w:rPr>
              <w:t xml:space="preserve"> cause falsely elevated IRON results.</w:t>
            </w:r>
          </w:p>
          <w:p w:rsidR="00A338DE" w:rsidRDefault="00A338DE" w:rsidP="00850072">
            <w:pPr>
              <w:jc w:val="both"/>
              <w:rPr>
                <w:rFonts w:cs="Arial"/>
                <w:szCs w:val="20"/>
              </w:rPr>
            </w:pPr>
            <w:proofErr w:type="spellStart"/>
            <w:r w:rsidRPr="004645FD">
              <w:rPr>
                <w:rFonts w:cs="Arial"/>
                <w:szCs w:val="20"/>
              </w:rPr>
              <w:t>Lipemia</w:t>
            </w:r>
            <w:proofErr w:type="spellEnd"/>
            <w:r w:rsidRPr="004645FD">
              <w:rPr>
                <w:rFonts w:cs="Arial"/>
                <w:szCs w:val="20"/>
              </w:rPr>
              <w:t xml:space="preserve"> causes falsely elevated IRON results, </w:t>
            </w:r>
            <w:r w:rsidR="004645FD" w:rsidRPr="004645FD">
              <w:rPr>
                <w:rFonts w:cs="Arial"/>
                <w:szCs w:val="20"/>
              </w:rPr>
              <w:t xml:space="preserve">and/or may cause an “Abnormal Reaction” error message.  </w:t>
            </w:r>
            <w:proofErr w:type="spellStart"/>
            <w:r w:rsidR="004645FD" w:rsidRPr="004645FD">
              <w:rPr>
                <w:rFonts w:cs="Arial"/>
                <w:szCs w:val="20"/>
              </w:rPr>
              <w:t>Ultrafuge</w:t>
            </w:r>
            <w:proofErr w:type="spellEnd"/>
            <w:r w:rsidR="004645FD" w:rsidRPr="004645FD">
              <w:rPr>
                <w:rFonts w:cs="Arial"/>
                <w:szCs w:val="20"/>
              </w:rPr>
              <w:t xml:space="preserve"> before analysis</w:t>
            </w:r>
            <w:r w:rsidRPr="004645FD">
              <w:rPr>
                <w:rFonts w:cs="Arial"/>
                <w:szCs w:val="20"/>
              </w:rPr>
              <w:t>.</w:t>
            </w:r>
          </w:p>
          <w:p w:rsidR="00850072" w:rsidRPr="00F46D39" w:rsidRDefault="00850072" w:rsidP="00850072">
            <w:pPr>
              <w:jc w:val="both"/>
              <w:rPr>
                <w:rFonts w:cs="Arial"/>
                <w:szCs w:val="20"/>
              </w:rPr>
            </w:pPr>
            <w:r>
              <w:rPr>
                <w:rFonts w:cs="Arial"/>
                <w:szCs w:val="20"/>
              </w:rPr>
              <w:t xml:space="preserve">Patients treated with metal-binding drugs (e.g. </w:t>
            </w:r>
            <w:proofErr w:type="spellStart"/>
            <w:r>
              <w:rPr>
                <w:rFonts w:cs="Arial"/>
                <w:szCs w:val="20"/>
              </w:rPr>
              <w:t>deferoxamine</w:t>
            </w:r>
            <w:proofErr w:type="spellEnd"/>
            <w:r>
              <w:rPr>
                <w:rFonts w:cs="Arial"/>
                <w:szCs w:val="20"/>
              </w:rPr>
              <w:t xml:space="preserve">) for acute iron toxicity may have depressed iron values, as </w:t>
            </w:r>
            <w:proofErr w:type="spellStart"/>
            <w:r>
              <w:rPr>
                <w:rFonts w:cs="Arial"/>
                <w:szCs w:val="20"/>
              </w:rPr>
              <w:t>chelated</w:t>
            </w:r>
            <w:proofErr w:type="spellEnd"/>
            <w:r>
              <w:rPr>
                <w:rFonts w:cs="Arial"/>
                <w:szCs w:val="20"/>
              </w:rPr>
              <w:t xml:space="preserve"> iron may not react effectively in this assay.</w:t>
            </w:r>
            <w:r w:rsidR="00F46D39">
              <w:rPr>
                <w:rFonts w:cs="Arial"/>
                <w:szCs w:val="20"/>
              </w:rPr>
              <w:t xml:space="preserve">  Use of this assay is not recommended.</w:t>
            </w:r>
          </w:p>
          <w:p w:rsidR="004645FD" w:rsidRPr="004645FD" w:rsidRDefault="004645FD" w:rsidP="00850072">
            <w:pPr>
              <w:jc w:val="both"/>
              <w:rPr>
                <w:rFonts w:cs="Arial"/>
                <w:szCs w:val="20"/>
              </w:rPr>
            </w:pPr>
          </w:p>
          <w:p w:rsidR="00A338DE" w:rsidRPr="004645FD" w:rsidRDefault="00A338DE" w:rsidP="00850072">
            <w:pPr>
              <w:jc w:val="both"/>
              <w:rPr>
                <w:rFonts w:cs="Arial"/>
                <w:szCs w:val="20"/>
              </w:rPr>
            </w:pPr>
            <w:r w:rsidRPr="004645FD">
              <w:rPr>
                <w:rFonts w:cs="Arial"/>
                <w:szCs w:val="20"/>
              </w:rPr>
              <w:t xml:space="preserve">Refer to the Siemens </w:t>
            </w:r>
            <w:r w:rsidR="00C8065E">
              <w:rPr>
                <w:rFonts w:cs="Arial"/>
                <w:szCs w:val="20"/>
              </w:rPr>
              <w:t>I</w:t>
            </w:r>
            <w:r w:rsidRPr="004645FD">
              <w:rPr>
                <w:rFonts w:cs="Arial"/>
                <w:szCs w:val="20"/>
              </w:rPr>
              <w:t>FU for additional information on non-interfering substances.</w:t>
            </w:r>
          </w:p>
          <w:p w:rsidR="00A338DE" w:rsidRDefault="00A338DE" w:rsidP="00850072">
            <w:pPr>
              <w:jc w:val="both"/>
              <w:rPr>
                <w:rFonts w:cs="Arial"/>
              </w:rPr>
            </w:pPr>
          </w:p>
        </w:tc>
      </w:tr>
      <w:tr w:rsidR="00A338DE" w:rsidTr="00436FF0">
        <w:trPr>
          <w:trHeight w:val="1475"/>
          <w:tblHeader/>
        </w:trPr>
        <w:tc>
          <w:tcPr>
            <w:tcW w:w="1473" w:type="dxa"/>
          </w:tcPr>
          <w:p w:rsidR="00A338DE" w:rsidRDefault="00A338DE">
            <w:pPr>
              <w:rPr>
                <w:b/>
                <w:bCs/>
                <w:color w:val="0000FF"/>
              </w:rPr>
            </w:pPr>
          </w:p>
          <w:p w:rsidR="00A338DE" w:rsidRDefault="00A338DE">
            <w:pPr>
              <w:rPr>
                <w:b/>
                <w:bCs/>
                <w:color w:val="0000FF"/>
              </w:rPr>
            </w:pPr>
            <w:r>
              <w:rPr>
                <w:b/>
                <w:bCs/>
                <w:color w:val="0000FF"/>
              </w:rPr>
              <w:t>Reference Range</w:t>
            </w:r>
          </w:p>
          <w:p w:rsidR="00A338DE" w:rsidRDefault="00A338DE">
            <w:pPr>
              <w:rPr>
                <w:b/>
                <w:bCs/>
                <w:color w:val="0000FF"/>
              </w:rPr>
            </w:pPr>
          </w:p>
        </w:tc>
        <w:tc>
          <w:tcPr>
            <w:tcW w:w="9777" w:type="dxa"/>
            <w:gridSpan w:val="4"/>
            <w:tcBorders>
              <w:top w:val="single" w:sz="18" w:space="0" w:color="BFBFBF"/>
              <w:bottom w:val="single" w:sz="18" w:space="0" w:color="BFBFBF"/>
            </w:tcBorders>
          </w:tcPr>
          <w:p w:rsidR="00A338DE" w:rsidRDefault="00A338D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7"/>
              <w:gridCol w:w="2880"/>
            </w:tblGrid>
            <w:tr w:rsidR="00A338DE" w:rsidTr="00436FF0">
              <w:tc>
                <w:tcPr>
                  <w:tcW w:w="2767" w:type="dxa"/>
                </w:tcPr>
                <w:p w:rsidR="00A338DE" w:rsidRDefault="00A338DE">
                  <w:pPr>
                    <w:rPr>
                      <w:rFonts w:cs="Arial"/>
                    </w:rPr>
                  </w:pPr>
                  <w:r>
                    <w:rPr>
                      <w:rFonts w:cs="Arial"/>
                    </w:rPr>
                    <w:t>Age</w:t>
                  </w:r>
                </w:p>
              </w:tc>
              <w:tc>
                <w:tcPr>
                  <w:tcW w:w="2880" w:type="dxa"/>
                </w:tcPr>
                <w:p w:rsidR="00A338DE" w:rsidRDefault="00A338DE">
                  <w:pPr>
                    <w:rPr>
                      <w:rFonts w:cs="Arial"/>
                    </w:rPr>
                  </w:pPr>
                  <w:r>
                    <w:rPr>
                      <w:rFonts w:cs="Arial"/>
                    </w:rPr>
                    <w:t>Iron</w:t>
                  </w:r>
                </w:p>
              </w:tc>
            </w:tr>
            <w:tr w:rsidR="00A338DE" w:rsidTr="00436FF0">
              <w:tc>
                <w:tcPr>
                  <w:tcW w:w="2767" w:type="dxa"/>
                </w:tcPr>
                <w:p w:rsidR="00A338DE" w:rsidRDefault="00A338DE">
                  <w:pPr>
                    <w:rPr>
                      <w:rFonts w:cs="Arial"/>
                    </w:rPr>
                  </w:pPr>
                  <w:r>
                    <w:rPr>
                      <w:rFonts w:cs="Arial"/>
                    </w:rPr>
                    <w:t>0 – 2 months</w:t>
                  </w:r>
                </w:p>
              </w:tc>
              <w:tc>
                <w:tcPr>
                  <w:tcW w:w="2880" w:type="dxa"/>
                </w:tcPr>
                <w:p w:rsidR="00A338DE" w:rsidRDefault="00A338DE">
                  <w:pPr>
                    <w:pStyle w:val="Header"/>
                    <w:tabs>
                      <w:tab w:val="clear" w:pos="4320"/>
                      <w:tab w:val="clear" w:pos="8640"/>
                    </w:tabs>
                    <w:rPr>
                      <w:rFonts w:cs="Arial"/>
                    </w:rPr>
                  </w:pPr>
                  <w:r>
                    <w:rPr>
                      <w:rFonts w:cs="Arial"/>
                    </w:rPr>
                    <w:t xml:space="preserve">100-250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
              </w:tc>
            </w:tr>
            <w:tr w:rsidR="00A338DE" w:rsidTr="00436FF0">
              <w:tc>
                <w:tcPr>
                  <w:tcW w:w="2767" w:type="dxa"/>
                </w:tcPr>
                <w:p w:rsidR="00A338DE" w:rsidRDefault="00A338DE">
                  <w:pPr>
                    <w:rPr>
                      <w:rFonts w:cs="Arial"/>
                    </w:rPr>
                  </w:pPr>
                  <w:r>
                    <w:rPr>
                      <w:rFonts w:cs="Arial"/>
                    </w:rPr>
                    <w:t>2 months – 2 years</w:t>
                  </w:r>
                </w:p>
              </w:tc>
              <w:tc>
                <w:tcPr>
                  <w:tcW w:w="2880" w:type="dxa"/>
                </w:tcPr>
                <w:p w:rsidR="00A338DE" w:rsidRDefault="00A338DE">
                  <w:pPr>
                    <w:rPr>
                      <w:rFonts w:cs="Arial"/>
                    </w:rPr>
                  </w:pPr>
                  <w:r>
                    <w:rPr>
                      <w:rFonts w:cs="Arial"/>
                    </w:rPr>
                    <w:t xml:space="preserve">40-100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
              </w:tc>
            </w:tr>
            <w:tr w:rsidR="00A338DE" w:rsidTr="00436FF0">
              <w:tc>
                <w:tcPr>
                  <w:tcW w:w="2767" w:type="dxa"/>
                </w:tcPr>
                <w:p w:rsidR="00A338DE" w:rsidRDefault="00A338DE">
                  <w:pPr>
                    <w:rPr>
                      <w:rFonts w:cs="Arial"/>
                    </w:rPr>
                  </w:pPr>
                  <w:r>
                    <w:rPr>
                      <w:rFonts w:cs="Arial"/>
                    </w:rPr>
                    <w:t>&gt; 2 years</w:t>
                  </w:r>
                </w:p>
              </w:tc>
              <w:tc>
                <w:tcPr>
                  <w:tcW w:w="2880" w:type="dxa"/>
                </w:tcPr>
                <w:p w:rsidR="00A338DE" w:rsidRDefault="00A338DE">
                  <w:pPr>
                    <w:rPr>
                      <w:rFonts w:cs="Arial"/>
                    </w:rPr>
                  </w:pPr>
                  <w:r>
                    <w:rPr>
                      <w:rFonts w:cs="Arial"/>
                    </w:rPr>
                    <w:t xml:space="preserve">50-120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
              </w:tc>
            </w:tr>
          </w:tbl>
          <w:p w:rsidR="00A338DE" w:rsidRDefault="00A338DE"/>
        </w:tc>
      </w:tr>
      <w:tr w:rsidR="00A338DE" w:rsidTr="00A31956">
        <w:trPr>
          <w:trHeight w:val="828"/>
          <w:tblHeader/>
        </w:trPr>
        <w:tc>
          <w:tcPr>
            <w:tcW w:w="1473" w:type="dxa"/>
          </w:tcPr>
          <w:p w:rsidR="00A338DE" w:rsidRDefault="00A338DE">
            <w:pPr>
              <w:rPr>
                <w:b/>
                <w:bCs/>
                <w:color w:val="0000FF"/>
              </w:rPr>
            </w:pPr>
          </w:p>
          <w:p w:rsidR="00A338DE" w:rsidRDefault="00A338DE">
            <w:pPr>
              <w:rPr>
                <w:b/>
                <w:bCs/>
                <w:color w:val="0000FF"/>
              </w:rPr>
            </w:pPr>
            <w:r>
              <w:rPr>
                <w:b/>
                <w:bCs/>
                <w:color w:val="0000FF"/>
              </w:rPr>
              <w:t>Critical Values</w:t>
            </w:r>
          </w:p>
        </w:tc>
        <w:tc>
          <w:tcPr>
            <w:tcW w:w="9777" w:type="dxa"/>
            <w:gridSpan w:val="4"/>
            <w:tcBorders>
              <w:top w:val="single" w:sz="18" w:space="0" w:color="BFBFBF"/>
              <w:bottom w:val="single" w:sz="18" w:space="0" w:color="BFBFBF"/>
            </w:tcBorders>
            <w:vAlign w:val="center"/>
          </w:tcPr>
          <w:p w:rsidR="00A338DE" w:rsidRDefault="00A338DE" w:rsidP="00A31956">
            <w:pPr>
              <w:tabs>
                <w:tab w:val="left" w:pos="953"/>
              </w:tabs>
            </w:pPr>
            <w:r>
              <w:rPr>
                <w:rFonts w:cs="Arial"/>
                <w:bCs/>
              </w:rPr>
              <w:t>None defined</w:t>
            </w:r>
          </w:p>
        </w:tc>
      </w:tr>
      <w:tr w:rsidR="00A338DE" w:rsidTr="00AB3938">
        <w:trPr>
          <w:trHeight w:val="1818"/>
          <w:tblHeader/>
        </w:trPr>
        <w:tc>
          <w:tcPr>
            <w:tcW w:w="1473" w:type="dxa"/>
          </w:tcPr>
          <w:p w:rsidR="00A338DE" w:rsidRDefault="00A338DE">
            <w:pPr>
              <w:rPr>
                <w:b/>
                <w:bCs/>
                <w:color w:val="0000FF"/>
              </w:rPr>
            </w:pPr>
          </w:p>
          <w:p w:rsidR="00A338DE" w:rsidRDefault="00A338DE">
            <w:pPr>
              <w:rPr>
                <w:b/>
                <w:bCs/>
                <w:color w:val="0000FF"/>
              </w:rPr>
            </w:pPr>
            <w:r>
              <w:rPr>
                <w:b/>
                <w:bCs/>
                <w:color w:val="0000FF"/>
              </w:rPr>
              <w:t>Limitations</w:t>
            </w:r>
          </w:p>
          <w:p w:rsidR="00A338DE" w:rsidRDefault="00A338DE">
            <w:pPr>
              <w:rPr>
                <w:b/>
                <w:bCs/>
                <w:color w:val="0000FF"/>
              </w:rPr>
            </w:pPr>
          </w:p>
        </w:tc>
        <w:tc>
          <w:tcPr>
            <w:tcW w:w="9777" w:type="dxa"/>
            <w:gridSpan w:val="4"/>
            <w:tcBorders>
              <w:top w:val="single" w:sz="18" w:space="0" w:color="BFBFBF"/>
              <w:bottom w:val="single" w:sz="18" w:space="0" w:color="BFBFBF"/>
            </w:tcBorders>
            <w:vAlign w:val="center"/>
          </w:tcPr>
          <w:p w:rsidR="00A338DE" w:rsidRDefault="00A338DE" w:rsidP="004645FD">
            <w:pPr>
              <w:rPr>
                <w:rStyle w:val="ShadeBodyTextCondensed"/>
                <w:rFonts w:ascii="Arial" w:hAnsi="Arial" w:cs="Arial"/>
                <w:szCs w:val="20"/>
                <w:u w:val="none"/>
              </w:rPr>
            </w:pPr>
            <w:r w:rsidRPr="004645FD">
              <w:rPr>
                <w:rFonts w:cs="Arial"/>
                <w:szCs w:val="20"/>
              </w:rPr>
              <w:t xml:space="preserve">Linear range of detection: </w:t>
            </w:r>
            <w:r w:rsidRPr="004645FD">
              <w:rPr>
                <w:rStyle w:val="ShadeBodyTextCondensed"/>
                <w:rFonts w:ascii="Arial" w:hAnsi="Arial" w:cs="Arial"/>
                <w:szCs w:val="20"/>
                <w:u w:val="none"/>
              </w:rPr>
              <w:t xml:space="preserve">5 – 1000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
          <w:p w:rsidR="00AB3938" w:rsidRPr="004645FD" w:rsidRDefault="00AB3938" w:rsidP="004645FD">
            <w:pPr>
              <w:rPr>
                <w:rFonts w:cs="Arial"/>
                <w:szCs w:val="20"/>
              </w:rPr>
            </w:pPr>
          </w:p>
          <w:p w:rsidR="00A338DE" w:rsidRPr="004645FD" w:rsidRDefault="004645FD" w:rsidP="004645FD">
            <w:pPr>
              <w:autoSpaceDE w:val="0"/>
              <w:autoSpaceDN w:val="0"/>
              <w:adjustRightInd w:val="0"/>
              <w:rPr>
                <w:rFonts w:cs="Arial"/>
                <w:szCs w:val="20"/>
              </w:rPr>
            </w:pPr>
            <w:r w:rsidRPr="004645FD">
              <w:rPr>
                <w:rFonts w:cs="Arial"/>
                <w:szCs w:val="20"/>
              </w:rPr>
              <w:t>The instrument reporting system contains flags and comments to provide the user with information regarding</w:t>
            </w:r>
            <w:r>
              <w:rPr>
                <w:rFonts w:cs="Arial"/>
                <w:szCs w:val="20"/>
              </w:rPr>
              <w:t xml:space="preserve"> </w:t>
            </w:r>
            <w:r w:rsidRPr="004645FD">
              <w:rPr>
                <w:rFonts w:cs="Arial"/>
                <w:szCs w:val="20"/>
              </w:rPr>
              <w:t>instrument processing errors, instrument status information and potential errors in iron results. Refer to your</w:t>
            </w:r>
            <w:r>
              <w:rPr>
                <w:rFonts w:cs="Arial"/>
                <w:szCs w:val="20"/>
              </w:rPr>
              <w:t xml:space="preserve"> </w:t>
            </w:r>
            <w:r w:rsidRPr="004645FD">
              <w:rPr>
                <w:rFonts w:cs="Arial"/>
                <w:szCs w:val="20"/>
              </w:rPr>
              <w:t>Dimension Vista® Operator’s Guide for the meaning of report flags and comments. Any report containing flags</w:t>
            </w:r>
            <w:r>
              <w:rPr>
                <w:rFonts w:cs="Arial"/>
                <w:szCs w:val="20"/>
              </w:rPr>
              <w:t xml:space="preserve"> </w:t>
            </w:r>
            <w:r w:rsidRPr="004645FD">
              <w:rPr>
                <w:rFonts w:cs="Arial"/>
                <w:szCs w:val="20"/>
              </w:rPr>
              <w:t xml:space="preserve">and/or comments should be addressed and not reported. </w:t>
            </w:r>
          </w:p>
        </w:tc>
      </w:tr>
      <w:tr w:rsidR="00A338DE" w:rsidTr="005E32E9">
        <w:trPr>
          <w:trHeight w:val="3537"/>
          <w:tblHeader/>
        </w:trPr>
        <w:tc>
          <w:tcPr>
            <w:tcW w:w="1473" w:type="dxa"/>
          </w:tcPr>
          <w:p w:rsidR="00A338DE" w:rsidRDefault="00A338DE" w:rsidP="0018738B">
            <w:pPr>
              <w:rPr>
                <w:b/>
                <w:bCs/>
                <w:color w:val="0000FF"/>
              </w:rPr>
            </w:pPr>
          </w:p>
          <w:p w:rsidR="00A338DE" w:rsidRDefault="00A338DE" w:rsidP="0018738B">
            <w:pPr>
              <w:rPr>
                <w:b/>
                <w:bCs/>
                <w:color w:val="0000FF"/>
              </w:rPr>
            </w:pPr>
            <w:r>
              <w:rPr>
                <w:b/>
                <w:bCs/>
                <w:color w:val="0000FF"/>
              </w:rPr>
              <w:t>Dilutions</w:t>
            </w:r>
          </w:p>
          <w:p w:rsidR="00A338DE" w:rsidRDefault="00A338DE" w:rsidP="0018738B">
            <w:pPr>
              <w:rPr>
                <w:b/>
                <w:bCs/>
                <w:color w:val="0000FF"/>
              </w:rPr>
            </w:pPr>
          </w:p>
        </w:tc>
        <w:tc>
          <w:tcPr>
            <w:tcW w:w="9777" w:type="dxa"/>
            <w:gridSpan w:val="4"/>
            <w:tcBorders>
              <w:top w:val="single" w:sz="18" w:space="0" w:color="BFBFBF"/>
              <w:bottom w:val="single" w:sz="18" w:space="0" w:color="BFBFBF"/>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2"/>
              <w:gridCol w:w="7870"/>
            </w:tblGrid>
            <w:tr w:rsidR="0018738B" w:rsidTr="00436FF0">
              <w:tc>
                <w:tcPr>
                  <w:tcW w:w="1792" w:type="dxa"/>
                </w:tcPr>
                <w:p w:rsidR="0018738B" w:rsidRPr="007A579D" w:rsidRDefault="0018738B" w:rsidP="0018738B">
                  <w:pPr>
                    <w:pStyle w:val="BodyText"/>
                    <w:rPr>
                      <w:rFonts w:cs="Arial"/>
                    </w:rPr>
                  </w:pPr>
                  <w:r>
                    <w:rPr>
                      <w:rFonts w:cs="Arial"/>
                    </w:rPr>
                    <w:t>Maximum Dilution:</w:t>
                  </w:r>
                </w:p>
              </w:tc>
              <w:tc>
                <w:tcPr>
                  <w:tcW w:w="7870" w:type="dxa"/>
                  <w:vAlign w:val="center"/>
                </w:tcPr>
                <w:p w:rsidR="0018738B" w:rsidRDefault="0018738B" w:rsidP="0018738B">
                  <w:pPr>
                    <w:pStyle w:val="BodyText"/>
                    <w:rPr>
                      <w:rFonts w:cs="Arial"/>
                    </w:rPr>
                  </w:pPr>
                  <w:r>
                    <w:rPr>
                      <w:rFonts w:cs="Arial"/>
                    </w:rPr>
                    <w:t>1:2</w:t>
                  </w:r>
                </w:p>
              </w:tc>
            </w:tr>
            <w:tr w:rsidR="0018738B" w:rsidRPr="007A579D" w:rsidTr="00436FF0">
              <w:trPr>
                <w:trHeight w:val="674"/>
              </w:trPr>
              <w:tc>
                <w:tcPr>
                  <w:tcW w:w="1792" w:type="dxa"/>
                </w:tcPr>
                <w:p w:rsidR="0018738B" w:rsidRPr="007A579D" w:rsidRDefault="0018738B" w:rsidP="0018738B">
                  <w:pPr>
                    <w:pStyle w:val="BodyText"/>
                    <w:rPr>
                      <w:rFonts w:cs="Arial"/>
                    </w:rPr>
                  </w:pPr>
                  <w:r w:rsidRPr="007A579D">
                    <w:rPr>
                      <w:rFonts w:cs="Arial"/>
                    </w:rPr>
                    <w:t>Surplus Rack</w:t>
                  </w:r>
                  <w:r>
                    <w:rPr>
                      <w:rFonts w:cs="Arial"/>
                    </w:rPr>
                    <w:t>:</w:t>
                  </w:r>
                </w:p>
              </w:tc>
              <w:tc>
                <w:tcPr>
                  <w:tcW w:w="7870" w:type="dxa"/>
                  <w:vAlign w:val="center"/>
                </w:tcPr>
                <w:p w:rsidR="0018738B" w:rsidRPr="007A579D" w:rsidRDefault="0018738B" w:rsidP="0018738B">
                  <w:pPr>
                    <w:autoSpaceDE w:val="0"/>
                    <w:autoSpaceDN w:val="0"/>
                    <w:adjustRightInd w:val="0"/>
                    <w:rPr>
                      <w:rFonts w:cs="Arial"/>
                      <w:szCs w:val="20"/>
                    </w:rPr>
                  </w:pPr>
                  <w:r w:rsidRPr="007A579D">
                    <w:rPr>
                      <w:rFonts w:cs="Arial"/>
                      <w:szCs w:val="20"/>
                    </w:rPr>
                    <w:t>Samples with results &gt;</w:t>
                  </w:r>
                  <w:r>
                    <w:rPr>
                      <w:rFonts w:cs="Arial"/>
                      <w:szCs w:val="20"/>
                    </w:rPr>
                    <w:t xml:space="preserve">1000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r w:rsidR="00C12140">
                    <w:rPr>
                      <w:rFonts w:cs="Arial"/>
                      <w:szCs w:val="20"/>
                    </w:rPr>
                    <w:t xml:space="preserve"> </w:t>
                  </w:r>
                  <w:r>
                    <w:rPr>
                      <w:rFonts w:cs="Arial"/>
                      <w:szCs w:val="20"/>
                    </w:rPr>
                    <w:t xml:space="preserve">reflex to a 1:2 dilution. </w:t>
                  </w:r>
                </w:p>
              </w:tc>
            </w:tr>
            <w:tr w:rsidR="0018738B" w:rsidRPr="0090549B" w:rsidTr="00436FF0">
              <w:trPr>
                <w:trHeight w:val="863"/>
              </w:trPr>
              <w:tc>
                <w:tcPr>
                  <w:tcW w:w="1792" w:type="dxa"/>
                </w:tcPr>
                <w:p w:rsidR="0018738B" w:rsidRPr="007A579D" w:rsidRDefault="0018738B" w:rsidP="0018738B">
                  <w:pPr>
                    <w:pStyle w:val="BodyText"/>
                    <w:rPr>
                      <w:rFonts w:cs="Arial"/>
                    </w:rPr>
                  </w:pPr>
                  <w:r w:rsidRPr="007A579D">
                    <w:rPr>
                      <w:rFonts w:cs="Arial"/>
                    </w:rPr>
                    <w:t>Limited Rack</w:t>
                  </w:r>
                  <w:r>
                    <w:rPr>
                      <w:rFonts w:cs="Arial"/>
                    </w:rPr>
                    <w:t>:</w:t>
                  </w:r>
                </w:p>
              </w:tc>
              <w:tc>
                <w:tcPr>
                  <w:tcW w:w="7870" w:type="dxa"/>
                  <w:vAlign w:val="center"/>
                </w:tcPr>
                <w:p w:rsidR="0018738B" w:rsidRPr="0090549B" w:rsidRDefault="0018738B" w:rsidP="0018738B">
                  <w:pPr>
                    <w:autoSpaceDE w:val="0"/>
                    <w:autoSpaceDN w:val="0"/>
                    <w:adjustRightInd w:val="0"/>
                    <w:rPr>
                      <w:rFonts w:cs="Arial"/>
                      <w:szCs w:val="20"/>
                    </w:rPr>
                  </w:pPr>
                  <w:r w:rsidRPr="007A579D">
                    <w:rPr>
                      <w:rFonts w:cs="Arial"/>
                      <w:szCs w:val="20"/>
                    </w:rPr>
                    <w:t>Samples with results &gt;</w:t>
                  </w:r>
                  <w:r>
                    <w:rPr>
                      <w:rFonts w:cs="Arial"/>
                      <w:szCs w:val="20"/>
                    </w:rPr>
                    <w:t xml:space="preserve">1000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r w:rsidR="00C12140">
                    <w:rPr>
                      <w:rFonts w:cs="Arial"/>
                      <w:szCs w:val="20"/>
                    </w:rPr>
                    <w:t xml:space="preserve"> </w:t>
                  </w:r>
                  <w:r>
                    <w:rPr>
                      <w:rFonts w:cs="Arial"/>
                      <w:szCs w:val="20"/>
                    </w:rPr>
                    <w:t xml:space="preserve">should be repeated as an Add-On Test with a 1:2 dilution. </w:t>
                  </w:r>
                </w:p>
              </w:tc>
            </w:tr>
            <w:tr w:rsidR="00E008A2" w:rsidRPr="0090549B" w:rsidTr="00436FF0">
              <w:trPr>
                <w:trHeight w:val="863"/>
              </w:trPr>
              <w:tc>
                <w:tcPr>
                  <w:tcW w:w="1792" w:type="dxa"/>
                </w:tcPr>
                <w:p w:rsidR="00E008A2" w:rsidRPr="007A579D" w:rsidRDefault="00E008A2" w:rsidP="0018738B">
                  <w:pPr>
                    <w:pStyle w:val="BodyText"/>
                    <w:rPr>
                      <w:rFonts w:cs="Arial"/>
                    </w:rPr>
                  </w:pPr>
                  <w:r>
                    <w:rPr>
                      <w:rFonts w:cs="Arial"/>
                    </w:rPr>
                    <w:t>Manual Dilution:</w:t>
                  </w:r>
                </w:p>
              </w:tc>
              <w:tc>
                <w:tcPr>
                  <w:tcW w:w="7870" w:type="dxa"/>
                  <w:vAlign w:val="center"/>
                </w:tcPr>
                <w:p w:rsidR="00E008A2" w:rsidRPr="007A579D" w:rsidRDefault="00E008A2" w:rsidP="0018738B">
                  <w:pPr>
                    <w:autoSpaceDE w:val="0"/>
                    <w:autoSpaceDN w:val="0"/>
                    <w:adjustRightInd w:val="0"/>
                    <w:rPr>
                      <w:rFonts w:cs="Arial"/>
                      <w:szCs w:val="20"/>
                    </w:rPr>
                  </w:pPr>
                  <w:r>
                    <w:rPr>
                      <w:rFonts w:cs="Arial"/>
                      <w:szCs w:val="20"/>
                    </w:rPr>
                    <w:t xml:space="preserve">Do not perform manual </w:t>
                  </w:r>
                  <w:r w:rsidR="005E32E9">
                    <w:rPr>
                      <w:rFonts w:cs="Arial"/>
                      <w:szCs w:val="20"/>
                    </w:rPr>
                    <w:t>dilutions.</w:t>
                  </w:r>
                </w:p>
              </w:tc>
            </w:tr>
          </w:tbl>
          <w:p w:rsidR="00A338DE" w:rsidRDefault="00A338DE" w:rsidP="0018738B">
            <w:pPr>
              <w:pStyle w:val="Reagents"/>
              <w:rPr>
                <w:rFonts w:ascii="Arial" w:hAnsi="Arial" w:cs="Arial"/>
              </w:rPr>
            </w:pPr>
          </w:p>
        </w:tc>
      </w:tr>
      <w:tr w:rsidR="00A338DE" w:rsidTr="00436FF0">
        <w:trPr>
          <w:trHeight w:val="2214"/>
          <w:tblHeader/>
        </w:trPr>
        <w:tc>
          <w:tcPr>
            <w:tcW w:w="1473" w:type="dxa"/>
          </w:tcPr>
          <w:p w:rsidR="00A338DE" w:rsidRDefault="00A338DE">
            <w:pPr>
              <w:rPr>
                <w:b/>
                <w:bCs/>
                <w:color w:val="0000FF"/>
              </w:rPr>
            </w:pPr>
          </w:p>
          <w:p w:rsidR="00A338DE" w:rsidRDefault="00A338DE">
            <w:pPr>
              <w:rPr>
                <w:b/>
                <w:bCs/>
                <w:color w:val="0000FF"/>
              </w:rPr>
            </w:pPr>
            <w:bookmarkStart w:id="0" w:name="resultreporting"/>
            <w:bookmarkEnd w:id="0"/>
            <w:r>
              <w:rPr>
                <w:b/>
                <w:bCs/>
                <w:color w:val="0000FF"/>
              </w:rPr>
              <w:t>Result Reporting</w:t>
            </w:r>
          </w:p>
          <w:p w:rsidR="00A338DE" w:rsidRDefault="00A338DE">
            <w:pPr>
              <w:rPr>
                <w:b/>
                <w:bCs/>
                <w:color w:val="0000FF"/>
              </w:rPr>
            </w:pPr>
          </w:p>
        </w:tc>
        <w:tc>
          <w:tcPr>
            <w:tcW w:w="9777" w:type="dxa"/>
            <w:gridSpan w:val="4"/>
            <w:tcBorders>
              <w:top w:val="single" w:sz="18" w:space="0" w:color="BFBFBF"/>
              <w:bottom w:val="single" w:sz="18" w:space="0" w:color="BFBFBF"/>
            </w:tcBorders>
            <w:vAlign w:val="center"/>
          </w:tcPr>
          <w:p w:rsidR="0018738B" w:rsidRDefault="0018738B" w:rsidP="00273E1F">
            <w:pPr>
              <w:pStyle w:val="Header"/>
              <w:numPr>
                <w:ilvl w:val="0"/>
                <w:numId w:val="2"/>
              </w:numPr>
              <w:tabs>
                <w:tab w:val="clear" w:pos="4320"/>
                <w:tab w:val="clear" w:pos="8640"/>
              </w:tabs>
              <w:rPr>
                <w:rFonts w:cs="Arial"/>
              </w:rPr>
            </w:pPr>
            <w:r>
              <w:rPr>
                <w:rFonts w:cs="Arial"/>
              </w:rPr>
              <w:t xml:space="preserve">Results between </w:t>
            </w:r>
            <w:r>
              <w:rPr>
                <w:rStyle w:val="ShadeBodyTextCondensed"/>
                <w:rFonts w:ascii="Arial" w:hAnsi="Arial" w:cs="Arial"/>
                <w:szCs w:val="20"/>
                <w:u w:val="none"/>
              </w:rPr>
              <w:t xml:space="preserve">5 – 1000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r w:rsidR="00C12140">
              <w:rPr>
                <w:rFonts w:cs="Arial"/>
              </w:rPr>
              <w:t xml:space="preserve"> </w:t>
            </w:r>
            <w:r>
              <w:rPr>
                <w:rFonts w:cs="Arial"/>
              </w:rPr>
              <w:t>without error messages are released</w:t>
            </w:r>
          </w:p>
          <w:p w:rsidR="0018738B" w:rsidRDefault="0018738B" w:rsidP="00273E1F">
            <w:pPr>
              <w:numPr>
                <w:ilvl w:val="0"/>
                <w:numId w:val="2"/>
              </w:numPr>
              <w:rPr>
                <w:rFonts w:cs="Arial"/>
              </w:rPr>
            </w:pPr>
            <w:r>
              <w:rPr>
                <w:rFonts w:cs="Arial"/>
              </w:rPr>
              <w:t xml:space="preserve">Results </w:t>
            </w:r>
            <w:proofErr w:type="gramStart"/>
            <w:r>
              <w:rPr>
                <w:rFonts w:cs="Arial"/>
              </w:rPr>
              <w:t>below</w:t>
            </w:r>
            <w:r w:rsidR="00AB3938">
              <w:rPr>
                <w:rFonts w:cs="Arial"/>
                <w:szCs w:val="12"/>
              </w:rPr>
              <w:t xml:space="preserve"> </w:t>
            </w:r>
            <w:r>
              <w:rPr>
                <w:rFonts w:cs="Arial"/>
              </w:rPr>
              <w:t>5</w:t>
            </w:r>
            <w:r>
              <w:rPr>
                <w:rFonts w:cs="Arial"/>
                <w:szCs w:val="12"/>
              </w:rPr>
              <w:t xml:space="preserve">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roofErr w:type="gramEnd"/>
            <w:r w:rsidR="00C12140">
              <w:rPr>
                <w:rFonts w:cs="Arial"/>
                <w:szCs w:val="12"/>
              </w:rPr>
              <w:t xml:space="preserve"> </w:t>
            </w:r>
            <w:r>
              <w:rPr>
                <w:rFonts w:cs="Arial"/>
                <w:szCs w:val="12"/>
              </w:rPr>
              <w:t xml:space="preserve">are reported as &lt; </w:t>
            </w:r>
            <w:r>
              <w:rPr>
                <w:rFonts w:cs="Arial"/>
              </w:rPr>
              <w:t>5</w:t>
            </w:r>
            <w:r>
              <w:rPr>
                <w:rFonts w:cs="Arial"/>
                <w:szCs w:val="12"/>
              </w:rPr>
              <w:t xml:space="preserve">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r>
              <w:rPr>
                <w:rFonts w:cs="Arial"/>
                <w:szCs w:val="12"/>
              </w:rPr>
              <w:t>.</w:t>
            </w:r>
          </w:p>
          <w:p w:rsidR="0018738B" w:rsidRDefault="0018738B" w:rsidP="00273E1F">
            <w:pPr>
              <w:numPr>
                <w:ilvl w:val="0"/>
                <w:numId w:val="2"/>
              </w:numPr>
              <w:rPr>
                <w:rFonts w:cs="Arial"/>
              </w:rPr>
            </w:pPr>
            <w:r>
              <w:t>Results with “diluted” appended are reportable</w:t>
            </w:r>
            <w:r>
              <w:rPr>
                <w:rFonts w:cs="Arial"/>
              </w:rPr>
              <w:t>.</w:t>
            </w:r>
          </w:p>
          <w:p w:rsidR="0018738B" w:rsidRDefault="0018738B" w:rsidP="00273E1F">
            <w:pPr>
              <w:numPr>
                <w:ilvl w:val="0"/>
                <w:numId w:val="2"/>
              </w:numPr>
              <w:rPr>
                <w:rFonts w:cs="Arial"/>
              </w:rPr>
            </w:pPr>
            <w:r>
              <w:rPr>
                <w:rFonts w:cs="Arial"/>
              </w:rPr>
              <w:t xml:space="preserve">Results above </w:t>
            </w:r>
            <w:r>
              <w:rPr>
                <w:rStyle w:val="ShadeBodyTextCondensed"/>
                <w:rFonts w:ascii="Arial" w:hAnsi="Arial" w:cs="Arial"/>
                <w:szCs w:val="20"/>
                <w:u w:val="none"/>
              </w:rPr>
              <w:t xml:space="preserve">1000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r w:rsidR="00C12140">
              <w:rPr>
                <w:rFonts w:cs="Arial"/>
              </w:rPr>
              <w:t xml:space="preserve"> </w:t>
            </w:r>
            <w:r>
              <w:rPr>
                <w:rFonts w:cs="Arial"/>
              </w:rPr>
              <w:t>without error messages are reported following a maximum dilution of 1:2</w:t>
            </w:r>
          </w:p>
          <w:p w:rsidR="0018738B" w:rsidRDefault="0018738B" w:rsidP="00273E1F">
            <w:pPr>
              <w:numPr>
                <w:ilvl w:val="0"/>
                <w:numId w:val="2"/>
              </w:numPr>
              <w:rPr>
                <w:rFonts w:cs="Arial"/>
              </w:rPr>
            </w:pPr>
            <w:r>
              <w:rPr>
                <w:rFonts w:cs="Arial"/>
              </w:rPr>
              <w:t>Results with “</w:t>
            </w:r>
            <w:r w:rsidR="00D02EF4">
              <w:rPr>
                <w:rFonts w:cs="Arial"/>
              </w:rPr>
              <w:t xml:space="preserve">above </w:t>
            </w:r>
            <w:r>
              <w:rPr>
                <w:rFonts w:cs="Arial"/>
              </w:rPr>
              <w:t xml:space="preserve">assay range” appended following a maximum dilution of 1:2 are reported as &gt;2000 </w:t>
            </w:r>
            <w:r w:rsidR="00C12140">
              <w:rPr>
                <w:rStyle w:val="ShadeBodyTextCondensed"/>
                <w:rFonts w:ascii="Arial" w:hAnsi="Arial" w:cs="Arial"/>
                <w:u w:val="none"/>
              </w:rPr>
              <w:t>µ</w:t>
            </w:r>
            <w:r w:rsidR="00C12140" w:rsidRPr="000C12BC">
              <w:rPr>
                <w:rStyle w:val="ShadeBodyTextCondensed"/>
                <w:rFonts w:ascii="Arial" w:hAnsi="Arial" w:cs="Arial"/>
                <w:u w:val="none"/>
              </w:rPr>
              <w:t>g/</w:t>
            </w:r>
            <w:proofErr w:type="spellStart"/>
            <w:r w:rsidR="00C12140" w:rsidRPr="000C12BC">
              <w:rPr>
                <w:rStyle w:val="ShadeBodyTextCondensed"/>
                <w:rFonts w:ascii="Arial" w:hAnsi="Arial" w:cs="Arial"/>
                <w:u w:val="none"/>
              </w:rPr>
              <w:t>dL</w:t>
            </w:r>
            <w:proofErr w:type="spellEnd"/>
          </w:p>
          <w:p w:rsidR="00A338DE" w:rsidRPr="00273E1F" w:rsidRDefault="0018738B" w:rsidP="00273E1F">
            <w:pPr>
              <w:numPr>
                <w:ilvl w:val="0"/>
                <w:numId w:val="2"/>
              </w:numPr>
              <w:rPr>
                <w:rFonts w:cs="Arial"/>
              </w:rPr>
            </w:pPr>
            <w:r>
              <w:rPr>
                <w:rFonts w:cs="Arial"/>
              </w:rPr>
              <w:t>Append appropriate HIL comments</w:t>
            </w:r>
            <w:r w:rsidR="00364AB6">
              <w:rPr>
                <w:rFonts w:cs="Arial"/>
              </w:rPr>
              <w:t xml:space="preserve"> to </w:t>
            </w:r>
            <w:proofErr w:type="spellStart"/>
            <w:r w:rsidR="00364AB6">
              <w:rPr>
                <w:rFonts w:cs="Arial"/>
              </w:rPr>
              <w:t>hemolyzed</w:t>
            </w:r>
            <w:proofErr w:type="spellEnd"/>
            <w:r w:rsidR="00364AB6">
              <w:rPr>
                <w:rFonts w:cs="Arial"/>
              </w:rPr>
              <w:t xml:space="preserve"> samples</w:t>
            </w:r>
            <w:r>
              <w:rPr>
                <w:rFonts w:cs="Arial"/>
              </w:rPr>
              <w:t xml:space="preserve">. Refer to  </w:t>
            </w:r>
            <w:hyperlink r:id="rId14" w:history="1">
              <w:r w:rsidRPr="00581B93">
                <w:rPr>
                  <w:rStyle w:val="Hyperlink"/>
                  <w:rFonts w:cs="Arial"/>
                </w:rPr>
                <w:t>CH5.101 H</w:t>
              </w:r>
              <w:r w:rsidRPr="00581B93">
                <w:rPr>
                  <w:rStyle w:val="Hyperlink"/>
                  <w:rFonts w:cs="Arial"/>
                </w:rPr>
                <w:t>I</w:t>
              </w:r>
              <w:r w:rsidRPr="00581B93">
                <w:rPr>
                  <w:rStyle w:val="Hyperlink"/>
                  <w:rFonts w:cs="Arial"/>
                </w:rPr>
                <w:t>L on Dimension Vista</w:t>
              </w:r>
            </w:hyperlink>
          </w:p>
        </w:tc>
      </w:tr>
      <w:tr w:rsidR="00A338DE" w:rsidTr="00436FF0">
        <w:trPr>
          <w:tblHeader/>
        </w:trPr>
        <w:tc>
          <w:tcPr>
            <w:tcW w:w="1473" w:type="dxa"/>
          </w:tcPr>
          <w:p w:rsidR="00A338DE" w:rsidRDefault="00A338DE">
            <w:pPr>
              <w:rPr>
                <w:b/>
                <w:bCs/>
                <w:color w:val="0000FF"/>
              </w:rPr>
            </w:pPr>
          </w:p>
          <w:p w:rsidR="00A338DE" w:rsidRDefault="00A338DE">
            <w:pPr>
              <w:rPr>
                <w:b/>
                <w:bCs/>
                <w:color w:val="0000FF"/>
              </w:rPr>
            </w:pPr>
            <w:r>
              <w:rPr>
                <w:b/>
                <w:bCs/>
                <w:color w:val="0000FF"/>
              </w:rPr>
              <w:t>Specimen Storage</w:t>
            </w:r>
          </w:p>
          <w:p w:rsidR="00A338DE" w:rsidRDefault="00A338DE">
            <w:pPr>
              <w:rPr>
                <w:b/>
                <w:bCs/>
                <w:color w:val="0000FF"/>
              </w:rPr>
            </w:pPr>
          </w:p>
        </w:tc>
        <w:tc>
          <w:tcPr>
            <w:tcW w:w="9777" w:type="dxa"/>
            <w:gridSpan w:val="4"/>
            <w:tcBorders>
              <w:top w:val="single" w:sz="18" w:space="0" w:color="BFBFBF"/>
              <w:bottom w:val="single" w:sz="18" w:space="0" w:color="BFBFBF"/>
            </w:tcBorders>
          </w:tcPr>
          <w:p w:rsidR="00A338DE" w:rsidRDefault="00A338DE">
            <w:pPr>
              <w:rPr>
                <w:rFonts w:cs="Arial"/>
              </w:rPr>
            </w:pPr>
          </w:p>
          <w:p w:rsidR="00A338DE" w:rsidRDefault="00A338DE">
            <w:r>
              <w:rPr>
                <w:rFonts w:cs="Arial"/>
              </w:rPr>
              <w:t xml:space="preserve">Promptly stopper tested specimen and store upright in specimen rack. </w:t>
            </w:r>
            <w:r>
              <w:t>Every 8 hours remove specimens to refrigerat</w:t>
            </w:r>
            <w:r w:rsidR="00606E5E">
              <w:t>or</w:t>
            </w:r>
            <w:r>
              <w:t>/freezer storage. Samples are retained 7 days in specimen storage freezer.</w:t>
            </w:r>
          </w:p>
          <w:p w:rsidR="00A338DE" w:rsidRDefault="00A338DE">
            <w:pPr>
              <w:pStyle w:val="Header"/>
              <w:tabs>
                <w:tab w:val="clear" w:pos="4320"/>
                <w:tab w:val="clear" w:pos="8640"/>
              </w:tabs>
            </w:pPr>
          </w:p>
        </w:tc>
      </w:tr>
      <w:tr w:rsidR="00A338DE" w:rsidTr="005E32E9">
        <w:trPr>
          <w:trHeight w:val="1854"/>
          <w:tblHeader/>
        </w:trPr>
        <w:tc>
          <w:tcPr>
            <w:tcW w:w="1473" w:type="dxa"/>
          </w:tcPr>
          <w:p w:rsidR="00A338DE" w:rsidRDefault="00A338DE">
            <w:pPr>
              <w:ind w:right="-108"/>
              <w:rPr>
                <w:rFonts w:cs="Arial"/>
                <w:b/>
                <w:bCs/>
                <w:color w:val="0000FF"/>
              </w:rPr>
            </w:pPr>
          </w:p>
          <w:p w:rsidR="00A338DE" w:rsidRDefault="00A338DE">
            <w:pPr>
              <w:ind w:right="-108"/>
              <w:rPr>
                <w:rFonts w:cs="Arial"/>
                <w:b/>
                <w:bCs/>
                <w:color w:val="0000FF"/>
              </w:rPr>
            </w:pPr>
            <w:r>
              <w:rPr>
                <w:rFonts w:cs="Arial"/>
                <w:b/>
                <w:bCs/>
                <w:color w:val="0000FF"/>
              </w:rPr>
              <w:t>References</w:t>
            </w:r>
          </w:p>
        </w:tc>
        <w:tc>
          <w:tcPr>
            <w:tcW w:w="9777" w:type="dxa"/>
            <w:gridSpan w:val="4"/>
            <w:tcBorders>
              <w:top w:val="single" w:sz="18" w:space="0" w:color="BFBFBF"/>
              <w:bottom w:val="single" w:sz="18" w:space="0" w:color="BFBFBF"/>
            </w:tcBorders>
          </w:tcPr>
          <w:p w:rsidR="00A338DE" w:rsidRPr="00436FF0" w:rsidRDefault="00A338DE">
            <w:pPr>
              <w:ind w:left="360"/>
              <w:rPr>
                <w:rFonts w:cs="Arial"/>
                <w:szCs w:val="20"/>
              </w:rPr>
            </w:pPr>
          </w:p>
          <w:p w:rsidR="00A338DE" w:rsidRPr="008F2EFB" w:rsidRDefault="00A338DE">
            <w:pPr>
              <w:numPr>
                <w:ilvl w:val="0"/>
                <w:numId w:val="29"/>
              </w:numPr>
              <w:rPr>
                <w:rFonts w:cs="Arial"/>
                <w:bCs/>
                <w:szCs w:val="20"/>
              </w:rPr>
            </w:pPr>
            <w:r w:rsidRPr="00436FF0">
              <w:rPr>
                <w:rFonts w:cs="Arial"/>
                <w:bCs/>
                <w:szCs w:val="20"/>
              </w:rPr>
              <w:t xml:space="preserve">Siemens Dimension Vista ® IRON Flex® reagent cartridge </w:t>
            </w:r>
            <w:r w:rsidR="00C8065E">
              <w:rPr>
                <w:rFonts w:cs="Arial"/>
                <w:bCs/>
                <w:szCs w:val="20"/>
              </w:rPr>
              <w:t>Instruction</w:t>
            </w:r>
            <w:r w:rsidRPr="00436FF0">
              <w:rPr>
                <w:rFonts w:cs="Arial"/>
                <w:bCs/>
                <w:szCs w:val="20"/>
              </w:rPr>
              <w:t xml:space="preserve">s for Use, </w:t>
            </w:r>
            <w:r w:rsidR="00C8065E">
              <w:rPr>
                <w:rFonts w:cs="Arial"/>
                <w:bCs/>
                <w:szCs w:val="20"/>
              </w:rPr>
              <w:t>Siemens Healthcare Diagnostics,</w:t>
            </w:r>
            <w:r w:rsidRPr="00436FF0">
              <w:rPr>
                <w:rFonts w:cs="Arial"/>
                <w:bCs/>
                <w:szCs w:val="20"/>
              </w:rPr>
              <w:t xml:space="preserve"> PN 717085.001 Issue Date </w:t>
            </w:r>
            <w:r w:rsidR="00490343">
              <w:rPr>
                <w:rFonts w:cs="Arial"/>
                <w:szCs w:val="20"/>
              </w:rPr>
              <w:t>2017-01-16</w:t>
            </w:r>
            <w:r w:rsidRPr="00436FF0">
              <w:rPr>
                <w:rFonts w:cs="Arial"/>
                <w:szCs w:val="20"/>
              </w:rPr>
              <w:t xml:space="preserve"> D PN 781085.001 </w:t>
            </w:r>
            <w:r w:rsidR="008F2EFB">
              <w:rPr>
                <w:rFonts w:cs="Arial"/>
                <w:szCs w:val="20"/>
              </w:rPr>
              <w:t>–</w:t>
            </w:r>
            <w:r w:rsidRPr="00436FF0">
              <w:rPr>
                <w:rFonts w:cs="Arial"/>
                <w:szCs w:val="20"/>
              </w:rPr>
              <w:t xml:space="preserve"> US</w:t>
            </w:r>
          </w:p>
          <w:p w:rsidR="008F2EFB" w:rsidRPr="00436FF0" w:rsidRDefault="008F2EFB">
            <w:pPr>
              <w:numPr>
                <w:ilvl w:val="0"/>
                <w:numId w:val="29"/>
              </w:numPr>
              <w:rPr>
                <w:rFonts w:cs="Arial"/>
                <w:bCs/>
                <w:szCs w:val="20"/>
              </w:rPr>
            </w:pPr>
            <w:r>
              <w:rPr>
                <w:rFonts w:cs="Arial"/>
                <w:szCs w:val="20"/>
              </w:rPr>
              <w:t xml:space="preserve">Siemens Dimension Vista ® IRON Calibrator Instructions for Use, </w:t>
            </w:r>
            <w:r w:rsidR="005E32E9">
              <w:rPr>
                <w:rFonts w:cs="Arial"/>
                <w:szCs w:val="20"/>
              </w:rPr>
              <w:t xml:space="preserve">Siemens Healthcare Diagnostics, </w:t>
            </w:r>
            <w:r w:rsidR="00F46D39">
              <w:rPr>
                <w:rFonts w:cs="Arial"/>
                <w:szCs w:val="20"/>
              </w:rPr>
              <w:t>2016-05 Rev. D</w:t>
            </w:r>
          </w:p>
          <w:p w:rsidR="00A338DE" w:rsidRPr="00436FF0" w:rsidRDefault="00A338DE">
            <w:pPr>
              <w:numPr>
                <w:ilvl w:val="0"/>
                <w:numId w:val="29"/>
              </w:numPr>
              <w:rPr>
                <w:rFonts w:cs="Arial"/>
                <w:bCs/>
                <w:szCs w:val="20"/>
              </w:rPr>
            </w:pPr>
            <w:r w:rsidRPr="00436FF0">
              <w:rPr>
                <w:rFonts w:cs="Arial"/>
                <w:bCs/>
                <w:szCs w:val="20"/>
              </w:rPr>
              <w:t xml:space="preserve">Jacobs &amp; </w:t>
            </w:r>
            <w:proofErr w:type="spellStart"/>
            <w:r w:rsidRPr="00436FF0">
              <w:rPr>
                <w:rFonts w:cs="Arial"/>
                <w:bCs/>
                <w:szCs w:val="20"/>
              </w:rPr>
              <w:t>DeMott</w:t>
            </w:r>
            <w:proofErr w:type="spellEnd"/>
            <w:r w:rsidRPr="00436FF0">
              <w:rPr>
                <w:rFonts w:cs="Arial"/>
                <w:bCs/>
                <w:szCs w:val="20"/>
              </w:rPr>
              <w:t xml:space="preserve"> Laboratory Test Handbook, </w:t>
            </w:r>
            <w:proofErr w:type="spellStart"/>
            <w:r w:rsidRPr="00436FF0">
              <w:rPr>
                <w:rFonts w:cs="Arial"/>
                <w:bCs/>
                <w:szCs w:val="20"/>
              </w:rPr>
              <w:t>Lexi</w:t>
            </w:r>
            <w:proofErr w:type="spellEnd"/>
            <w:r w:rsidRPr="00436FF0">
              <w:rPr>
                <w:rFonts w:cs="Arial"/>
                <w:bCs/>
                <w:szCs w:val="20"/>
              </w:rPr>
              <w:t>-Comp, Inc, Hudson, OH, 5</w:t>
            </w:r>
            <w:r w:rsidRPr="00436FF0">
              <w:rPr>
                <w:rFonts w:cs="Arial"/>
                <w:bCs/>
                <w:szCs w:val="20"/>
                <w:vertAlign w:val="superscript"/>
              </w:rPr>
              <w:t>th</w:t>
            </w:r>
            <w:r w:rsidRPr="00436FF0">
              <w:rPr>
                <w:rFonts w:cs="Arial"/>
                <w:bCs/>
                <w:szCs w:val="20"/>
              </w:rPr>
              <w:t xml:space="preserve"> Edition, 2001</w:t>
            </w:r>
          </w:p>
          <w:p w:rsidR="00A338DE" w:rsidRPr="00436FF0" w:rsidRDefault="008F2EFB">
            <w:pPr>
              <w:numPr>
                <w:ilvl w:val="0"/>
                <w:numId w:val="29"/>
              </w:numPr>
              <w:rPr>
                <w:rFonts w:cs="Arial"/>
                <w:szCs w:val="20"/>
              </w:rPr>
            </w:pPr>
            <w:proofErr w:type="spellStart"/>
            <w:r>
              <w:rPr>
                <w:rFonts w:cs="Arial"/>
                <w:bCs/>
                <w:szCs w:val="12"/>
              </w:rPr>
              <w:t>Biorad</w:t>
            </w:r>
            <w:proofErr w:type="spellEnd"/>
            <w:r>
              <w:rPr>
                <w:rFonts w:cs="Arial"/>
                <w:bCs/>
                <w:szCs w:val="12"/>
              </w:rPr>
              <w:t xml:space="preserve"> </w:t>
            </w:r>
            <w:proofErr w:type="spellStart"/>
            <w:r>
              <w:rPr>
                <w:rFonts w:cs="Arial"/>
                <w:bCs/>
                <w:szCs w:val="12"/>
              </w:rPr>
              <w:t>Multiqual</w:t>
            </w:r>
            <w:proofErr w:type="spellEnd"/>
            <w:r>
              <w:rPr>
                <w:rFonts w:cs="Arial"/>
                <w:bCs/>
                <w:szCs w:val="12"/>
              </w:rPr>
              <w:t xml:space="preserve"> Chemistry Control Product Insert, Bio-Rad Laboratories, Irvine, CA</w:t>
            </w:r>
          </w:p>
        </w:tc>
      </w:tr>
      <w:tr w:rsidR="00A338DE" w:rsidTr="00436FF0">
        <w:tblPrEx>
          <w:tblBorders>
            <w:bottom w:val="single" w:sz="4" w:space="0" w:color="auto"/>
          </w:tblBorders>
        </w:tblPrEx>
        <w:trPr>
          <w:trHeight w:val="270"/>
        </w:trPr>
        <w:tc>
          <w:tcPr>
            <w:tcW w:w="1473" w:type="dxa"/>
            <w:tcBorders>
              <w:top w:val="nil"/>
              <w:left w:val="nil"/>
              <w:bottom w:val="nil"/>
            </w:tcBorders>
          </w:tcPr>
          <w:p w:rsidR="00A338DE" w:rsidRDefault="00A338DE">
            <w:pPr>
              <w:rPr>
                <w:rFonts w:cs="Arial"/>
                <w:color w:val="0000FF"/>
              </w:rPr>
            </w:pPr>
          </w:p>
        </w:tc>
        <w:tc>
          <w:tcPr>
            <w:tcW w:w="9777" w:type="dxa"/>
            <w:gridSpan w:val="4"/>
            <w:tcBorders>
              <w:top w:val="single" w:sz="18" w:space="0" w:color="BFBFBF"/>
              <w:bottom w:val="single" w:sz="4" w:space="0" w:color="auto"/>
              <w:right w:val="nil"/>
            </w:tcBorders>
          </w:tcPr>
          <w:p w:rsidR="00A338DE" w:rsidRDefault="00A338DE">
            <w:pPr>
              <w:rPr>
                <w:rFonts w:cs="Arial"/>
                <w:iCs/>
              </w:rPr>
            </w:pPr>
          </w:p>
        </w:tc>
      </w:tr>
      <w:tr w:rsidR="00A338DE" w:rsidTr="00436FF0">
        <w:tblPrEx>
          <w:tblBorders>
            <w:bottom w:val="single" w:sz="4" w:space="0" w:color="auto"/>
          </w:tblBorders>
        </w:tblPrEx>
        <w:trPr>
          <w:cantSplit/>
          <w:trHeight w:val="225"/>
        </w:trPr>
        <w:tc>
          <w:tcPr>
            <w:tcW w:w="1473" w:type="dxa"/>
            <w:vMerge w:val="restart"/>
            <w:tcBorders>
              <w:left w:val="nil"/>
              <w:right w:val="single" w:sz="4" w:space="0" w:color="auto"/>
            </w:tcBorders>
          </w:tcPr>
          <w:p w:rsidR="00A338DE" w:rsidRDefault="00A338DE">
            <w:pPr>
              <w:rPr>
                <w:rFonts w:cs="Arial"/>
                <w:b/>
                <w:bCs/>
                <w:color w:val="3366FF"/>
              </w:rPr>
            </w:pPr>
            <w:r>
              <w:rPr>
                <w:rFonts w:cs="Arial"/>
                <w:b/>
                <w:bCs/>
                <w:color w:val="0000FF"/>
              </w:rPr>
              <w:t>Historical Record</w:t>
            </w:r>
          </w:p>
        </w:tc>
        <w:tc>
          <w:tcPr>
            <w:tcW w:w="950" w:type="dxa"/>
            <w:tcBorders>
              <w:top w:val="single" w:sz="4" w:space="0" w:color="auto"/>
              <w:left w:val="single" w:sz="4" w:space="0" w:color="auto"/>
              <w:bottom w:val="single" w:sz="4" w:space="0" w:color="auto"/>
              <w:right w:val="single" w:sz="4" w:space="0" w:color="auto"/>
            </w:tcBorders>
          </w:tcPr>
          <w:p w:rsidR="00A338DE" w:rsidRDefault="00A338DE">
            <w:pPr>
              <w:rPr>
                <w:rFonts w:cs="Arial"/>
                <w:b/>
                <w:bCs/>
              </w:rPr>
            </w:pPr>
            <w:r>
              <w:rPr>
                <w:rFonts w:cs="Arial"/>
                <w:b/>
                <w:bCs/>
              </w:rPr>
              <w:t>Version</w:t>
            </w: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b/>
                <w:bCs/>
                <w:iCs/>
              </w:rPr>
            </w:pPr>
            <w:r>
              <w:rPr>
                <w:rFonts w:cs="Arial"/>
                <w:b/>
                <w:bCs/>
                <w:iCs/>
              </w:rPr>
              <w:t>Written/Revised by:</w:t>
            </w:r>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b/>
                <w:bCs/>
                <w:iCs/>
              </w:rPr>
            </w:pPr>
            <w:r>
              <w:rPr>
                <w:rFonts w:cs="Arial"/>
                <w:b/>
                <w:bCs/>
                <w:iCs/>
              </w:rPr>
              <w:t>Effective Date:</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b/>
                <w:bCs/>
                <w:iCs/>
              </w:rPr>
            </w:pPr>
            <w:r>
              <w:rPr>
                <w:rFonts w:cs="Arial"/>
                <w:b/>
                <w:bCs/>
                <w:iCs/>
              </w:rPr>
              <w:t>Summary of Revisions</w:t>
            </w:r>
          </w:p>
        </w:tc>
      </w:tr>
      <w:tr w:rsidR="00A338DE" w:rsidTr="00436FF0">
        <w:tblPrEx>
          <w:tblBorders>
            <w:bottom w:val="single" w:sz="4" w:space="0" w:color="auto"/>
          </w:tblBorders>
        </w:tblPrEx>
        <w:trPr>
          <w:cantSplit/>
          <w:trHeight w:val="135"/>
        </w:trPr>
        <w:tc>
          <w:tcPr>
            <w:tcW w:w="1473" w:type="dxa"/>
            <w:vMerge/>
            <w:tcBorders>
              <w:left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D. Riedel</w:t>
            </w:r>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Nov. 2000</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Initial Version</w:t>
            </w:r>
          </w:p>
        </w:tc>
      </w:tr>
      <w:tr w:rsidR="00A338DE" w:rsidTr="00436FF0">
        <w:tblPrEx>
          <w:tblBorders>
            <w:bottom w:val="single" w:sz="4" w:space="0" w:color="auto"/>
          </w:tblBorders>
        </w:tblPrEx>
        <w:trPr>
          <w:cantSplit/>
          <w:trHeight w:val="143"/>
        </w:trPr>
        <w:tc>
          <w:tcPr>
            <w:tcW w:w="1473" w:type="dxa"/>
            <w:vMerge/>
            <w:tcBorders>
              <w:left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 xml:space="preserve">Patti </w:t>
            </w:r>
            <w:proofErr w:type="spellStart"/>
            <w:r>
              <w:rPr>
                <w:rFonts w:cs="Arial"/>
              </w:rPr>
              <w:t>Yelich</w:t>
            </w:r>
            <w:proofErr w:type="spellEnd"/>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02/2001</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p>
        </w:tc>
      </w:tr>
      <w:tr w:rsidR="00A338DE" w:rsidTr="00436FF0">
        <w:tblPrEx>
          <w:tblBorders>
            <w:bottom w:val="single" w:sz="4" w:space="0" w:color="auto"/>
          </w:tblBorders>
        </w:tblPrEx>
        <w:trPr>
          <w:cantSplit/>
          <w:trHeight w:val="165"/>
        </w:trPr>
        <w:tc>
          <w:tcPr>
            <w:tcW w:w="1473" w:type="dxa"/>
            <w:vMerge/>
            <w:tcBorders>
              <w:left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 xml:space="preserve">L. </w:t>
            </w:r>
            <w:proofErr w:type="spellStart"/>
            <w:r>
              <w:rPr>
                <w:rFonts w:cs="Arial"/>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07/2003</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p>
        </w:tc>
      </w:tr>
      <w:tr w:rsidR="00A338DE" w:rsidTr="00436FF0">
        <w:tblPrEx>
          <w:tblBorders>
            <w:bottom w:val="single" w:sz="4" w:space="0" w:color="auto"/>
          </w:tblBorders>
        </w:tblPrEx>
        <w:trPr>
          <w:cantSplit/>
          <w:trHeight w:val="255"/>
        </w:trPr>
        <w:tc>
          <w:tcPr>
            <w:tcW w:w="1473" w:type="dxa"/>
            <w:vMerge/>
            <w:tcBorders>
              <w:left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rPr>
              <w:t xml:space="preserve">L. </w:t>
            </w:r>
            <w:proofErr w:type="spellStart"/>
            <w:r>
              <w:rPr>
                <w:rFonts w:cs="Arial"/>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10/09/2006</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p>
        </w:tc>
      </w:tr>
      <w:tr w:rsidR="00A338DE" w:rsidTr="00436FF0">
        <w:tblPrEx>
          <w:tblBorders>
            <w:bottom w:val="single" w:sz="4" w:space="0" w:color="auto"/>
          </w:tblBorders>
        </w:tblPrEx>
        <w:trPr>
          <w:cantSplit/>
          <w:trHeight w:val="255"/>
        </w:trPr>
        <w:tc>
          <w:tcPr>
            <w:tcW w:w="1473" w:type="dxa"/>
            <w:vMerge/>
            <w:tcBorders>
              <w:left w:val="nil"/>
              <w:bottom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01/18/2011</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New format, new reagent, revised calibration, renumbered from CH 3.29</w:t>
            </w:r>
          </w:p>
        </w:tc>
      </w:tr>
      <w:tr w:rsidR="00A338DE" w:rsidTr="00436FF0">
        <w:tblPrEx>
          <w:tblBorders>
            <w:bottom w:val="single" w:sz="4" w:space="0" w:color="auto"/>
          </w:tblBorders>
        </w:tblPrEx>
        <w:trPr>
          <w:cantSplit/>
          <w:trHeight w:val="255"/>
        </w:trPr>
        <w:tc>
          <w:tcPr>
            <w:tcW w:w="1473" w:type="dxa"/>
            <w:tcBorders>
              <w:left w:val="nil"/>
              <w:right w:val="single" w:sz="4" w:space="0" w:color="auto"/>
            </w:tcBorders>
          </w:tcPr>
          <w:p w:rsidR="00A338DE" w:rsidRDefault="00A338DE">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A338DE" w:rsidRDefault="00A338DE">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3/19/13</w:t>
            </w:r>
          </w:p>
        </w:tc>
        <w:tc>
          <w:tcPr>
            <w:tcW w:w="5040" w:type="dxa"/>
            <w:tcBorders>
              <w:top w:val="single" w:sz="4" w:space="0" w:color="auto"/>
              <w:left w:val="single" w:sz="4" w:space="0" w:color="auto"/>
              <w:bottom w:val="single" w:sz="4" w:space="0" w:color="auto"/>
              <w:right w:val="single" w:sz="4" w:space="0" w:color="auto"/>
            </w:tcBorders>
          </w:tcPr>
          <w:p w:rsidR="00A338DE" w:rsidRDefault="00A338DE">
            <w:pPr>
              <w:rPr>
                <w:rFonts w:cs="Arial"/>
                <w:iCs/>
              </w:rPr>
            </w:pPr>
            <w:r>
              <w:rPr>
                <w:rFonts w:cs="Arial"/>
                <w:iCs/>
              </w:rPr>
              <w:t>Clarify maximum dilution reporting</w:t>
            </w:r>
          </w:p>
        </w:tc>
      </w:tr>
      <w:tr w:rsidR="00273E1F" w:rsidTr="00436FF0">
        <w:tblPrEx>
          <w:tblBorders>
            <w:bottom w:val="single" w:sz="4" w:space="0" w:color="auto"/>
          </w:tblBorders>
        </w:tblPrEx>
        <w:trPr>
          <w:cantSplit/>
          <w:trHeight w:val="255"/>
        </w:trPr>
        <w:tc>
          <w:tcPr>
            <w:tcW w:w="1473" w:type="dxa"/>
            <w:tcBorders>
              <w:left w:val="nil"/>
              <w:right w:val="single" w:sz="4" w:space="0" w:color="auto"/>
            </w:tcBorders>
          </w:tcPr>
          <w:p w:rsidR="00273E1F" w:rsidRDefault="00273E1F">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273E1F" w:rsidRDefault="00273E1F">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273E1F" w:rsidRDefault="00273E1F">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273E1F" w:rsidRDefault="00273E1F">
            <w:pPr>
              <w:rPr>
                <w:rFonts w:cs="Arial"/>
                <w:iCs/>
              </w:rPr>
            </w:pPr>
            <w:r>
              <w:rPr>
                <w:rFonts w:cs="Arial"/>
                <w:iCs/>
              </w:rPr>
              <w:t>12/17/2013</w:t>
            </w:r>
          </w:p>
        </w:tc>
        <w:tc>
          <w:tcPr>
            <w:tcW w:w="5040" w:type="dxa"/>
            <w:tcBorders>
              <w:top w:val="single" w:sz="4" w:space="0" w:color="auto"/>
              <w:left w:val="single" w:sz="4" w:space="0" w:color="auto"/>
              <w:bottom w:val="single" w:sz="4" w:space="0" w:color="auto"/>
              <w:right w:val="single" w:sz="4" w:space="0" w:color="auto"/>
            </w:tcBorders>
          </w:tcPr>
          <w:tbl>
            <w:tblPr>
              <w:tblW w:w="4929" w:type="dxa"/>
              <w:tblCellSpacing w:w="15" w:type="dxa"/>
              <w:tblBorders>
                <w:top w:val="single" w:sz="2" w:space="0" w:color="FFFFFF"/>
                <w:left w:val="single" w:sz="2" w:space="0" w:color="FFFFFF"/>
                <w:bottom w:val="single" w:sz="2" w:space="0" w:color="FFFFFF"/>
                <w:right w:val="single" w:sz="2" w:space="0" w:color="FFFFFF"/>
              </w:tblBorders>
              <w:tblLayout w:type="fixed"/>
              <w:tblCellMar>
                <w:top w:w="15" w:type="dxa"/>
                <w:left w:w="15" w:type="dxa"/>
                <w:bottom w:w="15" w:type="dxa"/>
                <w:right w:w="15" w:type="dxa"/>
              </w:tblCellMar>
              <w:tblLook w:val="04A0"/>
            </w:tblPr>
            <w:tblGrid>
              <w:gridCol w:w="4929"/>
            </w:tblGrid>
            <w:tr w:rsidR="00273E1F" w:rsidTr="00B30F7F">
              <w:trPr>
                <w:trHeight w:val="184"/>
                <w:tblCellSpacing w:w="15" w:type="dxa"/>
              </w:trPr>
              <w:tc>
                <w:tcPr>
                  <w:tcW w:w="4869" w:type="dxa"/>
                  <w:tcBorders>
                    <w:top w:val="single" w:sz="2" w:space="0" w:color="FFFFFF"/>
                    <w:left w:val="single" w:sz="2" w:space="0" w:color="FFFFFF"/>
                    <w:bottom w:val="single" w:sz="2" w:space="0" w:color="FFFFFF"/>
                    <w:right w:val="single" w:sz="2" w:space="0" w:color="FFFFFF"/>
                  </w:tcBorders>
                  <w:hideMark/>
                </w:tcPr>
                <w:p w:rsidR="00273E1F" w:rsidRPr="00436FF0" w:rsidRDefault="00273E1F" w:rsidP="00436FF0">
                  <w:pPr>
                    <w:rPr>
                      <w:rFonts w:cs="Arial"/>
                      <w:szCs w:val="20"/>
                    </w:rPr>
                  </w:pPr>
                  <w:r w:rsidRPr="00436FF0">
                    <w:rPr>
                      <w:rFonts w:cs="Arial"/>
                      <w:szCs w:val="20"/>
                    </w:rPr>
                    <w:t>Siemens Healthcare IRON CLSI</w:t>
                  </w:r>
                  <w:r w:rsidR="005E32E9">
                    <w:rPr>
                      <w:rFonts w:cs="Arial"/>
                      <w:szCs w:val="20"/>
                    </w:rPr>
                    <w:t xml:space="preserve"> Procedure</w:t>
                  </w:r>
                  <w:r w:rsidRPr="00436FF0">
                    <w:rPr>
                      <w:rFonts w:cs="Arial"/>
                      <w:szCs w:val="20"/>
                    </w:rPr>
                    <w:t xml:space="preserve"> - Dimension Vista - Rev D, Sep 3, 2013</w:t>
                  </w:r>
                </w:p>
              </w:tc>
            </w:tr>
          </w:tbl>
          <w:p w:rsidR="00273E1F" w:rsidRDefault="00273E1F">
            <w:pPr>
              <w:rPr>
                <w:rFonts w:cs="Arial"/>
                <w:iCs/>
              </w:rPr>
            </w:pPr>
          </w:p>
        </w:tc>
      </w:tr>
      <w:tr w:rsidR="00273E1F" w:rsidTr="00436FF0">
        <w:tblPrEx>
          <w:tblBorders>
            <w:bottom w:val="single" w:sz="4" w:space="0" w:color="auto"/>
          </w:tblBorders>
        </w:tblPrEx>
        <w:trPr>
          <w:cantSplit/>
          <w:trHeight w:val="255"/>
        </w:trPr>
        <w:tc>
          <w:tcPr>
            <w:tcW w:w="1473" w:type="dxa"/>
            <w:tcBorders>
              <w:left w:val="nil"/>
              <w:right w:val="single" w:sz="4" w:space="0" w:color="auto"/>
            </w:tcBorders>
          </w:tcPr>
          <w:p w:rsidR="00273E1F" w:rsidRDefault="00273E1F">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273E1F" w:rsidRDefault="00273E1F">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273E1F" w:rsidRDefault="00273E1F">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273E1F" w:rsidRDefault="00273E1F">
            <w:pPr>
              <w:rPr>
                <w:rFonts w:cs="Arial"/>
                <w:iCs/>
              </w:rPr>
            </w:pPr>
            <w:r>
              <w:rPr>
                <w:rFonts w:cs="Arial"/>
                <w:iCs/>
              </w:rPr>
              <w:t>August 4, 2014</w:t>
            </w:r>
          </w:p>
        </w:tc>
        <w:tc>
          <w:tcPr>
            <w:tcW w:w="5040" w:type="dxa"/>
            <w:tcBorders>
              <w:top w:val="single" w:sz="4" w:space="0" w:color="auto"/>
              <w:left w:val="single" w:sz="4" w:space="0" w:color="auto"/>
              <w:bottom w:val="single" w:sz="4" w:space="0" w:color="auto"/>
              <w:right w:val="single" w:sz="4" w:space="0" w:color="auto"/>
            </w:tcBorders>
          </w:tcPr>
          <w:p w:rsidR="00273E1F" w:rsidRDefault="00273E1F">
            <w:pPr>
              <w:rPr>
                <w:rFonts w:cs="Arial"/>
                <w:iCs/>
              </w:rPr>
            </w:pPr>
            <w:r>
              <w:rPr>
                <w:rFonts w:cs="Arial"/>
                <w:iCs/>
              </w:rPr>
              <w:t xml:space="preserve">Replaces Iron on Dimension </w:t>
            </w:r>
            <w:proofErr w:type="spellStart"/>
            <w:r>
              <w:rPr>
                <w:rFonts w:cs="Arial"/>
                <w:iCs/>
              </w:rPr>
              <w:t>RxL</w:t>
            </w:r>
            <w:proofErr w:type="spellEnd"/>
          </w:p>
        </w:tc>
      </w:tr>
      <w:tr w:rsidR="00850072" w:rsidTr="00436FF0">
        <w:tblPrEx>
          <w:tblBorders>
            <w:bottom w:val="single" w:sz="4" w:space="0" w:color="auto"/>
          </w:tblBorders>
        </w:tblPrEx>
        <w:trPr>
          <w:cantSplit/>
          <w:trHeight w:val="255"/>
        </w:trPr>
        <w:tc>
          <w:tcPr>
            <w:tcW w:w="1473" w:type="dxa"/>
            <w:tcBorders>
              <w:left w:val="nil"/>
              <w:right w:val="single" w:sz="4" w:space="0" w:color="auto"/>
            </w:tcBorders>
          </w:tcPr>
          <w:p w:rsidR="00850072" w:rsidRDefault="00850072">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850072" w:rsidRDefault="00850072">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850072" w:rsidRDefault="00850072">
            <w:pPr>
              <w:rPr>
                <w:rFonts w:cs="Arial"/>
                <w:iCs/>
              </w:rPr>
            </w:pPr>
            <w:r>
              <w:rPr>
                <w:rFonts w:cs="Arial"/>
                <w:iCs/>
              </w:rPr>
              <w:t xml:space="preserve">L. </w:t>
            </w:r>
            <w:proofErr w:type="spellStart"/>
            <w:r>
              <w:rPr>
                <w:rFonts w:cs="Arial"/>
                <w:iCs/>
              </w:rPr>
              <w:t>Lichty</w:t>
            </w:r>
            <w:proofErr w:type="spellEnd"/>
          </w:p>
        </w:tc>
        <w:tc>
          <w:tcPr>
            <w:tcW w:w="1620" w:type="dxa"/>
            <w:tcBorders>
              <w:top w:val="single" w:sz="4" w:space="0" w:color="auto"/>
              <w:left w:val="single" w:sz="4" w:space="0" w:color="auto"/>
              <w:bottom w:val="single" w:sz="4" w:space="0" w:color="auto"/>
              <w:right w:val="single" w:sz="4" w:space="0" w:color="auto"/>
            </w:tcBorders>
          </w:tcPr>
          <w:p w:rsidR="00850072" w:rsidRDefault="00C12140" w:rsidP="00753D86">
            <w:pPr>
              <w:rPr>
                <w:rFonts w:cs="Arial"/>
                <w:iCs/>
              </w:rPr>
            </w:pPr>
            <w:r>
              <w:rPr>
                <w:rFonts w:cs="Arial"/>
                <w:iCs/>
              </w:rPr>
              <w:t>09/</w:t>
            </w:r>
            <w:r w:rsidR="00753D86">
              <w:rPr>
                <w:rFonts w:cs="Arial"/>
                <w:iCs/>
              </w:rPr>
              <w:t>15</w:t>
            </w:r>
            <w:r w:rsidR="00850072">
              <w:rPr>
                <w:rFonts w:cs="Arial"/>
                <w:iCs/>
              </w:rPr>
              <w:t>/2016</w:t>
            </w:r>
          </w:p>
        </w:tc>
        <w:tc>
          <w:tcPr>
            <w:tcW w:w="5040" w:type="dxa"/>
            <w:tcBorders>
              <w:top w:val="single" w:sz="4" w:space="0" w:color="auto"/>
              <w:left w:val="single" w:sz="4" w:space="0" w:color="auto"/>
              <w:bottom w:val="single" w:sz="4" w:space="0" w:color="auto"/>
              <w:right w:val="single" w:sz="4" w:space="0" w:color="auto"/>
            </w:tcBorders>
          </w:tcPr>
          <w:p w:rsidR="00850072" w:rsidRDefault="00850072" w:rsidP="00850072">
            <w:pPr>
              <w:rPr>
                <w:rFonts w:cs="Arial"/>
                <w:iCs/>
              </w:rPr>
            </w:pPr>
            <w:r>
              <w:rPr>
                <w:rFonts w:cs="Arial"/>
                <w:iCs/>
              </w:rPr>
              <w:t xml:space="preserve">Urgent Device correction for </w:t>
            </w:r>
            <w:proofErr w:type="spellStart"/>
            <w:r>
              <w:rPr>
                <w:rFonts w:cs="Arial"/>
                <w:iCs/>
              </w:rPr>
              <w:t>deferoxamine</w:t>
            </w:r>
            <w:proofErr w:type="spellEnd"/>
            <w:r>
              <w:rPr>
                <w:rFonts w:cs="Arial"/>
                <w:iCs/>
              </w:rPr>
              <w:t xml:space="preserve"> </w:t>
            </w:r>
            <w:proofErr w:type="spellStart"/>
            <w:r>
              <w:rPr>
                <w:rFonts w:cs="Arial"/>
                <w:iCs/>
              </w:rPr>
              <w:t>interfere</w:t>
            </w:r>
            <w:r w:rsidR="00F7637E">
              <w:rPr>
                <w:rFonts w:cs="Arial"/>
                <w:iCs/>
              </w:rPr>
              <w:t>nt</w:t>
            </w:r>
            <w:proofErr w:type="spellEnd"/>
          </w:p>
          <w:p w:rsidR="00753D86" w:rsidRDefault="00753D86" w:rsidP="00850072">
            <w:pPr>
              <w:rPr>
                <w:rFonts w:cs="Arial"/>
                <w:iCs/>
              </w:rPr>
            </w:pPr>
          </w:p>
        </w:tc>
      </w:tr>
      <w:tr w:rsidR="00490343" w:rsidTr="00436FF0">
        <w:tblPrEx>
          <w:tblBorders>
            <w:bottom w:val="single" w:sz="4" w:space="0" w:color="auto"/>
          </w:tblBorders>
        </w:tblPrEx>
        <w:trPr>
          <w:cantSplit/>
          <w:trHeight w:val="255"/>
        </w:trPr>
        <w:tc>
          <w:tcPr>
            <w:tcW w:w="1473" w:type="dxa"/>
            <w:tcBorders>
              <w:left w:val="nil"/>
              <w:right w:val="single" w:sz="4" w:space="0" w:color="auto"/>
            </w:tcBorders>
          </w:tcPr>
          <w:p w:rsidR="00490343" w:rsidRDefault="00490343">
            <w:pPr>
              <w:rPr>
                <w:rFonts w:cs="Arial"/>
                <w:b/>
                <w:bCs/>
                <w:color w:val="3366FF"/>
              </w:rPr>
            </w:pPr>
          </w:p>
        </w:tc>
        <w:tc>
          <w:tcPr>
            <w:tcW w:w="950" w:type="dxa"/>
            <w:tcBorders>
              <w:top w:val="single" w:sz="4" w:space="0" w:color="auto"/>
              <w:left w:val="single" w:sz="4" w:space="0" w:color="auto"/>
              <w:bottom w:val="single" w:sz="4" w:space="0" w:color="auto"/>
              <w:right w:val="single" w:sz="4" w:space="0" w:color="auto"/>
            </w:tcBorders>
          </w:tcPr>
          <w:p w:rsidR="00490343" w:rsidRDefault="00490343">
            <w:pPr>
              <w:numPr>
                <w:ilvl w:val="0"/>
                <w:numId w:val="30"/>
              </w:numPr>
              <w:rPr>
                <w:rFonts w:cs="Arial"/>
                <w:iCs/>
              </w:rPr>
            </w:pPr>
          </w:p>
        </w:tc>
        <w:tc>
          <w:tcPr>
            <w:tcW w:w="2167" w:type="dxa"/>
            <w:tcBorders>
              <w:top w:val="single" w:sz="4" w:space="0" w:color="auto"/>
              <w:left w:val="single" w:sz="4" w:space="0" w:color="auto"/>
              <w:bottom w:val="single" w:sz="4" w:space="0" w:color="auto"/>
              <w:right w:val="single" w:sz="4" w:space="0" w:color="auto"/>
            </w:tcBorders>
          </w:tcPr>
          <w:p w:rsidR="00490343" w:rsidRDefault="00490343">
            <w:pPr>
              <w:rPr>
                <w:rFonts w:cs="Arial"/>
                <w:iCs/>
              </w:rPr>
            </w:pPr>
            <w:proofErr w:type="spellStart"/>
            <w:r>
              <w:rPr>
                <w:rFonts w:cs="Arial"/>
                <w:iCs/>
              </w:rPr>
              <w:t>Kelsi</w:t>
            </w:r>
            <w:proofErr w:type="spellEnd"/>
            <w:r>
              <w:rPr>
                <w:rFonts w:cs="Arial"/>
                <w:iCs/>
              </w:rPr>
              <w:t xml:space="preserve"> Brown</w:t>
            </w:r>
            <w:r w:rsidR="00F46D39">
              <w:rPr>
                <w:rFonts w:cs="Arial"/>
                <w:iCs/>
              </w:rPr>
              <w:t>/ L. Marsh</w:t>
            </w:r>
          </w:p>
        </w:tc>
        <w:tc>
          <w:tcPr>
            <w:tcW w:w="1620" w:type="dxa"/>
            <w:tcBorders>
              <w:top w:val="single" w:sz="4" w:space="0" w:color="auto"/>
              <w:left w:val="single" w:sz="4" w:space="0" w:color="auto"/>
              <w:bottom w:val="single" w:sz="4" w:space="0" w:color="auto"/>
              <w:right w:val="single" w:sz="4" w:space="0" w:color="auto"/>
            </w:tcBorders>
          </w:tcPr>
          <w:p w:rsidR="00490343" w:rsidRDefault="00F46D39" w:rsidP="00753D86">
            <w:pPr>
              <w:rPr>
                <w:rFonts w:cs="Arial"/>
                <w:iCs/>
              </w:rPr>
            </w:pPr>
            <w:r>
              <w:rPr>
                <w:rFonts w:cs="Arial"/>
                <w:iCs/>
              </w:rPr>
              <w:t>May 29</w:t>
            </w:r>
            <w:r w:rsidR="00490343">
              <w:rPr>
                <w:rFonts w:cs="Arial"/>
                <w:iCs/>
              </w:rPr>
              <w:t>, 2019</w:t>
            </w:r>
          </w:p>
        </w:tc>
        <w:tc>
          <w:tcPr>
            <w:tcW w:w="5040" w:type="dxa"/>
            <w:tcBorders>
              <w:top w:val="single" w:sz="4" w:space="0" w:color="auto"/>
              <w:left w:val="single" w:sz="4" w:space="0" w:color="auto"/>
              <w:bottom w:val="single" w:sz="4" w:space="0" w:color="auto"/>
              <w:right w:val="single" w:sz="4" w:space="0" w:color="auto"/>
            </w:tcBorders>
          </w:tcPr>
          <w:p w:rsidR="00490343" w:rsidRDefault="00490343" w:rsidP="00850072">
            <w:pPr>
              <w:rPr>
                <w:rFonts w:cs="Arial"/>
                <w:iCs/>
              </w:rPr>
            </w:pPr>
            <w:r>
              <w:rPr>
                <w:rFonts w:cs="Arial"/>
                <w:iCs/>
              </w:rPr>
              <w:t>Updated package insert reference.  Updated QC for use with Unity Real Time.</w:t>
            </w:r>
            <w:r w:rsidR="00F46D39">
              <w:rPr>
                <w:rFonts w:cs="Arial"/>
                <w:iCs/>
              </w:rPr>
              <w:t xml:space="preserve">  Added that this assay is not recommended for use with patients undergoing treatment with </w:t>
            </w:r>
            <w:proofErr w:type="spellStart"/>
            <w:r w:rsidR="00F46D39">
              <w:rPr>
                <w:rFonts w:cs="Arial"/>
                <w:iCs/>
              </w:rPr>
              <w:t>deferoxamine</w:t>
            </w:r>
            <w:proofErr w:type="spellEnd"/>
            <w:r w:rsidR="00F46D39">
              <w:rPr>
                <w:rFonts w:cs="Arial"/>
                <w:iCs/>
              </w:rPr>
              <w:t xml:space="preserve"> per package insert.</w:t>
            </w:r>
          </w:p>
        </w:tc>
      </w:tr>
      <w:tr w:rsidR="00273E1F" w:rsidTr="00436FF0">
        <w:tblPrEx>
          <w:tblBorders>
            <w:bottom w:val="single" w:sz="4" w:space="0" w:color="auto"/>
          </w:tblBorders>
        </w:tblPrEx>
        <w:trPr>
          <w:cantSplit/>
          <w:trHeight w:val="255"/>
        </w:trPr>
        <w:tc>
          <w:tcPr>
            <w:tcW w:w="1473" w:type="dxa"/>
            <w:tcBorders>
              <w:left w:val="nil"/>
              <w:bottom w:val="nil"/>
              <w:right w:val="nil"/>
            </w:tcBorders>
          </w:tcPr>
          <w:p w:rsidR="00273E1F" w:rsidRDefault="00273E1F">
            <w:pPr>
              <w:rPr>
                <w:rFonts w:cs="Arial"/>
                <w:b/>
                <w:bCs/>
                <w:color w:val="3366FF"/>
              </w:rPr>
            </w:pPr>
          </w:p>
        </w:tc>
        <w:tc>
          <w:tcPr>
            <w:tcW w:w="9777" w:type="dxa"/>
            <w:gridSpan w:val="4"/>
            <w:tcBorders>
              <w:top w:val="single" w:sz="4" w:space="0" w:color="auto"/>
              <w:left w:val="nil"/>
              <w:bottom w:val="single" w:sz="18" w:space="0" w:color="BFBFBF"/>
              <w:right w:val="nil"/>
            </w:tcBorders>
          </w:tcPr>
          <w:p w:rsidR="00273E1F" w:rsidRDefault="00273E1F">
            <w:pPr>
              <w:rPr>
                <w:rFonts w:cs="Arial"/>
                <w:iCs/>
              </w:rPr>
            </w:pPr>
          </w:p>
        </w:tc>
      </w:tr>
    </w:tbl>
    <w:p w:rsidR="004677C5" w:rsidRDefault="004677C5"/>
    <w:sectPr w:rsidR="004677C5" w:rsidSect="00C076A9">
      <w:headerReference w:type="default" r:id="rId15"/>
      <w:footerReference w:type="default" r:id="rId16"/>
      <w:pgSz w:w="12240" w:h="15840" w:code="1"/>
      <w:pgMar w:top="576" w:right="1354" w:bottom="432"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7B" w:rsidRDefault="0006037B">
      <w:r>
        <w:separator/>
      </w:r>
    </w:p>
  </w:endnote>
  <w:endnote w:type="continuationSeparator" w:id="0">
    <w:p w:rsidR="0006037B" w:rsidRDefault="00060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
    <w:panose1 w:val="00000000000000000000"/>
    <w:charset w:val="00"/>
    <w:family w:val="swiss"/>
    <w:notTrueType/>
    <w:pitch w:val="variable"/>
    <w:sig w:usb0="00000003" w:usb1="00000000" w:usb2="00000000" w:usb3="00000000" w:csb0="00000001" w:csb1="00000000"/>
  </w:font>
  <w:font w:name="HelenPro-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7B" w:rsidRPr="00B57209" w:rsidRDefault="0006037B" w:rsidP="00C076A9">
    <w:pPr>
      <w:tabs>
        <w:tab w:val="left" w:pos="8820"/>
      </w:tabs>
      <w:ind w:left="-1260" w:right="-1260"/>
      <w:rPr>
        <w:rFonts w:cs="Arial"/>
        <w:sz w:val="16"/>
        <w:szCs w:val="16"/>
      </w:rPr>
    </w:pPr>
    <w:r w:rsidRPr="00B57209">
      <w:rPr>
        <w:rFonts w:cs="Arial"/>
        <w:sz w:val="16"/>
        <w:szCs w:val="16"/>
      </w:rPr>
      <w:t>Laboratory, Children’s Hospitals and Clinics of Minnesota, Minneapolis/St. Paul, MN</w:t>
    </w:r>
    <w:r w:rsidRPr="00B57209">
      <w:rPr>
        <w:rFonts w:cs="Arial"/>
        <w:sz w:val="16"/>
        <w:szCs w:val="16"/>
      </w:rPr>
      <w:tab/>
      <w:t xml:space="preserve">Page </w:t>
    </w:r>
    <w:r w:rsidR="008B21A5" w:rsidRPr="00B57209">
      <w:rPr>
        <w:rFonts w:cs="Arial"/>
        <w:sz w:val="16"/>
        <w:szCs w:val="16"/>
      </w:rPr>
      <w:fldChar w:fldCharType="begin"/>
    </w:r>
    <w:r w:rsidRPr="00B57209">
      <w:rPr>
        <w:rFonts w:cs="Arial"/>
        <w:sz w:val="16"/>
        <w:szCs w:val="16"/>
      </w:rPr>
      <w:instrText xml:space="preserve"> PAGE </w:instrText>
    </w:r>
    <w:r w:rsidR="008B21A5" w:rsidRPr="00B57209">
      <w:rPr>
        <w:rFonts w:cs="Arial"/>
        <w:sz w:val="16"/>
        <w:szCs w:val="16"/>
      </w:rPr>
      <w:fldChar w:fldCharType="separate"/>
    </w:r>
    <w:r w:rsidR="00F46D39">
      <w:rPr>
        <w:rFonts w:cs="Arial"/>
        <w:noProof/>
        <w:sz w:val="16"/>
        <w:szCs w:val="16"/>
      </w:rPr>
      <w:t>7</w:t>
    </w:r>
    <w:r w:rsidR="008B21A5" w:rsidRPr="00B57209">
      <w:rPr>
        <w:rFonts w:cs="Arial"/>
        <w:sz w:val="16"/>
        <w:szCs w:val="16"/>
      </w:rPr>
      <w:fldChar w:fldCharType="end"/>
    </w:r>
    <w:r w:rsidRPr="00B57209">
      <w:rPr>
        <w:rFonts w:cs="Arial"/>
        <w:sz w:val="16"/>
        <w:szCs w:val="16"/>
      </w:rPr>
      <w:t xml:space="preserve"> of </w:t>
    </w:r>
    <w:r w:rsidR="008B21A5" w:rsidRPr="00B57209">
      <w:rPr>
        <w:rFonts w:cs="Arial"/>
        <w:sz w:val="16"/>
        <w:szCs w:val="16"/>
      </w:rPr>
      <w:fldChar w:fldCharType="begin"/>
    </w:r>
    <w:r w:rsidRPr="00B57209">
      <w:rPr>
        <w:rFonts w:cs="Arial"/>
        <w:sz w:val="16"/>
        <w:szCs w:val="16"/>
      </w:rPr>
      <w:instrText xml:space="preserve"> NUMPAGES </w:instrText>
    </w:r>
    <w:r w:rsidR="008B21A5" w:rsidRPr="00B57209">
      <w:rPr>
        <w:rFonts w:cs="Arial"/>
        <w:sz w:val="16"/>
        <w:szCs w:val="16"/>
      </w:rPr>
      <w:fldChar w:fldCharType="separate"/>
    </w:r>
    <w:r w:rsidR="00F46D39">
      <w:rPr>
        <w:rFonts w:cs="Arial"/>
        <w:noProof/>
        <w:sz w:val="16"/>
        <w:szCs w:val="16"/>
      </w:rPr>
      <w:t>7</w:t>
    </w:r>
    <w:r w:rsidR="008B21A5" w:rsidRPr="00B57209">
      <w:rPr>
        <w:rFonts w:cs="Arial"/>
        <w:sz w:val="16"/>
        <w:szCs w:val="16"/>
      </w:rPr>
      <w:fldChar w:fldCharType="end"/>
    </w:r>
  </w:p>
  <w:p w:rsidR="0006037B" w:rsidRPr="00B57209" w:rsidRDefault="0006037B" w:rsidP="00C076A9">
    <w:pPr>
      <w:tabs>
        <w:tab w:val="left" w:pos="8820"/>
      </w:tabs>
      <w:ind w:left="-1260" w:right="-1260"/>
      <w:rPr>
        <w:rFonts w:cs="Arial"/>
        <w:sz w:val="16"/>
        <w:szCs w:val="16"/>
      </w:rPr>
    </w:pPr>
    <w:r w:rsidRPr="00B57209">
      <w:rPr>
        <w:rFonts w:cs="Arial"/>
        <w:sz w:val="16"/>
        <w:szCs w:val="16"/>
      </w:rPr>
      <w:t>Printed copy e</w:t>
    </w:r>
    <w:r>
      <w:rPr>
        <w:rFonts w:cs="Arial"/>
        <w:sz w:val="16"/>
        <w:szCs w:val="16"/>
      </w:rPr>
      <w:t>xpires at 2359 on date of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7B" w:rsidRDefault="0006037B">
      <w:r>
        <w:separator/>
      </w:r>
    </w:p>
  </w:footnote>
  <w:footnote w:type="continuationSeparator" w:id="0">
    <w:p w:rsidR="0006037B" w:rsidRDefault="00060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7B" w:rsidRDefault="0006037B">
    <w:pPr>
      <w:ind w:left="-1260" w:right="-1260"/>
      <w:rPr>
        <w:rFonts w:cs="Arial"/>
        <w:sz w:val="18"/>
      </w:rPr>
    </w:pPr>
    <w:r>
      <w:rPr>
        <w:rFonts w:cs="Arial"/>
        <w:sz w:val="18"/>
      </w:rPr>
      <w:t>CH 6.49 Iron</w:t>
    </w:r>
  </w:p>
  <w:p w:rsidR="0006037B" w:rsidRDefault="0006037B">
    <w:pPr>
      <w:ind w:left="-1260" w:right="-1260"/>
      <w:rPr>
        <w:rFonts w:cs="Arial"/>
        <w:sz w:val="18"/>
      </w:rPr>
    </w:pPr>
    <w:r>
      <w:rPr>
        <w:rFonts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-222885</wp:posOffset>
          </wp:positionV>
          <wp:extent cx="1078865" cy="348615"/>
          <wp:effectExtent l="19050" t="0" r="6985" b="0"/>
          <wp:wrapNone/>
          <wp:docPr id="3" name="Picture 3"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RGB_of_PMS280-PMS2925_800x257"/>
                  <pic:cNvPicPr>
                    <a:picLocks noChangeAspect="1" noChangeArrowheads="1"/>
                  </pic:cNvPicPr>
                </pic:nvPicPr>
                <pic:blipFill>
                  <a:blip r:embed="rId1"/>
                  <a:srcRect/>
                  <a:stretch>
                    <a:fillRect/>
                  </a:stretch>
                </pic:blipFill>
                <pic:spPr bwMode="auto">
                  <a:xfrm>
                    <a:off x="0" y="0"/>
                    <a:ext cx="1078865" cy="348615"/>
                  </a:xfrm>
                  <a:prstGeom prst="rect">
                    <a:avLst/>
                  </a:prstGeom>
                  <a:noFill/>
                </pic:spPr>
              </pic:pic>
            </a:graphicData>
          </a:graphic>
        </wp:anchor>
      </w:drawing>
    </w:r>
    <w:r>
      <w:rPr>
        <w:rFonts w:cs="Arial"/>
        <w:sz w:val="18"/>
      </w:rPr>
      <w:t>Version 10</w:t>
    </w:r>
  </w:p>
  <w:p w:rsidR="0006037B" w:rsidRDefault="0006037B">
    <w:pPr>
      <w:ind w:left="-1260" w:right="-1260"/>
      <w:rPr>
        <w:rFonts w:cs="Arial"/>
        <w:sz w:val="18"/>
      </w:rPr>
    </w:pPr>
    <w:r>
      <w:rPr>
        <w:rFonts w:cs="Arial"/>
        <w:sz w:val="18"/>
      </w:rPr>
      <w:t>Effective Date: April 25, 2019</w:t>
    </w:r>
  </w:p>
  <w:p w:rsidR="0006037B" w:rsidRDefault="000603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2FD"/>
    <w:multiLevelType w:val="hybridMultilevel"/>
    <w:tmpl w:val="B28AC4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7A3777"/>
    <w:multiLevelType w:val="hybridMultilevel"/>
    <w:tmpl w:val="0A98D5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EF42D7"/>
    <w:multiLevelType w:val="hybridMultilevel"/>
    <w:tmpl w:val="D1D42B8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163981"/>
    <w:multiLevelType w:val="hybridMultilevel"/>
    <w:tmpl w:val="939EC0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E66EDC"/>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BC7EDF"/>
    <w:multiLevelType w:val="hybridMultilevel"/>
    <w:tmpl w:val="EA4E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A07782"/>
    <w:multiLevelType w:val="hybridMultilevel"/>
    <w:tmpl w:val="0C3E2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BB05BF"/>
    <w:multiLevelType w:val="hybridMultilevel"/>
    <w:tmpl w:val="27F67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447958"/>
    <w:multiLevelType w:val="hybridMultilevel"/>
    <w:tmpl w:val="DF181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91185F"/>
    <w:multiLevelType w:val="hybridMultilevel"/>
    <w:tmpl w:val="95CC29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3274CC6"/>
    <w:multiLevelType w:val="hybridMultilevel"/>
    <w:tmpl w:val="3572A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052653"/>
    <w:multiLevelType w:val="hybridMultilevel"/>
    <w:tmpl w:val="0A9AFC0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076F82"/>
    <w:multiLevelType w:val="hybridMultilevel"/>
    <w:tmpl w:val="55004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AD32213"/>
    <w:multiLevelType w:val="hybridMultilevel"/>
    <w:tmpl w:val="F75AC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022D7A"/>
    <w:multiLevelType w:val="hybridMultilevel"/>
    <w:tmpl w:val="962EE8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C4B4621"/>
    <w:multiLevelType w:val="hybridMultilevel"/>
    <w:tmpl w:val="2F3455C2"/>
    <w:lvl w:ilvl="0" w:tplc="5CB88114">
      <w:start w:val="1"/>
      <w:numFmt w:val="bullet"/>
      <w:lvlText w:val=""/>
      <w:lvlJc w:val="left"/>
      <w:pPr>
        <w:tabs>
          <w:tab w:val="num" w:pos="0"/>
        </w:tabs>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14AB0"/>
    <w:multiLevelType w:val="hybridMultilevel"/>
    <w:tmpl w:val="746E0628"/>
    <w:lvl w:ilvl="0" w:tplc="5CB88114">
      <w:start w:val="1"/>
      <w:numFmt w:val="bullet"/>
      <w:lvlText w:val=""/>
      <w:lvlJc w:val="left"/>
      <w:pPr>
        <w:tabs>
          <w:tab w:val="num" w:pos="1440"/>
        </w:tabs>
        <w:ind w:left="1512" w:hanging="72"/>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4245957"/>
    <w:multiLevelType w:val="hybridMultilevel"/>
    <w:tmpl w:val="746E0628"/>
    <w:lvl w:ilvl="0" w:tplc="5CB88114">
      <w:start w:val="1"/>
      <w:numFmt w:val="bullet"/>
      <w:lvlText w:val=""/>
      <w:lvlJc w:val="left"/>
      <w:pPr>
        <w:tabs>
          <w:tab w:val="num" w:pos="0"/>
        </w:tabs>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D59DC"/>
    <w:multiLevelType w:val="hybridMultilevel"/>
    <w:tmpl w:val="2C0633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0076E0A"/>
    <w:multiLevelType w:val="hybridMultilevel"/>
    <w:tmpl w:val="768A1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995DA5"/>
    <w:multiLevelType w:val="hybridMultilevel"/>
    <w:tmpl w:val="AEA47F00"/>
    <w:lvl w:ilvl="0" w:tplc="12A23B1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AB113FE"/>
    <w:multiLevelType w:val="hybridMultilevel"/>
    <w:tmpl w:val="6BC4B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094DC7"/>
    <w:multiLevelType w:val="hybridMultilevel"/>
    <w:tmpl w:val="01DCAA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A25BC0"/>
    <w:multiLevelType w:val="hybridMultilevel"/>
    <w:tmpl w:val="4CE2CA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852E96"/>
    <w:multiLevelType w:val="hybridMultilevel"/>
    <w:tmpl w:val="BCF20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5942C4"/>
    <w:multiLevelType w:val="hybridMultilevel"/>
    <w:tmpl w:val="478E6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FC7A9F"/>
    <w:multiLevelType w:val="multilevel"/>
    <w:tmpl w:val="2F3455C2"/>
    <w:lvl w:ilvl="0">
      <w:start w:val="1"/>
      <w:numFmt w:val="bullet"/>
      <w:lvlText w:val=""/>
      <w:lvlJc w:val="left"/>
      <w:pPr>
        <w:tabs>
          <w:tab w:val="num" w:pos="0"/>
        </w:tabs>
        <w:ind w:left="7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ADC0F52"/>
    <w:multiLevelType w:val="hybridMultilevel"/>
    <w:tmpl w:val="01D49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BD43825"/>
    <w:multiLevelType w:val="hybridMultilevel"/>
    <w:tmpl w:val="C1F6AC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D2A1264"/>
    <w:multiLevelType w:val="hybridMultilevel"/>
    <w:tmpl w:val="6B9E26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EC75C6A"/>
    <w:multiLevelType w:val="hybridMultilevel"/>
    <w:tmpl w:val="323C6FCC"/>
    <w:lvl w:ilvl="0" w:tplc="5CB88114">
      <w:start w:val="1"/>
      <w:numFmt w:val="bullet"/>
      <w:lvlText w:val=""/>
      <w:lvlJc w:val="left"/>
      <w:pPr>
        <w:tabs>
          <w:tab w:val="num" w:pos="3168"/>
        </w:tabs>
        <w:ind w:left="3240" w:hanging="72"/>
      </w:pPr>
      <w:rPr>
        <w:rFonts w:ascii="Symbol" w:hAnsi="Symbol" w:hint="default"/>
      </w:rPr>
    </w:lvl>
    <w:lvl w:ilvl="1" w:tplc="04090003" w:tentative="1">
      <w:start w:val="1"/>
      <w:numFmt w:val="bullet"/>
      <w:lvlText w:val="o"/>
      <w:lvlJc w:val="left"/>
      <w:pPr>
        <w:ind w:left="4608" w:hanging="360"/>
      </w:pPr>
      <w:rPr>
        <w:rFonts w:ascii="Courier New" w:hAnsi="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hint="default"/>
      </w:rPr>
    </w:lvl>
    <w:lvl w:ilvl="8" w:tplc="04090005" w:tentative="1">
      <w:start w:val="1"/>
      <w:numFmt w:val="bullet"/>
      <w:lvlText w:val=""/>
      <w:lvlJc w:val="left"/>
      <w:pPr>
        <w:ind w:left="9648" w:hanging="360"/>
      </w:pPr>
      <w:rPr>
        <w:rFonts w:ascii="Wingdings" w:hAnsi="Wingdings" w:hint="default"/>
      </w:rPr>
    </w:lvl>
  </w:abstractNum>
  <w:num w:numId="1">
    <w:abstractNumId w:val="4"/>
  </w:num>
  <w:num w:numId="2">
    <w:abstractNumId w:val="13"/>
  </w:num>
  <w:num w:numId="3">
    <w:abstractNumId w:val="28"/>
  </w:num>
  <w:num w:numId="4">
    <w:abstractNumId w:val="7"/>
  </w:num>
  <w:num w:numId="5">
    <w:abstractNumId w:val="20"/>
  </w:num>
  <w:num w:numId="6">
    <w:abstractNumId w:val="17"/>
  </w:num>
  <w:num w:numId="7">
    <w:abstractNumId w:val="3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1"/>
  </w:num>
  <w:num w:numId="12">
    <w:abstractNumId w:val="37"/>
  </w:num>
  <w:num w:numId="13">
    <w:abstractNumId w:val="32"/>
  </w:num>
  <w:num w:numId="14">
    <w:abstractNumId w:val="25"/>
  </w:num>
  <w:num w:numId="15">
    <w:abstractNumId w:val="16"/>
  </w:num>
  <w:num w:numId="16">
    <w:abstractNumId w:val="6"/>
  </w:num>
  <w:num w:numId="17">
    <w:abstractNumId w:val="36"/>
  </w:num>
  <w:num w:numId="18">
    <w:abstractNumId w:val="24"/>
  </w:num>
  <w:num w:numId="19">
    <w:abstractNumId w:val="23"/>
  </w:num>
  <w:num w:numId="20">
    <w:abstractNumId w:val="38"/>
  </w:num>
  <w:num w:numId="21">
    <w:abstractNumId w:val="22"/>
  </w:num>
  <w:num w:numId="22">
    <w:abstractNumId w:val="34"/>
  </w:num>
  <w:num w:numId="23">
    <w:abstractNumId w:val="3"/>
  </w:num>
  <w:num w:numId="24">
    <w:abstractNumId w:val="26"/>
  </w:num>
  <w:num w:numId="25">
    <w:abstractNumId w:val="18"/>
  </w:num>
  <w:num w:numId="26">
    <w:abstractNumId w:val="29"/>
  </w:num>
  <w:num w:numId="27">
    <w:abstractNumId w:val="19"/>
  </w:num>
  <w:num w:numId="28">
    <w:abstractNumId w:val="9"/>
  </w:num>
  <w:num w:numId="29">
    <w:abstractNumId w:val="0"/>
  </w:num>
  <w:num w:numId="30">
    <w:abstractNumId w:val="12"/>
  </w:num>
  <w:num w:numId="31">
    <w:abstractNumId w:val="27"/>
  </w:num>
  <w:num w:numId="32">
    <w:abstractNumId w:val="10"/>
  </w:num>
  <w:num w:numId="33">
    <w:abstractNumId w:val="11"/>
  </w:num>
  <w:num w:numId="34">
    <w:abstractNumId w:val="2"/>
  </w:num>
  <w:num w:numId="35">
    <w:abstractNumId w:val="35"/>
  </w:num>
  <w:num w:numId="36">
    <w:abstractNumId w:val="8"/>
  </w:num>
  <w:num w:numId="37">
    <w:abstractNumId w:val="33"/>
  </w:num>
  <w:num w:numId="38">
    <w:abstractNumId w:val="14"/>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D824C8"/>
    <w:rsid w:val="0002465E"/>
    <w:rsid w:val="000368CC"/>
    <w:rsid w:val="0006037B"/>
    <w:rsid w:val="00097CD5"/>
    <w:rsid w:val="000A2F63"/>
    <w:rsid w:val="000C12BC"/>
    <w:rsid w:val="001249F3"/>
    <w:rsid w:val="001742D2"/>
    <w:rsid w:val="0018738B"/>
    <w:rsid w:val="001F2A0D"/>
    <w:rsid w:val="00223C45"/>
    <w:rsid w:val="00255A82"/>
    <w:rsid w:val="00272816"/>
    <w:rsid w:val="00273E1F"/>
    <w:rsid w:val="00364AB6"/>
    <w:rsid w:val="003806AF"/>
    <w:rsid w:val="003F7BE6"/>
    <w:rsid w:val="00436FF0"/>
    <w:rsid w:val="00447617"/>
    <w:rsid w:val="004645FD"/>
    <w:rsid w:val="004677C5"/>
    <w:rsid w:val="00474EBD"/>
    <w:rsid w:val="00490343"/>
    <w:rsid w:val="004A2D47"/>
    <w:rsid w:val="004C1B3F"/>
    <w:rsid w:val="005E32E9"/>
    <w:rsid w:val="005F0A0F"/>
    <w:rsid w:val="006047C3"/>
    <w:rsid w:val="00606E5E"/>
    <w:rsid w:val="006716D3"/>
    <w:rsid w:val="006B6AE6"/>
    <w:rsid w:val="00705CC3"/>
    <w:rsid w:val="00735AEC"/>
    <w:rsid w:val="0074470C"/>
    <w:rsid w:val="00753D86"/>
    <w:rsid w:val="007B0227"/>
    <w:rsid w:val="007F2BD1"/>
    <w:rsid w:val="00820C5A"/>
    <w:rsid w:val="00850072"/>
    <w:rsid w:val="008507E7"/>
    <w:rsid w:val="00881087"/>
    <w:rsid w:val="008B21A5"/>
    <w:rsid w:val="008B3DEA"/>
    <w:rsid w:val="008C436D"/>
    <w:rsid w:val="008F2EFB"/>
    <w:rsid w:val="00986C5B"/>
    <w:rsid w:val="00992BCB"/>
    <w:rsid w:val="009F432F"/>
    <w:rsid w:val="009F5D11"/>
    <w:rsid w:val="00A31956"/>
    <w:rsid w:val="00A334AA"/>
    <w:rsid w:val="00A338DE"/>
    <w:rsid w:val="00A81DD2"/>
    <w:rsid w:val="00A93AA4"/>
    <w:rsid w:val="00AB3938"/>
    <w:rsid w:val="00AE3ACF"/>
    <w:rsid w:val="00AF3203"/>
    <w:rsid w:val="00B30F7F"/>
    <w:rsid w:val="00B556A8"/>
    <w:rsid w:val="00B57209"/>
    <w:rsid w:val="00B65DFE"/>
    <w:rsid w:val="00B775D2"/>
    <w:rsid w:val="00B80BD0"/>
    <w:rsid w:val="00B830A2"/>
    <w:rsid w:val="00BA4CAD"/>
    <w:rsid w:val="00C076A9"/>
    <w:rsid w:val="00C12140"/>
    <w:rsid w:val="00C8065E"/>
    <w:rsid w:val="00C8374F"/>
    <w:rsid w:val="00CD0731"/>
    <w:rsid w:val="00D02EF4"/>
    <w:rsid w:val="00D824C8"/>
    <w:rsid w:val="00E008A2"/>
    <w:rsid w:val="00E33439"/>
    <w:rsid w:val="00EC6D46"/>
    <w:rsid w:val="00EE4729"/>
    <w:rsid w:val="00F46D39"/>
    <w:rsid w:val="00F76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3" type="connector" idref="#_x0000_s1043"/>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3F"/>
    <w:rPr>
      <w:rFonts w:ascii="Arial" w:hAnsi="Arial"/>
      <w:szCs w:val="24"/>
    </w:rPr>
  </w:style>
  <w:style w:type="paragraph" w:styleId="Heading1">
    <w:name w:val="heading 1"/>
    <w:basedOn w:val="Normal"/>
    <w:next w:val="Normal"/>
    <w:qFormat/>
    <w:rsid w:val="004C1B3F"/>
    <w:pPr>
      <w:keepNext/>
      <w:numPr>
        <w:numId w:val="11"/>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4C1B3F"/>
    <w:pPr>
      <w:keepNext/>
      <w:numPr>
        <w:ilvl w:val="1"/>
        <w:numId w:val="11"/>
      </w:numPr>
      <w:jc w:val="both"/>
      <w:outlineLvl w:val="1"/>
    </w:pPr>
    <w:rPr>
      <w:rFonts w:ascii="Times New Roman" w:hAnsi="Times New Roman" w:cs="Arial"/>
      <w:b/>
      <w:bCs/>
      <w:iCs/>
      <w:sz w:val="24"/>
      <w:szCs w:val="28"/>
    </w:rPr>
  </w:style>
  <w:style w:type="paragraph" w:styleId="Heading3">
    <w:name w:val="heading 3"/>
    <w:basedOn w:val="Normal"/>
    <w:next w:val="Normal"/>
    <w:qFormat/>
    <w:rsid w:val="004C1B3F"/>
    <w:pPr>
      <w:keepNext/>
      <w:numPr>
        <w:ilvl w:val="2"/>
        <w:numId w:val="11"/>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4C1B3F"/>
    <w:pPr>
      <w:keepNext/>
      <w:numPr>
        <w:ilvl w:val="3"/>
        <w:numId w:val="11"/>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4C1B3F"/>
    <w:pPr>
      <w:keepNext/>
      <w:numPr>
        <w:ilvl w:val="4"/>
        <w:numId w:val="11"/>
      </w:numPr>
      <w:spacing w:before="20"/>
      <w:jc w:val="both"/>
      <w:outlineLvl w:val="4"/>
    </w:pPr>
    <w:rPr>
      <w:rFonts w:ascii="Times New Roman" w:hAnsi="Times New Roman"/>
      <w:sz w:val="22"/>
    </w:rPr>
  </w:style>
  <w:style w:type="paragraph" w:styleId="Heading6">
    <w:name w:val="heading 6"/>
    <w:basedOn w:val="Normal"/>
    <w:next w:val="Normal"/>
    <w:qFormat/>
    <w:rsid w:val="004C1B3F"/>
    <w:pPr>
      <w:keepNext/>
      <w:numPr>
        <w:ilvl w:val="5"/>
        <w:numId w:val="11"/>
      </w:numPr>
      <w:jc w:val="both"/>
      <w:outlineLvl w:val="5"/>
    </w:pPr>
    <w:rPr>
      <w:rFonts w:ascii="Times New Roman" w:hAnsi="Times New Roman"/>
      <w:b/>
      <w:bCs/>
      <w:sz w:val="18"/>
    </w:rPr>
  </w:style>
  <w:style w:type="paragraph" w:styleId="Heading7">
    <w:name w:val="heading 7"/>
    <w:basedOn w:val="Normal"/>
    <w:next w:val="Normal"/>
    <w:qFormat/>
    <w:rsid w:val="004C1B3F"/>
    <w:pPr>
      <w:keepNext/>
      <w:numPr>
        <w:ilvl w:val="6"/>
        <w:numId w:val="11"/>
      </w:numPr>
      <w:jc w:val="both"/>
      <w:outlineLvl w:val="6"/>
    </w:pPr>
    <w:rPr>
      <w:rFonts w:ascii="Times New Roman" w:hAnsi="Times New Roman"/>
      <w:sz w:val="28"/>
    </w:rPr>
  </w:style>
  <w:style w:type="paragraph" w:styleId="Heading8">
    <w:name w:val="heading 8"/>
    <w:basedOn w:val="Normal"/>
    <w:next w:val="Normal"/>
    <w:qFormat/>
    <w:rsid w:val="004C1B3F"/>
    <w:pPr>
      <w:keepNext/>
      <w:numPr>
        <w:ilvl w:val="7"/>
        <w:numId w:val="11"/>
      </w:numPr>
      <w:jc w:val="center"/>
      <w:outlineLvl w:val="7"/>
    </w:pPr>
    <w:rPr>
      <w:rFonts w:ascii="Times New Roman" w:hAnsi="Times New Roman"/>
      <w:b/>
      <w:bCs/>
      <w:sz w:val="22"/>
    </w:rPr>
  </w:style>
  <w:style w:type="paragraph" w:styleId="Heading9">
    <w:name w:val="heading 9"/>
    <w:basedOn w:val="Normal"/>
    <w:next w:val="Normal"/>
    <w:qFormat/>
    <w:rsid w:val="004C1B3F"/>
    <w:pPr>
      <w:keepNext/>
      <w:numPr>
        <w:ilvl w:val="8"/>
        <w:numId w:val="11"/>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1B3F"/>
    <w:pPr>
      <w:tabs>
        <w:tab w:val="center" w:pos="4320"/>
        <w:tab w:val="right" w:pos="8640"/>
      </w:tabs>
    </w:pPr>
  </w:style>
  <w:style w:type="paragraph" w:styleId="Footer">
    <w:name w:val="footer"/>
    <w:basedOn w:val="Normal"/>
    <w:semiHidden/>
    <w:rsid w:val="004C1B3F"/>
    <w:pPr>
      <w:tabs>
        <w:tab w:val="center" w:pos="4320"/>
        <w:tab w:val="right" w:pos="8640"/>
      </w:tabs>
    </w:pPr>
  </w:style>
  <w:style w:type="paragraph" w:customStyle="1" w:styleId="CalVerTable">
    <w:name w:val="CalVerTable"/>
    <w:basedOn w:val="BodyText"/>
    <w:rsid w:val="004C1B3F"/>
    <w:pPr>
      <w:spacing w:after="40" w:line="160" w:lineRule="atLeast"/>
      <w:ind w:left="3240" w:hanging="3240"/>
    </w:pPr>
    <w:rPr>
      <w:rFonts w:ascii="Times New Roman" w:hAnsi="Times New Roman"/>
      <w:szCs w:val="20"/>
    </w:rPr>
  </w:style>
  <w:style w:type="paragraph" w:styleId="BodyText">
    <w:name w:val="Body Text"/>
    <w:basedOn w:val="Normal"/>
    <w:semiHidden/>
    <w:rsid w:val="004C1B3F"/>
    <w:pPr>
      <w:spacing w:after="120"/>
    </w:pPr>
  </w:style>
  <w:style w:type="paragraph" w:customStyle="1" w:styleId="Reagents">
    <w:name w:val="Reagents"/>
    <w:basedOn w:val="Normal"/>
    <w:rsid w:val="004C1B3F"/>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character" w:customStyle="1" w:styleId="A7">
    <w:name w:val="A7"/>
    <w:rsid w:val="004C1B3F"/>
    <w:rPr>
      <w:b/>
      <w:bCs/>
      <w:color w:val="000000"/>
      <w:sz w:val="15"/>
      <w:szCs w:val="15"/>
    </w:rPr>
  </w:style>
  <w:style w:type="paragraph" w:customStyle="1" w:styleId="Pa8">
    <w:name w:val="Pa8"/>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13">
    <w:name w:val="Pa13"/>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12">
    <w:name w:val="Pa12"/>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4">
    <w:name w:val="Pa4"/>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14">
    <w:name w:val="Pa14"/>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17">
    <w:name w:val="Pa17"/>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Pa18">
    <w:name w:val="Pa18"/>
    <w:basedOn w:val="Normal"/>
    <w:next w:val="Normal"/>
    <w:rsid w:val="004C1B3F"/>
    <w:pPr>
      <w:autoSpaceDE w:val="0"/>
      <w:autoSpaceDN w:val="0"/>
      <w:adjustRightInd w:val="0"/>
      <w:spacing w:line="151" w:lineRule="atLeast"/>
    </w:pPr>
    <w:rPr>
      <w:rFonts w:ascii="Helen Pro Cond" w:hAnsi="Helen Pro Cond"/>
      <w:sz w:val="24"/>
    </w:rPr>
  </w:style>
  <w:style w:type="paragraph" w:customStyle="1" w:styleId="Bullets">
    <w:name w:val="Bullets"/>
    <w:basedOn w:val="Normal"/>
    <w:rsid w:val="004C1B3F"/>
    <w:pPr>
      <w:spacing w:after="40" w:line="160" w:lineRule="atLeast"/>
      <w:ind w:left="274" w:hanging="274"/>
    </w:pPr>
    <w:rPr>
      <w:rFonts w:ascii="Times New Roman" w:hAnsi="Times New Roman"/>
      <w:szCs w:val="20"/>
    </w:rPr>
  </w:style>
  <w:style w:type="paragraph" w:customStyle="1" w:styleId="Bodytext0">
    <w:name w:val="Body text"/>
    <w:basedOn w:val="Normal"/>
    <w:rsid w:val="004C1B3F"/>
    <w:pPr>
      <w:suppressAutoHyphens/>
      <w:autoSpaceDE w:val="0"/>
      <w:autoSpaceDN w:val="0"/>
      <w:adjustRightInd w:val="0"/>
      <w:spacing w:after="43" w:line="150" w:lineRule="atLeast"/>
      <w:textAlignment w:val="center"/>
    </w:pPr>
    <w:rPr>
      <w:rFonts w:ascii="Helen Pro Cond" w:hAnsi="Helen Pro Cond" w:cs="Helen Pro Cond"/>
      <w:color w:val="000000"/>
      <w:sz w:val="15"/>
      <w:szCs w:val="15"/>
    </w:rPr>
  </w:style>
  <w:style w:type="paragraph" w:customStyle="1" w:styleId="ArrowPara">
    <w:name w:val="Arrow Para"/>
    <w:basedOn w:val="Normal"/>
    <w:rsid w:val="004C1B3F"/>
    <w:pPr>
      <w:tabs>
        <w:tab w:val="center" w:pos="720"/>
      </w:tabs>
      <w:autoSpaceDE w:val="0"/>
      <w:autoSpaceDN w:val="0"/>
      <w:adjustRightInd w:val="0"/>
      <w:spacing w:after="58" w:line="130" w:lineRule="atLeast"/>
      <w:textAlignment w:val="center"/>
    </w:pPr>
    <w:rPr>
      <w:rFonts w:ascii="Helen Pro Cond" w:hAnsi="Helen Pro Cond" w:cs="Helen Pro Cond"/>
      <w:color w:val="000000"/>
      <w:sz w:val="13"/>
      <w:szCs w:val="13"/>
    </w:rPr>
  </w:style>
  <w:style w:type="paragraph" w:customStyle="1" w:styleId="Heading">
    <w:name w:val="Heading"/>
    <w:basedOn w:val="Normal"/>
    <w:rsid w:val="004C1B3F"/>
    <w:pPr>
      <w:spacing w:after="40" w:line="160" w:lineRule="atLeast"/>
    </w:pPr>
    <w:rPr>
      <w:rFonts w:ascii="Times New Roman" w:hAnsi="Times New Roman"/>
      <w:b/>
      <w:szCs w:val="20"/>
    </w:rPr>
  </w:style>
  <w:style w:type="paragraph" w:customStyle="1" w:styleId="Subhead1">
    <w:name w:val="Subhead 1"/>
    <w:basedOn w:val="Normal"/>
    <w:rsid w:val="004C1B3F"/>
    <w:pPr>
      <w:suppressAutoHyphens/>
      <w:autoSpaceDE w:val="0"/>
      <w:autoSpaceDN w:val="0"/>
      <w:adjustRightInd w:val="0"/>
      <w:spacing w:before="72" w:line="150" w:lineRule="atLeast"/>
      <w:textAlignment w:val="center"/>
    </w:pPr>
    <w:rPr>
      <w:rFonts w:ascii="Helen Pro Cond" w:hAnsi="Helen Pro Cond" w:cs="Helen Pro Cond"/>
      <w:b/>
      <w:bCs/>
      <w:color w:val="000000"/>
      <w:sz w:val="15"/>
      <w:szCs w:val="15"/>
    </w:rPr>
  </w:style>
  <w:style w:type="paragraph" w:customStyle="1" w:styleId="Calibrationpara">
    <w:name w:val="Calibration para"/>
    <w:basedOn w:val="Normal"/>
    <w:rsid w:val="004C1B3F"/>
    <w:pPr>
      <w:tabs>
        <w:tab w:val="left" w:pos="1260"/>
        <w:tab w:val="left" w:pos="1665"/>
      </w:tabs>
      <w:autoSpaceDE w:val="0"/>
      <w:autoSpaceDN w:val="0"/>
      <w:adjustRightInd w:val="0"/>
      <w:spacing w:after="29" w:line="140" w:lineRule="atLeast"/>
      <w:ind w:left="1656" w:hanging="1656"/>
      <w:textAlignment w:val="center"/>
    </w:pPr>
    <w:rPr>
      <w:rFonts w:ascii="Helen Pro Cond" w:hAnsi="Helen Pro Cond" w:cs="Helen Pro Cond"/>
      <w:color w:val="000000"/>
      <w:sz w:val="14"/>
      <w:szCs w:val="14"/>
    </w:rPr>
  </w:style>
  <w:style w:type="character" w:customStyle="1" w:styleId="Subscript">
    <w:name w:val="Subscript"/>
    <w:rsid w:val="004C1B3F"/>
    <w:rPr>
      <w:rFonts w:ascii="Helen Pro Cond" w:hAnsi="Helen Pro Cond" w:cs="Helen Pro Cond"/>
      <w:spacing w:val="0"/>
      <w:position w:val="2"/>
      <w:sz w:val="15"/>
      <w:szCs w:val="15"/>
      <w:u w:val="none"/>
      <w:vertAlign w:val="subscript"/>
    </w:rPr>
  </w:style>
  <w:style w:type="paragraph" w:customStyle="1" w:styleId="NoParagraphStyle">
    <w:name w:val="[No Paragraph Style]"/>
    <w:rsid w:val="004C1B3F"/>
    <w:pPr>
      <w:autoSpaceDE w:val="0"/>
      <w:autoSpaceDN w:val="0"/>
      <w:adjustRightInd w:val="0"/>
      <w:spacing w:line="288" w:lineRule="auto"/>
      <w:textAlignment w:val="center"/>
    </w:pPr>
    <w:rPr>
      <w:rFonts w:ascii="Times" w:hAnsi="Times" w:cs="Times"/>
      <w:color w:val="000000"/>
      <w:sz w:val="24"/>
      <w:szCs w:val="24"/>
    </w:rPr>
  </w:style>
  <w:style w:type="paragraph" w:customStyle="1" w:styleId="regtrademarkstatement">
    <w:name w:val="reg trademark statement"/>
    <w:basedOn w:val="Normal"/>
    <w:rsid w:val="004C1B3F"/>
    <w:pPr>
      <w:tabs>
        <w:tab w:val="left" w:pos="180"/>
      </w:tabs>
      <w:suppressAutoHyphens/>
      <w:autoSpaceDE w:val="0"/>
      <w:autoSpaceDN w:val="0"/>
      <w:adjustRightInd w:val="0"/>
      <w:spacing w:before="72" w:after="14" w:line="140" w:lineRule="atLeast"/>
      <w:textAlignment w:val="center"/>
    </w:pPr>
    <w:rPr>
      <w:rFonts w:ascii="Helen Pro Cond" w:hAnsi="Helen Pro Cond" w:cs="Helen Pro Cond"/>
      <w:color w:val="000000"/>
      <w:sz w:val="14"/>
      <w:szCs w:val="14"/>
    </w:rPr>
  </w:style>
  <w:style w:type="character" w:customStyle="1" w:styleId="BoldBodyText">
    <w:name w:val="Bold Body Text"/>
    <w:rsid w:val="004C1B3F"/>
    <w:rPr>
      <w:rFonts w:ascii="Helen Pro Cond" w:hAnsi="Helen Pro Cond" w:cs="Helen Pro Cond"/>
      <w:b/>
      <w:bCs/>
      <w:color w:val="000000"/>
      <w:spacing w:val="0"/>
      <w:w w:val="100"/>
      <w:position w:val="0"/>
      <w:sz w:val="15"/>
      <w:szCs w:val="15"/>
      <w:u w:val="none"/>
      <w:vertAlign w:val="baseline"/>
    </w:rPr>
  </w:style>
  <w:style w:type="character" w:customStyle="1" w:styleId="Body">
    <w:name w:val="Body"/>
    <w:rsid w:val="004C1B3F"/>
    <w:rPr>
      <w:rFonts w:ascii="Helen Pro Cond" w:hAnsi="Helen Pro Cond" w:cs="Helen Pro Cond"/>
      <w:color w:val="000000"/>
      <w:spacing w:val="0"/>
      <w:w w:val="100"/>
      <w:position w:val="0"/>
      <w:sz w:val="14"/>
      <w:szCs w:val="14"/>
      <w:u w:val="none"/>
      <w:vertAlign w:val="baseline"/>
    </w:rPr>
  </w:style>
  <w:style w:type="character" w:customStyle="1" w:styleId="ItalicBodyText">
    <w:name w:val="Italic Body Text"/>
    <w:rsid w:val="004C1B3F"/>
    <w:rPr>
      <w:rFonts w:ascii="Helen Pro Cond" w:hAnsi="Helen Pro Cond" w:cs="Helen Pro Cond"/>
      <w:i/>
      <w:iCs/>
      <w:sz w:val="15"/>
      <w:szCs w:val="15"/>
    </w:rPr>
  </w:style>
  <w:style w:type="character" w:customStyle="1" w:styleId="Superscript">
    <w:name w:val="Superscript"/>
    <w:rsid w:val="004C1B3F"/>
    <w:rPr>
      <w:rFonts w:ascii="Helen Pro Cond" w:hAnsi="Helen Pro Cond" w:cs="Helen Pro Cond"/>
      <w:spacing w:val="0"/>
      <w:sz w:val="15"/>
      <w:szCs w:val="15"/>
      <w:u w:val="none"/>
      <w:vertAlign w:val="superscript"/>
    </w:rPr>
  </w:style>
  <w:style w:type="paragraph" w:customStyle="1" w:styleId="BodyTextRiskandSafety">
    <w:name w:val="Body Text (Risk and Safety)"/>
    <w:basedOn w:val="NoParagraphStyle"/>
    <w:rsid w:val="004C1B3F"/>
    <w:pPr>
      <w:tabs>
        <w:tab w:val="left" w:pos="1780"/>
      </w:tabs>
      <w:suppressAutoHyphens/>
      <w:spacing w:line="150" w:lineRule="atLeast"/>
      <w:ind w:left="900"/>
    </w:pPr>
    <w:rPr>
      <w:rFonts w:ascii="Helen Pro Cond" w:hAnsi="Helen Pro Cond" w:cs="Helen Pro Cond"/>
      <w:sz w:val="15"/>
      <w:szCs w:val="15"/>
    </w:rPr>
  </w:style>
  <w:style w:type="character" w:customStyle="1" w:styleId="ShadeBodyTextCondensed">
    <w:name w:val="Shade Body Text (Condensed)"/>
    <w:rsid w:val="004C1B3F"/>
    <w:rPr>
      <w:rFonts w:ascii="Helen Pro Cond" w:hAnsi="Helen Pro Cond" w:cs="Helen Pro Cond"/>
      <w:u w:val="thick" w:color="000000"/>
    </w:rPr>
  </w:style>
  <w:style w:type="character" w:customStyle="1" w:styleId="ShadeBodyTextBoldCondensed">
    <w:name w:val="Shade Body Text (Bold Condensed)"/>
    <w:rsid w:val="004C1B3F"/>
    <w:rPr>
      <w:rFonts w:ascii="Helen Pro Cond" w:hAnsi="Helen Pro Cond" w:cs="Helen Pro Cond"/>
      <w:b/>
      <w:bCs/>
      <w:u w:val="thick" w:color="000000"/>
    </w:rPr>
  </w:style>
  <w:style w:type="character" w:customStyle="1" w:styleId="TableBodyText">
    <w:name w:val="Table Body Text"/>
    <w:rsid w:val="004C1B3F"/>
    <w:rPr>
      <w:rFonts w:ascii="Helen Pro Cond" w:hAnsi="Helen Pro Cond" w:cs="Helen Pro Cond"/>
      <w:position w:val="0"/>
      <w:sz w:val="14"/>
      <w:szCs w:val="14"/>
    </w:rPr>
  </w:style>
  <w:style w:type="paragraph" w:customStyle="1" w:styleId="Footnotes">
    <w:name w:val="Footnotes"/>
    <w:basedOn w:val="NoParagraphStyle"/>
    <w:rsid w:val="004C1B3F"/>
    <w:pPr>
      <w:tabs>
        <w:tab w:val="left" w:pos="180"/>
      </w:tabs>
      <w:suppressAutoHyphens/>
      <w:spacing w:after="14" w:line="140" w:lineRule="atLeast"/>
      <w:ind w:left="180" w:hanging="180"/>
    </w:pPr>
    <w:rPr>
      <w:rFonts w:ascii="Helen Pro Cond" w:hAnsi="Helen Pro Cond" w:cs="Helen Pro Cond"/>
      <w:sz w:val="14"/>
      <w:szCs w:val="14"/>
    </w:rPr>
  </w:style>
  <w:style w:type="paragraph" w:customStyle="1" w:styleId="TableText1">
    <w:name w:val="Table Text 1"/>
    <w:basedOn w:val="NoParagraphStyle"/>
    <w:rsid w:val="004C1B3F"/>
    <w:pPr>
      <w:tabs>
        <w:tab w:val="center" w:pos="675"/>
        <w:tab w:val="left" w:pos="1125"/>
        <w:tab w:val="center" w:pos="2295"/>
        <w:tab w:val="center" w:pos="3105"/>
      </w:tabs>
      <w:spacing w:line="140" w:lineRule="atLeast"/>
    </w:pPr>
    <w:rPr>
      <w:rFonts w:ascii="Helen Pro Cond" w:hAnsi="Helen Pro Cond" w:cs="Helen Pro Cond"/>
      <w:sz w:val="14"/>
      <w:szCs w:val="14"/>
    </w:rPr>
  </w:style>
  <w:style w:type="paragraph" w:customStyle="1" w:styleId="EnterLines">
    <w:name w:val="EnterLines"/>
    <w:basedOn w:val="Normal"/>
    <w:rsid w:val="004C1B3F"/>
    <w:pPr>
      <w:spacing w:after="160" w:line="160" w:lineRule="atLeast"/>
      <w:ind w:left="274" w:hanging="274"/>
    </w:pPr>
    <w:rPr>
      <w:rFonts w:ascii="Times New Roman" w:hAnsi="Times New Roman"/>
      <w:szCs w:val="20"/>
    </w:rPr>
  </w:style>
  <w:style w:type="character" w:styleId="Hyperlink">
    <w:name w:val="Hyperlink"/>
    <w:basedOn w:val="DefaultParagraphFont"/>
    <w:semiHidden/>
    <w:rsid w:val="004C1B3F"/>
    <w:rPr>
      <w:color w:val="0000FF"/>
      <w:u w:val="single"/>
    </w:rPr>
  </w:style>
  <w:style w:type="paragraph" w:customStyle="1" w:styleId="TableText">
    <w:name w:val="Table Text"/>
    <w:basedOn w:val="Normal"/>
    <w:rsid w:val="00097CD5"/>
    <w:pPr>
      <w:autoSpaceDE w:val="0"/>
      <w:autoSpaceDN w:val="0"/>
    </w:pPr>
    <w:rPr>
      <w:rFonts w:ascii="Times New Roman" w:hAnsi="Times New Roman"/>
    </w:rPr>
  </w:style>
  <w:style w:type="paragraph" w:styleId="BalloonText">
    <w:name w:val="Balloon Text"/>
    <w:basedOn w:val="Normal"/>
    <w:link w:val="BalloonTextChar"/>
    <w:uiPriority w:val="99"/>
    <w:semiHidden/>
    <w:unhideWhenUsed/>
    <w:rsid w:val="00B830A2"/>
    <w:rPr>
      <w:rFonts w:ascii="Tahoma" w:hAnsi="Tahoma" w:cs="Tahoma"/>
      <w:sz w:val="16"/>
      <w:szCs w:val="16"/>
    </w:rPr>
  </w:style>
  <w:style w:type="character" w:customStyle="1" w:styleId="BalloonTextChar">
    <w:name w:val="Balloon Text Char"/>
    <w:basedOn w:val="DefaultParagraphFont"/>
    <w:link w:val="BalloonText"/>
    <w:uiPriority w:val="99"/>
    <w:semiHidden/>
    <w:rsid w:val="00B830A2"/>
    <w:rPr>
      <w:rFonts w:ascii="Tahoma" w:hAnsi="Tahoma" w:cs="Tahoma"/>
      <w:sz w:val="16"/>
      <w:szCs w:val="16"/>
    </w:rPr>
  </w:style>
  <w:style w:type="character" w:customStyle="1" w:styleId="A5">
    <w:name w:val="A5"/>
    <w:uiPriority w:val="99"/>
    <w:rsid w:val="00CD0731"/>
    <w:rPr>
      <w:rFonts w:cs="Helvetica Condensed"/>
      <w:color w:val="000000"/>
      <w:sz w:val="7"/>
      <w:szCs w:val="7"/>
    </w:rPr>
  </w:style>
  <w:style w:type="character" w:styleId="FollowedHyperlink">
    <w:name w:val="FollowedHyperlink"/>
    <w:basedOn w:val="DefaultParagraphFont"/>
    <w:uiPriority w:val="99"/>
    <w:semiHidden/>
    <w:unhideWhenUsed/>
    <w:rsid w:val="009F432F"/>
    <w:rPr>
      <w:color w:val="800080"/>
      <w:u w:val="single"/>
    </w:rPr>
  </w:style>
  <w:style w:type="paragraph" w:styleId="ListParagraph">
    <w:name w:val="List Paragraph"/>
    <w:basedOn w:val="Normal"/>
    <w:uiPriority w:val="34"/>
    <w:qFormat/>
    <w:rsid w:val="00F46D39"/>
    <w:pPr>
      <w:ind w:left="720"/>
      <w:contextualSpacing/>
    </w:pPr>
  </w:style>
</w:styles>
</file>

<file path=word/webSettings.xml><?xml version="1.0" encoding="utf-8"?>
<w:webSettings xmlns:r="http://schemas.openxmlformats.org/officeDocument/2006/relationships" xmlns:w="http://schemas.openxmlformats.org/wordprocessingml/2006/main">
  <w:divs>
    <w:div w:id="1644771406">
      <w:bodyDiv w:val="1"/>
      <w:marLeft w:val="0"/>
      <w:marRight w:val="0"/>
      <w:marTop w:val="0"/>
      <w:marBottom w:val="0"/>
      <w:divBdr>
        <w:top w:val="none" w:sz="0" w:space="0" w:color="auto"/>
        <w:left w:val="none" w:sz="0" w:space="0" w:color="auto"/>
        <w:bottom w:val="none" w:sz="0" w:space="0" w:color="auto"/>
        <w:right w:val="none" w:sz="0" w:space="0" w:color="auto"/>
      </w:divBdr>
      <w:divsChild>
        <w:div w:id="1293516014">
          <w:marLeft w:val="0"/>
          <w:marRight w:val="0"/>
          <w:marTop w:val="0"/>
          <w:marBottom w:val="0"/>
          <w:divBdr>
            <w:top w:val="none" w:sz="0" w:space="0" w:color="auto"/>
            <w:left w:val="none" w:sz="0" w:space="0" w:color="auto"/>
            <w:bottom w:val="none" w:sz="0" w:space="0" w:color="auto"/>
            <w:right w:val="none" w:sz="0" w:space="0" w:color="auto"/>
          </w:divBdr>
          <w:divsChild>
            <w:div w:id="922764989">
              <w:marLeft w:val="0"/>
              <w:marRight w:val="0"/>
              <w:marTop w:val="0"/>
              <w:marBottom w:val="0"/>
              <w:divBdr>
                <w:top w:val="none" w:sz="0" w:space="0" w:color="auto"/>
                <w:left w:val="none" w:sz="0" w:space="0" w:color="auto"/>
                <w:bottom w:val="none" w:sz="0" w:space="0" w:color="auto"/>
                <w:right w:val="none" w:sz="0" w:space="0" w:color="auto"/>
              </w:divBdr>
              <w:divsChild>
                <w:div w:id="2025592688">
                  <w:marLeft w:val="0"/>
                  <w:marRight w:val="0"/>
                  <w:marTop w:val="0"/>
                  <w:marBottom w:val="0"/>
                  <w:divBdr>
                    <w:top w:val="none" w:sz="0" w:space="0" w:color="auto"/>
                    <w:left w:val="none" w:sz="0" w:space="0" w:color="auto"/>
                    <w:bottom w:val="none" w:sz="0" w:space="0" w:color="auto"/>
                    <w:right w:val="none" w:sz="0" w:space="0" w:color="auto"/>
                  </w:divBdr>
                  <w:divsChild>
                    <w:div w:id="2132091376">
                      <w:marLeft w:val="0"/>
                      <w:marRight w:val="0"/>
                      <w:marTop w:val="0"/>
                      <w:marBottom w:val="0"/>
                      <w:divBdr>
                        <w:top w:val="none" w:sz="0" w:space="0" w:color="auto"/>
                        <w:left w:val="none" w:sz="0" w:space="0" w:color="auto"/>
                        <w:bottom w:val="none" w:sz="0" w:space="0" w:color="auto"/>
                        <w:right w:val="none" w:sz="0" w:space="0" w:color="auto"/>
                      </w:divBdr>
                      <w:divsChild>
                        <w:div w:id="114058180">
                          <w:marLeft w:val="0"/>
                          <w:marRight w:val="0"/>
                          <w:marTop w:val="0"/>
                          <w:marBottom w:val="0"/>
                          <w:divBdr>
                            <w:top w:val="none" w:sz="0" w:space="0" w:color="auto"/>
                            <w:left w:val="none" w:sz="0" w:space="0" w:color="auto"/>
                            <w:bottom w:val="none" w:sz="0" w:space="0" w:color="auto"/>
                            <w:right w:val="none" w:sz="0" w:space="0" w:color="auto"/>
                          </w:divBdr>
                          <w:divsChild>
                            <w:div w:id="455635242">
                              <w:marLeft w:val="0"/>
                              <w:marRight w:val="0"/>
                              <w:marTop w:val="196"/>
                              <w:marBottom w:val="0"/>
                              <w:divBdr>
                                <w:top w:val="none" w:sz="0" w:space="0" w:color="auto"/>
                                <w:left w:val="none" w:sz="0" w:space="0" w:color="auto"/>
                                <w:bottom w:val="none" w:sz="0" w:space="0" w:color="auto"/>
                                <w:right w:val="none" w:sz="0" w:space="0" w:color="auto"/>
                              </w:divBdr>
                              <w:divsChild>
                                <w:div w:id="997031819">
                                  <w:marLeft w:val="0"/>
                                  <w:marRight w:val="0"/>
                                  <w:marTop w:val="0"/>
                                  <w:marBottom w:val="0"/>
                                  <w:divBdr>
                                    <w:top w:val="none" w:sz="0" w:space="0" w:color="auto"/>
                                    <w:left w:val="none" w:sz="0" w:space="0" w:color="auto"/>
                                    <w:bottom w:val="single" w:sz="4" w:space="0" w:color="999999"/>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healthineers.com/laboratory-diagnostics" TargetMode="Externa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quality/ch-2.18-westgard-rules-in-chemist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sdsmanagement.msdsonline.com/a07dc954-23d8-42a9-b591-ef5763cdfd33/ebinder/?nas=True" TargetMode="External"/><Relationship Id="rId14" Type="http://schemas.openxmlformats.org/officeDocument/2006/relationships/hyperlink" Target="https://starnet.childrenshc.org/References/labsop/chem/procedure/ch5.101-hil-on-dimension-vista-5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4172-10A0-423E-BC07-A2A183C1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Iron</vt:lpstr>
    </vt:vector>
  </TitlesOfParts>
  <Company>Children's Hospitals and Clinics of MN</Company>
  <LinksUpToDate>false</LinksUpToDate>
  <CharactersWithSpaces>12897</CharactersWithSpaces>
  <SharedDoc>false</SharedDoc>
  <HLinks>
    <vt:vector size="12" baseType="variant">
      <vt:variant>
        <vt:i4>4390980</vt:i4>
      </vt:variant>
      <vt:variant>
        <vt:i4>3</vt:i4>
      </vt:variant>
      <vt:variant>
        <vt:i4>0</vt:i4>
      </vt:variant>
      <vt:variant>
        <vt:i4>5</vt:i4>
      </vt:variant>
      <vt:variant>
        <vt:lpwstr>http://khan.childrensmn.org/Manuals/Lab/SOP/Chem/Procedure/206820.pdf</vt:lpwstr>
      </vt:variant>
      <vt:variant>
        <vt:lpwstr/>
      </vt:variant>
      <vt:variant>
        <vt:i4>7602292</vt:i4>
      </vt:variant>
      <vt:variant>
        <vt:i4>0</vt:i4>
      </vt:variant>
      <vt:variant>
        <vt:i4>0</vt:i4>
      </vt:variant>
      <vt:variant>
        <vt:i4>5</vt:i4>
      </vt:variant>
      <vt:variant>
        <vt:lpwstr/>
      </vt:variant>
      <vt:variant>
        <vt:lpwstr>resultreporting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dc:title>
  <dc:creator>CE080372</dc:creator>
  <cp:lastModifiedBy>CE155291</cp:lastModifiedBy>
  <cp:revision>2</cp:revision>
  <cp:lastPrinted>2016-09-13T14:33:00Z</cp:lastPrinted>
  <dcterms:created xsi:type="dcterms:W3CDTF">2019-05-29T19:14:00Z</dcterms:created>
  <dcterms:modified xsi:type="dcterms:W3CDTF">2019-05-29T19:14:00Z</dcterms:modified>
</cp:coreProperties>
</file>