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20"/>
        <w:gridCol w:w="6480"/>
        <w:gridCol w:w="1800"/>
      </w:tblGrid>
      <w:tr w:rsidR="008131C3">
        <w:trPr>
          <w:cantSplit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1C3" w:rsidRDefault="00BC264A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Adding Orders To A Past Draw</w:t>
            </w:r>
            <w:r w:rsidR="002045D8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Procedure</w:t>
            </w:r>
          </w:p>
          <w:p w:rsidR="008131C3" w:rsidRDefault="008131C3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8131C3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C264A" w:rsidRPr="00474A2F" w:rsidRDefault="00BC264A" w:rsidP="00474A2F">
            <w:pPr>
              <w:jc w:val="left"/>
              <w:rPr>
                <w:rFonts w:ascii="Arial" w:hAnsi="Arial" w:cs="Arial"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>This document provides instructions fo</w:t>
            </w:r>
            <w:r w:rsidR="00703710">
              <w:rPr>
                <w:rFonts w:ascii="Arial" w:hAnsi="Arial" w:cs="Arial"/>
                <w:sz w:val="20"/>
              </w:rPr>
              <w:t>r ADDING ORDERS TO A PAST DRAW.</w:t>
            </w:r>
          </w:p>
          <w:p w:rsidR="00BC264A" w:rsidRPr="00474A2F" w:rsidRDefault="00BC264A" w:rsidP="00474A2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03710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03710" w:rsidRDefault="007037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703710" w:rsidRDefault="007037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</w:t>
            </w:r>
          </w:p>
          <w:p w:rsidR="00703710" w:rsidRDefault="0070371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Statements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10" w:rsidRDefault="00703710" w:rsidP="00474A2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03710" w:rsidRPr="00474A2F" w:rsidRDefault="00703710" w:rsidP="00703710">
            <w:pPr>
              <w:jc w:val="left"/>
              <w:rPr>
                <w:rFonts w:ascii="Arial" w:hAnsi="Arial" w:cs="Arial"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>This document applies to any lab</w:t>
            </w:r>
            <w:r>
              <w:rPr>
                <w:rFonts w:ascii="Arial" w:hAnsi="Arial" w:cs="Arial"/>
                <w:sz w:val="20"/>
              </w:rPr>
              <w:t>oratory</w:t>
            </w:r>
            <w:r w:rsidRPr="00474A2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6D0D07" w:rsidRPr="00474A2F">
              <w:rPr>
                <w:rFonts w:ascii="Arial" w:hAnsi="Arial" w:cs="Arial"/>
                <w:sz w:val="20"/>
              </w:rPr>
              <w:t>staff</w:t>
            </w:r>
            <w:proofErr w:type="gramEnd"/>
            <w:r w:rsidR="006D0D07" w:rsidRPr="00474A2F">
              <w:rPr>
                <w:rFonts w:ascii="Arial" w:hAnsi="Arial" w:cs="Arial"/>
                <w:sz w:val="20"/>
              </w:rPr>
              <w:t xml:space="preserve"> who adds</w:t>
            </w:r>
            <w:r w:rsidRPr="00474A2F">
              <w:rPr>
                <w:rFonts w:ascii="Arial" w:hAnsi="Arial" w:cs="Arial"/>
                <w:sz w:val="20"/>
              </w:rPr>
              <w:t xml:space="preserve"> testing to a previously drawn sample.</w:t>
            </w:r>
          </w:p>
          <w:p w:rsidR="00703710" w:rsidRPr="00474A2F" w:rsidRDefault="00703710" w:rsidP="00474A2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1C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3"/>
            <w:tcBorders>
              <w:left w:val="nil"/>
              <w:bottom w:val="nil"/>
              <w:right w:val="nil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</w:rPr>
            </w:pPr>
          </w:p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 xml:space="preserve">Follow the activities in the table below </w:t>
            </w:r>
            <w:r w:rsidR="0058704F" w:rsidRPr="00474A2F">
              <w:rPr>
                <w:rFonts w:ascii="Arial" w:hAnsi="Arial" w:cs="Arial"/>
                <w:sz w:val="20"/>
              </w:rPr>
              <w:t>for instructions on ADDING ORDERS TO A PAST DRAW.</w:t>
            </w:r>
          </w:p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131C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74A2F"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74A2F"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74A2F">
              <w:rPr>
                <w:rFonts w:ascii="Arial" w:hAnsi="Arial" w:cs="Arial"/>
                <w:b/>
                <w:bCs/>
                <w:sz w:val="20"/>
              </w:rPr>
              <w:t>Related Document</w:t>
            </w:r>
            <w:r w:rsidR="00706912"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</w:tr>
      <w:tr w:rsidR="008131C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80" w:type="dxa"/>
          </w:tcPr>
          <w:p w:rsidR="00BC264A" w:rsidRPr="00474A2F" w:rsidRDefault="00B52DC8" w:rsidP="00474A2F">
            <w:pPr>
              <w:ind w:left="1440" w:hanging="1440"/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Hospital staff place ADDTO order:</w:t>
            </w:r>
          </w:p>
          <w:p w:rsidR="00BC264A" w:rsidRPr="00474A2F" w:rsidRDefault="00BC264A" w:rsidP="00474A2F">
            <w:pPr>
              <w:ind w:left="1440" w:hanging="1440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C264A" w:rsidRPr="00474A2F" w:rsidRDefault="00BC264A" w:rsidP="00474A2F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Hospital staff place an order in the HIS selecting ADD to Sample (ADDTO) priority.</w:t>
            </w:r>
          </w:p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C264A" w:rsidRPr="00474A2F" w:rsidRDefault="00BC264A" w:rsidP="00474A2F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 xml:space="preserve">Hospital </w:t>
            </w:r>
            <w:proofErr w:type="gramStart"/>
            <w:r w:rsidRPr="00474A2F">
              <w:rPr>
                <w:rFonts w:ascii="Arial" w:hAnsi="Arial" w:cs="Arial"/>
                <w:bCs/>
                <w:sz w:val="20"/>
              </w:rPr>
              <w:t>staff enter</w:t>
            </w:r>
            <w:proofErr w:type="gramEnd"/>
            <w:r w:rsidRPr="00474A2F">
              <w:rPr>
                <w:rFonts w:ascii="Arial" w:hAnsi="Arial" w:cs="Arial"/>
                <w:bCs/>
                <w:sz w:val="20"/>
              </w:rPr>
              <w:t xml:space="preserve"> in special instructions date/time of original sample.</w:t>
            </w:r>
          </w:p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C264A" w:rsidRPr="00474A2F" w:rsidRDefault="00BC264A" w:rsidP="00474A2F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>The ADDTO priority causes a label to print on the STAT label printer as notification to the lab of an additional order to be added to an already collected sample.</w:t>
            </w:r>
          </w:p>
          <w:p w:rsidR="008131C3" w:rsidRPr="00474A2F" w:rsidRDefault="008131C3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131C3">
        <w:trPr>
          <w:cantSplit/>
          <w:trHeight w:val="375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8131C3" w:rsidRPr="00474A2F" w:rsidRDefault="00B52DC8" w:rsidP="00474A2F">
            <w:pPr>
              <w:jc w:val="left"/>
              <w:rPr>
                <w:rFonts w:ascii="Arial" w:hAnsi="Arial" w:cs="Arial"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80" w:type="dxa"/>
            <w:tcBorders>
              <w:bottom w:val="nil"/>
            </w:tcBorders>
          </w:tcPr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Lab receives notification of an ADDTO order and checks for specimen:</w:t>
            </w:r>
          </w:p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0D3021" w:rsidRDefault="00BC264A" w:rsidP="00474A2F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The printed lab</w:t>
            </w:r>
            <w:r w:rsidR="00B52DC8" w:rsidRPr="00474A2F">
              <w:rPr>
                <w:rFonts w:ascii="Arial" w:hAnsi="Arial" w:cs="Arial"/>
                <w:bCs/>
                <w:sz w:val="20"/>
              </w:rPr>
              <w:t xml:space="preserve">el </w:t>
            </w:r>
            <w:r w:rsidR="0079737D" w:rsidRPr="00474A2F">
              <w:rPr>
                <w:rFonts w:ascii="Arial" w:hAnsi="Arial" w:cs="Arial"/>
                <w:bCs/>
                <w:sz w:val="20"/>
              </w:rPr>
              <w:t>is your</w:t>
            </w:r>
            <w:r w:rsidR="001F4114" w:rsidRPr="00474A2F">
              <w:rPr>
                <w:rFonts w:ascii="Arial" w:hAnsi="Arial" w:cs="Arial"/>
                <w:bCs/>
                <w:sz w:val="20"/>
              </w:rPr>
              <w:t xml:space="preserve"> </w:t>
            </w:r>
            <w:r w:rsidR="00B52DC8" w:rsidRPr="00474A2F">
              <w:rPr>
                <w:rFonts w:ascii="Arial" w:hAnsi="Arial" w:cs="Arial"/>
                <w:bCs/>
                <w:sz w:val="20"/>
              </w:rPr>
              <w:t>alert that an ADDTO order has been placed.</w:t>
            </w:r>
            <w:r w:rsidR="00C83F8D">
              <w:rPr>
                <w:rFonts w:ascii="Arial" w:hAnsi="Arial" w:cs="Arial"/>
                <w:bCs/>
                <w:sz w:val="20"/>
              </w:rPr>
              <w:t xml:space="preserve"> </w:t>
            </w:r>
            <w:r w:rsidR="00E54411">
              <w:rPr>
                <w:rFonts w:ascii="Arial" w:hAnsi="Arial" w:cs="Arial"/>
                <w:b/>
                <w:bCs/>
                <w:sz w:val="20"/>
              </w:rPr>
              <w:t xml:space="preserve">Orders placed with an Add to Sample priority are set immediately to </w:t>
            </w:r>
            <w:proofErr w:type="gramStart"/>
            <w:r w:rsidR="00E54411">
              <w:rPr>
                <w:rFonts w:ascii="Arial" w:hAnsi="Arial" w:cs="Arial"/>
                <w:b/>
                <w:bCs/>
                <w:sz w:val="20"/>
              </w:rPr>
              <w:t>InProcess</w:t>
            </w:r>
            <w:proofErr w:type="gramEnd"/>
            <w:r w:rsidR="00E54411">
              <w:rPr>
                <w:rFonts w:ascii="Arial" w:hAnsi="Arial" w:cs="Arial"/>
                <w:b/>
                <w:bCs/>
                <w:sz w:val="20"/>
              </w:rPr>
              <w:t xml:space="preserve"> status to prevent them from being canceled due to discharge.</w:t>
            </w:r>
          </w:p>
          <w:p w:rsidR="00E54411" w:rsidRDefault="00E54411" w:rsidP="00E54411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E54411" w:rsidRPr="00C83F8D" w:rsidRDefault="00E54411" w:rsidP="00E54411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Since the specimen type is replaced with a 1, orders on different specimen types maybe combined so check the orders carefully.</w:t>
            </w:r>
          </w:p>
          <w:p w:rsidR="000D3021" w:rsidRPr="00C83F8D" w:rsidRDefault="000D3021" w:rsidP="00474A2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BC264A" w:rsidRDefault="000D3021" w:rsidP="00474A2F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C</w:t>
            </w:r>
            <w:r w:rsidR="00BC264A" w:rsidRPr="00474A2F">
              <w:rPr>
                <w:rFonts w:ascii="Arial" w:hAnsi="Arial" w:cs="Arial"/>
                <w:bCs/>
                <w:sz w:val="20"/>
              </w:rPr>
              <w:t>heck for a valid specimen for testing</w:t>
            </w:r>
            <w:r w:rsidR="0017280A">
              <w:rPr>
                <w:rFonts w:ascii="Arial" w:hAnsi="Arial" w:cs="Arial"/>
                <w:bCs/>
                <w:sz w:val="20"/>
              </w:rPr>
              <w:t xml:space="preserve"> (2</w:t>
            </w:r>
            <w:r w:rsidR="00DA3467">
              <w:rPr>
                <w:rFonts w:ascii="Arial" w:hAnsi="Arial" w:cs="Arial"/>
                <w:bCs/>
                <w:sz w:val="20"/>
              </w:rPr>
              <w:t xml:space="preserve"> </w:t>
            </w:r>
            <w:r w:rsidR="0017280A">
              <w:rPr>
                <w:rFonts w:ascii="Arial" w:hAnsi="Arial" w:cs="Arial"/>
                <w:bCs/>
                <w:sz w:val="20"/>
              </w:rPr>
              <w:t>ways)</w:t>
            </w:r>
            <w:r w:rsidR="00BC264A" w:rsidRPr="00474A2F">
              <w:rPr>
                <w:rFonts w:ascii="Arial" w:hAnsi="Arial" w:cs="Arial"/>
                <w:bCs/>
                <w:sz w:val="20"/>
              </w:rPr>
              <w:t>.</w:t>
            </w:r>
          </w:p>
          <w:p w:rsidR="00D65A4D" w:rsidRDefault="00D65A4D" w:rsidP="00D65A4D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1) </w:t>
            </w:r>
            <w:r w:rsidR="0017280A">
              <w:rPr>
                <w:rFonts w:ascii="Arial" w:hAnsi="Arial" w:cs="Arial"/>
                <w:bCs/>
                <w:sz w:val="20"/>
              </w:rPr>
              <w:t>Go to ANIQ and enter the accession number</w:t>
            </w:r>
          </w:p>
          <w:p w:rsidR="0017280A" w:rsidRDefault="0017280A" w:rsidP="00D65A4D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>
                  <wp:extent cx="3438525" cy="1390650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80A" w:rsidRDefault="0017280A" w:rsidP="00D65A4D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17280A" w:rsidRDefault="0017280A" w:rsidP="00D65A4D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2) Go to SMART --&gt; Tracking --&gt; Specimen --&gt; Location</w:t>
            </w:r>
          </w:p>
          <w:p w:rsidR="00FD018D" w:rsidRDefault="00FD018D" w:rsidP="00D65A4D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Search by accession number</w:t>
            </w:r>
          </w:p>
          <w:p w:rsidR="0017280A" w:rsidRPr="00474A2F" w:rsidRDefault="00FD018D" w:rsidP="00D65A4D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>
                  <wp:extent cx="3438525" cy="219075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131C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131C3" w:rsidRDefault="008131C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131C3" w:rsidRPr="00474A2F" w:rsidRDefault="00B52DC8" w:rsidP="00474A2F">
            <w:pPr>
              <w:jc w:val="left"/>
              <w:rPr>
                <w:rFonts w:ascii="Arial" w:hAnsi="Arial" w:cs="Arial"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If sample is available:</w:t>
            </w:r>
          </w:p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52DC8" w:rsidRPr="00474A2F" w:rsidRDefault="00B52DC8" w:rsidP="00474A2F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C</w:t>
            </w:r>
            <w:r w:rsidR="00BC264A" w:rsidRPr="00474A2F">
              <w:rPr>
                <w:rFonts w:ascii="Arial" w:hAnsi="Arial" w:cs="Arial"/>
                <w:bCs/>
                <w:sz w:val="20"/>
              </w:rPr>
              <w:t>ancel the test with the ADDTO priority using the code RAC (reassigned to a different accession number)</w:t>
            </w:r>
            <w:r w:rsidRPr="00474A2F">
              <w:rPr>
                <w:rFonts w:ascii="Arial" w:hAnsi="Arial" w:cs="Arial"/>
                <w:bCs/>
                <w:sz w:val="20"/>
              </w:rPr>
              <w:t>.</w:t>
            </w:r>
          </w:p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C264A" w:rsidRPr="00474A2F" w:rsidRDefault="00B52DC8" w:rsidP="00474A2F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O</w:t>
            </w:r>
            <w:r w:rsidR="00301255">
              <w:rPr>
                <w:rFonts w:ascii="Arial" w:hAnsi="Arial" w:cs="Arial"/>
                <w:bCs/>
                <w:sz w:val="20"/>
              </w:rPr>
              <w:t>rder the test(s</w:t>
            </w:r>
            <w:r w:rsidR="00BC264A" w:rsidRPr="00474A2F">
              <w:rPr>
                <w:rFonts w:ascii="Arial" w:hAnsi="Arial" w:cs="Arial"/>
                <w:bCs/>
                <w:sz w:val="20"/>
              </w:rPr>
              <w:t>) requested on the original accession number of the sample.</w:t>
            </w:r>
          </w:p>
          <w:p w:rsidR="008131C3" w:rsidRPr="00474A2F" w:rsidRDefault="008131C3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31C3" w:rsidRPr="00474A2F" w:rsidRDefault="008131C3" w:rsidP="00474A2F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C264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C264A" w:rsidRDefault="00BC264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BC264A" w:rsidRPr="00474A2F" w:rsidRDefault="00B52DC8" w:rsidP="00474A2F">
            <w:pPr>
              <w:jc w:val="left"/>
              <w:rPr>
                <w:rFonts w:ascii="Arial" w:hAnsi="Arial" w:cs="Arial"/>
                <w:sz w:val="20"/>
              </w:rPr>
            </w:pPr>
            <w:r w:rsidRPr="00474A2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 xml:space="preserve">If sample is </w:t>
            </w:r>
            <w:r w:rsidRPr="00474A2F">
              <w:rPr>
                <w:rFonts w:ascii="Arial" w:hAnsi="Arial" w:cs="Arial"/>
                <w:bCs/>
                <w:i/>
                <w:sz w:val="20"/>
              </w:rPr>
              <w:t>not</w:t>
            </w:r>
            <w:r w:rsidRPr="00474A2F">
              <w:rPr>
                <w:rFonts w:ascii="Arial" w:hAnsi="Arial" w:cs="Arial"/>
                <w:bCs/>
                <w:sz w:val="20"/>
              </w:rPr>
              <w:t xml:space="preserve"> available:</w:t>
            </w:r>
          </w:p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52DC8" w:rsidRPr="00474A2F" w:rsidRDefault="00B52DC8" w:rsidP="00474A2F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C</w:t>
            </w:r>
            <w:r w:rsidR="00BC264A" w:rsidRPr="00474A2F">
              <w:rPr>
                <w:rFonts w:ascii="Arial" w:hAnsi="Arial" w:cs="Arial"/>
                <w:bCs/>
                <w:sz w:val="20"/>
              </w:rPr>
              <w:t>all the unit to notify them that the testing will</w:t>
            </w:r>
            <w:r w:rsidRPr="00474A2F">
              <w:rPr>
                <w:rFonts w:ascii="Arial" w:hAnsi="Arial" w:cs="Arial"/>
                <w:bCs/>
                <w:sz w:val="20"/>
              </w:rPr>
              <w:t xml:space="preserve"> be canceled.</w:t>
            </w:r>
          </w:p>
          <w:p w:rsidR="00B52DC8" w:rsidRPr="00474A2F" w:rsidRDefault="00B52DC8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C264A" w:rsidRPr="00474A2F" w:rsidRDefault="00B52DC8" w:rsidP="00474A2F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474A2F">
              <w:rPr>
                <w:rFonts w:ascii="Arial" w:hAnsi="Arial" w:cs="Arial"/>
                <w:bCs/>
                <w:sz w:val="20"/>
              </w:rPr>
              <w:t>Cancel the test with the</w:t>
            </w:r>
            <w:r w:rsidR="00BC264A" w:rsidRPr="00474A2F">
              <w:rPr>
                <w:rFonts w:ascii="Arial" w:hAnsi="Arial" w:cs="Arial"/>
                <w:bCs/>
                <w:sz w:val="20"/>
              </w:rPr>
              <w:t xml:space="preserve"> appropriate can</w:t>
            </w:r>
            <w:r w:rsidRPr="00474A2F">
              <w:rPr>
                <w:rFonts w:ascii="Arial" w:hAnsi="Arial" w:cs="Arial"/>
                <w:bCs/>
                <w:sz w:val="20"/>
              </w:rPr>
              <w:t>cellation code. Document the</w:t>
            </w:r>
            <w:r w:rsidR="00BC264A" w:rsidRPr="00474A2F">
              <w:rPr>
                <w:rFonts w:ascii="Arial" w:hAnsi="Arial" w:cs="Arial"/>
                <w:bCs/>
                <w:sz w:val="20"/>
              </w:rPr>
              <w:t xml:space="preserve"> notification to the unit.</w:t>
            </w:r>
          </w:p>
          <w:p w:rsidR="00BC264A" w:rsidRPr="00474A2F" w:rsidRDefault="00BC264A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264A" w:rsidRPr="00474A2F" w:rsidRDefault="00BC264A" w:rsidP="00474A2F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935F1B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35F1B" w:rsidRDefault="00935F1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35F1B" w:rsidRPr="00474A2F" w:rsidRDefault="00935F1B" w:rsidP="00474A2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935F1B" w:rsidRDefault="00935F1B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Spot Code Examples after adding tests:</w:t>
            </w:r>
          </w:p>
          <w:p w:rsidR="00935F1B" w:rsidRDefault="00935F1B" w:rsidP="00935F1B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 tests that need decant to already decanted samples</w:t>
            </w:r>
          </w:p>
          <w:p w:rsidR="00935F1B" w:rsidRDefault="00935F1B" w:rsidP="00935F1B">
            <w:pPr>
              <w:pStyle w:val="ListParagraph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(PROCA--&gt;VDT). *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asterix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will appear as spot code.</w:t>
            </w:r>
          </w:p>
          <w:p w:rsidR="00935F1B" w:rsidRDefault="00935F1B" w:rsidP="00935F1B">
            <w:pPr>
              <w:pStyle w:val="ListParagraph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Need to go through the decant step one more time in SMART.</w:t>
            </w:r>
          </w:p>
          <w:p w:rsidR="00935F1B" w:rsidRDefault="00935F1B" w:rsidP="00935F1B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 tests that don't need decant to already decanted samples (PR7--&gt;</w:t>
            </w:r>
            <w:r w:rsidR="00AD29EB">
              <w:rPr>
                <w:rFonts w:ascii="Arial" w:hAnsi="Arial" w:cs="Arial"/>
                <w:bCs/>
                <w:sz w:val="20"/>
              </w:rPr>
              <w:t>VDT). MCHEM/SCHEM will appear as spot code and no extra process needed.</w:t>
            </w:r>
          </w:p>
          <w:p w:rsidR="00AD29EB" w:rsidRDefault="00AD29EB" w:rsidP="00935F1B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 tests that need decant to samples that are not decanted (VDT--&gt;PR7). MDEC/SDEC will appear as spot code and need to go through the decant step in SMART.</w:t>
            </w:r>
          </w:p>
          <w:p w:rsidR="00AD29EB" w:rsidRDefault="00AD29EB" w:rsidP="00AD29EB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AD29EB" w:rsidRPr="00AD29EB" w:rsidRDefault="00AD29EB" w:rsidP="00AD29EB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AD29EB">
              <w:rPr>
                <w:rFonts w:ascii="Arial" w:hAnsi="Arial" w:cs="Arial"/>
                <w:b/>
                <w:bCs/>
                <w:sz w:val="20"/>
              </w:rPr>
              <w:t>Please note</w:t>
            </w:r>
            <w:r>
              <w:rPr>
                <w:rFonts w:ascii="Arial" w:hAnsi="Arial" w:cs="Arial"/>
                <w:bCs/>
                <w:sz w:val="20"/>
              </w:rPr>
              <w:t>: SMART will always automatically add tests to CID that has the same preferred tube type. For example, SMART will</w:t>
            </w:r>
            <w:r w:rsidR="003373D2">
              <w:rPr>
                <w:rFonts w:ascii="Arial" w:hAnsi="Arial" w:cs="Arial"/>
                <w:bCs/>
                <w:sz w:val="20"/>
              </w:rPr>
              <w:t xml:space="preserve"> add PROCA to VDT CID when adding to an accession number that includes both VDT and PR7.</w:t>
            </w:r>
          </w:p>
          <w:p w:rsidR="00935F1B" w:rsidRDefault="00935F1B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935F1B" w:rsidRDefault="00935F1B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935F1B" w:rsidRDefault="00935F1B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935F1B" w:rsidRDefault="00935F1B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935F1B" w:rsidRPr="00474A2F" w:rsidRDefault="00935F1B" w:rsidP="00474A2F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5F1B" w:rsidRPr="00474A2F" w:rsidRDefault="00935F1B" w:rsidP="00474A2F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A0F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EA0FC4" w:rsidRDefault="00EA0FC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FC4" w:rsidRDefault="00EA0FC4" w:rsidP="00295A4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95A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295A48" w:rsidRDefault="00295A4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95A48" w:rsidRDefault="00295A4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95A48" w:rsidRDefault="00295A4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5A48" w:rsidRDefault="00295A48" w:rsidP="00295A4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95A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295A48" w:rsidRDefault="00057F2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:rsidR="00295A48" w:rsidRDefault="00295A4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5A48" w:rsidRDefault="00295A48">
            <w:pPr>
              <w:jc w:val="left"/>
              <w:rPr>
                <w:rFonts w:ascii="Arial" w:hAnsi="Arial" w:cs="Arial"/>
                <w:sz w:val="20"/>
              </w:rPr>
            </w:pPr>
            <w:r w:rsidRPr="00C57ED5">
              <w:rPr>
                <w:rFonts w:ascii="Arial" w:hAnsi="Arial" w:cs="Arial"/>
                <w:sz w:val="20"/>
              </w:rPr>
              <w:t xml:space="preserve">Sunquest </w:t>
            </w:r>
            <w:r w:rsidR="00E54411">
              <w:rPr>
                <w:rFonts w:ascii="Arial" w:hAnsi="Arial" w:cs="Arial"/>
                <w:sz w:val="20"/>
              </w:rPr>
              <w:t>Version</w:t>
            </w:r>
            <w:r w:rsidRPr="00C57ED5">
              <w:rPr>
                <w:rFonts w:ascii="Arial" w:hAnsi="Arial" w:cs="Arial"/>
                <w:sz w:val="20"/>
              </w:rPr>
              <w:t xml:space="preserve"> Manual</w:t>
            </w:r>
          </w:p>
          <w:p w:rsidR="00A97A1D" w:rsidRDefault="00A97A1D">
            <w:pPr>
              <w:jc w:val="left"/>
              <w:rPr>
                <w:rFonts w:ascii="Arial" w:hAnsi="Arial" w:cs="Arial"/>
                <w:sz w:val="20"/>
              </w:rPr>
            </w:pPr>
          </w:p>
          <w:p w:rsidR="00A97A1D" w:rsidRDefault="00A97A1D">
            <w:pPr>
              <w:jc w:val="left"/>
              <w:rPr>
                <w:rFonts w:ascii="Arial" w:hAnsi="Arial" w:cs="Arial"/>
                <w:sz w:val="20"/>
              </w:rPr>
            </w:pPr>
          </w:p>
          <w:p w:rsidR="00A97A1D" w:rsidRPr="00295A48" w:rsidRDefault="00A97A1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7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97A1D" w:rsidRDefault="00A97A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and Competency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A1D" w:rsidRDefault="00A97A1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iMentor Self Paced Courses</w:t>
            </w:r>
          </w:p>
          <w:p w:rsidR="00A97A1D" w:rsidRDefault="00A97A1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 Checklist</w:t>
            </w:r>
          </w:p>
          <w:p w:rsidR="00A97A1D" w:rsidRDefault="00A97A1D">
            <w:pPr>
              <w:jc w:val="left"/>
              <w:rPr>
                <w:rFonts w:ascii="Arial" w:hAnsi="Arial" w:cs="Arial"/>
                <w:sz w:val="20"/>
              </w:rPr>
            </w:pPr>
          </w:p>
          <w:p w:rsidR="00A97A1D" w:rsidRPr="00295A48" w:rsidRDefault="00A97A1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7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97A1D" w:rsidRDefault="00A97A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7"/>
              <w:gridCol w:w="2070"/>
              <w:gridCol w:w="1710"/>
              <w:gridCol w:w="4022"/>
            </w:tblGrid>
            <w:tr w:rsidR="00A97A1D" w:rsidRPr="00082DAE" w:rsidTr="00082DAE">
              <w:tc>
                <w:tcPr>
                  <w:tcW w:w="967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082DAE">
                    <w:rPr>
                      <w:rFonts w:ascii="Arial" w:hAnsi="Arial" w:cs="Arial"/>
                      <w:b/>
                      <w:sz w:val="20"/>
                    </w:rPr>
                    <w:t>Version</w:t>
                  </w:r>
                </w:p>
              </w:tc>
              <w:tc>
                <w:tcPr>
                  <w:tcW w:w="207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082DAE">
                    <w:rPr>
                      <w:rFonts w:ascii="Arial" w:hAnsi="Arial" w:cs="Arial"/>
                      <w:b/>
                      <w:sz w:val="20"/>
                    </w:rPr>
                    <w:t>Written/Revised by:</w:t>
                  </w:r>
                </w:p>
              </w:tc>
              <w:tc>
                <w:tcPr>
                  <w:tcW w:w="171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082DAE">
                    <w:rPr>
                      <w:rFonts w:ascii="Arial" w:hAnsi="Arial" w:cs="Arial"/>
                      <w:b/>
                      <w:sz w:val="20"/>
                    </w:rPr>
                    <w:t>Effective Date:</w:t>
                  </w:r>
                </w:p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022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082DAE">
                    <w:rPr>
                      <w:rFonts w:ascii="Arial" w:hAnsi="Arial" w:cs="Arial"/>
                      <w:b/>
                      <w:sz w:val="20"/>
                    </w:rPr>
                    <w:t>Summary of revisions:</w:t>
                  </w:r>
                </w:p>
              </w:tc>
            </w:tr>
            <w:tr w:rsidR="00A97A1D" w:rsidRPr="00082DAE" w:rsidTr="00082DAE">
              <w:tc>
                <w:tcPr>
                  <w:tcW w:w="967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P. Mattson</w:t>
                  </w:r>
                </w:p>
              </w:tc>
              <w:tc>
                <w:tcPr>
                  <w:tcW w:w="171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03/1990</w:t>
                  </w:r>
                </w:p>
              </w:tc>
              <w:tc>
                <w:tcPr>
                  <w:tcW w:w="4022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Initial Version</w:t>
                  </w:r>
                </w:p>
              </w:tc>
            </w:tr>
            <w:tr w:rsidR="00A97A1D" w:rsidRPr="00082DAE" w:rsidTr="00082DAE">
              <w:tc>
                <w:tcPr>
                  <w:tcW w:w="967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R. Gulke</w:t>
                  </w:r>
                </w:p>
              </w:tc>
              <w:tc>
                <w:tcPr>
                  <w:tcW w:w="171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06/21/2005</w:t>
                  </w:r>
                </w:p>
              </w:tc>
              <w:tc>
                <w:tcPr>
                  <w:tcW w:w="4022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New template</w:t>
                  </w:r>
                </w:p>
              </w:tc>
            </w:tr>
            <w:tr w:rsidR="00A97A1D" w:rsidRPr="00082DAE" w:rsidTr="00082DAE">
              <w:tc>
                <w:tcPr>
                  <w:tcW w:w="967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R. Gulke</w:t>
                  </w:r>
                </w:p>
              </w:tc>
              <w:tc>
                <w:tcPr>
                  <w:tcW w:w="171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06/11/2010</w:t>
                  </w:r>
                </w:p>
              </w:tc>
              <w:tc>
                <w:tcPr>
                  <w:tcW w:w="4022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ADDTO priority replaces Add/Cancel Order</w:t>
                  </w:r>
                </w:p>
              </w:tc>
            </w:tr>
            <w:tr w:rsidR="00A97A1D" w:rsidRPr="00082DAE" w:rsidTr="00082DAE">
              <w:tc>
                <w:tcPr>
                  <w:tcW w:w="967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207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R. Gulke</w:t>
                  </w:r>
                </w:p>
              </w:tc>
              <w:tc>
                <w:tcPr>
                  <w:tcW w:w="1710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03/14/2013</w:t>
                  </w:r>
                </w:p>
              </w:tc>
              <w:tc>
                <w:tcPr>
                  <w:tcW w:w="4022" w:type="dxa"/>
                </w:tcPr>
                <w:p w:rsidR="00A97A1D" w:rsidRPr="00082DAE" w:rsidRDefault="00A97A1D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82DAE">
                    <w:rPr>
                      <w:rFonts w:ascii="Arial" w:hAnsi="Arial" w:cs="Arial"/>
                      <w:sz w:val="20"/>
                    </w:rPr>
                    <w:t>Online format</w:t>
                  </w:r>
                </w:p>
              </w:tc>
            </w:tr>
            <w:tr w:rsidR="00230539" w:rsidRPr="00082DAE" w:rsidTr="00082DAE">
              <w:tc>
                <w:tcPr>
                  <w:tcW w:w="967" w:type="dxa"/>
                </w:tcPr>
                <w:p w:rsidR="00230539" w:rsidRPr="00082DAE" w:rsidRDefault="00230539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2070" w:type="dxa"/>
                </w:tcPr>
                <w:p w:rsidR="00230539" w:rsidRPr="00082DAE" w:rsidRDefault="006E0F97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S. Kang</w:t>
                  </w:r>
                </w:p>
              </w:tc>
              <w:tc>
                <w:tcPr>
                  <w:tcW w:w="1710" w:type="dxa"/>
                </w:tcPr>
                <w:p w:rsidR="00230539" w:rsidRPr="00082DAE" w:rsidRDefault="00230539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10/22/2019</w:t>
                  </w:r>
                </w:p>
              </w:tc>
              <w:tc>
                <w:tcPr>
                  <w:tcW w:w="4022" w:type="dxa"/>
                </w:tcPr>
                <w:p w:rsidR="00230539" w:rsidRDefault="00230539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How to check original container with SMART.</w:t>
                  </w:r>
                </w:p>
                <w:p w:rsidR="00230539" w:rsidRPr="00082DAE" w:rsidRDefault="00230539" w:rsidP="00082DA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Different spot code senario with add to orders.</w:t>
                  </w:r>
                </w:p>
              </w:tc>
            </w:tr>
          </w:tbl>
          <w:p w:rsidR="00A97A1D" w:rsidRDefault="00A97A1D" w:rsidP="00BD1C9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7A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97A1D" w:rsidRDefault="00A97A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7A1D" w:rsidRDefault="00A97A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A1D" w:rsidRDefault="00A97A1D" w:rsidP="00BD1C9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8131C3" w:rsidRDefault="008131C3">
      <w:pPr>
        <w:rPr>
          <w:rFonts w:ascii="Arial" w:hAnsi="Arial" w:cs="Arial"/>
        </w:rPr>
      </w:pPr>
    </w:p>
    <w:sectPr w:rsidR="008131C3" w:rsidSect="00396DAB">
      <w:headerReference w:type="default" r:id="rId13"/>
      <w:footerReference w:type="default" r:id="rId14"/>
      <w:pgSz w:w="12240" w:h="15840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EB" w:rsidRDefault="00AD29EB">
      <w:r>
        <w:separator/>
      </w:r>
    </w:p>
  </w:endnote>
  <w:endnote w:type="continuationSeparator" w:id="0">
    <w:p w:rsidR="00AD29EB" w:rsidRDefault="00AD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48637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D29EB" w:rsidRDefault="00AD29EB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F85783">
              <w:rPr>
                <w:b/>
                <w:noProof/>
              </w:rPr>
              <w:t>3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F85783">
              <w:rPr>
                <w:b/>
                <w:noProof/>
              </w:rPr>
              <w:t>3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AD29EB" w:rsidRPr="009625C9" w:rsidRDefault="00AD29EB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EB" w:rsidRDefault="00AD29EB">
      <w:r>
        <w:separator/>
      </w:r>
    </w:p>
  </w:footnote>
  <w:footnote w:type="continuationSeparator" w:id="0">
    <w:p w:rsidR="00AD29EB" w:rsidRDefault="00AD2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EB" w:rsidRDefault="00AD29EB">
    <w:pPr>
      <w:ind w:left="-1260" w:right="-1260"/>
      <w:rPr>
        <w:rFonts w:ascii="Arial" w:hAnsi="Arial" w:cs="Arial"/>
        <w:iCs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20955</wp:posOffset>
          </wp:positionV>
          <wp:extent cx="1190625" cy="381000"/>
          <wp:effectExtent l="19050" t="0" r="9525" b="0"/>
          <wp:wrapNone/>
          <wp:docPr id="1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Cs/>
        <w:sz w:val="18"/>
      </w:rPr>
      <w:t>LIS 1.21 Adding Orders To A Past Draw Procedure</w:t>
    </w:r>
  </w:p>
  <w:p w:rsidR="00AD29EB" w:rsidRPr="009625C9" w:rsidRDefault="00AD29EB">
    <w:pPr>
      <w:ind w:left="-1260" w:right="-1260"/>
      <w:rPr>
        <w:rFonts w:ascii="Arial" w:hAnsi="Arial" w:cs="Arial"/>
        <w:iCs/>
        <w:sz w:val="18"/>
      </w:rPr>
    </w:pPr>
    <w:r>
      <w:rPr>
        <w:rFonts w:ascii="Arial" w:hAnsi="Arial" w:cs="Arial"/>
        <w:iCs/>
        <w:sz w:val="18"/>
      </w:rPr>
      <w:t>Version 4</w:t>
    </w:r>
  </w:p>
  <w:p w:rsidR="00AD29EB" w:rsidRPr="009625C9" w:rsidRDefault="00AD29E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03/14/2013 </w:t>
    </w:r>
  </w:p>
  <w:p w:rsidR="00AD29EB" w:rsidRPr="009625C9" w:rsidRDefault="00AD29EB">
    <w:pPr>
      <w:ind w:left="-1260" w:right="-1260"/>
      <w:rPr>
        <w:rFonts w:ascii="Arial" w:hAnsi="Arial" w:cs="Arial"/>
        <w:b/>
        <w:sz w:val="18"/>
        <w:szCs w:val="26"/>
      </w:rPr>
    </w:pPr>
  </w:p>
  <w:p w:rsidR="00AD29EB" w:rsidRDefault="00AD29EB">
    <w:pPr>
      <w:pStyle w:val="Header"/>
      <w:jc w:val="center"/>
      <w:rPr>
        <w:b/>
        <w:sz w:val="2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C4871"/>
    <w:multiLevelType w:val="hybridMultilevel"/>
    <w:tmpl w:val="D6C6FB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E1B17"/>
    <w:multiLevelType w:val="hybridMultilevel"/>
    <w:tmpl w:val="B28888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2E6936">
      <w:start w:val="429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B2515"/>
    <w:multiLevelType w:val="multilevel"/>
    <w:tmpl w:val="AB86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13349"/>
    <w:multiLevelType w:val="hybridMultilevel"/>
    <w:tmpl w:val="B73C19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B087D"/>
    <w:multiLevelType w:val="hybridMultilevel"/>
    <w:tmpl w:val="BF8CD6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F19FB"/>
    <w:multiLevelType w:val="hybridMultilevel"/>
    <w:tmpl w:val="AD3A1E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91AE7"/>
    <w:multiLevelType w:val="hybridMultilevel"/>
    <w:tmpl w:val="AABEE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532EDF"/>
    <w:multiLevelType w:val="hybridMultilevel"/>
    <w:tmpl w:val="A63CE7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D55751"/>
    <w:multiLevelType w:val="hybridMultilevel"/>
    <w:tmpl w:val="D688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D39F4"/>
    <w:multiLevelType w:val="hybridMultilevel"/>
    <w:tmpl w:val="E0E43A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5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52DC8"/>
    <w:rsid w:val="00057F27"/>
    <w:rsid w:val="00082DAE"/>
    <w:rsid w:val="000B1BD2"/>
    <w:rsid w:val="000D3021"/>
    <w:rsid w:val="00167D0B"/>
    <w:rsid w:val="0017280A"/>
    <w:rsid w:val="001E40AC"/>
    <w:rsid w:val="001F4114"/>
    <w:rsid w:val="002045D8"/>
    <w:rsid w:val="00230539"/>
    <w:rsid w:val="00244FA4"/>
    <w:rsid w:val="00265AF9"/>
    <w:rsid w:val="00295A48"/>
    <w:rsid w:val="00301255"/>
    <w:rsid w:val="00323569"/>
    <w:rsid w:val="003373D2"/>
    <w:rsid w:val="0034241E"/>
    <w:rsid w:val="00382851"/>
    <w:rsid w:val="00396DAB"/>
    <w:rsid w:val="003B5835"/>
    <w:rsid w:val="003B5E66"/>
    <w:rsid w:val="00474A2F"/>
    <w:rsid w:val="004A67DB"/>
    <w:rsid w:val="004D0C0A"/>
    <w:rsid w:val="004E3387"/>
    <w:rsid w:val="0053533A"/>
    <w:rsid w:val="0058704F"/>
    <w:rsid w:val="006D0D07"/>
    <w:rsid w:val="006E0F97"/>
    <w:rsid w:val="00703710"/>
    <w:rsid w:val="00706912"/>
    <w:rsid w:val="0079051C"/>
    <w:rsid w:val="0079737D"/>
    <w:rsid w:val="007A2AED"/>
    <w:rsid w:val="008131C3"/>
    <w:rsid w:val="00813C9F"/>
    <w:rsid w:val="00880B54"/>
    <w:rsid w:val="00897977"/>
    <w:rsid w:val="00935F1B"/>
    <w:rsid w:val="009625C9"/>
    <w:rsid w:val="00A5287D"/>
    <w:rsid w:val="00A56963"/>
    <w:rsid w:val="00A97A1D"/>
    <w:rsid w:val="00AD29EB"/>
    <w:rsid w:val="00B25509"/>
    <w:rsid w:val="00B36E83"/>
    <w:rsid w:val="00B52DC8"/>
    <w:rsid w:val="00BC264A"/>
    <w:rsid w:val="00BD1C9B"/>
    <w:rsid w:val="00C5125A"/>
    <w:rsid w:val="00C57ED5"/>
    <w:rsid w:val="00C83F8D"/>
    <w:rsid w:val="00CA5D9A"/>
    <w:rsid w:val="00D4346E"/>
    <w:rsid w:val="00D65A4D"/>
    <w:rsid w:val="00D709BD"/>
    <w:rsid w:val="00DA3467"/>
    <w:rsid w:val="00E16B9E"/>
    <w:rsid w:val="00E54411"/>
    <w:rsid w:val="00EA0FC4"/>
    <w:rsid w:val="00EC4ED2"/>
    <w:rsid w:val="00ED0D5A"/>
    <w:rsid w:val="00ED363E"/>
    <w:rsid w:val="00F07636"/>
    <w:rsid w:val="00F14EEE"/>
    <w:rsid w:val="00F85783"/>
    <w:rsid w:val="00FD018D"/>
    <w:rsid w:val="00FE0A7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A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96DAB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96DAB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96DAB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96DAB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96DAB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96DAB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96DAB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96DAB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96DAB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6DAB"/>
    <w:rPr>
      <w:bCs/>
      <w:iCs/>
      <w:color w:val="000000"/>
    </w:rPr>
  </w:style>
  <w:style w:type="paragraph" w:styleId="Header">
    <w:name w:val="header"/>
    <w:basedOn w:val="Normal"/>
    <w:rsid w:val="00396DAB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396DAB"/>
    <w:pPr>
      <w:ind w:left="360" w:hanging="360"/>
    </w:pPr>
  </w:style>
  <w:style w:type="paragraph" w:styleId="Title">
    <w:name w:val="Title"/>
    <w:basedOn w:val="Normal"/>
    <w:qFormat/>
    <w:rsid w:val="00396DA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396DAB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396DA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96DA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96DAB"/>
    <w:pPr>
      <w:numPr>
        <w:numId w:val="0"/>
      </w:numPr>
    </w:pPr>
  </w:style>
  <w:style w:type="paragraph" w:customStyle="1" w:styleId="TableText">
    <w:name w:val="Table Text"/>
    <w:basedOn w:val="Normal"/>
    <w:rsid w:val="00396DA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96DAB"/>
    <w:pPr>
      <w:jc w:val="center"/>
    </w:pPr>
    <w:rPr>
      <w:b/>
      <w:bCs/>
    </w:rPr>
  </w:style>
  <w:style w:type="paragraph" w:styleId="BodyText3">
    <w:name w:val="Body Text 3"/>
    <w:basedOn w:val="Normal"/>
    <w:rsid w:val="00396DAB"/>
    <w:rPr>
      <w:b/>
      <w:color w:val="0000FF"/>
    </w:rPr>
  </w:style>
  <w:style w:type="paragraph" w:styleId="BodyTextIndent">
    <w:name w:val="Body Text Indent"/>
    <w:basedOn w:val="Normal"/>
    <w:rsid w:val="000B1BD2"/>
    <w:pPr>
      <w:spacing w:after="120"/>
      <w:ind w:left="360"/>
    </w:pPr>
  </w:style>
  <w:style w:type="table" w:styleId="TableGrid">
    <w:name w:val="Table Grid"/>
    <w:basedOn w:val="TableNormal"/>
    <w:rsid w:val="003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57F27"/>
    <w:rPr>
      <w:color w:val="0000FF"/>
      <w:u w:val="single"/>
    </w:rPr>
  </w:style>
  <w:style w:type="character" w:styleId="FollowedHyperlink">
    <w:name w:val="FollowedHyperlink"/>
    <w:basedOn w:val="DefaultParagraphFont"/>
    <w:rsid w:val="00C57ED5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16B9E"/>
    <w:rPr>
      <w:sz w:val="22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72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28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2021-02-01T06:00:00+00:00</Renewal_x0020_Date>
    <Related_x0020_Documents xmlns="199f0838-75a6-4f0c-9be1-f2c07140bccc" xsi:nil="true"/>
    <Legacy_x0020_Name xmlns="199f0838-75a6-4f0c-9be1-f2c07140bccc">LIS_1.21_Adding_Orders_to_a_Past_Draw[1].doc</Legacy_x0020_Name>
    <Publish_x0020_As xmlns="199f0838-75a6-4f0c-9be1-f2c07140bccc">Default</Publish_x0020_As>
    <Legacy_x0020_Document_x0020_ID xmlns="199f0838-75a6-4f0c-9be1-f2c07140bccc">205301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F6TN54CWY5RS-50183619-30880</_dlc_DocId>
    <_Version xmlns="http://schemas.microsoft.com/sharepoint/v3/fields">5</_Version>
    <Meta_x0020_Tag_x0020_Keywords xmlns="199f0838-75a6-4f0c-9be1-f2c07140bccc" xsi:nil="true"/>
    <dCategory xmlns="http://schemas.microsoft.com/sharepoint/v3" xsi:nil="true"/>
    <_dlc_DocIdUrl xmlns="199f0838-75a6-4f0c-9be1-f2c07140bccc">
      <Url>http://vcpsharepoint2/references/_layouts/15/DocIdRedir.aspx?ID=F6TN54CWY5RS-50183619-30880</Url>
      <Description>F6TN54CWY5RS-50183619-30880</Description>
    </_dlc_DocIdUrl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0_2 xmlns="c1848e11-9cf6-4ce4-877e-6837d2c2fa23">
      <Url xsi:nil="true"/>
      <Description xsi:nil="true"/>
    </CHC_x0020_Approval_x0020_Workflow_x0020_2>
    <Document_x0020_Title xmlns="199f0838-75a6-4f0c-9be1-f2c07140bccc">LIS 1.21 Adding Orders To A Past Draw Procedure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LIS</Owner>
    <_DCDateCreated xmlns="http://schemas.microsoft.com/sharepoint/v3/fields">2015-06-09T12:24:00+00:00</_DCDateCreated>
    <Summary xmlns="199f0838-75a6-4f0c-9be1-f2c07140bccc" xsi:nil="true"/>
    <SubTitle xmlns="199f0838-75a6-4f0c-9be1-f2c07140bccc" xsi:nil="true"/>
    <Content_x0020_Release_x0020_Date xmlns="199f0838-75a6-4f0c-9be1-f2c07140bccc">2015-06-09T05:00:00+00:00</Content_x0020_Release_x0020_Date>
  </documentManagement>
</p:properties>
</file>

<file path=customXml/itemProps1.xml><?xml version="1.0" encoding="utf-8"?>
<ds:datastoreItem xmlns:ds="http://schemas.openxmlformats.org/officeDocument/2006/customXml" ds:itemID="{14FD21F8-7B56-4306-878E-DD932256F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E97FE-2AB9-4599-B73C-BBE52F87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DD6CC-680C-45A3-857F-4B65BDEADB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B2494C-3BF4-4C1B-A688-11781443E9B1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CE001314</dc:creator>
  <dc:description>reviewed 06/19/13 rmg\nreviewed/renumbered 1.3 to 1.21 05/29/2015 rmg reviewed 06/29/2017,reviewed 6/6/2019 (added comment about inprocess but procedure does not change)</dc:description>
  <cp:lastModifiedBy>CE140323</cp:lastModifiedBy>
  <cp:revision>2</cp:revision>
  <cp:lastPrinted>2008-07-31T21:45:00Z</cp:lastPrinted>
  <dcterms:created xsi:type="dcterms:W3CDTF">2019-10-21T12:45:00Z</dcterms:created>
  <dcterms:modified xsi:type="dcterms:W3CDTF">2019-10-21T12:45:00Z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4b77c67e-eec1-4dad-8c90-f3a3446411dd</vt:lpwstr>
  </property>
  <property fmtid="{D5CDD505-2E9C-101B-9397-08002B2CF9AE}" pid="4" name="WorkflowChangePath">
    <vt:lpwstr>85493ae8-44a3-4172-9f61-0b2d9e19d9ef,41;85493ae8-44a3-4172-9f61-0b2d9e19d9ef,45;</vt:lpwstr>
  </property>
</Properties>
</file>