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21746B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46B" w:rsidRDefault="004076D5">
            <w:pPr>
              <w:pStyle w:val="BodyText"/>
              <w:rPr>
                <w:rFonts w:ascii="Arial" w:hAnsi="Arial" w:cs="Arial"/>
                <w:b/>
                <w:bCs w:val="0"/>
                <w:color w:val="008000"/>
                <w:sz w:val="24"/>
              </w:rPr>
            </w:pPr>
            <w:r>
              <w:rPr>
                <w:rFonts w:ascii="Arial" w:hAnsi="Arial" w:cs="Arial"/>
                <w:b/>
                <w:bCs w:val="0"/>
                <w:color w:val="0000FF"/>
                <w:sz w:val="32"/>
                <w:szCs w:val="32"/>
              </w:rPr>
              <w:t>Safety Education and Training</w:t>
            </w:r>
          </w:p>
          <w:p w:rsidR="0021746B" w:rsidRPr="001728EB" w:rsidRDefault="002D7BFA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1746B" w:rsidTr="001728EB">
        <w:trPr>
          <w:cantSplit/>
          <w:trHeight w:val="50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Pr="001728EB" w:rsidRDefault="0021746B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21746B" w:rsidRPr="00EE2CBA" w:rsidRDefault="002174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</w:t>
            </w:r>
            <w:r w:rsidR="004076D5">
              <w:rPr>
                <w:rFonts w:ascii="Arial" w:hAnsi="Arial" w:cs="Arial"/>
                <w:sz w:val="20"/>
              </w:rPr>
              <w:t>provides guidance for SAFETY EDUCATION AND TRAINING.</w:t>
            </w:r>
          </w:p>
        </w:tc>
      </w:tr>
      <w:tr w:rsidR="0021746B" w:rsidTr="001728EB">
        <w:trPr>
          <w:cantSplit/>
          <w:trHeight w:val="7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21746B" w:rsidRDefault="0021746B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sz w:val="20"/>
              </w:rPr>
            </w:pPr>
          </w:p>
          <w:p w:rsidR="00782669" w:rsidRDefault="004076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Children’s Minnesota Laboratory will provide safety education and training specific to the laboratory to protect the health and safety of its </w:t>
            </w:r>
            <w:r w:rsidR="004154EA">
              <w:rPr>
                <w:rFonts w:ascii="Arial" w:hAnsi="Arial" w:cs="Arial"/>
                <w:iCs/>
                <w:sz w:val="20"/>
              </w:rPr>
              <w:t>staff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782669" w:rsidRPr="00782669" w:rsidRDefault="00782669">
            <w:pPr>
              <w:jc w:val="left"/>
              <w:rPr>
                <w:rFonts w:ascii="Arial" w:hAnsi="Arial" w:cs="Arial"/>
                <w:iCs/>
                <w:sz w:val="12"/>
                <w:szCs w:val="12"/>
              </w:rPr>
            </w:pPr>
          </w:p>
        </w:tc>
      </w:tr>
      <w:tr w:rsidR="0021746B" w:rsidTr="00AC34B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4076D5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Safety Training Program</w:t>
            </w:r>
          </w:p>
          <w:p w:rsidR="0021746B" w:rsidRDefault="0021746B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1746B" w:rsidRDefault="0021746B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669" w:rsidRPr="00782669" w:rsidRDefault="00782669" w:rsidP="00782669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076D5" w:rsidRDefault="004076D5" w:rsidP="0078266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New laboratory </w:t>
            </w:r>
            <w:r w:rsidR="00EE3432">
              <w:rPr>
                <w:rFonts w:ascii="Arial" w:hAnsi="Arial" w:cs="Arial"/>
                <w:sz w:val="20"/>
              </w:rPr>
              <w:t>staff are introduced to safety education and training as part of new employee orientation.</w:t>
            </w:r>
            <w:r>
              <w:rPr>
                <w:rFonts w:ascii="Arial" w:hAnsi="Arial" w:cs="Arial"/>
                <w:sz w:val="20"/>
              </w:rPr>
              <w:t xml:space="preserve"> They also complete </w:t>
            </w:r>
            <w:r w:rsidR="00EE3432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Children’s online safety training courses.</w:t>
            </w:r>
          </w:p>
          <w:p w:rsidR="004076D5" w:rsidRDefault="00EE3432" w:rsidP="00EE343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4076D5">
              <w:rPr>
                <w:rFonts w:ascii="Arial" w:hAnsi="Arial" w:cs="Arial"/>
                <w:sz w:val="20"/>
              </w:rPr>
              <w:t xml:space="preserve">nline </w:t>
            </w:r>
            <w:r>
              <w:rPr>
                <w:rFonts w:ascii="Arial" w:hAnsi="Arial" w:cs="Arial"/>
                <w:sz w:val="20"/>
              </w:rPr>
              <w:t xml:space="preserve">safety </w:t>
            </w:r>
            <w:r w:rsidR="004076D5">
              <w:rPr>
                <w:rFonts w:ascii="Arial" w:hAnsi="Arial" w:cs="Arial"/>
                <w:sz w:val="20"/>
              </w:rPr>
              <w:t>training courses are r</w:t>
            </w:r>
            <w:bookmarkStart w:id="0" w:name="_GoBack"/>
            <w:r w:rsidR="004076D5">
              <w:rPr>
                <w:rFonts w:ascii="Arial" w:hAnsi="Arial" w:cs="Arial"/>
                <w:sz w:val="20"/>
              </w:rPr>
              <w:t>e</w:t>
            </w:r>
            <w:bookmarkEnd w:id="0"/>
            <w:r w:rsidR="004076D5">
              <w:rPr>
                <w:rFonts w:ascii="Arial" w:hAnsi="Arial" w:cs="Arial"/>
                <w:sz w:val="20"/>
              </w:rPr>
              <w:t xml:space="preserve">quired annually </w:t>
            </w:r>
            <w:r>
              <w:rPr>
                <w:rFonts w:ascii="Arial" w:hAnsi="Arial" w:cs="Arial"/>
                <w:sz w:val="20"/>
              </w:rPr>
              <w:t xml:space="preserve">for all staff </w:t>
            </w:r>
            <w:r w:rsidR="004076D5">
              <w:rPr>
                <w:rFonts w:ascii="Arial" w:hAnsi="Arial" w:cs="Arial"/>
                <w:sz w:val="20"/>
              </w:rPr>
              <w:t>to update</w:t>
            </w:r>
            <w:r w:rsidR="005B1E7E">
              <w:rPr>
                <w:rFonts w:ascii="Arial" w:hAnsi="Arial" w:cs="Arial"/>
                <w:sz w:val="20"/>
              </w:rPr>
              <w:t xml:space="preserve"> and/or </w:t>
            </w:r>
            <w:r>
              <w:rPr>
                <w:rFonts w:ascii="Arial" w:hAnsi="Arial" w:cs="Arial"/>
                <w:sz w:val="20"/>
              </w:rPr>
              <w:t xml:space="preserve">refresh </w:t>
            </w:r>
            <w:r w:rsidR="004076D5">
              <w:rPr>
                <w:rFonts w:ascii="Arial" w:hAnsi="Arial" w:cs="Arial"/>
                <w:sz w:val="20"/>
              </w:rPr>
              <w:t xml:space="preserve">their knowledge </w:t>
            </w:r>
            <w:r>
              <w:rPr>
                <w:rFonts w:ascii="Arial" w:hAnsi="Arial" w:cs="Arial"/>
                <w:sz w:val="20"/>
              </w:rPr>
              <w:t>about critical s</w:t>
            </w:r>
            <w:r w:rsidR="005B1E7E">
              <w:rPr>
                <w:rFonts w:ascii="Arial" w:hAnsi="Arial" w:cs="Arial"/>
                <w:sz w:val="20"/>
              </w:rPr>
              <w:t xml:space="preserve">afety procedures, policies, and </w:t>
            </w:r>
            <w:r>
              <w:rPr>
                <w:rFonts w:ascii="Arial" w:hAnsi="Arial" w:cs="Arial"/>
                <w:sz w:val="20"/>
              </w:rPr>
              <w:t>issues.</w:t>
            </w:r>
          </w:p>
          <w:p w:rsidR="004076D5" w:rsidRDefault="005B1E7E" w:rsidP="00EE343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receive </w:t>
            </w:r>
            <w:r w:rsidR="004076D5">
              <w:rPr>
                <w:rFonts w:ascii="Arial" w:hAnsi="Arial" w:cs="Arial"/>
                <w:sz w:val="20"/>
              </w:rPr>
              <w:t>additional education and training by participating in fire drills and exercises, viewing information posted on the safety board, participating in audits and inspections, attending special events</w:t>
            </w:r>
            <w:r>
              <w:rPr>
                <w:rFonts w:ascii="Arial" w:hAnsi="Arial" w:cs="Arial"/>
                <w:sz w:val="20"/>
              </w:rPr>
              <w:t>,</w:t>
            </w:r>
            <w:r w:rsidR="004076D5">
              <w:rPr>
                <w:rFonts w:ascii="Arial" w:hAnsi="Arial" w:cs="Arial"/>
                <w:sz w:val="20"/>
              </w:rPr>
              <w:t xml:space="preserve"> and by participating in staff interviews dur</w:t>
            </w:r>
            <w:r>
              <w:rPr>
                <w:rFonts w:ascii="Arial" w:hAnsi="Arial" w:cs="Arial"/>
                <w:sz w:val="20"/>
              </w:rPr>
              <w:t>ing hazard surveillance surveys and safety audits.</w:t>
            </w:r>
            <w:r w:rsidR="000126C2">
              <w:rPr>
                <w:rFonts w:ascii="Arial" w:hAnsi="Arial" w:cs="Arial"/>
                <w:sz w:val="20"/>
              </w:rPr>
              <w:t xml:space="preserve"> </w:t>
            </w:r>
          </w:p>
          <w:p w:rsidR="00782669" w:rsidRDefault="004076D5" w:rsidP="00782669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laboratory may request additional training from the hospital safety department.</w:t>
            </w:r>
          </w:p>
          <w:p w:rsidR="00782669" w:rsidRPr="000126C2" w:rsidRDefault="000126C2" w:rsidP="004434C0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</w:rPr>
            </w:pPr>
            <w:r w:rsidRPr="000126C2">
              <w:rPr>
                <w:rFonts w:ascii="Arial" w:hAnsi="Arial" w:cs="Arial"/>
                <w:sz w:val="20"/>
                <w:u w:val="single"/>
              </w:rPr>
              <w:t>Hepatitis B vaccinations</w:t>
            </w:r>
            <w:r>
              <w:rPr>
                <w:rFonts w:ascii="Arial" w:hAnsi="Arial" w:cs="Arial"/>
                <w:sz w:val="20"/>
              </w:rPr>
              <w:t xml:space="preserve">: As part of new employee orientation, Children’s Minnesota offers hepatitis B vaccinations to all staff members </w:t>
            </w:r>
            <w:r w:rsidR="00AC34BE">
              <w:rPr>
                <w:rFonts w:ascii="Arial" w:hAnsi="Arial" w:cs="Arial"/>
                <w:sz w:val="20"/>
              </w:rPr>
              <w:t>who are expected to have</w:t>
            </w:r>
            <w:r>
              <w:rPr>
                <w:rFonts w:ascii="Arial" w:hAnsi="Arial" w:cs="Arial"/>
                <w:sz w:val="20"/>
              </w:rPr>
              <w:t xml:space="preserve"> direct contact</w:t>
            </w:r>
            <w:r w:rsidR="00786A65">
              <w:rPr>
                <w:rFonts w:ascii="Arial" w:hAnsi="Arial" w:cs="Arial"/>
                <w:sz w:val="20"/>
              </w:rPr>
              <w:t xml:space="preserve"> with</w:t>
            </w:r>
            <w:r>
              <w:rPr>
                <w:rFonts w:ascii="Arial" w:hAnsi="Arial" w:cs="Arial"/>
                <w:sz w:val="20"/>
              </w:rPr>
              <w:t xml:space="preserve"> or a risk of exposure to blood, body fluids, or other potentially infectious materials. The vaccination is offered free of charge</w:t>
            </w:r>
            <w:r w:rsidR="004434C0">
              <w:rPr>
                <w:rFonts w:ascii="Arial" w:hAnsi="Arial" w:cs="Arial"/>
                <w:sz w:val="20"/>
              </w:rPr>
              <w:t xml:space="preserve"> through Employee Health Services</w:t>
            </w:r>
            <w:r>
              <w:rPr>
                <w:rFonts w:ascii="Arial" w:hAnsi="Arial" w:cs="Arial"/>
                <w:sz w:val="20"/>
              </w:rPr>
              <w:t xml:space="preserve">. Employees that decline the vaccination must sign a declination form as required by OSHA and CAP. </w:t>
            </w:r>
          </w:p>
        </w:tc>
      </w:tr>
      <w:tr w:rsidR="004076D5" w:rsidTr="00AC34B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2669" w:rsidRDefault="00782669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0126C2" w:rsidRDefault="004076D5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Safety Training Orientation</w:t>
            </w: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Pr="000126C2" w:rsidRDefault="000126C2" w:rsidP="000126C2">
            <w:pPr>
              <w:rPr>
                <w:rFonts w:ascii="Arial" w:hAnsi="Arial" w:cs="Arial"/>
              </w:rPr>
            </w:pPr>
          </w:p>
          <w:p w:rsidR="000126C2" w:rsidRDefault="000126C2" w:rsidP="000126C2">
            <w:pPr>
              <w:rPr>
                <w:rFonts w:ascii="Arial" w:hAnsi="Arial" w:cs="Arial"/>
              </w:rPr>
            </w:pPr>
          </w:p>
          <w:p w:rsidR="000126C2" w:rsidRDefault="000126C2" w:rsidP="000126C2">
            <w:pPr>
              <w:rPr>
                <w:rFonts w:ascii="Arial" w:hAnsi="Arial" w:cs="Arial"/>
              </w:rPr>
            </w:pPr>
          </w:p>
          <w:p w:rsidR="004076D5" w:rsidRPr="000126C2" w:rsidRDefault="004076D5" w:rsidP="000126C2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6D5" w:rsidRPr="00782669" w:rsidRDefault="004076D5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4076D5" w:rsidRDefault="005B1E7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Subjects</w:t>
            </w:r>
            <w:r w:rsidR="004076D5">
              <w:rPr>
                <w:rFonts w:ascii="Arial" w:hAnsi="Arial" w:cs="Arial"/>
                <w:sz w:val="20"/>
              </w:rPr>
              <w:t xml:space="preserve"> included in the laboratory safety orientation:</w:t>
            </w:r>
          </w:p>
          <w:p w:rsidR="004076D5" w:rsidRDefault="004076D5" w:rsidP="004076D5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 tour</w:t>
            </w:r>
          </w:p>
          <w:p w:rsidR="004076D5" w:rsidRDefault="004076D5" w:rsidP="00782669">
            <w:pPr>
              <w:numPr>
                <w:ilvl w:val="1"/>
                <w:numId w:val="1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equipment</w:t>
            </w:r>
          </w:p>
          <w:p w:rsidR="004076D5" w:rsidRDefault="004076D5" w:rsidP="00782669">
            <w:pPr>
              <w:numPr>
                <w:ilvl w:val="1"/>
                <w:numId w:val="1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Evacuation routes</w:t>
            </w:r>
          </w:p>
          <w:p w:rsidR="004076D5" w:rsidRDefault="004076D5" w:rsidP="00782669">
            <w:pPr>
              <w:numPr>
                <w:ilvl w:val="1"/>
                <w:numId w:val="1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Smoke compartment doors</w:t>
            </w:r>
          </w:p>
          <w:p w:rsidR="004076D5" w:rsidRDefault="004076D5" w:rsidP="004076D5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Exposure to hazardous chemicals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Chemical hygiene plan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Engineering controls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practice controls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protective equipment (PPE)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exposure levels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Spills</w:t>
            </w:r>
          </w:p>
          <w:p w:rsidR="000A636C" w:rsidRDefault="000A636C" w:rsidP="00782669">
            <w:pPr>
              <w:numPr>
                <w:ilvl w:val="1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Disposal</w:t>
            </w:r>
          </w:p>
          <w:p w:rsidR="000A636C" w:rsidRDefault="000A636C" w:rsidP="000A636C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Chemical hazard communication</w:t>
            </w:r>
          </w:p>
          <w:p w:rsidR="000A636C" w:rsidRDefault="000A636C" w:rsidP="00782669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Hazardous chemical list</w:t>
            </w:r>
          </w:p>
          <w:p w:rsidR="000A636C" w:rsidRDefault="000A636C" w:rsidP="00782669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Labels</w:t>
            </w:r>
          </w:p>
          <w:p w:rsidR="000A636C" w:rsidRDefault="000A636C" w:rsidP="00782669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 data sheets</w:t>
            </w:r>
          </w:p>
          <w:p w:rsidR="000A636C" w:rsidRDefault="000A636C" w:rsidP="000A636C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Bloodborne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pathogens</w:t>
            </w:r>
          </w:p>
          <w:p w:rsidR="000A636C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 precautions</w:t>
            </w:r>
          </w:p>
          <w:p w:rsidR="000A636C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Engineering controls</w:t>
            </w:r>
          </w:p>
          <w:p w:rsidR="000A636C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practice controls</w:t>
            </w:r>
          </w:p>
          <w:p w:rsidR="000A636C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PPE</w:t>
            </w:r>
          </w:p>
          <w:p w:rsidR="00EE2CBA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 w:rsidRPr="00EE2CBA">
              <w:rPr>
                <w:rFonts w:ascii="Arial" w:hAnsi="Arial" w:cs="Arial"/>
                <w:sz w:val="20"/>
              </w:rPr>
              <w:t xml:space="preserve">Blood and body fluid exposure </w:t>
            </w:r>
          </w:p>
          <w:p w:rsidR="000A636C" w:rsidRPr="00EE2CBA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 w:rsidRPr="00EE2CBA">
              <w:rPr>
                <w:rFonts w:ascii="Arial" w:hAnsi="Arial" w:cs="Arial"/>
                <w:sz w:val="20"/>
              </w:rPr>
              <w:t>Spills</w:t>
            </w:r>
          </w:p>
          <w:p w:rsidR="000A636C" w:rsidRDefault="000A636C" w:rsidP="00782669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Disposal</w:t>
            </w: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AC34BE" w:rsidRDefault="00AC34BE" w:rsidP="00AC34BE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:rsidR="000A636C" w:rsidRDefault="000A636C" w:rsidP="000A636C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  <w:p w:rsidR="000A636C" w:rsidRDefault="000A636C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safety</w:t>
            </w:r>
          </w:p>
          <w:p w:rsidR="000A636C" w:rsidRDefault="000A636C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Electrical safety</w:t>
            </w:r>
          </w:p>
          <w:p w:rsidR="000A636C" w:rsidRDefault="000A636C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Radiation safety</w:t>
            </w:r>
          </w:p>
          <w:p w:rsidR="00EE2CBA" w:rsidRDefault="00EE2CBA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Ergonomics</w:t>
            </w:r>
          </w:p>
          <w:p w:rsidR="00EE2CBA" w:rsidRDefault="00EE2CBA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Illness/Injury reporting</w:t>
            </w:r>
          </w:p>
          <w:p w:rsidR="000A636C" w:rsidRDefault="000A636C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Slips, trips and falls</w:t>
            </w:r>
          </w:p>
          <w:p w:rsidR="000A636C" w:rsidRDefault="00AD148C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Gas cy</w:t>
            </w:r>
            <w:r w:rsidR="000A636C">
              <w:rPr>
                <w:rFonts w:ascii="Arial" w:hAnsi="Arial" w:cs="Arial"/>
                <w:sz w:val="20"/>
              </w:rPr>
              <w:t>linders</w:t>
            </w:r>
          </w:p>
          <w:p w:rsidR="00782669" w:rsidRDefault="00782669" w:rsidP="00782669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Panic buttons</w:t>
            </w:r>
          </w:p>
          <w:p w:rsidR="00782669" w:rsidRPr="00046665" w:rsidRDefault="00782669" w:rsidP="00782669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13D4E" w:rsidTr="00AC34B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13D4E" w:rsidRDefault="00713D4E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713D4E" w:rsidRDefault="00713D4E">
            <w:pPr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Safety Training Orientation</w:t>
            </w:r>
          </w:p>
          <w:p w:rsidR="00713D4E" w:rsidRDefault="00713D4E">
            <w:pPr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D4E" w:rsidRDefault="00713D4E" w:rsidP="000678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97D0F" w:rsidRPr="00C97D0F" w:rsidRDefault="000678D0" w:rsidP="00C97D0F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97D0F">
              <w:rPr>
                <w:rFonts w:ascii="Arial" w:hAnsi="Arial" w:cs="Arial"/>
                <w:sz w:val="20"/>
                <w:szCs w:val="20"/>
              </w:rPr>
              <w:t xml:space="preserve"> PPE </w:t>
            </w:r>
          </w:p>
          <w:p w:rsidR="006D4E82" w:rsidRDefault="006D4E82" w:rsidP="00C97D0F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</w:p>
          <w:p w:rsidR="00C97D0F" w:rsidRDefault="00C97D0F" w:rsidP="00C97D0F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Proper use</w:t>
            </w:r>
          </w:p>
          <w:p w:rsidR="00C97D0F" w:rsidRPr="00C97D0F" w:rsidRDefault="00C97D0F" w:rsidP="00C97D0F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97D0F">
              <w:rPr>
                <w:rFonts w:ascii="Arial" w:hAnsi="Arial" w:cs="Arial"/>
                <w:bCs/>
                <w:sz w:val="20"/>
                <w:szCs w:val="20"/>
              </w:rPr>
              <w:t>Limitations</w:t>
            </w:r>
          </w:p>
          <w:p w:rsidR="00C97D0F" w:rsidRPr="00C97D0F" w:rsidRDefault="00C97D0F" w:rsidP="00C97D0F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C97D0F">
              <w:rPr>
                <w:rFonts w:ascii="Arial" w:hAnsi="Arial" w:cs="Arial"/>
                <w:bCs/>
                <w:sz w:val="20"/>
                <w:szCs w:val="20"/>
              </w:rPr>
              <w:t>Care, maintenance, disposal</w:t>
            </w:r>
          </w:p>
          <w:p w:rsidR="00713D4E" w:rsidRPr="00713D4E" w:rsidRDefault="00713D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46B" w:rsidTr="00AC34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1746B" w:rsidRDefault="00270497">
            <w:pPr>
              <w:jc w:val="left"/>
              <w:rPr>
                <w:rStyle w:val="Hyperlink"/>
                <w:rFonts w:ascii="Arial" w:hAnsi="Arial" w:cs="Arial"/>
                <w:sz w:val="20"/>
              </w:rPr>
            </w:pPr>
            <w:hyperlink r:id="rId7" w:history="1">
              <w:r w:rsidR="000A636C" w:rsidRPr="00AD148C">
                <w:rPr>
                  <w:rStyle w:val="Hyperlink"/>
                  <w:rFonts w:ascii="Arial" w:hAnsi="Arial" w:cs="Arial"/>
                  <w:sz w:val="20"/>
                </w:rPr>
                <w:t>938.00 Safety Management Plan</w:t>
              </w:r>
            </w:hyperlink>
          </w:p>
          <w:p w:rsidR="004F3C82" w:rsidRDefault="00270497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="004F3C82" w:rsidRPr="00593865">
                <w:rPr>
                  <w:rStyle w:val="Hyperlink"/>
                  <w:rFonts w:ascii="Arial" w:hAnsi="Arial" w:cs="Arial"/>
                  <w:sz w:val="20"/>
                </w:rPr>
                <w:t xml:space="preserve">1202.00 </w:t>
              </w:r>
              <w:proofErr w:type="spellStart"/>
              <w:r w:rsidR="004F3C82" w:rsidRPr="00593865">
                <w:rPr>
                  <w:rStyle w:val="Hyperlink"/>
                  <w:rFonts w:ascii="Arial" w:hAnsi="Arial" w:cs="Arial"/>
                  <w:sz w:val="20"/>
                </w:rPr>
                <w:t>Bloodborne</w:t>
              </w:r>
              <w:proofErr w:type="spellEnd"/>
              <w:r w:rsidR="004E70B7" w:rsidRPr="00593865">
                <w:rPr>
                  <w:rStyle w:val="Hyperlink"/>
                  <w:rFonts w:ascii="Arial" w:hAnsi="Arial" w:cs="Arial"/>
                  <w:sz w:val="20"/>
                </w:rPr>
                <w:t xml:space="preserve"> Pathogen Exposure-Control Plan</w:t>
              </w:r>
            </w:hyperlink>
          </w:p>
          <w:p w:rsidR="00B67863" w:rsidRDefault="00B6786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Lab Safety Manual:</w:t>
            </w:r>
          </w:p>
          <w:p w:rsidR="00B67863" w:rsidRDefault="00270497">
            <w:pPr>
              <w:jc w:val="left"/>
              <w:rPr>
                <w:rStyle w:val="Hyperlink"/>
                <w:rFonts w:ascii="Arial" w:hAnsi="Arial" w:cs="Arial"/>
                <w:sz w:val="20"/>
              </w:rPr>
            </w:pPr>
            <w:hyperlink r:id="rId9" w:history="1">
              <w:r w:rsidR="00745A76" w:rsidRPr="00F85045">
                <w:rPr>
                  <w:rStyle w:val="Hyperlink"/>
                  <w:rFonts w:ascii="Arial" w:hAnsi="Arial" w:cs="Arial"/>
                  <w:sz w:val="20"/>
                </w:rPr>
                <w:t>https://starnet.childrenshc.org/References/labsop/index.php?view=folder&amp;folder=gen</w:t>
              </w:r>
            </w:hyperlink>
          </w:p>
          <w:p w:rsidR="00745A76" w:rsidRPr="000A636C" w:rsidRDefault="00745A7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1746B" w:rsidTr="00AC34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1746B" w:rsidRDefault="0021746B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746B" w:rsidRDefault="0021746B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1746B" w:rsidRPr="000A636C" w:rsidRDefault="000A636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OSHA.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Laboratory Safety Guidance.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OSHA 3404-11R, Occupational Safety and Health Administration: 2011.</w:t>
            </w:r>
          </w:p>
          <w:p w:rsidR="0021746B" w:rsidRDefault="0021746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74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746B" w:rsidRDefault="0021746B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746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1746B" w:rsidTr="000A636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21746B" w:rsidRDefault="002174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0A6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0A6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06/04/04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6B" w:rsidRDefault="002174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0A636C" w:rsidTr="00EE343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0A636C" w:rsidRDefault="000A636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C" w:rsidRDefault="000A63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C" w:rsidRDefault="000A6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C" w:rsidRDefault="000A63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03/07/14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C" w:rsidRDefault="000A636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 and references.</w:t>
            </w:r>
          </w:p>
          <w:p w:rsidR="000A636C" w:rsidRDefault="000A636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Reformatted.</w:t>
            </w:r>
          </w:p>
          <w:p w:rsidR="000A636C" w:rsidRDefault="000A636C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2.1</w:t>
            </w:r>
          </w:p>
        </w:tc>
      </w:tr>
      <w:tr w:rsidR="00EE3432" w:rsidTr="009922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EE3432" w:rsidRDefault="00EE3432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2" w:rsidRDefault="00EE34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69" w:rsidRDefault="007826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</w:t>
            </w:r>
          </w:p>
          <w:p w:rsidR="00EE3432" w:rsidRDefault="00EE34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32" w:rsidRDefault="00EE3432" w:rsidP="00B67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67863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</w:t>
            </w:r>
            <w:r w:rsidR="00B67863"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59" w:rsidRDefault="0004666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Ergonomics, </w:t>
            </w:r>
            <w:r w:rsidR="00EE2CBA">
              <w:rPr>
                <w:rFonts w:ascii="Arial" w:hAnsi="Arial" w:cs="Arial"/>
                <w:iCs/>
                <w:sz w:val="20"/>
              </w:rPr>
              <w:t>Illness/Injury reportin</w:t>
            </w:r>
            <w:r w:rsidR="00C97D0F">
              <w:rPr>
                <w:rFonts w:ascii="Arial" w:hAnsi="Arial" w:cs="Arial"/>
                <w:iCs/>
                <w:sz w:val="20"/>
              </w:rPr>
              <w:t xml:space="preserve">g, </w:t>
            </w:r>
            <w:r>
              <w:rPr>
                <w:rFonts w:ascii="Arial" w:hAnsi="Arial" w:cs="Arial"/>
                <w:iCs/>
                <w:sz w:val="20"/>
              </w:rPr>
              <w:t>Panic buttons</w:t>
            </w:r>
            <w:r w:rsidR="00C97D0F">
              <w:rPr>
                <w:rFonts w:ascii="Arial" w:hAnsi="Arial" w:cs="Arial"/>
                <w:iCs/>
                <w:sz w:val="20"/>
              </w:rPr>
              <w:t xml:space="preserve"> &amp; PPE section.</w:t>
            </w:r>
            <w:r w:rsidR="00B67863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EE3432" w:rsidRDefault="00B6786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Lab Safety Manual link in Supporting Documents.</w:t>
            </w:r>
          </w:p>
        </w:tc>
      </w:tr>
      <w:tr w:rsidR="009922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99220C" w:rsidRDefault="0099220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0C" w:rsidRDefault="009922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0C" w:rsidRDefault="009922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0C" w:rsidRDefault="0099220C" w:rsidP="00B67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02/28/20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E" w:rsidRDefault="00FE09E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information about hepatitis B vaccination program. </w:t>
            </w:r>
          </w:p>
          <w:p w:rsidR="0099220C" w:rsidRDefault="00FE09E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reference (Policy 1202.00)</w:t>
            </w:r>
            <w:r w:rsidR="009B102E">
              <w:rPr>
                <w:rFonts w:ascii="Arial" w:hAnsi="Arial" w:cs="Arial"/>
                <w:iCs/>
                <w:sz w:val="20"/>
              </w:rPr>
              <w:t>.</w:t>
            </w:r>
          </w:p>
        </w:tc>
      </w:tr>
    </w:tbl>
    <w:p w:rsidR="0021746B" w:rsidRDefault="0021746B">
      <w:pPr>
        <w:rPr>
          <w:rFonts w:ascii="Arial" w:hAnsi="Arial" w:cs="Arial"/>
        </w:rPr>
      </w:pPr>
    </w:p>
    <w:sectPr w:rsidR="0021746B" w:rsidSect="001728EB">
      <w:headerReference w:type="default" r:id="rId10"/>
      <w:footerReference w:type="even" r:id="rId11"/>
      <w:footerReference w:type="default" r:id="rId12"/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D6" w:rsidRDefault="00C260D6">
      <w:r>
        <w:separator/>
      </w:r>
    </w:p>
  </w:endnote>
  <w:endnote w:type="continuationSeparator" w:id="0">
    <w:p w:rsidR="00C260D6" w:rsidRDefault="00C2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0F" w:rsidRDefault="00C97D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D0F" w:rsidRDefault="00C97D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0F" w:rsidRDefault="00C97D0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C97D0F" w:rsidRDefault="00C97D0F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27049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270497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D6" w:rsidRDefault="00C260D6">
      <w:r>
        <w:separator/>
      </w:r>
    </w:p>
  </w:footnote>
  <w:footnote w:type="continuationSeparator" w:id="0">
    <w:p w:rsidR="00C260D6" w:rsidRDefault="00C2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0F" w:rsidRDefault="00C97D0F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iCs/>
        <w:noProof/>
        <w:sz w:val="18"/>
      </w:rPr>
      <w:t>SA 1.02 Safety Education and Training</w:t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>
      <w:rPr>
        <w:rFonts w:ascii="Arial" w:hAnsi="Arial" w:cs="Arial"/>
        <w:bCs/>
        <w:iCs/>
        <w:noProof/>
        <w:sz w:val="18"/>
      </w:rPr>
      <w:tab/>
    </w:r>
    <w:r w:rsidR="00657D9A" w:rsidRPr="00447B42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0" t="0" r="9525" b="9525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18"/>
      </w:rPr>
      <w:t xml:space="preserve"> </w:t>
    </w:r>
  </w:p>
  <w:p w:rsidR="00C97D0F" w:rsidRDefault="00C97D0F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Version </w:t>
    </w:r>
    <w:r w:rsidR="00270497">
      <w:rPr>
        <w:rFonts w:ascii="Arial" w:hAnsi="Arial" w:cs="Arial"/>
        <w:bCs/>
        <w:sz w:val="18"/>
      </w:rPr>
      <w:t>4</w:t>
    </w:r>
  </w:p>
  <w:p w:rsidR="00C97D0F" w:rsidRDefault="00C97D0F" w:rsidP="00782669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Effective Date: </w:t>
    </w:r>
    <w:r w:rsidR="00270497">
      <w:rPr>
        <w:rFonts w:ascii="Arial" w:hAnsi="Arial" w:cs="Arial"/>
        <w:bCs/>
        <w:sz w:val="18"/>
      </w:rPr>
      <w:t>02/28/2020</w:t>
    </w:r>
  </w:p>
  <w:p w:rsidR="00C97D0F" w:rsidRPr="00782669" w:rsidRDefault="00657D9A" w:rsidP="00782669">
    <w:pPr>
      <w:pStyle w:val="Header"/>
      <w:ind w:left="-720"/>
      <w:rPr>
        <w:b/>
        <w:sz w:val="18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BC6F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8B3"/>
    <w:multiLevelType w:val="hybridMultilevel"/>
    <w:tmpl w:val="8B38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A52"/>
    <w:multiLevelType w:val="hybridMultilevel"/>
    <w:tmpl w:val="D51A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0C95"/>
    <w:multiLevelType w:val="hybridMultilevel"/>
    <w:tmpl w:val="AE220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D5DCA"/>
    <w:multiLevelType w:val="hybridMultilevel"/>
    <w:tmpl w:val="C2DC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0968"/>
    <w:multiLevelType w:val="hybridMultilevel"/>
    <w:tmpl w:val="03FA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2FCF"/>
    <w:multiLevelType w:val="hybridMultilevel"/>
    <w:tmpl w:val="CB54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41F9D"/>
    <w:multiLevelType w:val="hybridMultilevel"/>
    <w:tmpl w:val="00E2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648"/>
    <w:multiLevelType w:val="hybridMultilevel"/>
    <w:tmpl w:val="148E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30168"/>
    <w:multiLevelType w:val="hybridMultilevel"/>
    <w:tmpl w:val="2210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"/>
  </w:num>
  <w:num w:numId="5">
    <w:abstractNumId w:val="1"/>
  </w:num>
  <w:num w:numId="6">
    <w:abstractNumId w:val="17"/>
  </w:num>
  <w:num w:numId="7">
    <w:abstractNumId w:val="5"/>
  </w:num>
  <w:num w:numId="8">
    <w:abstractNumId w:val="1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7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10"/>
  </w:num>
  <w:num w:numId="17">
    <w:abstractNumId w:val="15"/>
  </w:num>
  <w:num w:numId="18">
    <w:abstractNumId w:val="11"/>
  </w:num>
  <w:num w:numId="19">
    <w:abstractNumId w:val="23"/>
  </w:num>
  <w:num w:numId="20">
    <w:abstractNumId w:val="4"/>
  </w:num>
  <w:num w:numId="21">
    <w:abstractNumId w:val="16"/>
  </w:num>
  <w:num w:numId="22">
    <w:abstractNumId w:val="8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80"/>
    <w:rsid w:val="000126C2"/>
    <w:rsid w:val="00046665"/>
    <w:rsid w:val="00066A86"/>
    <w:rsid w:val="000678D0"/>
    <w:rsid w:val="000A636C"/>
    <w:rsid w:val="001728EB"/>
    <w:rsid w:val="0021746B"/>
    <w:rsid w:val="00270497"/>
    <w:rsid w:val="002A0E93"/>
    <w:rsid w:val="002A62F2"/>
    <w:rsid w:val="002D7BFA"/>
    <w:rsid w:val="003633C9"/>
    <w:rsid w:val="004076D5"/>
    <w:rsid w:val="0041266C"/>
    <w:rsid w:val="004154EA"/>
    <w:rsid w:val="004308C7"/>
    <w:rsid w:val="004434C0"/>
    <w:rsid w:val="004E70B7"/>
    <w:rsid w:val="004F0E80"/>
    <w:rsid w:val="004F3C82"/>
    <w:rsid w:val="00593865"/>
    <w:rsid w:val="005B1E7E"/>
    <w:rsid w:val="00657D9A"/>
    <w:rsid w:val="006D4E82"/>
    <w:rsid w:val="00704E8D"/>
    <w:rsid w:val="007072D5"/>
    <w:rsid w:val="00713D4E"/>
    <w:rsid w:val="00745A76"/>
    <w:rsid w:val="00753D1C"/>
    <w:rsid w:val="00782669"/>
    <w:rsid w:val="00786A65"/>
    <w:rsid w:val="00952990"/>
    <w:rsid w:val="0099220C"/>
    <w:rsid w:val="009B102E"/>
    <w:rsid w:val="00A87C59"/>
    <w:rsid w:val="00AC34BE"/>
    <w:rsid w:val="00AD148C"/>
    <w:rsid w:val="00B67863"/>
    <w:rsid w:val="00BD71CB"/>
    <w:rsid w:val="00C260D6"/>
    <w:rsid w:val="00C97D0F"/>
    <w:rsid w:val="00CA393F"/>
    <w:rsid w:val="00D43F09"/>
    <w:rsid w:val="00DF4BDF"/>
    <w:rsid w:val="00EE2CBA"/>
    <w:rsid w:val="00EE3432"/>
    <w:rsid w:val="00EE42A7"/>
    <w:rsid w:val="00F04570"/>
    <w:rsid w:val="00F55CDA"/>
    <w:rsid w:val="00F70960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CE6DF1E4-0656-451C-829F-A8CB349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customStyle="1" w:styleId="Sec2Hdr1">
    <w:name w:val="Sec2 Hdr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4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C97D0F"/>
    <w:pPr>
      <w:jc w:val="left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link w:val="Subtitle"/>
    <w:rsid w:val="00C97D0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Policy/1200/1202.00-bloodborne-pathogen-exposure-control-pla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policy/900/00533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index.php?view=folder&amp;folder=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3423</CharactersWithSpaces>
  <SharedDoc>false</SharedDoc>
  <HLinks>
    <vt:vector size="12" baseType="variant">
      <vt:variant>
        <vt:i4>6946928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http://khan.childrensmn.org/Manuals/Lab/SOP/Chapters.asp?account=Gen/Safety/SA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http://khan.childrensmn.org/manuals/policy/900/005331.pdf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Andrew Fangel</cp:lastModifiedBy>
  <cp:revision>16</cp:revision>
  <cp:lastPrinted>2017-03-07T18:42:00Z</cp:lastPrinted>
  <dcterms:created xsi:type="dcterms:W3CDTF">2019-07-19T17:04:00Z</dcterms:created>
  <dcterms:modified xsi:type="dcterms:W3CDTF">2020-02-14T18:11:00Z</dcterms:modified>
</cp:coreProperties>
</file>