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8352"/>
      </w:tblGrid>
      <w:tr w:rsidR="00702BF9" w:rsidTr="00E966E9">
        <w:trPr>
          <w:cantSplit/>
        </w:trPr>
        <w:tc>
          <w:tcPr>
            <w:tcW w:w="10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BF9" w:rsidRDefault="00702BF9" w:rsidP="00E966E9">
            <w:pPr>
              <w:jc w:val="left"/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Reporting and Calling Positive SARS-CoV-2 Results performed at Reference Laboratories</w:t>
            </w:r>
          </w:p>
          <w:p w:rsidR="00702BF9" w:rsidRDefault="00702BF9" w:rsidP="00E966E9">
            <w:pPr>
              <w:rPr>
                <w:rFonts w:ascii="Arial" w:hAnsi="Arial" w:cs="Arial"/>
                <w:sz w:val="24"/>
              </w:rPr>
            </w:pPr>
          </w:p>
        </w:tc>
      </w:tr>
      <w:tr w:rsidR="00702BF9" w:rsidTr="00E966E9">
        <w:trPr>
          <w:cantSplit/>
          <w:trHeight w:val="83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02BF9" w:rsidRDefault="00702BF9" w:rsidP="00E966E9">
            <w:pPr>
              <w:spacing w:before="240"/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8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BF9" w:rsidRDefault="00702BF9" w:rsidP="00E966E9">
            <w:pPr>
              <w:tabs>
                <w:tab w:val="left" w:pos="-720"/>
              </w:tabs>
              <w:spacing w:before="24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This procedure provides instructions for reporting and calling Positive SARS-CoV-2 laboratory results performed by a reference laboratory.(MAYO, MDH, Quest)</w:t>
            </w:r>
          </w:p>
        </w:tc>
      </w:tr>
      <w:tr w:rsidR="00702BF9" w:rsidTr="00E966E9">
        <w:trPr>
          <w:cantSplit/>
          <w:trHeight w:val="117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02BF9" w:rsidRDefault="00702BF9" w:rsidP="00E966E9">
            <w:pPr>
              <w:spacing w:before="240"/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8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BF9" w:rsidRDefault="00702BF9" w:rsidP="00702BF9">
            <w:pPr>
              <w:pStyle w:val="ListParagraph"/>
              <w:numPr>
                <w:ilvl w:val="0"/>
                <w:numId w:val="5"/>
              </w:numPr>
              <w:spacing w:before="240"/>
              <w:ind w:left="324" w:hanging="27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006532">
              <w:rPr>
                <w:rFonts w:ascii="Arial" w:hAnsi="Arial" w:cs="Arial"/>
                <w:iCs/>
                <w:sz w:val="20"/>
                <w:szCs w:val="20"/>
              </w:rPr>
              <w:t>This procedure applies to all laboratory staff responsible for reporting Positive SARS-CoV-2 results</w:t>
            </w:r>
          </w:p>
          <w:p w:rsidR="00702BF9" w:rsidRPr="00006532" w:rsidRDefault="00702BF9" w:rsidP="00702BF9">
            <w:pPr>
              <w:pStyle w:val="ListParagraph"/>
              <w:numPr>
                <w:ilvl w:val="0"/>
                <w:numId w:val="5"/>
              </w:numPr>
              <w:spacing w:before="240"/>
              <w:ind w:left="324" w:hanging="27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006532">
              <w:rPr>
                <w:rFonts w:ascii="Arial" w:hAnsi="Arial" w:cs="Arial"/>
                <w:iCs/>
                <w:sz w:val="20"/>
                <w:szCs w:val="20"/>
              </w:rPr>
              <w:t>There are two processes, depending on if the results are from patients or employees.</w:t>
            </w:r>
          </w:p>
        </w:tc>
      </w:tr>
      <w:tr w:rsidR="00702BF9" w:rsidTr="00E966E9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02BF9" w:rsidRDefault="00702BF9" w:rsidP="00E966E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Procedure</w:t>
            </w:r>
          </w:p>
          <w:p w:rsidR="00702BF9" w:rsidRDefault="00702BF9" w:rsidP="00E966E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8352" w:type="dxa"/>
            <w:tcBorders>
              <w:left w:val="nil"/>
              <w:bottom w:val="nil"/>
              <w:right w:val="nil"/>
            </w:tcBorders>
          </w:tcPr>
          <w:p w:rsidR="00702BF9" w:rsidRDefault="00702BF9" w:rsidP="00E966E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 the activities in the table below for reporting Positive SARS-CoV-2 results</w:t>
            </w:r>
          </w:p>
        </w:tc>
      </w:tr>
      <w:tr w:rsidR="00702BF9" w:rsidTr="00E966E9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02BF9" w:rsidRDefault="00702BF9" w:rsidP="00E966E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BF9" w:rsidRPr="00C971B8" w:rsidRDefault="00702BF9" w:rsidP="00E966E9">
            <w:pPr>
              <w:pStyle w:val="BodyText2"/>
              <w:rPr>
                <w:rFonts w:ascii="Arial" w:hAnsi="Arial" w:cs="Arial"/>
                <w:bCs w:val="0"/>
                <w:color w:val="auto"/>
                <w:sz w:val="28"/>
                <w:szCs w:val="28"/>
                <w:u w:val="single"/>
              </w:rPr>
            </w:pPr>
            <w:r w:rsidRPr="00F9109A">
              <w:rPr>
                <w:rFonts w:ascii="Arial" w:hAnsi="Arial" w:cs="Arial"/>
                <w:bCs w:val="0"/>
                <w:color w:val="auto"/>
                <w:sz w:val="28"/>
                <w:szCs w:val="28"/>
                <w:u w:val="single"/>
              </w:rPr>
              <w:t>FOR PATIENTS:</w:t>
            </w:r>
          </w:p>
          <w:p w:rsidR="00702BF9" w:rsidRDefault="00702BF9" w:rsidP="00E966E9">
            <w:pPr>
              <w:pStyle w:val="BodyText2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</w:p>
          <w:p w:rsidR="00702BF9" w:rsidRPr="00E130C0" w:rsidRDefault="00702BF9" w:rsidP="00E966E9">
            <w:pPr>
              <w:pStyle w:val="BodyText2"/>
              <w:rPr>
                <w:rFonts w:ascii="Arial" w:hAnsi="Arial" w:cs="Arial"/>
                <w:bCs w:val="0"/>
                <w:color w:val="auto"/>
                <w:sz w:val="20"/>
              </w:rPr>
            </w:pPr>
            <w:r w:rsidRPr="00E130C0">
              <w:rPr>
                <w:rFonts w:ascii="Arial" w:hAnsi="Arial" w:cs="Arial"/>
                <w:bCs w:val="0"/>
                <w:color w:val="auto"/>
                <w:sz w:val="20"/>
              </w:rPr>
              <w:t xml:space="preserve">For </w:t>
            </w:r>
            <w:r>
              <w:rPr>
                <w:rFonts w:ascii="Arial" w:hAnsi="Arial" w:cs="Arial"/>
                <w:bCs w:val="0"/>
                <w:color w:val="auto"/>
                <w:sz w:val="20"/>
              </w:rPr>
              <w:t>Reference Laboratory testing (MDH, MAYO, Quest)</w:t>
            </w:r>
            <w:r w:rsidRPr="00E130C0">
              <w:rPr>
                <w:rFonts w:ascii="Arial" w:hAnsi="Arial" w:cs="Arial"/>
                <w:bCs w:val="0"/>
                <w:color w:val="auto"/>
                <w:sz w:val="20"/>
              </w:rPr>
              <w:t xml:space="preserve"> </w:t>
            </w:r>
          </w:p>
          <w:p w:rsidR="00702BF9" w:rsidRDefault="00702BF9" w:rsidP="00E966E9">
            <w:pPr>
              <w:pStyle w:val="BodyText2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The Referral testing tech will notify:</w:t>
            </w:r>
          </w:p>
          <w:p w:rsidR="00702BF9" w:rsidRDefault="00702BF9" w:rsidP="00702BF9">
            <w:pPr>
              <w:pStyle w:val="BodyText2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The ordering provider, use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Amion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 to find contact information</w:t>
            </w:r>
          </w:p>
          <w:p w:rsidR="00702BF9" w:rsidRDefault="00702BF9" w:rsidP="00702BF9">
            <w:pPr>
              <w:pStyle w:val="BodyText2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The Referral testing tech will enter the positive result and inc</w:t>
            </w:r>
            <w:r w:rsidR="0052005B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lude documentation the ordering provider was </w:t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notified.</w:t>
            </w:r>
          </w:p>
          <w:p w:rsidR="00702BF9" w:rsidRDefault="00702BF9" w:rsidP="00E966E9">
            <w:pPr>
              <w:pStyle w:val="BodyText2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</w:p>
          <w:p w:rsidR="00702BF9" w:rsidRPr="00E130C0" w:rsidRDefault="00702BF9" w:rsidP="00E966E9">
            <w:pPr>
              <w:pStyle w:val="BodyText2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For results coming in from a reference lab when a Referral testing tech is not present:</w:t>
            </w:r>
          </w:p>
          <w:p w:rsidR="00702BF9" w:rsidRDefault="00702BF9" w:rsidP="00E966E9">
            <w:pPr>
              <w:pStyle w:val="BodyText2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The </w:t>
            </w:r>
            <w:r w:rsidRPr="00FA441A">
              <w:rPr>
                <w:rFonts w:ascii="Arial" w:hAnsi="Arial" w:cs="Arial"/>
                <w:bCs w:val="0"/>
                <w:color w:val="auto"/>
                <w:sz w:val="20"/>
              </w:rPr>
              <w:t>tech</w:t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 receiving the call from the reference lab will notify:</w:t>
            </w:r>
          </w:p>
          <w:p w:rsidR="00702BF9" w:rsidRDefault="00702BF9" w:rsidP="00702BF9">
            <w:pPr>
              <w:pStyle w:val="BodyText2"/>
              <w:numPr>
                <w:ilvl w:val="0"/>
                <w:numId w:val="2"/>
              </w:numPr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The ordering provider, use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Amion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 to find contact information</w:t>
            </w:r>
          </w:p>
          <w:p w:rsidR="00702BF9" w:rsidRDefault="00702BF9" w:rsidP="00702BF9">
            <w:pPr>
              <w:pStyle w:val="BodyText2"/>
              <w:numPr>
                <w:ilvl w:val="0"/>
                <w:numId w:val="2"/>
              </w:numPr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The tech will enter the positive result and in</w:t>
            </w:r>
            <w:r w:rsidR="0052005B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clude documentation</w:t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 </w:t>
            </w:r>
            <w:r w:rsidR="0052005B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the ordering provider was </w:t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notified.</w:t>
            </w:r>
          </w:p>
          <w:p w:rsidR="00702BF9" w:rsidRDefault="00702BF9" w:rsidP="00E966E9">
            <w:pPr>
              <w:pStyle w:val="BodyText2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</w:p>
          <w:p w:rsidR="00702BF9" w:rsidRDefault="00702BF9" w:rsidP="00E966E9">
            <w:pPr>
              <w:pStyle w:val="BodyText2"/>
              <w:rPr>
                <w:rFonts w:ascii="Arial" w:hAnsi="Arial" w:cs="Arial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Cs w:val="0"/>
                <w:color w:val="auto"/>
                <w:sz w:val="20"/>
              </w:rPr>
              <w:t>Infection Prevention and Control</w:t>
            </w:r>
            <w:r w:rsidRPr="00FA441A">
              <w:rPr>
                <w:rFonts w:ascii="Arial" w:hAnsi="Arial" w:cs="Arial"/>
                <w:bCs w:val="0"/>
                <w:color w:val="auto"/>
                <w:sz w:val="20"/>
              </w:rPr>
              <w:t xml:space="preserve"> will contact MDH with the result and patient information</w:t>
            </w:r>
          </w:p>
          <w:p w:rsidR="00702BF9" w:rsidRDefault="00702BF9" w:rsidP="00E966E9">
            <w:pPr>
              <w:pStyle w:val="BodyText2"/>
              <w:rPr>
                <w:rFonts w:ascii="Arial" w:hAnsi="Arial" w:cs="Arial"/>
                <w:bCs w:val="0"/>
                <w:color w:val="auto"/>
                <w:sz w:val="20"/>
              </w:rPr>
            </w:pPr>
          </w:p>
          <w:p w:rsidR="00702BF9" w:rsidRPr="00F9109A" w:rsidRDefault="00702BF9" w:rsidP="00E966E9">
            <w:pPr>
              <w:pStyle w:val="BodyText2"/>
              <w:rPr>
                <w:rFonts w:ascii="Arial" w:hAnsi="Arial" w:cs="Arial"/>
                <w:bCs w:val="0"/>
                <w:color w:val="auto"/>
                <w:sz w:val="28"/>
                <w:szCs w:val="28"/>
                <w:u w:val="single"/>
              </w:rPr>
            </w:pPr>
            <w:r w:rsidRPr="00F9109A">
              <w:rPr>
                <w:rFonts w:ascii="Arial" w:hAnsi="Arial" w:cs="Arial"/>
                <w:bCs w:val="0"/>
                <w:color w:val="auto"/>
                <w:sz w:val="28"/>
                <w:szCs w:val="28"/>
                <w:u w:val="single"/>
              </w:rPr>
              <w:t>FOR EMPLOYEES:</w:t>
            </w:r>
          </w:p>
          <w:p w:rsidR="00702BF9" w:rsidRDefault="00702BF9" w:rsidP="00E966E9">
            <w:pPr>
              <w:pStyle w:val="BodyText2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</w:p>
          <w:p w:rsidR="00702BF9" w:rsidRPr="00E130C0" w:rsidRDefault="00702BF9" w:rsidP="00E966E9">
            <w:pPr>
              <w:pStyle w:val="BodyText2"/>
              <w:rPr>
                <w:rFonts w:ascii="Arial" w:hAnsi="Arial" w:cs="Arial"/>
                <w:bCs w:val="0"/>
                <w:color w:val="auto"/>
                <w:sz w:val="20"/>
              </w:rPr>
            </w:pPr>
            <w:r w:rsidRPr="00E130C0">
              <w:rPr>
                <w:rFonts w:ascii="Arial" w:hAnsi="Arial" w:cs="Arial"/>
                <w:bCs w:val="0"/>
                <w:color w:val="auto"/>
                <w:sz w:val="20"/>
              </w:rPr>
              <w:t xml:space="preserve">For </w:t>
            </w:r>
            <w:r>
              <w:rPr>
                <w:rFonts w:ascii="Arial" w:hAnsi="Arial" w:cs="Arial"/>
                <w:bCs w:val="0"/>
                <w:color w:val="auto"/>
                <w:sz w:val="20"/>
              </w:rPr>
              <w:t>Reference Laboratory testing (MDH, MAYO, Quest)</w:t>
            </w:r>
            <w:r w:rsidRPr="00E130C0">
              <w:rPr>
                <w:rFonts w:ascii="Arial" w:hAnsi="Arial" w:cs="Arial"/>
                <w:bCs w:val="0"/>
                <w:color w:val="auto"/>
                <w:sz w:val="20"/>
              </w:rPr>
              <w:t xml:space="preserve"> </w:t>
            </w:r>
          </w:p>
          <w:p w:rsidR="00702BF9" w:rsidRDefault="00702BF9" w:rsidP="00E966E9">
            <w:pPr>
              <w:pStyle w:val="BodyText2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The Referral testing tech will notify:</w:t>
            </w:r>
          </w:p>
          <w:p w:rsidR="00702BF9" w:rsidRDefault="00702BF9" w:rsidP="00702BF9">
            <w:pPr>
              <w:pStyle w:val="BodyText2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The On-Call Infection Preventionist at 952-260-9021</w:t>
            </w:r>
          </w:p>
          <w:p w:rsidR="0052005B" w:rsidRDefault="00702BF9" w:rsidP="00702BF9">
            <w:pPr>
              <w:pStyle w:val="BodyText2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The Send Out tech will enter the positive resul</w:t>
            </w:r>
            <w:r w:rsidR="0052005B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t and include documentation the</w:t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 </w:t>
            </w:r>
          </w:p>
          <w:p w:rsidR="00702BF9" w:rsidRDefault="00702BF9" w:rsidP="0052005B">
            <w:pPr>
              <w:pStyle w:val="BodyText2"/>
              <w:ind w:left="720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On-Call Infection Prevention</w:t>
            </w:r>
            <w:r w:rsidR="0052005B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ist was </w:t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notified.</w:t>
            </w:r>
          </w:p>
          <w:p w:rsidR="00702BF9" w:rsidRDefault="00702BF9" w:rsidP="00E966E9">
            <w:pPr>
              <w:pStyle w:val="BodyText2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</w:p>
          <w:p w:rsidR="00702BF9" w:rsidRPr="00E130C0" w:rsidRDefault="00702BF9" w:rsidP="00E966E9">
            <w:pPr>
              <w:pStyle w:val="BodyText2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For results coming in from a reference lab when a Referral testing tech is not present:</w:t>
            </w:r>
          </w:p>
          <w:p w:rsidR="00702BF9" w:rsidRDefault="00702BF9" w:rsidP="00E966E9">
            <w:pPr>
              <w:pStyle w:val="BodyText2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The tech receiving the call from the reference lab will notify:</w:t>
            </w:r>
          </w:p>
          <w:p w:rsidR="00702BF9" w:rsidRDefault="00702BF9" w:rsidP="00702BF9">
            <w:pPr>
              <w:pStyle w:val="BodyText2"/>
              <w:numPr>
                <w:ilvl w:val="0"/>
                <w:numId w:val="4"/>
              </w:numPr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The On-Call Infection Preventionist at 952-260-9021</w:t>
            </w:r>
          </w:p>
          <w:p w:rsidR="00702BF9" w:rsidRPr="001D69B1" w:rsidRDefault="00702BF9" w:rsidP="00702BF9">
            <w:pPr>
              <w:pStyle w:val="BodyText2"/>
              <w:numPr>
                <w:ilvl w:val="0"/>
                <w:numId w:val="4"/>
              </w:numPr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1D69B1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The tech will enter the positive resul</w:t>
            </w:r>
            <w:r w:rsidR="0052005B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t and include documentation the</w:t>
            </w:r>
            <w:r w:rsidRPr="001D69B1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 On-Cal</w:t>
            </w:r>
            <w:r w:rsidR="0052005B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 xml:space="preserve">l Infection Preventionist was </w:t>
            </w:r>
            <w:r w:rsidRPr="001D69B1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notified.</w:t>
            </w:r>
          </w:p>
          <w:p w:rsidR="00702BF9" w:rsidRDefault="00702BF9" w:rsidP="00E966E9">
            <w:pPr>
              <w:pStyle w:val="BodyText2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</w:p>
          <w:p w:rsidR="00702BF9" w:rsidRPr="00D206FD" w:rsidRDefault="00702BF9" w:rsidP="00E966E9">
            <w:pPr>
              <w:pStyle w:val="BodyText2"/>
              <w:ind w:left="720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</w:p>
          <w:p w:rsidR="00702BF9" w:rsidRDefault="00702BF9" w:rsidP="00E966E9">
            <w:pPr>
              <w:pStyle w:val="BodyText2"/>
              <w:rPr>
                <w:rFonts w:ascii="Arial" w:hAnsi="Arial" w:cs="Arial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bCs w:val="0"/>
                <w:color w:val="auto"/>
                <w:sz w:val="20"/>
              </w:rPr>
              <w:t xml:space="preserve">Infection Prevention and Control </w:t>
            </w:r>
            <w:r w:rsidRPr="00FA441A">
              <w:rPr>
                <w:rFonts w:ascii="Arial" w:hAnsi="Arial" w:cs="Arial"/>
                <w:bCs w:val="0"/>
                <w:color w:val="auto"/>
                <w:sz w:val="20"/>
              </w:rPr>
              <w:t>will contact MDH with the</w:t>
            </w:r>
            <w:r>
              <w:rPr>
                <w:rFonts w:ascii="Arial" w:hAnsi="Arial" w:cs="Arial"/>
                <w:bCs w:val="0"/>
                <w:color w:val="auto"/>
                <w:sz w:val="20"/>
              </w:rPr>
              <w:t xml:space="preserve"> result and employee</w:t>
            </w:r>
            <w:r w:rsidRPr="00FA441A">
              <w:rPr>
                <w:rFonts w:ascii="Arial" w:hAnsi="Arial" w:cs="Arial"/>
                <w:bCs w:val="0"/>
                <w:color w:val="auto"/>
                <w:sz w:val="20"/>
              </w:rPr>
              <w:t xml:space="preserve"> information</w:t>
            </w:r>
          </w:p>
          <w:p w:rsidR="00702BF9" w:rsidRDefault="00702BF9" w:rsidP="00E966E9">
            <w:pPr>
              <w:pStyle w:val="BodyText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BF9" w:rsidTr="00E966E9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02BF9" w:rsidRDefault="00702BF9" w:rsidP="00E966E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Procedure Notes</w:t>
            </w:r>
          </w:p>
        </w:tc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</w:tcPr>
          <w:p w:rsidR="00702BF9" w:rsidRDefault="00702BF9" w:rsidP="00E966E9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Documentation of notification should include:</w:t>
            </w:r>
          </w:p>
          <w:p w:rsidR="00702BF9" w:rsidRDefault="00702BF9" w:rsidP="00E966E9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Date/Time of call</w:t>
            </w:r>
          </w:p>
          <w:p w:rsidR="00702BF9" w:rsidRDefault="00702BF9" w:rsidP="00E966E9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person who took </w:t>
            </w:r>
            <w:r w:rsidR="00FC6AC7">
              <w:rPr>
                <w:rFonts w:ascii="Arial" w:hAnsi="Arial" w:cs="Arial"/>
              </w:rPr>
              <w:t>call (IPC, Ordering Provider</w:t>
            </w:r>
            <w:r>
              <w:rPr>
                <w:rFonts w:ascii="Arial" w:hAnsi="Arial" w:cs="Arial"/>
              </w:rPr>
              <w:t>)</w:t>
            </w:r>
          </w:p>
          <w:p w:rsidR="00702BF9" w:rsidRPr="00522B9E" w:rsidRDefault="00702BF9" w:rsidP="00E966E9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702BF9" w:rsidTr="00E966E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left w:val="nil"/>
            </w:tcBorders>
          </w:tcPr>
          <w:p w:rsidR="00702BF9" w:rsidRDefault="00702BF9" w:rsidP="00E966E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lastRenderedPageBreak/>
              <w:t>References</w:t>
            </w:r>
          </w:p>
        </w:tc>
        <w:tc>
          <w:tcPr>
            <w:tcW w:w="8352" w:type="dxa"/>
            <w:tcBorders>
              <w:top w:val="nil"/>
              <w:bottom w:val="single" w:sz="4" w:space="0" w:color="auto"/>
              <w:right w:val="nil"/>
            </w:tcBorders>
          </w:tcPr>
          <w:p w:rsidR="00702BF9" w:rsidRPr="00276853" w:rsidRDefault="00702BF9" w:rsidP="00E966E9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276853">
              <w:rPr>
                <w:rFonts w:ascii="Arial" w:hAnsi="Arial" w:cs="Arial"/>
                <w:iCs/>
                <w:sz w:val="20"/>
                <w:szCs w:val="20"/>
              </w:rPr>
              <w:t>Minnesota Department of Health Web page</w:t>
            </w:r>
          </w:p>
          <w:p w:rsidR="00702BF9" w:rsidRDefault="00B2497B" w:rsidP="00E966E9">
            <w:pPr>
              <w:ind w:left="414"/>
              <w:jc w:val="left"/>
              <w:rPr>
                <w:rStyle w:val="Hyperlink"/>
                <w:rFonts w:ascii="Arial" w:hAnsi="Arial" w:cs="Arial"/>
                <w:iCs/>
                <w:sz w:val="20"/>
                <w:szCs w:val="20"/>
              </w:rPr>
            </w:pPr>
            <w:hyperlink r:id="rId7" w:history="1">
              <w:r w:rsidR="00702BF9" w:rsidRPr="000E6CCF">
                <w:rPr>
                  <w:rStyle w:val="Hyperlink"/>
                  <w:rFonts w:ascii="Arial" w:hAnsi="Arial" w:cs="Arial"/>
                  <w:iCs/>
                  <w:sz w:val="20"/>
                  <w:szCs w:val="20"/>
                </w:rPr>
                <w:t>https://www.health.state.mn.us/diseases/reportable/rule/index.html</w:t>
              </w:r>
            </w:hyperlink>
          </w:p>
          <w:p w:rsidR="00702BF9" w:rsidRDefault="00702BF9" w:rsidP="00E966E9">
            <w:pPr>
              <w:tabs>
                <w:tab w:val="left" w:pos="-720"/>
              </w:tabs>
              <w:jc w:val="left"/>
              <w:rPr>
                <w:rStyle w:val="Hyperlink"/>
                <w:rFonts w:ascii="Arial" w:hAnsi="Arial" w:cs="Arial"/>
                <w:iCs/>
                <w:sz w:val="20"/>
                <w:szCs w:val="20"/>
              </w:rPr>
            </w:pPr>
          </w:p>
          <w:p w:rsidR="00702BF9" w:rsidRPr="000E5FD1" w:rsidRDefault="00702BF9" w:rsidP="00E966E9">
            <w:pPr>
              <w:tabs>
                <w:tab w:val="left" w:pos="-720"/>
              </w:tabs>
              <w:jc w:val="left"/>
              <w:rPr>
                <w:rStyle w:val="Hyperlink"/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Reportable diseases are defined by the State of Minnesota, and are listed online at the Minnesota Department of Health (MDH) web site at: </w:t>
            </w:r>
          </w:p>
          <w:p w:rsidR="00702BF9" w:rsidRDefault="00B2497B" w:rsidP="00E966E9">
            <w:pPr>
              <w:tabs>
                <w:tab w:val="left" w:pos="-720"/>
              </w:tabs>
              <w:ind w:left="3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hyperlink r:id="rId8" w:history="1">
              <w:r w:rsidR="00702BF9" w:rsidRPr="000E6CCF">
                <w:rPr>
                  <w:rStyle w:val="Hyperlink"/>
                  <w:rFonts w:ascii="Arial" w:hAnsi="Arial" w:cs="Arial"/>
                  <w:iCs/>
                  <w:sz w:val="20"/>
                  <w:szCs w:val="20"/>
                </w:rPr>
                <w:t>https://www.health.state.mn.us/diseases/reportable/rule/poster.pdf</w:t>
              </w:r>
            </w:hyperlink>
          </w:p>
          <w:p w:rsidR="00702BF9" w:rsidRDefault="00702BF9" w:rsidP="00E966E9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02BF9" w:rsidTr="00E966E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</w:trPr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702BF9" w:rsidRDefault="00702BF9" w:rsidP="00E966E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Approval Workflow</w:t>
            </w:r>
          </w:p>
        </w:tc>
        <w:tc>
          <w:tcPr>
            <w:tcW w:w="83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2BF9" w:rsidRDefault="00702BF9" w:rsidP="00E966E9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Services/Laboratory Director</w:t>
            </w:r>
          </w:p>
        </w:tc>
      </w:tr>
    </w:tbl>
    <w:p w:rsidR="00702BF9" w:rsidRDefault="00702BF9" w:rsidP="00702BF9">
      <w:pPr>
        <w:jc w:val="left"/>
      </w:pPr>
    </w:p>
    <w:tbl>
      <w:tblPr>
        <w:tblW w:w="10152" w:type="dxa"/>
        <w:tblInd w:w="-115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2160"/>
        <w:gridCol w:w="900"/>
        <w:gridCol w:w="1620"/>
        <w:gridCol w:w="1815"/>
        <w:gridCol w:w="777"/>
      </w:tblGrid>
      <w:tr w:rsidR="00702BF9" w:rsidTr="00E966E9">
        <w:trPr>
          <w:cantSplit/>
          <w:trHeight w:val="240"/>
        </w:trPr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702BF9" w:rsidRDefault="00702BF9" w:rsidP="00E966E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BF9" w:rsidRDefault="00702BF9" w:rsidP="00E966E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BF9" w:rsidRDefault="00702BF9" w:rsidP="00E966E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BF9" w:rsidRDefault="00702BF9" w:rsidP="00E966E9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702BF9" w:rsidTr="00E966E9">
        <w:trPr>
          <w:cantSplit/>
          <w:trHeight w:val="225"/>
        </w:trPr>
        <w:tc>
          <w:tcPr>
            <w:tcW w:w="1800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702BF9" w:rsidRDefault="00702BF9" w:rsidP="00E966E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F9" w:rsidRDefault="00702BF9" w:rsidP="00E966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Version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F9" w:rsidRDefault="00702BF9" w:rsidP="00E966E9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F9" w:rsidRDefault="00702BF9" w:rsidP="00E966E9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F9" w:rsidRDefault="00702BF9" w:rsidP="00E966E9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702BF9" w:rsidTr="00FC6AC7"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702BF9" w:rsidRDefault="00702BF9" w:rsidP="00E966E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F9" w:rsidRDefault="00702BF9" w:rsidP="00E966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F9" w:rsidRDefault="00702BF9" w:rsidP="00E966E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Jennifer Jacobsen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F9" w:rsidRDefault="00702BF9" w:rsidP="00E966E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05/01/2020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F9" w:rsidRDefault="00702BF9" w:rsidP="00E966E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Original document</w:t>
            </w:r>
          </w:p>
        </w:tc>
      </w:tr>
      <w:tr w:rsidR="00FC6AC7" w:rsidTr="00E966E9">
        <w:trPr>
          <w:cantSplit/>
          <w:trHeight w:val="135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:rsidR="00FC6AC7" w:rsidRDefault="00FC6AC7" w:rsidP="00E966E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C7" w:rsidRDefault="00FC6AC7" w:rsidP="00E966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C7" w:rsidRDefault="00FC6AC7" w:rsidP="00E966E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Jennifer Jacobsen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C7" w:rsidRDefault="00FC6AC7" w:rsidP="00E966E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05/14/2020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C7" w:rsidRDefault="00FC6AC7" w:rsidP="00E966E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Removed calling IPC from </w:t>
            </w:r>
            <w:proofErr w:type="spellStart"/>
            <w:r>
              <w:rPr>
                <w:rFonts w:ascii="Arial" w:hAnsi="Arial" w:cs="Arial"/>
                <w:sz w:val="20"/>
              </w:rPr>
              <w:t>Pos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Patients</w:t>
            </w:r>
          </w:p>
          <w:p w:rsidR="00FC6AC7" w:rsidRDefault="00FC6AC7" w:rsidP="00E966E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Removed calling EHS from </w:t>
            </w:r>
            <w:proofErr w:type="spellStart"/>
            <w:r>
              <w:rPr>
                <w:rFonts w:ascii="Arial" w:hAnsi="Arial" w:cs="Arial"/>
                <w:sz w:val="20"/>
              </w:rPr>
              <w:t>Pos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Employees</w:t>
            </w:r>
          </w:p>
        </w:tc>
      </w:tr>
    </w:tbl>
    <w:p w:rsidR="00702BF9" w:rsidRDefault="00702BF9" w:rsidP="00702BF9">
      <w:pPr>
        <w:rPr>
          <w:rFonts w:ascii="Arial" w:hAnsi="Arial" w:cs="Arial"/>
        </w:rPr>
      </w:pPr>
    </w:p>
    <w:p w:rsidR="001B582F" w:rsidRDefault="001B582F"/>
    <w:sectPr w:rsidR="001B58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47" w:right="180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2E5" w:rsidRDefault="00FC6AC7">
      <w:r>
        <w:separator/>
      </w:r>
    </w:p>
  </w:endnote>
  <w:endnote w:type="continuationSeparator" w:id="0">
    <w:p w:rsidR="005A32E5" w:rsidRDefault="00FC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97B" w:rsidRDefault="00B24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189" w:rsidRDefault="00702BF9">
    <w:pPr>
      <w:pStyle w:val="Footer"/>
      <w:tabs>
        <w:tab w:val="clear" w:pos="8640"/>
        <w:tab w:val="right" w:pos="10080"/>
      </w:tabs>
      <w:ind w:left="-1260" w:right="-144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Minnesota, Minneapolis/St. Paul, MN</w:t>
    </w:r>
    <w:r>
      <w:rPr>
        <w:rFonts w:ascii="Arial" w:hAnsi="Arial" w:cs="Arial"/>
        <w:sz w:val="16"/>
      </w:rPr>
      <w:tab/>
    </w:r>
  </w:p>
  <w:p w:rsidR="00977189" w:rsidRDefault="00702BF9">
    <w:pPr>
      <w:pStyle w:val="Footer"/>
      <w:tabs>
        <w:tab w:val="clear" w:pos="8640"/>
        <w:tab w:val="right" w:pos="10080"/>
      </w:tabs>
      <w:ind w:left="-1260" w:right="-1440"/>
      <w:rPr>
        <w:sz w:val="16"/>
      </w:rPr>
    </w:pPr>
    <w:r>
      <w:rPr>
        <w:rFonts w:ascii="Arial" w:hAnsi="Arial" w:cs="Arial"/>
        <w:sz w:val="16"/>
      </w:rPr>
      <w:t>Printed copy expires at 23:59 on the date of print.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97B" w:rsidRDefault="00B249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2E5" w:rsidRDefault="00FC6AC7">
      <w:r>
        <w:separator/>
      </w:r>
    </w:p>
  </w:footnote>
  <w:footnote w:type="continuationSeparator" w:id="0">
    <w:p w:rsidR="005A32E5" w:rsidRDefault="00FC6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97B" w:rsidRDefault="00B24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189" w:rsidRDefault="00702BF9">
    <w:pPr>
      <w:ind w:left="-1260" w:right="-1440"/>
      <w:rPr>
        <w:rFonts w:ascii="Arial" w:hAnsi="Arial" w:cs="Arial"/>
        <w:iCs/>
        <w:sz w:val="18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33BD15A4" wp14:editId="77F4153C">
          <wp:simplePos x="0" y="0"/>
          <wp:positionH relativeFrom="column">
            <wp:posOffset>5021580</wp:posOffset>
          </wp:positionH>
          <wp:positionV relativeFrom="paragraph">
            <wp:posOffset>-38100</wp:posOffset>
          </wp:positionV>
          <wp:extent cx="1234440" cy="479425"/>
          <wp:effectExtent l="0" t="0" r="0" b="0"/>
          <wp:wrapThrough wrapText="bothSides">
            <wp:wrapPolygon edited="0">
              <wp:start x="0" y="0"/>
              <wp:lineTo x="0" y="20599"/>
              <wp:lineTo x="21333" y="20599"/>
              <wp:lineTo x="21333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hildren's logo 3-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Cs/>
        <w:sz w:val="18"/>
      </w:rPr>
      <w:t>SO 1.53 Reporting and Calling Positive SARS-CoV-2 Results performed at Reference Laboratories</w:t>
    </w:r>
  </w:p>
  <w:p w:rsidR="00977189" w:rsidRDefault="00B2497B">
    <w:pPr>
      <w:ind w:left="-1260" w:right="-1440"/>
      <w:rPr>
        <w:rFonts w:ascii="Arial" w:hAnsi="Arial" w:cs="Arial"/>
        <w:sz w:val="18"/>
      </w:rPr>
    </w:pPr>
    <w:r>
      <w:rPr>
        <w:rFonts w:ascii="Arial" w:hAnsi="Arial" w:cs="Arial"/>
        <w:iCs/>
        <w:sz w:val="18"/>
      </w:rPr>
      <w:t>Version 2</w:t>
    </w:r>
    <w:r w:rsidR="00702BF9">
      <w:rPr>
        <w:rFonts w:ascii="Arial" w:hAnsi="Arial" w:cs="Arial"/>
        <w:i/>
        <w:sz w:val="18"/>
      </w:rPr>
      <w:tab/>
    </w:r>
    <w:r w:rsidR="00702BF9">
      <w:rPr>
        <w:rFonts w:ascii="Arial" w:hAnsi="Arial" w:cs="Arial"/>
        <w:sz w:val="18"/>
      </w:rPr>
      <w:t xml:space="preserve">                                   </w:t>
    </w:r>
    <w:bookmarkStart w:id="0" w:name="_GoBack"/>
    <w:bookmarkEnd w:id="0"/>
    <w:r w:rsidR="00702BF9">
      <w:rPr>
        <w:rFonts w:ascii="Arial" w:hAnsi="Arial" w:cs="Arial"/>
        <w:sz w:val="18"/>
      </w:rPr>
      <w:t xml:space="preserve">                                 </w:t>
    </w:r>
    <w:r w:rsidR="00702BF9">
      <w:rPr>
        <w:rFonts w:ascii="Arial" w:hAnsi="Arial" w:cs="Arial"/>
        <w:sz w:val="18"/>
      </w:rPr>
      <w:tab/>
    </w:r>
    <w:r w:rsidR="00702BF9">
      <w:rPr>
        <w:rFonts w:ascii="Arial" w:hAnsi="Arial" w:cs="Arial"/>
        <w:sz w:val="18"/>
      </w:rPr>
      <w:tab/>
      <w:t xml:space="preserve">           </w:t>
    </w:r>
    <w:r w:rsidR="00702BF9">
      <w:rPr>
        <w:rFonts w:ascii="Arial" w:hAnsi="Arial" w:cs="Arial"/>
        <w:sz w:val="18"/>
      </w:rPr>
      <w:tab/>
    </w:r>
    <w:r w:rsidR="00702BF9">
      <w:rPr>
        <w:rFonts w:ascii="Arial" w:hAnsi="Arial" w:cs="Arial"/>
        <w:sz w:val="18"/>
      </w:rPr>
      <w:tab/>
      <w:t xml:space="preserve">    </w:t>
    </w:r>
  </w:p>
  <w:p w:rsidR="00977189" w:rsidRDefault="00B2497B">
    <w:pPr>
      <w:ind w:left="-1260" w:right="-144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05/14/</w:t>
    </w:r>
    <w:r w:rsidR="00702BF9">
      <w:rPr>
        <w:rFonts w:ascii="Arial" w:hAnsi="Arial" w:cs="Arial"/>
        <w:sz w:val="18"/>
      </w:rPr>
      <w:t>2020</w:t>
    </w:r>
  </w:p>
  <w:p w:rsidR="00977189" w:rsidRDefault="00B2497B">
    <w:pPr>
      <w:pStyle w:val="Header"/>
      <w:jc w:val="center"/>
      <w:rPr>
        <w:b/>
        <w:sz w:val="26"/>
        <w:szCs w:val="26"/>
      </w:rPr>
    </w:pPr>
  </w:p>
  <w:p w:rsidR="009804DB" w:rsidRDefault="00B2497B">
    <w:pPr>
      <w:pStyle w:val="Header"/>
      <w:jc w:val="center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97B" w:rsidRDefault="00B24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B7130"/>
    <w:multiLevelType w:val="hybridMultilevel"/>
    <w:tmpl w:val="D6BA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386C"/>
    <w:multiLevelType w:val="hybridMultilevel"/>
    <w:tmpl w:val="D6BA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06D0E"/>
    <w:multiLevelType w:val="hybridMultilevel"/>
    <w:tmpl w:val="D6BA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F36AA"/>
    <w:multiLevelType w:val="hybridMultilevel"/>
    <w:tmpl w:val="8BA01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5638A"/>
    <w:multiLevelType w:val="hybridMultilevel"/>
    <w:tmpl w:val="D6BA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E1"/>
    <w:rsid w:val="001B582F"/>
    <w:rsid w:val="00225BE1"/>
    <w:rsid w:val="0052005B"/>
    <w:rsid w:val="005A32E5"/>
    <w:rsid w:val="00702BF9"/>
    <w:rsid w:val="00B2497B"/>
    <w:rsid w:val="00FC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854F3-0476-4D36-B40C-1F476F8A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BF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702B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02BF9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semiHidden/>
    <w:rsid w:val="00702BF9"/>
    <w:pPr>
      <w:jc w:val="left"/>
    </w:pPr>
    <w:rPr>
      <w:b/>
      <w:bCs/>
      <w:color w:val="0000FF"/>
    </w:rPr>
  </w:style>
  <w:style w:type="character" w:customStyle="1" w:styleId="BodyText2Char">
    <w:name w:val="Body Text 2 Char"/>
    <w:basedOn w:val="DefaultParagraphFont"/>
    <w:link w:val="BodyText2"/>
    <w:semiHidden/>
    <w:rsid w:val="00702BF9"/>
    <w:rPr>
      <w:rFonts w:ascii="Times New Roman" w:eastAsia="Times New Roman" w:hAnsi="Times New Roman" w:cs="Times New Roman"/>
      <w:b/>
      <w:bCs/>
      <w:color w:val="0000FF"/>
      <w:szCs w:val="24"/>
    </w:rPr>
  </w:style>
  <w:style w:type="paragraph" w:styleId="Footer">
    <w:name w:val="footer"/>
    <w:basedOn w:val="Normal"/>
    <w:link w:val="FooterChar"/>
    <w:semiHidden/>
    <w:rsid w:val="00702B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02BF9"/>
    <w:rPr>
      <w:rFonts w:ascii="Times New Roman" w:eastAsia="Times New Roman" w:hAnsi="Times New Roman" w:cs="Times New Roman"/>
      <w:szCs w:val="24"/>
    </w:rPr>
  </w:style>
  <w:style w:type="paragraph" w:customStyle="1" w:styleId="TableText">
    <w:name w:val="Table Text"/>
    <w:basedOn w:val="Normal"/>
    <w:rsid w:val="00702BF9"/>
    <w:pPr>
      <w:autoSpaceDE w:val="0"/>
      <w:autoSpaceDN w:val="0"/>
      <w:jc w:val="left"/>
    </w:pPr>
    <w:rPr>
      <w:sz w:val="20"/>
    </w:rPr>
  </w:style>
  <w:style w:type="character" w:styleId="Hyperlink">
    <w:name w:val="Hyperlink"/>
    <w:basedOn w:val="DefaultParagraphFont"/>
    <w:semiHidden/>
    <w:rsid w:val="00702B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2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state.mn.us/diseases/reportable/rule/poster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health.state.mn.us/diseases/reportable/rule/index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&amp; Clinics of MN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Jacobsen</dc:creator>
  <cp:keywords/>
  <dc:description/>
  <cp:lastModifiedBy>Jennifer Jacobsen</cp:lastModifiedBy>
  <cp:revision>7</cp:revision>
  <dcterms:created xsi:type="dcterms:W3CDTF">2020-05-01T21:39:00Z</dcterms:created>
  <dcterms:modified xsi:type="dcterms:W3CDTF">2020-05-14T21:36:00Z</dcterms:modified>
</cp:coreProperties>
</file>