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2C4D17" w:rsidTr="002C4D17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4D17" w:rsidRPr="004C248D" w:rsidRDefault="002C4D17" w:rsidP="004C248D">
            <w:pPr>
              <w:pStyle w:val="Title"/>
              <w:spacing w:line="276" w:lineRule="auto"/>
              <w:jc w:val="left"/>
              <w:rPr>
                <w:rFonts w:ascii="Arial" w:hAnsi="Arial"/>
                <w:color w:val="0000FF"/>
                <w:lang w:bidi="en-US"/>
              </w:rPr>
            </w:pPr>
            <w:proofErr w:type="spellStart"/>
            <w:r>
              <w:rPr>
                <w:rFonts w:ascii="Arial" w:hAnsi="Arial"/>
                <w:color w:val="0000FF"/>
                <w:lang w:bidi="en-US"/>
              </w:rPr>
              <w:t>GeneXpert</w:t>
            </w:r>
            <w:proofErr w:type="spellEnd"/>
            <w:r>
              <w:rPr>
                <w:rFonts w:ascii="Arial" w:hAnsi="Arial"/>
                <w:color w:val="0000FF"/>
                <w:lang w:bidi="en-US"/>
              </w:rPr>
              <w:t xml:space="preserve"> </w:t>
            </w:r>
            <w:r w:rsidR="008F5341">
              <w:rPr>
                <w:rFonts w:ascii="Arial" w:hAnsi="Arial"/>
                <w:color w:val="0000FF"/>
                <w:lang w:bidi="en-US"/>
              </w:rPr>
              <w:t xml:space="preserve">MRSA </w:t>
            </w:r>
            <w:proofErr w:type="spellStart"/>
            <w:r w:rsidR="008F5341">
              <w:rPr>
                <w:rFonts w:ascii="Arial" w:hAnsi="Arial"/>
                <w:color w:val="0000FF"/>
                <w:lang w:bidi="en-US"/>
              </w:rPr>
              <w:t>NxG</w:t>
            </w:r>
            <w:proofErr w:type="spellEnd"/>
            <w:r>
              <w:rPr>
                <w:rFonts w:ascii="Arial" w:hAnsi="Arial"/>
                <w:color w:val="0000FF"/>
                <w:lang w:bidi="en-US"/>
              </w:rPr>
              <w:t xml:space="preserve"> Assay Quality Control</w:t>
            </w:r>
          </w:p>
        </w:tc>
      </w:tr>
      <w:tr w:rsidR="002C4D17" w:rsidTr="002C4D17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Purpose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lang w:bidi="en-US"/>
              </w:rPr>
            </w:pPr>
          </w:p>
          <w:p w:rsidR="002C4D17" w:rsidRDefault="002C4D17" w:rsidP="008F5341">
            <w:pPr>
              <w:pStyle w:val="TableText"/>
              <w:autoSpaceDE/>
              <w:spacing w:line="276" w:lineRule="auto"/>
              <w:rPr>
                <w:rFonts w:ascii="Arial" w:hAnsi="Arial"/>
                <w:lang w:bidi="en-US"/>
              </w:rPr>
            </w:pPr>
            <w:r>
              <w:rPr>
                <w:rFonts w:ascii="Arial" w:hAnsi="Arial"/>
                <w:lang w:bidi="en-US"/>
              </w:rPr>
              <w:t xml:space="preserve">This procedure provides instructions for Quality Control procedures required for the </w:t>
            </w:r>
            <w:proofErr w:type="spellStart"/>
            <w:r>
              <w:rPr>
                <w:rFonts w:ascii="Arial" w:hAnsi="Arial"/>
                <w:lang w:bidi="en-US"/>
              </w:rPr>
              <w:t>Xpert</w:t>
            </w:r>
            <w:proofErr w:type="spellEnd"/>
            <w:r>
              <w:rPr>
                <w:rFonts w:ascii="Arial" w:hAnsi="Arial"/>
                <w:lang w:bidi="en-US"/>
              </w:rPr>
              <w:t xml:space="preserve"> </w:t>
            </w:r>
            <w:r w:rsidR="008F5341">
              <w:rPr>
                <w:rFonts w:ascii="Arial" w:hAnsi="Arial"/>
                <w:lang w:bidi="en-US"/>
              </w:rPr>
              <w:t xml:space="preserve">MRSA </w:t>
            </w:r>
            <w:proofErr w:type="spellStart"/>
            <w:r w:rsidR="008F5341">
              <w:rPr>
                <w:rFonts w:ascii="Arial" w:hAnsi="Arial"/>
                <w:lang w:bidi="en-US"/>
              </w:rPr>
              <w:t>NxG</w:t>
            </w:r>
            <w:proofErr w:type="spellEnd"/>
            <w:r>
              <w:rPr>
                <w:rFonts w:ascii="Arial" w:hAnsi="Arial"/>
                <w:lang w:bidi="en-US"/>
              </w:rPr>
              <w:t xml:space="preserve"> Assay. </w:t>
            </w:r>
          </w:p>
        </w:tc>
      </w:tr>
      <w:tr w:rsidR="002C4D17" w:rsidTr="002C4D17">
        <w:trPr>
          <w:gridAfter w:val="2"/>
          <w:wAfter w:w="539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tabs>
                <w:tab w:val="left" w:pos="252"/>
              </w:tabs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tabs>
                <w:tab w:val="left" w:pos="252"/>
              </w:tabs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This procedure applies to all employees that work in microbiology.</w:t>
            </w:r>
          </w:p>
          <w:p w:rsidR="002C4D17" w:rsidRDefault="002C4D17">
            <w:pPr>
              <w:spacing w:line="276" w:lineRule="auto"/>
              <w:ind w:left="360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pStyle w:val="Custom2"/>
              <w:spacing w:line="276" w:lineRule="auto"/>
              <w:rPr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Sample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New Lot/Shipment and Monthly Quality control:</w:t>
            </w:r>
          </w:p>
          <w:p w:rsidR="002C4D17" w:rsidRDefault="008F5341" w:rsidP="00D7316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left"/>
              <w:rPr>
                <w:rFonts w:ascii="Arial" w:hAnsi="Arial"/>
                <w:sz w:val="20"/>
                <w:lang w:bidi="en-US"/>
              </w:rPr>
            </w:pPr>
            <w:proofErr w:type="spellStart"/>
            <w:r>
              <w:rPr>
                <w:rFonts w:ascii="Arial" w:hAnsi="Arial"/>
                <w:sz w:val="20"/>
                <w:lang w:bidi="en-US"/>
              </w:rPr>
              <w:t>Microbiologics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MRSA/MRSA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NxG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</w:t>
            </w:r>
            <w:r w:rsidR="000D66F7">
              <w:rPr>
                <w:rFonts w:ascii="Arial" w:hAnsi="Arial"/>
                <w:sz w:val="20"/>
                <w:lang w:bidi="en-US"/>
              </w:rPr>
              <w:t>Control Panel (Cat. No. 8195)</w:t>
            </w:r>
          </w:p>
          <w:p w:rsidR="000D66F7" w:rsidRDefault="000D66F7" w:rsidP="000D66F7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Positive: Methicillin Resistant </w:t>
            </w:r>
            <w:r w:rsidRPr="000D66F7">
              <w:rPr>
                <w:rFonts w:ascii="Arial" w:hAnsi="Arial"/>
                <w:i/>
                <w:sz w:val="20"/>
                <w:lang w:bidi="en-US"/>
              </w:rPr>
              <w:t>Staphylococcus aureus</w:t>
            </w:r>
            <w:r>
              <w:rPr>
                <w:rFonts w:ascii="Arial" w:hAnsi="Arial"/>
                <w:sz w:val="20"/>
                <w:lang w:bidi="en-US"/>
              </w:rPr>
              <w:t xml:space="preserve"> derived from NCTC 12493</w:t>
            </w:r>
          </w:p>
          <w:p w:rsidR="000D66F7" w:rsidRDefault="000D66F7" w:rsidP="000D66F7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Negative: </w:t>
            </w:r>
            <w:r w:rsidRPr="000D66F7">
              <w:rPr>
                <w:rFonts w:ascii="Arial" w:hAnsi="Arial"/>
                <w:i/>
                <w:sz w:val="20"/>
                <w:lang w:bidi="en-US"/>
              </w:rPr>
              <w:t>Staphylococcus epidermidis</w:t>
            </w:r>
            <w:r>
              <w:rPr>
                <w:rFonts w:ascii="Arial" w:hAnsi="Arial"/>
                <w:sz w:val="20"/>
                <w:lang w:bidi="en-US"/>
              </w:rPr>
              <w:t xml:space="preserve"> derived from NCIMB 8853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FB1955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 xml:space="preserve">Wipe test </w:t>
            </w:r>
            <w:r w:rsidR="002C4D17">
              <w:rPr>
                <w:rFonts w:ascii="Arial" w:hAnsi="Arial"/>
                <w:b/>
                <w:sz w:val="20"/>
                <w:lang w:bidi="en-US"/>
              </w:rPr>
              <w:t>control (monthly):</w:t>
            </w:r>
          </w:p>
          <w:p w:rsidR="002C4D17" w:rsidRPr="00EB44EA" w:rsidRDefault="00F23492" w:rsidP="004971D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Cepheid single use swab 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Instrument Performance Verification after repairs:</w:t>
            </w:r>
          </w:p>
          <w:p w:rsidR="002C4D17" w:rsidRDefault="002C4D17" w:rsidP="004971DE">
            <w:pPr>
              <w:pStyle w:val="ListParagraph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One known positive and one known negative patient sample OR Positive and Negative External Control swabs 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D17" w:rsidRDefault="002C4D17">
            <w:pPr>
              <w:pStyle w:val="Custom2"/>
              <w:spacing w:line="276" w:lineRule="auto"/>
              <w:rPr>
                <w:lang w:bidi="en-US"/>
              </w:rPr>
            </w:pPr>
            <w:r>
              <w:rPr>
                <w:lang w:bidi="en-US"/>
              </w:rPr>
              <w:t>Frequency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8D3" w:rsidRDefault="001018D3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-Every 30 days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-Receipt of new shipments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-Receipt of new lots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-Drift in results (e.g., increasing/decreasing positivity rates)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-Potential contamination (negative control)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</w:t>
            </w:r>
            <w:r w:rsidR="000D66F7">
              <w:rPr>
                <w:rFonts w:ascii="Arial" w:hAnsi="Arial"/>
                <w:sz w:val="20"/>
                <w:lang w:bidi="en-US"/>
              </w:rPr>
              <w:t xml:space="preserve">After </w:t>
            </w:r>
            <w:proofErr w:type="spellStart"/>
            <w:r w:rsidR="000D66F7">
              <w:rPr>
                <w:rFonts w:ascii="Arial" w:hAnsi="Arial"/>
                <w:sz w:val="20"/>
                <w:lang w:bidi="en-US"/>
              </w:rPr>
              <w:t>Xpert</w:t>
            </w:r>
            <w:proofErr w:type="spellEnd"/>
            <w:r w:rsidR="000D66F7">
              <w:rPr>
                <w:rFonts w:ascii="Arial" w:hAnsi="Arial"/>
                <w:sz w:val="20"/>
                <w:lang w:bidi="en-US"/>
              </w:rPr>
              <w:t xml:space="preserve"> check or drastic</w:t>
            </w:r>
            <w:r>
              <w:rPr>
                <w:rFonts w:ascii="Arial" w:hAnsi="Arial"/>
                <w:sz w:val="20"/>
                <w:lang w:bidi="en-US"/>
              </w:rPr>
              <w:t xml:space="preserve"> system maintenance</w:t>
            </w:r>
            <w:r w:rsidR="000D66F7">
              <w:rPr>
                <w:rFonts w:ascii="Arial" w:hAnsi="Arial"/>
                <w:sz w:val="20"/>
                <w:lang w:bidi="en-US"/>
              </w:rPr>
              <w:t xml:space="preserve"> 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-Wipe testing: Monthly </w:t>
            </w:r>
          </w:p>
          <w:p w:rsidR="001018D3" w:rsidRDefault="001018D3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</w:tr>
      <w:tr w:rsidR="002C4D17" w:rsidTr="004C248D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Special Safety Precautions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after="120"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after="120"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Microbiologists/virologists are subject to occupational risks associated with specimen handling. Refer to the safety policies located in the safety section of the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bidi="en-US"/>
              </w:rPr>
              <w:t>Microbiology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  <w:t xml:space="preserve">and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bidi="en-US"/>
              </w:rPr>
              <w:t>Virology Policy Manual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:</w:t>
            </w:r>
          </w:p>
          <w:p w:rsidR="002C4D17" w:rsidRDefault="00905972" w:rsidP="004971DE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bidi="en-US"/>
              </w:rPr>
            </w:pPr>
            <w:hyperlink r:id="rId7" w:history="1">
              <w:r w:rsidR="002C4D17" w:rsidRPr="004C248D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bidi="en-US"/>
                </w:rPr>
                <w:t>Biohazard Containment</w:t>
              </w:r>
            </w:hyperlink>
          </w:p>
          <w:p w:rsidR="002C4D17" w:rsidRDefault="00905972" w:rsidP="004971DE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bidi="en-US"/>
              </w:rPr>
            </w:pPr>
            <w:hyperlink r:id="rId8" w:history="1">
              <w:r w:rsidR="002C4D17" w:rsidRPr="004C248D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bidi="en-US"/>
                </w:rPr>
                <w:t>Safety in the Microbiology/Virology Laboratory</w:t>
              </w:r>
            </w:hyperlink>
          </w:p>
          <w:p w:rsidR="002C4D17" w:rsidRPr="004C248D" w:rsidRDefault="00905972" w:rsidP="004C248D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hyperlink r:id="rId9" w:history="1">
              <w:r w:rsidR="004C248D">
                <w:rPr>
                  <w:rStyle w:val="Hyperlink"/>
                  <w:rFonts w:ascii="Arial" w:hAnsi="Arial" w:cs="Arial"/>
                  <w:i/>
                  <w:sz w:val="20"/>
                  <w:szCs w:val="20"/>
                  <w:lang w:bidi="en-US"/>
                </w:rPr>
                <w:t xml:space="preserve">Biohazardous </w:t>
              </w:r>
              <w:r w:rsidR="002C4D17" w:rsidRPr="004C248D">
                <w:rPr>
                  <w:rStyle w:val="Hyperlink"/>
                  <w:rFonts w:ascii="Arial" w:hAnsi="Arial" w:cs="Arial"/>
                  <w:i/>
                  <w:sz w:val="20"/>
                  <w:szCs w:val="20"/>
                  <w:lang w:bidi="en-US"/>
                </w:rPr>
                <w:t>Spills</w:t>
              </w:r>
            </w:hyperlink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:rsid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:rsidR="004C248D" w:rsidRPr="004C248D" w:rsidRDefault="004C248D" w:rsidP="004C248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lastRenderedPageBreak/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2C4D17">
              <w:tc>
                <w:tcPr>
                  <w:tcW w:w="30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4D17" w:rsidRDefault="002C4D17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Reagents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4D17" w:rsidRDefault="002C4D17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Supplies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4D17" w:rsidRDefault="002C4D17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Equipment</w:t>
                  </w:r>
                </w:p>
              </w:tc>
            </w:tr>
            <w:tr w:rsidR="002C4D17">
              <w:tc>
                <w:tcPr>
                  <w:tcW w:w="30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4D17" w:rsidRDefault="008F5341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Microbiologics</w:t>
                  </w:r>
                  <w:proofErr w:type="spellEnd"/>
                  <w:r w:rsidR="000D66F7">
                    <w:rPr>
                      <w:rFonts w:ascii="Arial" w:hAnsi="Arial"/>
                      <w:sz w:val="20"/>
                      <w:lang w:bidi="en-US"/>
                    </w:rPr>
                    <w:t xml:space="preserve"> MRSA/MRSA </w:t>
                  </w:r>
                  <w:proofErr w:type="spellStart"/>
                  <w:r w:rsidR="000D66F7">
                    <w:rPr>
                      <w:rFonts w:ascii="Arial" w:hAnsi="Arial"/>
                      <w:sz w:val="20"/>
                      <w:lang w:bidi="en-US"/>
                    </w:rPr>
                    <w:t>NxG</w:t>
                  </w:r>
                  <w:proofErr w:type="spellEnd"/>
                  <w:r w:rsidR="000D66F7">
                    <w:rPr>
                      <w:rFonts w:ascii="Arial" w:hAnsi="Arial"/>
                      <w:sz w:val="20"/>
                      <w:lang w:bidi="en-US"/>
                    </w:rPr>
                    <w:t xml:space="preserve"> positive controls</w:t>
                  </w:r>
                </w:p>
                <w:p w:rsidR="002C4D17" w:rsidRDefault="008F5341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Microbiologics</w:t>
                  </w:r>
                  <w:proofErr w:type="spellEnd"/>
                  <w:r w:rsidR="000D66F7">
                    <w:rPr>
                      <w:rFonts w:ascii="Arial" w:hAnsi="Arial"/>
                      <w:sz w:val="20"/>
                      <w:lang w:bidi="en-US"/>
                    </w:rPr>
                    <w:t xml:space="preserve"> MRSA/MRSA </w:t>
                  </w:r>
                  <w:proofErr w:type="spellStart"/>
                  <w:r w:rsidR="000D66F7">
                    <w:rPr>
                      <w:rFonts w:ascii="Arial" w:hAnsi="Arial"/>
                      <w:sz w:val="20"/>
                      <w:lang w:bidi="en-US"/>
                    </w:rPr>
                    <w:t>NxG</w:t>
                  </w:r>
                  <w:proofErr w:type="spellEnd"/>
                  <w:r w:rsidR="000D66F7">
                    <w:rPr>
                      <w:rFonts w:ascii="Arial" w:hAnsi="Arial"/>
                      <w:sz w:val="20"/>
                      <w:lang w:bidi="en-US"/>
                    </w:rPr>
                    <w:t xml:space="preserve"> negative controls</w:t>
                  </w:r>
                </w:p>
                <w:p w:rsidR="002C4D17" w:rsidRDefault="002C4D17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10% bleach</w:t>
                  </w:r>
                </w:p>
                <w:p w:rsidR="002C4D17" w:rsidRDefault="002C4D17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70% ethanol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C4D17" w:rsidRPr="0082489D" w:rsidRDefault="00905972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ESwab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collection kit</w:t>
                  </w:r>
                  <w:bookmarkStart w:id="0" w:name="_GoBack"/>
                  <w:bookmarkEnd w:id="0"/>
                </w:p>
                <w:p w:rsidR="002C4D17" w:rsidRDefault="002C4D17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</w:t>
                  </w:r>
                  <w:r w:rsidR="008F5341">
                    <w:rPr>
                      <w:rFonts w:ascii="Arial" w:hAnsi="Arial"/>
                      <w:sz w:val="20"/>
                      <w:lang w:bidi="en-US"/>
                    </w:rPr>
                    <w:t xml:space="preserve">MRSA </w:t>
                  </w:r>
                  <w:proofErr w:type="spellStart"/>
                  <w:r w:rsidR="008F5341">
                    <w:rPr>
                      <w:rFonts w:ascii="Arial" w:hAnsi="Arial"/>
                      <w:sz w:val="20"/>
                      <w:lang w:bidi="en-US"/>
                    </w:rPr>
                    <w:t>NxG</w:t>
                  </w:r>
                  <w:proofErr w:type="spellEnd"/>
                  <w:r w:rsidR="008F5341">
                    <w:rPr>
                      <w:rFonts w:ascii="Arial" w:hAnsi="Arial"/>
                      <w:sz w:val="20"/>
                      <w:lang w:bidi="en-US"/>
                    </w:rPr>
                    <w:t xml:space="preserve"> cartridges</w:t>
                  </w:r>
                </w:p>
                <w:p w:rsidR="008F5341" w:rsidRDefault="008F5341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MRSA </w:t>
                  </w: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NxG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reagent vials </w:t>
                  </w:r>
                </w:p>
                <w:p w:rsidR="002C4D17" w:rsidRDefault="002C4D17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Transfer pipettes</w:t>
                  </w:r>
                </w:p>
                <w:p w:rsidR="002C4D17" w:rsidRDefault="00905972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Sa</w:t>
                  </w:r>
                  <w:r w:rsidR="002C4D17">
                    <w:rPr>
                      <w:rFonts w:ascii="Arial" w:hAnsi="Arial"/>
                      <w:sz w:val="20"/>
                      <w:lang w:bidi="en-US"/>
                    </w:rPr>
                    <w:t>mple racks</w:t>
                  </w:r>
                </w:p>
                <w:p w:rsidR="002C4D17" w:rsidRDefault="002C4D17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Cartridge transfer tray</w:t>
                  </w:r>
                </w:p>
                <w:p w:rsidR="000D66F7" w:rsidRDefault="000D66F7" w:rsidP="004971DE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Transfer pipettes </w:t>
                  </w:r>
                </w:p>
                <w:p w:rsidR="002C4D17" w:rsidRDefault="002C4D17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</w:p>
                <w:p w:rsidR="002C4D17" w:rsidRDefault="002C4D17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Store kits at 2-28</w:t>
                  </w:r>
                  <w:r>
                    <w:rPr>
                      <w:rFonts w:ascii="Arial" w:hAnsi="Arial" w:cs="Arial"/>
                      <w:sz w:val="20"/>
                      <w:lang w:bidi="en-US"/>
                    </w:rPr>
                    <w:t>°</w:t>
                  </w:r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C.  Kits are stable until the expiration date printed on the outer box.   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4D17" w:rsidRDefault="002C4D17" w:rsidP="004971DE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Biosafety Hood</w:t>
                  </w:r>
                </w:p>
                <w:p w:rsidR="002C4D17" w:rsidRDefault="002C4D17" w:rsidP="004971DE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Cepheid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GeneXpert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Instrument and computer</w:t>
                  </w:r>
                </w:p>
                <w:p w:rsidR="002C4D17" w:rsidRDefault="002C4D17" w:rsidP="004971DE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Printer</w:t>
                  </w:r>
                </w:p>
                <w:p w:rsidR="002C4D17" w:rsidRDefault="002C4D17" w:rsidP="000D66F7">
                  <w:pPr>
                    <w:pStyle w:val="NoSpacing"/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</w:p>
              </w:tc>
            </w:tr>
          </w:tbl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D17" w:rsidRDefault="002C4D17">
            <w:pPr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Procedure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3DF" w:rsidRPr="00791C9F" w:rsidRDefault="004803DF" w:rsidP="004803DF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4803DF" w:rsidRPr="00791C9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Clean hood and supplies: 10% bleach followed by 70% ethanol. </w:t>
            </w:r>
          </w:p>
          <w:p w:rsidR="004803DF" w:rsidRPr="00791C9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Change gloves. </w:t>
            </w:r>
          </w:p>
          <w:p w:rsidR="004803DF" w:rsidRPr="00791C9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Obtain two </w:t>
            </w:r>
            <w:r>
              <w:rPr>
                <w:rFonts w:ascii="Arial" w:hAnsi="Arial" w:cs="Arial"/>
                <w:sz w:val="20"/>
                <w:szCs w:val="20"/>
              </w:rPr>
              <w:t xml:space="preserve">Sample Reagent vials and </w:t>
            </w:r>
            <w:r w:rsidRPr="00791C9F">
              <w:rPr>
                <w:rFonts w:ascii="Arial" w:hAnsi="Arial" w:cs="Arial"/>
                <w:sz w:val="20"/>
                <w:szCs w:val="20"/>
              </w:rPr>
              <w:t>test cartridges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03D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the vials a</w:t>
            </w:r>
            <w:r w:rsidR="00287FE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 cartridges for the positive and negative controls.</w:t>
            </w:r>
          </w:p>
          <w:p w:rsidR="004803DF" w:rsidRPr="00791C9F" w:rsidRDefault="004803DF" w:rsidP="004803D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Set up the positive control first.</w:t>
            </w:r>
          </w:p>
          <w:p w:rsidR="004803D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control swab. </w:t>
            </w:r>
          </w:p>
          <w:p w:rsidR="004803D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the swab into the Sample Reagent vial, lift it up (about 2cm from the bottom), and break the shaft off using an absorbent biohazard pad (orange) as a barrier on the top of the tube.</w:t>
            </w:r>
          </w:p>
          <w:p w:rsidR="00AA4402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Vortex the vial for 10 seconds.</w:t>
            </w:r>
          </w:p>
          <w:p w:rsidR="004803DF" w:rsidRPr="00791C9F" w:rsidRDefault="00AA4402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a sterile transfer pipette transfers all fluid into the cartridge.</w:t>
            </w:r>
            <w:r w:rsidR="004803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803D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gloves in-between processing of controls AND before moving to the instrument.  </w:t>
            </w:r>
          </w:p>
          <w:p w:rsidR="004803DF" w:rsidRPr="00791C9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Run cartridges as patient samples.</w:t>
            </w:r>
            <w:r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MRSA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NxG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Assay procedure)</w:t>
            </w:r>
          </w:p>
          <w:p w:rsidR="004F0CA6" w:rsidRDefault="004803DF" w:rsidP="004803DF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NOTE: </w:t>
            </w:r>
          </w:p>
          <w:p w:rsidR="004803DF" w:rsidRDefault="004803DF" w:rsidP="004F0CA6">
            <w:pPr>
              <w:pStyle w:val="NoSpacing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Under the “Test Type” field select “Positive Control 1” or “Negative Control 1”.</w:t>
            </w:r>
          </w:p>
          <w:p w:rsidR="004F0CA6" w:rsidRPr="00791C9F" w:rsidRDefault="004F0CA6" w:rsidP="004F0CA6">
            <w:pPr>
              <w:pStyle w:val="NoSpacing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Rotate through modules</w:t>
            </w:r>
            <w:r w:rsidR="00B26A7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803D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Clean hood with 10% bleach followed by 70% ethanol.</w:t>
            </w:r>
          </w:p>
          <w:p w:rsidR="004803DF" w:rsidRPr="00791C9F" w:rsidRDefault="004803DF" w:rsidP="004803DF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 QC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Assay binder. 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803DF" w:rsidRPr="00791C9F" w:rsidRDefault="004803DF" w:rsidP="004803D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803DF" w:rsidRDefault="004803DF" w:rsidP="004803D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NOTE: Before reporting patient results, all controls must yield valid results.</w:t>
            </w:r>
          </w:p>
          <w:p w:rsidR="00B42576" w:rsidRPr="00791C9F" w:rsidRDefault="00B42576" w:rsidP="004803D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rotate modules for QC testing</w:t>
            </w:r>
          </w:p>
          <w:p w:rsidR="004803DF" w:rsidRDefault="004803DF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  <w:p w:rsidR="004803DF" w:rsidRDefault="004803DF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  <w:p w:rsidR="002C4D17" w:rsidRDefault="00FB1955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Wipe Test C</w:t>
            </w:r>
            <w:r w:rsidR="002C4D17">
              <w:rPr>
                <w:rFonts w:ascii="Arial" w:hAnsi="Arial"/>
                <w:b/>
                <w:sz w:val="20"/>
                <w:lang w:bidi="en-US"/>
              </w:rPr>
              <w:t>ontrol</w:t>
            </w:r>
            <w:r w:rsidR="004C248D">
              <w:rPr>
                <w:rFonts w:ascii="Arial" w:hAnsi="Arial"/>
                <w:b/>
                <w:sz w:val="20"/>
                <w:lang w:bidi="en-US"/>
              </w:rPr>
              <w:t xml:space="preserve"> (contamination check)</w:t>
            </w:r>
            <w:r w:rsidR="002C4D17">
              <w:rPr>
                <w:rFonts w:ascii="Arial" w:hAnsi="Arial"/>
                <w:b/>
                <w:sz w:val="20"/>
                <w:lang w:bidi="en-US"/>
              </w:rPr>
              <w:t>:</w:t>
            </w:r>
          </w:p>
          <w:p w:rsidR="00905972" w:rsidRDefault="00905972" w:rsidP="00905972">
            <w:pPr>
              <w:pStyle w:val="ListParagraph"/>
              <w:numPr>
                <w:ilvl w:val="0"/>
                <w:numId w:val="13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a swab from an </w:t>
            </w:r>
            <w:proofErr w:type="spellStart"/>
            <w:r>
              <w:rPr>
                <w:rFonts w:ascii="Arial" w:hAnsi="Arial"/>
                <w:sz w:val="20"/>
              </w:rPr>
              <w:t>ESwab</w:t>
            </w:r>
            <w:proofErr w:type="spellEnd"/>
            <w:r>
              <w:rPr>
                <w:rFonts w:ascii="Arial" w:hAnsi="Arial"/>
                <w:sz w:val="20"/>
              </w:rPr>
              <w:t xml:space="preserve"> Specimen Collection Kit, dip the swab in transport media and swab the processing </w:t>
            </w:r>
            <w:r w:rsidRPr="00791C9F">
              <w:rPr>
                <w:rFonts w:ascii="Arial" w:hAnsi="Arial"/>
                <w:sz w:val="20"/>
              </w:rPr>
              <w:t xml:space="preserve">hood surface, counter around the </w:t>
            </w:r>
            <w:proofErr w:type="spellStart"/>
            <w:r w:rsidRPr="00791C9F">
              <w:rPr>
                <w:rFonts w:ascii="Arial" w:hAnsi="Arial"/>
                <w:sz w:val="20"/>
              </w:rPr>
              <w:t>GeneXpert</w:t>
            </w:r>
            <w:proofErr w:type="spellEnd"/>
            <w:r w:rsidRPr="00791C9F">
              <w:rPr>
                <w:rFonts w:ascii="Arial" w:hAnsi="Arial"/>
                <w:sz w:val="20"/>
              </w:rPr>
              <w:t xml:space="preserve"> instrument (including the keyboard, mouse, and scanner), and door handles on the instrument.</w:t>
            </w:r>
          </w:p>
          <w:p w:rsidR="00905972" w:rsidRPr="00E678AC" w:rsidRDefault="00905972" w:rsidP="00905972">
            <w:pPr>
              <w:pStyle w:val="ListParagraph"/>
              <w:numPr>
                <w:ilvl w:val="0"/>
                <w:numId w:val="13"/>
              </w:numPr>
              <w:ind w:left="720"/>
              <w:jc w:val="left"/>
              <w:rPr>
                <w:rFonts w:ascii="Arial" w:hAnsi="Arial"/>
                <w:sz w:val="20"/>
              </w:rPr>
            </w:pPr>
            <w:r w:rsidRPr="00E678AC">
              <w:rPr>
                <w:rFonts w:ascii="Arial" w:hAnsi="Arial"/>
                <w:sz w:val="20"/>
              </w:rPr>
              <w:t xml:space="preserve">Break swab off into the </w:t>
            </w:r>
            <w:proofErr w:type="spellStart"/>
            <w:r w:rsidRPr="00E678AC">
              <w:rPr>
                <w:rFonts w:ascii="Arial" w:hAnsi="Arial"/>
                <w:sz w:val="20"/>
              </w:rPr>
              <w:t>ESwab</w:t>
            </w:r>
            <w:proofErr w:type="spellEnd"/>
            <w:r w:rsidRPr="00E678AC">
              <w:rPr>
                <w:rFonts w:ascii="Arial" w:hAnsi="Arial"/>
                <w:sz w:val="20"/>
              </w:rPr>
              <w:t xml:space="preserve"> tube </w:t>
            </w:r>
            <w:r w:rsidRPr="00E678AC">
              <w:rPr>
                <w:rFonts w:ascii="Arial" w:hAnsi="Arial" w:cs="Arial"/>
                <w:sz w:val="20"/>
                <w:szCs w:val="20"/>
              </w:rPr>
              <w:t>using an absorbent biohazard pad (orange) as a barrier on the top of the tube.</w:t>
            </w:r>
          </w:p>
          <w:p w:rsidR="00905972" w:rsidRDefault="00905972" w:rsidP="00905972">
            <w:pPr>
              <w:pStyle w:val="ListParagraph"/>
              <w:numPr>
                <w:ilvl w:val="0"/>
                <w:numId w:val="13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Process and run as a patient sample. </w:t>
            </w:r>
          </w:p>
          <w:p w:rsidR="00905972" w:rsidRDefault="00905972" w:rsidP="00905972">
            <w:pPr>
              <w:pStyle w:val="ListParagraph"/>
              <w:numPr>
                <w:ilvl w:val="0"/>
                <w:numId w:val="13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Document testing in the </w:t>
            </w:r>
            <w:proofErr w:type="spellStart"/>
            <w:r>
              <w:rPr>
                <w:rFonts w:ascii="Arial" w:hAnsi="Arial"/>
                <w:sz w:val="20"/>
              </w:rPr>
              <w:t>GeneXpert</w:t>
            </w:r>
            <w:proofErr w:type="spellEnd"/>
            <w:r>
              <w:rPr>
                <w:rFonts w:ascii="Arial" w:hAnsi="Arial"/>
                <w:sz w:val="20"/>
              </w:rPr>
              <w:t xml:space="preserve"> QC binder. </w:t>
            </w:r>
          </w:p>
          <w:p w:rsidR="002C4D17" w:rsidRDefault="002C4D17">
            <w:pPr>
              <w:pStyle w:val="ListParagraph"/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2C4D17" w:rsidRDefault="002C4D17">
            <w:pPr>
              <w:pStyle w:val="ListParagraph"/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 w:rsidRPr="00905972">
              <w:rPr>
                <w:rFonts w:ascii="Arial" w:hAnsi="Arial"/>
                <w:b/>
                <w:sz w:val="20"/>
                <w:lang w:bidi="en-US"/>
              </w:rPr>
              <w:t>NOTE:</w:t>
            </w:r>
            <w:r>
              <w:rPr>
                <w:rFonts w:ascii="Arial" w:hAnsi="Arial"/>
                <w:sz w:val="20"/>
                <w:lang w:bidi="en-US"/>
              </w:rPr>
              <w:t xml:space="preserve"> In the event of positive result notify the</w:t>
            </w:r>
            <w:r w:rsidR="004803DF">
              <w:rPr>
                <w:rFonts w:ascii="Arial" w:hAnsi="Arial"/>
                <w:sz w:val="20"/>
                <w:lang w:bidi="en-US"/>
              </w:rPr>
              <w:t xml:space="preserve"> tech specialist, decontaminate</w:t>
            </w:r>
            <w:r>
              <w:rPr>
                <w:rFonts w:ascii="Arial" w:hAnsi="Arial"/>
                <w:sz w:val="20"/>
                <w:lang w:bidi="en-US"/>
              </w:rPr>
              <w:t xml:space="preserve"> and re-test. </w:t>
            </w:r>
          </w:p>
        </w:tc>
      </w:tr>
      <w:tr w:rsidR="002C4D17" w:rsidTr="00717FE9">
        <w:trPr>
          <w:gridAfter w:val="2"/>
          <w:wAfter w:w="5398" w:type="dxa"/>
          <w:trHeight w:val="51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br w:type="page"/>
            </w:r>
          </w:p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Interpretation and Documentation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972" w:rsidRDefault="00905972" w:rsidP="00905972">
            <w:pPr>
              <w:pStyle w:val="NoSpacing"/>
              <w:spacing w:line="276" w:lineRule="auto"/>
              <w:ind w:left="72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E02DCB" w:rsidRDefault="00E02DCB" w:rsidP="00E02DCB">
            <w:pPr>
              <w:pStyle w:val="NoSpacing"/>
              <w:numPr>
                <w:ilvl w:val="0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Click on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View Results 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on the top drop-down menu bar and select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View Test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.</w:t>
            </w:r>
          </w:p>
          <w:p w:rsidR="00E02DCB" w:rsidRDefault="00905972" w:rsidP="00E02DCB">
            <w:pPr>
              <w:pStyle w:val="NoSpacing"/>
              <w:numPr>
                <w:ilvl w:val="0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Review reports for results of INVALID, ERROR, NO RESULT and repeat testing if necessary.</w:t>
            </w:r>
          </w:p>
          <w:p w:rsidR="002C4D17" w:rsidRPr="004C248D" w:rsidRDefault="002C4D17">
            <w:pPr>
              <w:pStyle w:val="NoSpacing"/>
              <w:spacing w:line="276" w:lineRule="auto"/>
              <w:ind w:left="144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905972" w:rsidRDefault="00905972" w:rsidP="0090597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Valid QC Results:</w:t>
            </w:r>
          </w:p>
          <w:p w:rsidR="00905972" w:rsidRDefault="00905972" w:rsidP="0090597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Positive: MRSA detected</w:t>
            </w:r>
          </w:p>
          <w:p w:rsidR="00905972" w:rsidRDefault="00905972" w:rsidP="0090597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Negative: MRSA not detected</w:t>
            </w:r>
          </w:p>
          <w:p w:rsidR="002C4D17" w:rsidRPr="004C248D" w:rsidRDefault="002C4D17" w:rsidP="00905972">
            <w:pPr>
              <w:pStyle w:val="NoSpacing"/>
              <w:spacing w:line="276" w:lineRule="auto"/>
              <w:ind w:left="144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905972" w:rsidRPr="004C248D" w:rsidRDefault="00905972" w:rsidP="00905972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Desired Results for Wipe Test Control:</w:t>
            </w:r>
          </w:p>
          <w:p w:rsidR="00905972" w:rsidRDefault="00905972" w:rsidP="0090597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Negative: MRSA not detected</w:t>
            </w:r>
          </w:p>
          <w:p w:rsidR="002C4D17" w:rsidRPr="004C248D" w:rsidRDefault="002C4D17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:rsidR="002C4D17" w:rsidRPr="004C248D" w:rsidRDefault="002C4D17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b/>
                <w:sz w:val="20"/>
                <w:szCs w:val="20"/>
                <w:lang w:bidi="en-US"/>
              </w:rPr>
              <w:t>Reasons to retest:</w:t>
            </w:r>
          </w:p>
          <w:p w:rsidR="002C4D17" w:rsidRPr="004C248D" w:rsidRDefault="002C4D17" w:rsidP="004971DE">
            <w:pPr>
              <w:pStyle w:val="NoSpacing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An </w:t>
            </w:r>
            <w:r w:rsidRPr="00905972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INVALID </w:t>
            </w: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>result.  This may indicate: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>The sample was inadequate.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The sample was not properly processed. 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PCR was inhibited. </w:t>
            </w:r>
          </w:p>
          <w:p w:rsidR="002C4D17" w:rsidRPr="004C248D" w:rsidRDefault="002C4D17" w:rsidP="004971DE">
            <w:pPr>
              <w:pStyle w:val="NoSpacing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An </w:t>
            </w:r>
            <w:r w:rsidRPr="00905972">
              <w:rPr>
                <w:rFonts w:ascii="Arial" w:hAnsi="Arial" w:cs="Arial"/>
                <w:b/>
                <w:sz w:val="20"/>
                <w:szCs w:val="20"/>
                <w:lang w:bidi="en-US"/>
              </w:rPr>
              <w:t>ERROR</w:t>
            </w: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 result.  This may indicate: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The reaction tube was filled improperly. 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A reagent probe integrity problem was detected. 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The maximum pressure limit was exceeded. 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A valve positioning error was detected. </w:t>
            </w:r>
          </w:p>
          <w:p w:rsidR="002C4D17" w:rsidRPr="004C248D" w:rsidRDefault="002C4D17" w:rsidP="004971DE">
            <w:pPr>
              <w:pStyle w:val="NoSpacing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905972">
              <w:rPr>
                <w:rFonts w:ascii="Arial" w:hAnsi="Arial" w:cs="Arial"/>
                <w:b/>
                <w:sz w:val="20"/>
                <w:szCs w:val="20"/>
                <w:lang w:bidi="en-US"/>
              </w:rPr>
              <w:t>NO RESULT</w:t>
            </w: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>:</w:t>
            </w:r>
          </w:p>
          <w:p w:rsidR="002C4D17" w:rsidRPr="004C248D" w:rsidRDefault="002C4D17" w:rsidP="004971DE">
            <w:pPr>
              <w:pStyle w:val="NoSpacing"/>
              <w:numPr>
                <w:ilvl w:val="1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>This result indicated that insufficient data were collected. (</w:t>
            </w:r>
            <w:proofErr w:type="gramStart"/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>e.g</w:t>
            </w:r>
            <w:proofErr w:type="gramEnd"/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. test stopped while in progress or power failure occurred. </w:t>
            </w:r>
          </w:p>
          <w:p w:rsidR="002C4D17" w:rsidRPr="004C248D" w:rsidRDefault="002C4D17">
            <w:pPr>
              <w:pStyle w:val="NoSpacing"/>
              <w:spacing w:line="276" w:lineRule="auto"/>
              <w:ind w:left="1440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2C4D17" w:rsidRPr="004C248D" w:rsidRDefault="002C4D1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905972">
              <w:rPr>
                <w:rFonts w:ascii="Arial" w:hAnsi="Arial" w:cs="Arial"/>
                <w:b/>
                <w:sz w:val="20"/>
                <w:szCs w:val="20"/>
                <w:lang w:bidi="en-US"/>
              </w:rPr>
              <w:t>NOTE:</w:t>
            </w:r>
            <w:r w:rsidRPr="004C248D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="00905972" w:rsidRPr="00D01E37">
              <w:rPr>
                <w:rFonts w:ascii="Arial" w:hAnsi="Arial" w:cs="Arial"/>
                <w:sz w:val="20"/>
                <w:szCs w:val="20"/>
              </w:rPr>
              <w:t>Record any failures</w:t>
            </w:r>
            <w:r w:rsidR="00905972">
              <w:rPr>
                <w:rFonts w:ascii="Arial" w:hAnsi="Arial" w:cs="Arial"/>
                <w:sz w:val="20"/>
                <w:szCs w:val="20"/>
              </w:rPr>
              <w:t>, errors and repeat testing i</w:t>
            </w:r>
            <w:r w:rsidR="00905972" w:rsidRPr="00D01E37">
              <w:rPr>
                <w:rFonts w:ascii="Arial" w:hAnsi="Arial" w:cs="Arial"/>
                <w:sz w:val="20"/>
                <w:szCs w:val="20"/>
              </w:rPr>
              <w:t>n the “</w:t>
            </w:r>
            <w:proofErr w:type="spellStart"/>
            <w:r w:rsidR="00905972"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 w:rsidR="00905972">
              <w:rPr>
                <w:rFonts w:ascii="Arial" w:hAnsi="Arial" w:cs="Arial"/>
                <w:sz w:val="20"/>
                <w:szCs w:val="20"/>
              </w:rPr>
              <w:t xml:space="preserve"> Maintenance and Problem</w:t>
            </w:r>
            <w:r w:rsidR="00905972" w:rsidRPr="00BE001F">
              <w:rPr>
                <w:rFonts w:ascii="Arial" w:hAnsi="Arial" w:cs="Arial"/>
                <w:sz w:val="20"/>
                <w:szCs w:val="20"/>
              </w:rPr>
              <w:t xml:space="preserve"> Log</w:t>
            </w:r>
            <w:r w:rsidR="00905972">
              <w:rPr>
                <w:rFonts w:ascii="Arial" w:hAnsi="Arial" w:cs="Arial"/>
                <w:sz w:val="20"/>
                <w:szCs w:val="20"/>
              </w:rPr>
              <w:t>s” binder.</w:t>
            </w:r>
          </w:p>
          <w:p w:rsidR="004C248D" w:rsidRPr="00905972" w:rsidRDefault="004C248D" w:rsidP="00905972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4C248D" w:rsidRDefault="004C248D" w:rsidP="004C248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905972">
              <w:rPr>
                <w:rFonts w:ascii="Arial" w:hAnsi="Arial" w:cs="Arial"/>
                <w:b/>
                <w:sz w:val="20"/>
                <w:szCs w:val="20"/>
                <w:lang w:bidi="en-US"/>
              </w:rPr>
              <w:t>NOTE: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 If there is a QC failure, document observation and correction action.  Report QC problems that cannot be resolved to the tech specialist.  For repeated failures contact Cepheid Technical Support, the Technical Specialist and Technical Director.  </w:t>
            </w:r>
          </w:p>
          <w:p w:rsidR="00905972" w:rsidRDefault="00905972" w:rsidP="004C248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4C248D" w:rsidRDefault="004C248D" w:rsidP="004C248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Do not report patient results until problem is resolved.</w:t>
            </w:r>
          </w:p>
          <w:p w:rsidR="002C4D17" w:rsidRDefault="002C4D17">
            <w:pPr>
              <w:spacing w:line="276" w:lineRule="auto"/>
              <w:jc w:val="left"/>
              <w:rPr>
                <w:rFonts w:ascii="Arial" w:hAnsi="Arial"/>
                <w:lang w:bidi="en-US"/>
              </w:rPr>
            </w:pPr>
          </w:p>
          <w:p w:rsidR="002C4D17" w:rsidRPr="00717FE9" w:rsidRDefault="001018D3" w:rsidP="00FB1955">
            <w:pPr>
              <w:pStyle w:val="NoSpacing"/>
              <w:spacing w:line="276" w:lineRule="auto"/>
              <w:rPr>
                <w:rFonts w:ascii="Arial" w:hAnsi="Arial"/>
                <w:sz w:val="20"/>
                <w:szCs w:val="20"/>
                <w:lang w:bidi="en-US"/>
              </w:rPr>
            </w:pPr>
            <w:r w:rsidRPr="00905972">
              <w:rPr>
                <w:rFonts w:ascii="Arial" w:hAnsi="Arial"/>
                <w:b/>
                <w:sz w:val="20"/>
                <w:szCs w:val="20"/>
                <w:lang w:bidi="en-US"/>
              </w:rPr>
              <w:t>NOTE:</w:t>
            </w:r>
            <w:r>
              <w:rPr>
                <w:rFonts w:ascii="Arial" w:hAnsi="Arial"/>
                <w:sz w:val="20"/>
                <w:szCs w:val="20"/>
                <w:lang w:bidi="en-US"/>
              </w:rPr>
              <w:t xml:space="preserve"> I</w:t>
            </w:r>
            <w:r w:rsidR="004C248D" w:rsidRPr="00717FE9">
              <w:rPr>
                <w:rFonts w:ascii="Arial" w:hAnsi="Arial"/>
                <w:sz w:val="20"/>
                <w:szCs w:val="20"/>
                <w:lang w:bidi="en-US"/>
              </w:rPr>
              <w:t xml:space="preserve">f </w:t>
            </w:r>
            <w:r w:rsidR="00FB1955">
              <w:rPr>
                <w:rFonts w:ascii="Arial" w:hAnsi="Arial"/>
                <w:sz w:val="20"/>
                <w:szCs w:val="20"/>
                <w:lang w:bidi="en-US"/>
              </w:rPr>
              <w:t>Wipe Test</w:t>
            </w:r>
            <w:r w:rsidR="004C248D" w:rsidRPr="00717FE9">
              <w:rPr>
                <w:rFonts w:ascii="Arial" w:hAnsi="Arial"/>
                <w:sz w:val="20"/>
                <w:szCs w:val="20"/>
                <w:lang w:bidi="en-US"/>
              </w:rPr>
              <w:t xml:space="preserve"> Control results are positive, notify the </w:t>
            </w:r>
            <w:r w:rsidR="00717FE9" w:rsidRPr="00717FE9">
              <w:rPr>
                <w:rFonts w:ascii="Arial" w:hAnsi="Arial"/>
                <w:sz w:val="20"/>
                <w:szCs w:val="20"/>
                <w:lang w:bidi="en-US"/>
              </w:rPr>
              <w:t>Technical</w:t>
            </w:r>
            <w:r w:rsidR="004C248D" w:rsidRPr="00717FE9">
              <w:rPr>
                <w:rFonts w:ascii="Arial" w:hAnsi="Arial"/>
                <w:sz w:val="20"/>
                <w:szCs w:val="20"/>
                <w:lang w:bidi="en-US"/>
              </w:rPr>
              <w:t xml:space="preserve"> Specialist, decontaminate the space, recollect a swab and retest.  Upon secondary failure</w:t>
            </w:r>
            <w:r w:rsidR="00717FE9" w:rsidRPr="00717FE9">
              <w:rPr>
                <w:rFonts w:ascii="Arial" w:hAnsi="Arial"/>
                <w:sz w:val="20"/>
                <w:szCs w:val="20"/>
                <w:lang w:bidi="en-US"/>
              </w:rPr>
              <w:t xml:space="preserve"> discuss expanded testing with the Technical specialist  </w:t>
            </w:r>
          </w:p>
        </w:tc>
      </w:tr>
      <w:tr w:rsidR="002C4D17" w:rsidTr="002C4D17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References</w:t>
            </w:r>
          </w:p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5E8D" w:rsidRDefault="00D45E8D" w:rsidP="00D45E8D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9137C2" w:rsidRDefault="009137C2" w:rsidP="009137C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9137C2">
              <w:rPr>
                <w:rFonts w:ascii="Arial" w:eastAsiaTheme="minorHAnsi" w:hAnsi="Arial" w:cs="Arial"/>
                <w:sz w:val="20"/>
                <w:szCs w:val="20"/>
              </w:rPr>
              <w:t>Xpert</w:t>
            </w:r>
            <w:proofErr w:type="spellEnd"/>
            <w:r w:rsidRPr="009137C2">
              <w:rPr>
                <w:rFonts w:ascii="Arial" w:eastAsiaTheme="minorHAnsi" w:hAnsi="Arial" w:cs="Arial"/>
                <w:sz w:val="20"/>
                <w:szCs w:val="20"/>
              </w:rPr>
              <w:t xml:space="preserve"> MRSA </w:t>
            </w:r>
            <w:proofErr w:type="spellStart"/>
            <w:r w:rsidRPr="009137C2">
              <w:rPr>
                <w:rFonts w:ascii="Arial" w:eastAsiaTheme="minorHAnsi" w:hAnsi="Arial" w:cs="Arial"/>
                <w:sz w:val="20"/>
                <w:szCs w:val="20"/>
              </w:rPr>
              <w:t>NxG</w:t>
            </w:r>
            <w:proofErr w:type="spellEnd"/>
            <w:r w:rsidRPr="009137C2">
              <w:rPr>
                <w:rFonts w:ascii="Arial" w:eastAsiaTheme="minorHAnsi" w:hAnsi="Arial" w:cs="Arial"/>
                <w:sz w:val="20"/>
                <w:szCs w:val="20"/>
              </w:rPr>
              <w:t xml:space="preserve"> Package Insert, 301-4055 Rev. A. Cepheid; 2016.</w:t>
            </w:r>
          </w:p>
          <w:p w:rsidR="00D45E8D" w:rsidRPr="009137C2" w:rsidRDefault="00D45E8D" w:rsidP="00D45E8D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45E8D" w:rsidRPr="00997113" w:rsidRDefault="009137C2" w:rsidP="009971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  <w:r w:rsidRPr="009137C2">
              <w:rPr>
                <w:rFonts w:ascii="Arial" w:eastAsiaTheme="minorHAnsi" w:hAnsi="Arial" w:cs="Arial"/>
                <w:sz w:val="20"/>
                <w:szCs w:val="20"/>
              </w:rPr>
              <w:t>Instructions for use: Helix Elite</w:t>
            </w:r>
            <w:r w:rsidR="00716522">
              <w:rPr>
                <w:rFonts w:ascii="Arial" w:eastAsiaTheme="minorHAnsi" w:hAnsi="Arial" w:cs="Arial"/>
                <w:sz w:val="20"/>
                <w:szCs w:val="20"/>
              </w:rPr>
              <w:t xml:space="preserve"> Molecular Standards. Rev A. </w:t>
            </w:r>
            <w:r w:rsidRPr="009137C2">
              <w:rPr>
                <w:rFonts w:ascii="Arial" w:eastAsiaTheme="minorHAnsi" w:hAnsi="Arial" w:cs="Arial"/>
                <w:sz w:val="20"/>
                <w:szCs w:val="20"/>
              </w:rPr>
              <w:t xml:space="preserve">St. Cloud, MN: </w:t>
            </w:r>
            <w:proofErr w:type="spellStart"/>
            <w:r w:rsidRPr="009137C2">
              <w:rPr>
                <w:rFonts w:ascii="Arial" w:eastAsiaTheme="minorHAnsi" w:hAnsi="Arial" w:cs="Arial"/>
                <w:sz w:val="20"/>
                <w:szCs w:val="20"/>
              </w:rPr>
              <w:t>Microbiologics</w:t>
            </w:r>
            <w:proofErr w:type="spellEnd"/>
            <w:r w:rsidRPr="009137C2">
              <w:rPr>
                <w:rFonts w:ascii="Arial" w:eastAsiaTheme="minorHAnsi" w:hAnsi="Arial" w:cs="Arial"/>
                <w:sz w:val="20"/>
                <w:szCs w:val="20"/>
              </w:rPr>
              <w:t>; 2016.</w:t>
            </w:r>
          </w:p>
          <w:p w:rsidR="00D45E8D" w:rsidRPr="009137C2" w:rsidRDefault="00D45E8D" w:rsidP="00D45E8D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C4D17" w:rsidRPr="00D45E8D" w:rsidRDefault="009137C2" w:rsidP="009137C2">
            <w:pPr>
              <w:pStyle w:val="ListParagraph"/>
              <w:numPr>
                <w:ilvl w:val="0"/>
                <w:numId w:val="8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 w:rsidRPr="009137C2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="002C4D17" w:rsidRPr="009137C2">
              <w:rPr>
                <w:rFonts w:ascii="Arial" w:hAnsi="Arial" w:cs="Arial"/>
                <w:sz w:val="20"/>
                <w:szCs w:val="20"/>
                <w:lang w:bidi="en-US"/>
              </w:rPr>
              <w:t xml:space="preserve">CAP Microbiology Checklist, College of American Pathologists, 325 </w:t>
            </w:r>
            <w:proofErr w:type="spellStart"/>
            <w:r w:rsidR="002C4D17" w:rsidRPr="009137C2">
              <w:rPr>
                <w:rFonts w:ascii="Arial" w:hAnsi="Arial" w:cs="Arial"/>
                <w:sz w:val="20"/>
                <w:szCs w:val="20"/>
                <w:lang w:bidi="en-US"/>
              </w:rPr>
              <w:t>Wakegan</w:t>
            </w:r>
            <w:proofErr w:type="spellEnd"/>
            <w:r w:rsidR="002C4D17" w:rsidRPr="009137C2">
              <w:rPr>
                <w:rFonts w:ascii="Arial" w:hAnsi="Arial" w:cs="Arial"/>
                <w:sz w:val="20"/>
                <w:szCs w:val="20"/>
                <w:lang w:bidi="en-US"/>
              </w:rPr>
              <w:t xml:space="preserve"> Road, Northfield, IL 60093-2750, 08/17/2016.</w:t>
            </w:r>
          </w:p>
          <w:p w:rsidR="00D45E8D" w:rsidRDefault="00D45E8D" w:rsidP="00D45E8D">
            <w:pPr>
              <w:pStyle w:val="ListParagraph"/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lastRenderedPageBreak/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Summary of Revisions</w:t>
            </w:r>
          </w:p>
        </w:tc>
      </w:tr>
      <w:tr w:rsidR="002C4D17" w:rsidTr="002C4D17">
        <w:trPr>
          <w:gridAfter w:val="2"/>
          <w:wAfter w:w="5398" w:type="dxa"/>
          <w:cantSplit/>
          <w:trHeight w:val="135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4D17" w:rsidRDefault="002C4D17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 w:rsidP="009137C2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D45E8D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12.27.2018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Initial Version</w:t>
            </w:r>
          </w:p>
        </w:tc>
      </w:tr>
      <w:tr w:rsidR="002C4D17" w:rsidTr="002C4D17">
        <w:trPr>
          <w:gridAfter w:val="2"/>
          <w:wAfter w:w="5398" w:type="dxa"/>
          <w:cantSplit/>
          <w:trHeight w:val="14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4D17" w:rsidRDefault="002C4D17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905972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905972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905972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6.22.2020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905972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Changed wipe testing using swab and NFW to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ESwab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collection kit </w:t>
            </w:r>
          </w:p>
        </w:tc>
      </w:tr>
      <w:tr w:rsidR="002C4D17" w:rsidTr="002C4D17">
        <w:trPr>
          <w:gridAfter w:val="2"/>
          <w:wAfter w:w="5398" w:type="dxa"/>
          <w:cantSplit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4D17" w:rsidRDefault="002C4D17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  <w:cantSplit/>
          <w:trHeight w:val="172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4D17" w:rsidRDefault="002C4D17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2C4D17" w:rsidTr="002C4D17">
        <w:trPr>
          <w:gridAfter w:val="2"/>
          <w:wAfter w:w="5398" w:type="dxa"/>
          <w:cantSplit/>
          <w:trHeight w:val="27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4D17" w:rsidRDefault="002C4D17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17" w:rsidRDefault="002C4D17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</w:tbl>
    <w:p w:rsidR="002C4D17" w:rsidRDefault="002C4D17" w:rsidP="002C4D17">
      <w:pPr>
        <w:pStyle w:val="Header"/>
        <w:tabs>
          <w:tab w:val="left" w:pos="720"/>
        </w:tabs>
        <w:rPr>
          <w:rFonts w:ascii="Arial" w:hAnsi="Arial"/>
        </w:rPr>
      </w:pPr>
    </w:p>
    <w:p w:rsidR="002C4D17" w:rsidRDefault="002C4D17" w:rsidP="002C4D17">
      <w:pPr>
        <w:pStyle w:val="NoSpacing"/>
      </w:pPr>
    </w:p>
    <w:p w:rsidR="007B0D03" w:rsidRDefault="007B0D03" w:rsidP="0087480A">
      <w:pPr>
        <w:pStyle w:val="NoSpacing"/>
      </w:pPr>
    </w:p>
    <w:sectPr w:rsidR="007B0D03" w:rsidSect="00357F8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48D" w:rsidRDefault="004C248D" w:rsidP="00DD5D59">
      <w:r>
        <w:separator/>
      </w:r>
    </w:p>
  </w:endnote>
  <w:endnote w:type="continuationSeparator" w:id="0">
    <w:p w:rsidR="004C248D" w:rsidRDefault="004C248D" w:rsidP="00DD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48D" w:rsidRDefault="004C248D" w:rsidP="00DD5D59">
      <w:r>
        <w:separator/>
      </w:r>
    </w:p>
  </w:footnote>
  <w:footnote w:type="continuationSeparator" w:id="0">
    <w:p w:rsidR="004C248D" w:rsidRDefault="004C248D" w:rsidP="00DD5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48D" w:rsidRPr="00BC41AF" w:rsidRDefault="004C248D" w:rsidP="00DD5D59">
    <w:pPr>
      <w:ind w:left="-1260" w:right="-1260"/>
      <w:rPr>
        <w:rFonts w:ascii="Arial" w:hAnsi="Arial"/>
        <w:sz w:val="18"/>
      </w:rPr>
    </w:pPr>
    <w:r w:rsidRPr="00BC41AF">
      <w:rPr>
        <w:rFonts w:ascii="Arial" w:hAnsi="Arial"/>
        <w:sz w:val="18"/>
      </w:rPr>
      <w:t xml:space="preserve">Document: </w:t>
    </w:r>
    <w:r>
      <w:rPr>
        <w:rFonts w:ascii="Arial" w:hAnsi="Arial"/>
        <w:sz w:val="18"/>
      </w:rPr>
      <w:t>MC</w:t>
    </w:r>
    <w:r w:rsidRPr="00BC41AF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 xml:space="preserve">9.11 </w:t>
    </w:r>
    <w:proofErr w:type="spellStart"/>
    <w:r w:rsidRPr="00BC41AF">
      <w:rPr>
        <w:rFonts w:ascii="Arial" w:hAnsi="Arial"/>
        <w:sz w:val="18"/>
      </w:rPr>
      <w:t>GeneXpert</w:t>
    </w:r>
    <w:proofErr w:type="spellEnd"/>
    <w:r w:rsidRPr="00BC41AF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 xml:space="preserve">MRSA </w:t>
    </w:r>
    <w:proofErr w:type="spellStart"/>
    <w:r>
      <w:rPr>
        <w:rFonts w:ascii="Arial" w:hAnsi="Arial"/>
        <w:sz w:val="18"/>
      </w:rPr>
      <w:t>NxG</w:t>
    </w:r>
    <w:proofErr w:type="spellEnd"/>
    <w:r>
      <w:rPr>
        <w:rFonts w:ascii="Arial" w:hAnsi="Arial"/>
        <w:sz w:val="18"/>
      </w:rPr>
      <w:t xml:space="preserve"> Assay</w:t>
    </w:r>
    <w:r w:rsidRPr="00BC41AF">
      <w:rPr>
        <w:rFonts w:ascii="Arial" w:hAnsi="Arial"/>
        <w:sz w:val="18"/>
      </w:rPr>
      <w:tab/>
    </w:r>
    <w:r>
      <w:rPr>
        <w:rFonts w:ascii="Arial" w:hAnsi="Arial"/>
        <w:sz w:val="18"/>
      </w:rPr>
      <w:t>Quality Control</w:t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</w:p>
  <w:p w:rsidR="004C248D" w:rsidRPr="00BC41AF" w:rsidRDefault="00905972" w:rsidP="00DD5D59">
    <w:pPr>
      <w:ind w:left="-1260" w:right="-1260"/>
      <w:rPr>
        <w:sz w:val="18"/>
      </w:rPr>
    </w:pPr>
    <w:r>
      <w:rPr>
        <w:rFonts w:ascii="Arial" w:hAnsi="Arial"/>
        <w:sz w:val="18"/>
      </w:rPr>
      <w:t>Version: 2</w:t>
    </w:r>
    <w:r w:rsidR="004C248D" w:rsidRPr="00BC41AF">
      <w:rPr>
        <w:rFonts w:ascii="Arial" w:hAnsi="Arial"/>
        <w:sz w:val="18"/>
      </w:rPr>
      <w:tab/>
    </w:r>
    <w:r w:rsidR="004C248D" w:rsidRPr="00BC41AF">
      <w:rPr>
        <w:sz w:val="18"/>
      </w:rPr>
      <w:t xml:space="preserve"> </w:t>
    </w:r>
  </w:p>
  <w:p w:rsidR="004C248D" w:rsidRDefault="004C248D" w:rsidP="00DD5D59">
    <w:pPr>
      <w:ind w:left="-1260" w:right="-1260"/>
      <w:rPr>
        <w:b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19050" t="0" r="0" b="0"/>
          <wp:wrapNone/>
          <wp:docPr id="30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1AF">
      <w:rPr>
        <w:rFonts w:ascii="Arial" w:hAnsi="Arial"/>
        <w:sz w:val="18"/>
      </w:rPr>
      <w:t>Effective Date:</w:t>
    </w:r>
    <w:r>
      <w:rPr>
        <w:rFonts w:ascii="Arial" w:hAnsi="Arial"/>
        <w:sz w:val="18"/>
      </w:rPr>
      <w:t xml:space="preserve"> </w:t>
    </w:r>
    <w:r w:rsidR="00905972">
      <w:rPr>
        <w:rFonts w:ascii="Arial" w:hAnsi="Arial"/>
        <w:sz w:val="18"/>
      </w:rPr>
      <w:t>6/22/2020</w:t>
    </w:r>
  </w:p>
  <w:p w:rsidR="004C248D" w:rsidRDefault="004C24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8616D20"/>
    <w:multiLevelType w:val="hybridMultilevel"/>
    <w:tmpl w:val="4E02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12E79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267BC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D17"/>
    <w:rsid w:val="00037AE8"/>
    <w:rsid w:val="000D66F7"/>
    <w:rsid w:val="000F02EB"/>
    <w:rsid w:val="001018D3"/>
    <w:rsid w:val="00257462"/>
    <w:rsid w:val="002853DC"/>
    <w:rsid w:val="00287FED"/>
    <w:rsid w:val="002C4D17"/>
    <w:rsid w:val="002C6ABD"/>
    <w:rsid w:val="002D6085"/>
    <w:rsid w:val="002F3B2E"/>
    <w:rsid w:val="00357F8D"/>
    <w:rsid w:val="004803DF"/>
    <w:rsid w:val="004971DE"/>
    <w:rsid w:val="004B4856"/>
    <w:rsid w:val="004C248D"/>
    <w:rsid w:val="004F0CA6"/>
    <w:rsid w:val="0055127F"/>
    <w:rsid w:val="00583ACA"/>
    <w:rsid w:val="006159B7"/>
    <w:rsid w:val="006276E6"/>
    <w:rsid w:val="006B54C4"/>
    <w:rsid w:val="00716522"/>
    <w:rsid w:val="00717FE9"/>
    <w:rsid w:val="00790F99"/>
    <w:rsid w:val="007B0D03"/>
    <w:rsid w:val="0081311D"/>
    <w:rsid w:val="0082489D"/>
    <w:rsid w:val="0087480A"/>
    <w:rsid w:val="0087684C"/>
    <w:rsid w:val="008F5341"/>
    <w:rsid w:val="00905972"/>
    <w:rsid w:val="009137C2"/>
    <w:rsid w:val="00997113"/>
    <w:rsid w:val="009B36E4"/>
    <w:rsid w:val="009D28EC"/>
    <w:rsid w:val="00A95C33"/>
    <w:rsid w:val="00AA4402"/>
    <w:rsid w:val="00B26A71"/>
    <w:rsid w:val="00B30D77"/>
    <w:rsid w:val="00B42576"/>
    <w:rsid w:val="00B8016D"/>
    <w:rsid w:val="00BF60F5"/>
    <w:rsid w:val="00C11789"/>
    <w:rsid w:val="00C76C05"/>
    <w:rsid w:val="00CB5F55"/>
    <w:rsid w:val="00D15D22"/>
    <w:rsid w:val="00D45E8D"/>
    <w:rsid w:val="00D50C90"/>
    <w:rsid w:val="00D632B1"/>
    <w:rsid w:val="00D73164"/>
    <w:rsid w:val="00DA2A54"/>
    <w:rsid w:val="00DD5D59"/>
    <w:rsid w:val="00E02DCB"/>
    <w:rsid w:val="00E11C6C"/>
    <w:rsid w:val="00EB44EA"/>
    <w:rsid w:val="00F14271"/>
    <w:rsid w:val="00F23492"/>
    <w:rsid w:val="00F33775"/>
    <w:rsid w:val="00F95F9B"/>
    <w:rsid w:val="00FA1D64"/>
    <w:rsid w:val="00FB1955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A290E6-4F73-4883-AA17-B093D09E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D17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C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D17"/>
    <w:rPr>
      <w:rFonts w:ascii="Times New Roman" w:eastAsia="Times New Roman" w:hAnsi="Times New Roman"/>
      <w:szCs w:val="24"/>
      <w:lang w:bidi="ar-SA"/>
    </w:rPr>
  </w:style>
  <w:style w:type="paragraph" w:customStyle="1" w:styleId="TableText">
    <w:name w:val="Table Text"/>
    <w:basedOn w:val="Normal"/>
    <w:rsid w:val="002C4D17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2C4D17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2C4D17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2C4D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1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D5D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5D59"/>
    <w:rPr>
      <w:rFonts w:ascii="Times New Roman" w:eastAsia="Times New Roman" w:hAnsi="Times New Roman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4C2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net.childrenshc.org/references/labsop/mcvi/safety/mcvi-3.2-safety-in-the-microbiology-la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rnet.childrenshc.org/references/labsop/mcvi/safety/mcvi-3.1-biohazard-containmen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arnet.childrenshc.org/references/labsop/mcvi/safety/mcvi-3.4-biohazardous-spill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Julie Laramie</cp:lastModifiedBy>
  <cp:revision>29</cp:revision>
  <dcterms:created xsi:type="dcterms:W3CDTF">2018-07-25T16:31:00Z</dcterms:created>
  <dcterms:modified xsi:type="dcterms:W3CDTF">2020-06-01T19:10:00Z</dcterms:modified>
</cp:coreProperties>
</file>