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872"/>
        <w:gridCol w:w="288"/>
        <w:gridCol w:w="1080"/>
        <w:gridCol w:w="702"/>
        <w:gridCol w:w="198"/>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cs="Arial"/>
              </w:rPr>
              <w:t xml:space="preserve"> </w:t>
            </w: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9267C8">
        <w:trPr>
          <w:cantSplit/>
        </w:trPr>
        <w:tc>
          <w:tcPr>
            <w:tcW w:w="2088" w:type="dxa"/>
            <w:tcBorders>
              <w:top w:val="single" w:sz="4" w:space="0" w:color="auto"/>
            </w:tcBorders>
          </w:tcPr>
          <w:p w:rsidR="00105D4E" w:rsidRDefault="00105D4E">
            <w:pPr>
              <w:pStyle w:val="Custom2"/>
              <w:rPr>
                <w:i/>
                <w:iCs/>
                <w:u w:val="single"/>
              </w:rPr>
            </w:pPr>
          </w:p>
          <w:p w:rsidR="00105D4E" w:rsidRDefault="00105D4E">
            <w:pPr>
              <w:pStyle w:val="Custom2"/>
              <w:rPr>
                <w:i/>
                <w:iCs/>
                <w:u w:val="single"/>
              </w:rPr>
            </w:pPr>
            <w:r>
              <w:rPr>
                <w:i/>
                <w:iCs/>
                <w:u w:val="single"/>
              </w:rPr>
              <w:t>Enterobacteriaceae</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643D0F">
              <w:rPr>
                <w:color w:val="auto"/>
                <w:sz w:val="16"/>
              </w:rPr>
              <w:t xml:space="preserve">, XN08 </w:t>
            </w:r>
            <w:r w:rsidR="00105D4E">
              <w:rPr>
                <w:color w:val="auto"/>
                <w:sz w:val="16"/>
              </w:rPr>
              <w:t>or</w:t>
            </w:r>
          </w:p>
          <w:p w:rsidR="00105D4E" w:rsidRDefault="009267C8">
            <w:pPr>
              <w:pStyle w:val="Custom2"/>
              <w:jc w:val="center"/>
              <w:rPr>
                <w:color w:val="auto"/>
                <w:sz w:val="16"/>
              </w:rPr>
            </w:pPr>
            <w:r>
              <w:rPr>
                <w:color w:val="auto"/>
                <w:sz w:val="16"/>
              </w:rPr>
              <w:t>MSCN NC68</w:t>
            </w:r>
            <w:r w:rsidR="00105D4E">
              <w:rPr>
                <w:color w:val="auto"/>
                <w:sz w:val="16"/>
              </w:rPr>
              <w:t xml:space="preserve">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rsidP="00A17FA2">
            <w:pPr>
              <w:pStyle w:val="Custom2"/>
              <w:jc w:val="center"/>
              <w:rPr>
                <w:b w:val="0"/>
                <w:bCs w:val="0"/>
              </w:rPr>
            </w:pP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rsidP="00643D0F">
            <w:pPr>
              <w:pStyle w:val="Custom2"/>
              <w:rPr>
                <w:color w:val="auto"/>
                <w:sz w:val="16"/>
              </w:rPr>
            </w:pPr>
            <w:r>
              <w:rPr>
                <w:color w:val="auto"/>
                <w:sz w:val="16"/>
              </w:rPr>
              <w:t>Vitek AST-GN95</w:t>
            </w:r>
            <w:r w:rsidR="00643D0F">
              <w:rPr>
                <w:color w:val="auto"/>
                <w:sz w:val="16"/>
              </w:rPr>
              <w:t>, XN08</w:t>
            </w:r>
            <w:r>
              <w:rPr>
                <w:color w:val="auto"/>
                <w:sz w:val="16"/>
              </w:rPr>
              <w:t xml:space="preserve"> </w:t>
            </w:r>
            <w:r w:rsidR="00105D4E">
              <w:rPr>
                <w:color w:val="auto"/>
                <w:sz w:val="16"/>
              </w:rPr>
              <w:t>or</w:t>
            </w:r>
            <w:r w:rsidR="00643D0F">
              <w:rPr>
                <w:color w:val="auto"/>
                <w:sz w:val="16"/>
              </w:rPr>
              <w:t xml:space="preserve"> </w:t>
            </w:r>
            <w:r w:rsidR="005E525B">
              <w:rPr>
                <w:color w:val="auto"/>
                <w:sz w:val="16"/>
              </w:rPr>
              <w:t xml:space="preserve">MSCN </w:t>
            </w:r>
            <w:r w:rsidR="009267C8">
              <w:rPr>
                <w:color w:val="auto"/>
                <w:sz w:val="16"/>
              </w:rPr>
              <w:t>NC68</w:t>
            </w:r>
            <w:r w:rsidR="00105D4E">
              <w:rPr>
                <w:color w:val="auto"/>
                <w:sz w:val="16"/>
              </w:rPr>
              <w:t xml:space="preserve">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872"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5E525B">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207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9267C8">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Acinetobacter</w:t>
            </w:r>
          </w:p>
          <w:p w:rsidR="00105D4E" w:rsidRDefault="00105D4E">
            <w:pPr>
              <w:tabs>
                <w:tab w:val="left" w:pos="3382"/>
              </w:tabs>
              <w:jc w:val="center"/>
              <w:rPr>
                <w:rFonts w:ascii="Arial" w:hAnsi="Arial" w:cs="Arial"/>
                <w:b/>
                <w:bCs/>
                <w:i/>
                <w:iCs/>
                <w:color w:val="0000FF"/>
                <w:sz w:val="20"/>
                <w:u w:val="single"/>
              </w:rPr>
            </w:pPr>
          </w:p>
          <w:p w:rsidR="00105D4E" w:rsidRDefault="009267C8" w:rsidP="009267C8">
            <w:pPr>
              <w:tabs>
                <w:tab w:val="left" w:pos="3382"/>
              </w:tabs>
              <w:jc w:val="center"/>
              <w:rPr>
                <w:rFonts w:ascii="Arial" w:hAnsi="Arial" w:cs="Arial"/>
                <w:b/>
                <w:bCs/>
                <w:sz w:val="16"/>
              </w:rPr>
            </w:pPr>
            <w:r>
              <w:rPr>
                <w:rFonts w:ascii="Arial" w:hAnsi="Arial" w:cs="Arial"/>
                <w:b/>
                <w:bCs/>
                <w:sz w:val="16"/>
              </w:rPr>
              <w:t>Vitek AST-GN95</w:t>
            </w:r>
            <w:r w:rsidR="00643D0F">
              <w:rPr>
                <w:rFonts w:ascii="Arial" w:hAnsi="Arial" w:cs="Arial"/>
                <w:b/>
                <w:bCs/>
                <w:sz w:val="16"/>
              </w:rPr>
              <w:t>, XN08</w:t>
            </w:r>
            <w:r>
              <w:rPr>
                <w:rFonts w:ascii="Arial" w:hAnsi="Arial" w:cs="Arial"/>
                <w:b/>
                <w:bCs/>
                <w:sz w:val="16"/>
              </w:rPr>
              <w:t xml:space="preserve"> or MSCN NC68 or KBS disk diffusion</w:t>
            </w:r>
          </w:p>
          <w:p w:rsidR="00105D4E" w:rsidRDefault="00105D4E">
            <w:pPr>
              <w:tabs>
                <w:tab w:val="left" w:pos="3382"/>
              </w:tabs>
              <w:jc w:val="center"/>
              <w:rPr>
                <w:rFonts w:ascii="Arial" w:hAnsi="Arial" w:cs="Arial"/>
                <w:sz w:val="16"/>
              </w:rPr>
            </w:pPr>
          </w:p>
        </w:tc>
        <w:tc>
          <w:tcPr>
            <w:tcW w:w="2538"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9267C8">
        <w:trPr>
          <w:cantSplit/>
          <w:trHeight w:val="3599"/>
        </w:trPr>
        <w:tc>
          <w:tcPr>
            <w:tcW w:w="2088" w:type="dxa"/>
          </w:tcPr>
          <w:p w:rsidR="00105D4E" w:rsidRDefault="00105D4E">
            <w:pPr>
              <w:pStyle w:val="Custom2"/>
              <w:rPr>
                <w:b w:val="0"/>
                <w:bCs w:val="0"/>
                <w:color w:val="auto"/>
                <w:sz w:val="16"/>
              </w:rPr>
            </w:pPr>
          </w:p>
          <w:p w:rsidR="00105D4E" w:rsidRDefault="00A17FA2">
            <w:pPr>
              <w:pStyle w:val="Custom2"/>
              <w:rPr>
                <w:b w:val="0"/>
                <w:bCs w:val="0"/>
                <w:color w:val="auto"/>
                <w:sz w:val="16"/>
              </w:rPr>
            </w:pPr>
            <w:r>
              <w:rPr>
                <w:b w:val="0"/>
                <w:bCs w:val="0"/>
                <w:color w:val="auto"/>
                <w:sz w:val="16"/>
              </w:rPr>
              <w:t>-Ampicillin</w:t>
            </w:r>
          </w:p>
          <w:p w:rsidR="00105D4E" w:rsidRDefault="00105D4E">
            <w:pPr>
              <w:pStyle w:val="Custom2"/>
              <w:rPr>
                <w:b w:val="0"/>
                <w:bCs w:val="0"/>
                <w:color w:val="auto"/>
                <w:sz w:val="16"/>
              </w:rPr>
            </w:pPr>
            <w:r>
              <w:rPr>
                <w:b w:val="0"/>
                <w:bCs w:val="0"/>
                <w:color w:val="auto"/>
                <w:sz w:val="16"/>
              </w:rPr>
              <w:t>-Amp/Sulbactam</w:t>
            </w:r>
          </w:p>
          <w:p w:rsidR="000F7C8E" w:rsidRDefault="000F7C8E">
            <w:pPr>
              <w:pStyle w:val="Custom2"/>
              <w:rPr>
                <w:b w:val="0"/>
                <w:bCs w:val="0"/>
                <w:color w:val="auto"/>
                <w:sz w:val="16"/>
              </w:rPr>
            </w:pPr>
            <w:r>
              <w:rPr>
                <w:b w:val="0"/>
                <w:bCs w:val="0"/>
                <w:color w:val="auto"/>
                <w:sz w:val="16"/>
              </w:rPr>
              <w:t>-Aztreonam</w:t>
            </w:r>
          </w:p>
          <w:p w:rsidR="00105D4E" w:rsidRDefault="00105D4E">
            <w:pPr>
              <w:pStyle w:val="Custom2"/>
              <w:rPr>
                <w:b w:val="0"/>
                <w:bCs w:val="0"/>
                <w:color w:val="auto"/>
                <w:sz w:val="16"/>
              </w:rPr>
            </w:pPr>
            <w:r>
              <w:rPr>
                <w:b w:val="0"/>
                <w:bCs w:val="0"/>
                <w:color w:val="auto"/>
                <w:sz w:val="16"/>
              </w:rPr>
              <w:t>-Cefazolin</w:t>
            </w:r>
          </w:p>
          <w:p w:rsidR="00105D4E" w:rsidRDefault="00105D4E">
            <w:pPr>
              <w:pStyle w:val="Custom2"/>
              <w:rPr>
                <w:b w:val="0"/>
                <w:bCs w:val="0"/>
                <w:color w:val="auto"/>
                <w:sz w:val="16"/>
              </w:rPr>
            </w:pPr>
            <w:r>
              <w:rPr>
                <w:b w:val="0"/>
                <w:bCs w:val="0"/>
                <w:color w:val="auto"/>
                <w:sz w:val="16"/>
              </w:rPr>
              <w:t>-Ceftazidime</w:t>
            </w:r>
          </w:p>
          <w:p w:rsidR="000F7C8E" w:rsidRDefault="000F7C8E">
            <w:pPr>
              <w:pStyle w:val="Custom2"/>
              <w:rPr>
                <w:b w:val="0"/>
                <w:bCs w:val="0"/>
                <w:color w:val="auto"/>
                <w:sz w:val="16"/>
              </w:rPr>
            </w:pPr>
            <w:r>
              <w:rPr>
                <w:b w:val="0"/>
                <w:bCs w:val="0"/>
                <w:color w:val="auto"/>
                <w:sz w:val="16"/>
              </w:rPr>
              <w:t>-Cefepime</w:t>
            </w:r>
          </w:p>
          <w:p w:rsidR="00105D4E" w:rsidRDefault="00105D4E">
            <w:pPr>
              <w:pStyle w:val="Custom2"/>
              <w:rPr>
                <w:b w:val="0"/>
                <w:bCs w:val="0"/>
                <w:color w:val="auto"/>
                <w:sz w:val="16"/>
              </w:rPr>
            </w:pPr>
            <w:r>
              <w:rPr>
                <w:b w:val="0"/>
                <w:bCs w:val="0"/>
                <w:color w:val="auto"/>
                <w:sz w:val="16"/>
              </w:rPr>
              <w:t>-Ceftriaxone</w:t>
            </w:r>
          </w:p>
          <w:p w:rsidR="00105D4E" w:rsidRDefault="00105D4E">
            <w:pPr>
              <w:pStyle w:val="Custom2"/>
              <w:rPr>
                <w:b w:val="0"/>
                <w:bCs w:val="0"/>
                <w:color w:val="auto"/>
                <w:sz w:val="16"/>
              </w:rPr>
            </w:pPr>
            <w:r>
              <w:rPr>
                <w:b w:val="0"/>
                <w:bCs w:val="0"/>
                <w:color w:val="auto"/>
                <w:sz w:val="16"/>
              </w:rPr>
              <w:t>-Ciprofloxacin</w:t>
            </w:r>
          </w:p>
          <w:p w:rsidR="00105D4E" w:rsidRDefault="00105D4E">
            <w:pPr>
              <w:pStyle w:val="Custom2"/>
              <w:rPr>
                <w:b w:val="0"/>
                <w:bCs w:val="0"/>
                <w:color w:val="auto"/>
                <w:sz w:val="16"/>
              </w:rPr>
            </w:pPr>
            <w:r>
              <w:rPr>
                <w:b w:val="0"/>
                <w:bCs w:val="0"/>
                <w:color w:val="auto"/>
                <w:sz w:val="16"/>
              </w:rPr>
              <w:t>-Gentamicin</w:t>
            </w:r>
          </w:p>
          <w:p w:rsidR="000F7C8E" w:rsidRDefault="000F7C8E">
            <w:pPr>
              <w:pStyle w:val="Custom2"/>
              <w:rPr>
                <w:b w:val="0"/>
                <w:bCs w:val="0"/>
                <w:color w:val="auto"/>
                <w:sz w:val="16"/>
              </w:rPr>
            </w:pPr>
            <w:r>
              <w:rPr>
                <w:b w:val="0"/>
                <w:bCs w:val="0"/>
                <w:color w:val="auto"/>
                <w:sz w:val="16"/>
              </w:rPr>
              <w:t>-Ertapenem</w:t>
            </w:r>
          </w:p>
          <w:p w:rsidR="00105D4E" w:rsidRDefault="00105D4E">
            <w:pPr>
              <w:pStyle w:val="Custom2"/>
              <w:rPr>
                <w:b w:val="0"/>
                <w:bCs w:val="0"/>
                <w:color w:val="auto"/>
                <w:sz w:val="16"/>
              </w:rPr>
            </w:pPr>
            <w:r>
              <w:rPr>
                <w:b w:val="0"/>
                <w:bCs w:val="0"/>
                <w:color w:val="auto"/>
                <w:sz w:val="16"/>
              </w:rPr>
              <w:t>-Imipenem</w:t>
            </w:r>
          </w:p>
          <w:p w:rsidR="00105D4E" w:rsidRDefault="00105D4E">
            <w:pPr>
              <w:pStyle w:val="Custom2"/>
              <w:rPr>
                <w:b w:val="0"/>
                <w:bCs w:val="0"/>
                <w:color w:val="auto"/>
                <w:sz w:val="16"/>
              </w:rPr>
            </w:pPr>
            <w:r>
              <w:rPr>
                <w:b w:val="0"/>
                <w:bCs w:val="0"/>
                <w:color w:val="auto"/>
                <w:sz w:val="16"/>
              </w:rPr>
              <w:t>Piperacillin/Tazobactam</w:t>
            </w:r>
          </w:p>
          <w:p w:rsidR="00105D4E" w:rsidRDefault="00105D4E">
            <w:pPr>
              <w:pStyle w:val="Custom2"/>
              <w:rPr>
                <w:b w:val="0"/>
                <w:bCs w:val="0"/>
                <w:color w:val="auto"/>
                <w:sz w:val="16"/>
              </w:rPr>
            </w:pPr>
            <w:r>
              <w:rPr>
                <w:b w:val="0"/>
                <w:bCs w:val="0"/>
                <w:color w:val="auto"/>
                <w:sz w:val="16"/>
              </w:rPr>
              <w:t>-Tobramycin</w:t>
            </w:r>
          </w:p>
          <w:p w:rsidR="00105D4E" w:rsidRDefault="00105D4E">
            <w:pPr>
              <w:pStyle w:val="Custom2"/>
              <w:rPr>
                <w:b w:val="0"/>
                <w:bCs w:val="0"/>
                <w:color w:val="auto"/>
                <w:sz w:val="16"/>
              </w:rPr>
            </w:pPr>
            <w:r>
              <w:rPr>
                <w:b w:val="0"/>
                <w:bCs w:val="0"/>
                <w:color w:val="auto"/>
                <w:sz w:val="16"/>
              </w:rPr>
              <w:t>-Trimethoprim/Sulfa</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A17FA2">
              <w:rPr>
                <w:rFonts w:ascii="Arial" w:hAnsi="Arial" w:cs="Arial"/>
                <w:b/>
                <w:bCs/>
                <w:sz w:val="16"/>
                <w:szCs w:val="16"/>
              </w:rPr>
              <w:t xml:space="preserve">-KBS </w:t>
            </w:r>
            <w:r w:rsidRPr="00D832F6">
              <w:rPr>
                <w:rFonts w:ascii="Arial" w:hAnsi="Arial" w:cs="Arial"/>
                <w:b/>
                <w:bCs/>
                <w:sz w:val="16"/>
                <w:szCs w:val="16"/>
              </w:rPr>
              <w:t>for PSAR</w:t>
            </w:r>
          </w:p>
          <w:p w:rsidR="00105D4E" w:rsidRDefault="00105D4E">
            <w:pPr>
              <w:tabs>
                <w:tab w:val="left" w:pos="3382"/>
              </w:tabs>
              <w:rPr>
                <w:rFonts w:ascii="Arial" w:hAnsi="Arial" w:cs="Arial"/>
                <w:sz w:val="16"/>
              </w:rPr>
            </w:pPr>
            <w:r>
              <w:rPr>
                <w:rFonts w:ascii="Arial" w:hAnsi="Arial" w:cs="Arial"/>
                <w:sz w:val="16"/>
              </w:rPr>
              <w:t>-Ceftazidime</w:t>
            </w:r>
          </w:p>
          <w:p w:rsidR="00C22BD5" w:rsidRDefault="00C22BD5">
            <w:pPr>
              <w:tabs>
                <w:tab w:val="left" w:pos="3382"/>
              </w:tabs>
              <w:rPr>
                <w:rFonts w:ascii="Arial" w:hAnsi="Arial" w:cs="Arial"/>
                <w:sz w:val="16"/>
              </w:rPr>
            </w:pPr>
            <w:r>
              <w:rPr>
                <w:rFonts w:ascii="Arial" w:hAnsi="Arial" w:cs="Arial"/>
                <w:sz w:val="16"/>
              </w:rPr>
              <w:t>-Cefepime</w:t>
            </w:r>
          </w:p>
          <w:p w:rsidR="00105D4E" w:rsidRDefault="00105D4E">
            <w:pPr>
              <w:tabs>
                <w:tab w:val="left" w:pos="3382"/>
              </w:tabs>
              <w:rPr>
                <w:rFonts w:ascii="Arial" w:hAnsi="Arial" w:cs="Arial"/>
                <w:sz w:val="16"/>
              </w:rPr>
            </w:pPr>
            <w:r>
              <w:rPr>
                <w:rFonts w:ascii="Arial" w:hAnsi="Arial" w:cs="Arial"/>
                <w:sz w:val="16"/>
              </w:rPr>
              <w:t>-Ciprofloxacin</w:t>
            </w:r>
          </w:p>
          <w:p w:rsidR="00D832F6" w:rsidRDefault="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-Meropenem</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 xml:space="preserve">  (pip/</w:t>
            </w:r>
            <w:proofErr w:type="spellStart"/>
            <w:r>
              <w:rPr>
                <w:rFonts w:ascii="Arial" w:hAnsi="Arial" w:cs="Arial"/>
                <w:sz w:val="16"/>
              </w:rPr>
              <w:t>tazo</w:t>
            </w:r>
            <w:proofErr w:type="spellEnd"/>
            <w:r>
              <w:rPr>
                <w:rFonts w:ascii="Arial" w:hAnsi="Arial" w:cs="Arial"/>
                <w:sz w:val="16"/>
              </w:rPr>
              <w:t>)</w:t>
            </w:r>
          </w:p>
          <w:p w:rsidR="00105D4E" w:rsidRDefault="00105D4E">
            <w:pPr>
              <w:tabs>
                <w:tab w:val="left" w:pos="3382"/>
              </w:tabs>
              <w:rPr>
                <w:rFonts w:ascii="Arial" w:hAnsi="Arial" w:cs="Arial"/>
                <w:sz w:val="16"/>
              </w:rPr>
            </w:pPr>
            <w:r>
              <w:rPr>
                <w:rFonts w:ascii="Arial" w:hAnsi="Arial" w:cs="Arial"/>
                <w:sz w:val="16"/>
              </w:rPr>
              <w:t>-Tobramycin</w:t>
            </w:r>
          </w:p>
          <w:p w:rsidR="00105D4E" w:rsidRDefault="00105D4E" w:rsidP="00CA7F6B">
            <w:pPr>
              <w:tabs>
                <w:tab w:val="left" w:pos="3382"/>
              </w:tabs>
              <w:rPr>
                <w:rFonts w:ascii="Arial" w:hAnsi="Arial" w:cs="Arial"/>
                <w:sz w:val="16"/>
              </w:rPr>
            </w:pPr>
          </w:p>
          <w:p w:rsidR="00D832F6" w:rsidRDefault="00D832F6" w:rsidP="00D832F6">
            <w:pPr>
              <w:tabs>
                <w:tab w:val="left" w:pos="3382"/>
              </w:tabs>
              <w:rPr>
                <w:rFonts w:ascii="Arial" w:hAnsi="Arial" w:cs="Arial"/>
                <w:b/>
                <w:bCs/>
                <w:color w:val="0000FF"/>
                <w:sz w:val="16"/>
              </w:rPr>
            </w:pPr>
            <w:r>
              <w:rPr>
                <w:rFonts w:ascii="Arial" w:hAnsi="Arial" w:cs="Arial"/>
                <w:b/>
                <w:bCs/>
                <w:color w:val="0000FF"/>
                <w:sz w:val="20"/>
              </w:rPr>
              <w:t>**</w:t>
            </w:r>
            <w:r w:rsidR="00195CF1">
              <w:rPr>
                <w:rFonts w:ascii="Arial" w:hAnsi="Arial" w:cs="Arial"/>
                <w:b/>
                <w:bCs/>
                <w:color w:val="0000FF"/>
                <w:sz w:val="20"/>
              </w:rPr>
              <w:t>CF-</w:t>
            </w:r>
            <w:r>
              <w:rPr>
                <w:rFonts w:ascii="Arial" w:hAnsi="Arial" w:cs="Arial"/>
                <w:b/>
                <w:bCs/>
                <w:color w:val="0000FF"/>
                <w:sz w:val="16"/>
              </w:rPr>
              <w:t xml:space="preserve">Mucoid </w:t>
            </w:r>
            <w:proofErr w:type="spellStart"/>
            <w:r>
              <w:rPr>
                <w:rFonts w:ascii="Arial" w:hAnsi="Arial" w:cs="Arial"/>
                <w:b/>
                <w:bCs/>
                <w:color w:val="0000FF"/>
                <w:sz w:val="16"/>
              </w:rPr>
              <w:t>neg</w:t>
            </w:r>
            <w:proofErr w:type="spellEnd"/>
            <w:r>
              <w:rPr>
                <w:rFonts w:ascii="Arial" w:hAnsi="Arial" w:cs="Arial"/>
                <w:b/>
                <w:bCs/>
                <w:color w:val="0000FF"/>
                <w:sz w:val="16"/>
              </w:rPr>
              <w:t xml:space="preserve"> rods</w:t>
            </w:r>
          </w:p>
          <w:p w:rsidR="00D832F6" w:rsidRDefault="00D832F6" w:rsidP="00D832F6">
            <w:pPr>
              <w:tabs>
                <w:tab w:val="left" w:pos="3382"/>
              </w:tabs>
              <w:jc w:val="center"/>
              <w:rPr>
                <w:rFonts w:ascii="Arial" w:hAnsi="Arial" w:cs="Arial"/>
                <w:b/>
                <w:bCs/>
                <w:color w:val="0000FF"/>
                <w:sz w:val="16"/>
              </w:rPr>
            </w:pPr>
            <w:r>
              <w:rPr>
                <w:rFonts w:ascii="Arial" w:hAnsi="Arial" w:cs="Arial"/>
                <w:b/>
                <w:bCs/>
                <w:color w:val="0000FF"/>
                <w:sz w:val="16"/>
              </w:rPr>
              <w:t>(KBS only for AST)</w:t>
            </w:r>
          </w:p>
          <w:p w:rsidR="00D832F6" w:rsidRDefault="00D832F6" w:rsidP="00CA7F6B">
            <w:pPr>
              <w:tabs>
                <w:tab w:val="left" w:pos="3382"/>
              </w:tabs>
              <w:rPr>
                <w:rFonts w:ascii="Arial" w:hAnsi="Arial" w:cs="Arial"/>
                <w:sz w:val="16"/>
              </w:rPr>
            </w:pPr>
          </w:p>
        </w:tc>
        <w:tc>
          <w:tcPr>
            <w:tcW w:w="1872"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-Ceftazidime</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r>
              <w:rPr>
                <w:rFonts w:ascii="Arial" w:hAnsi="Arial" w:cs="Arial"/>
                <w:sz w:val="16"/>
              </w:rPr>
              <w:t>.</w:t>
            </w:r>
          </w:p>
        </w:tc>
        <w:tc>
          <w:tcPr>
            <w:tcW w:w="2070" w:type="dxa"/>
            <w:gridSpan w:val="3"/>
          </w:tcPr>
          <w:p w:rsidR="009267C8" w:rsidRDefault="009267C8" w:rsidP="009267C8">
            <w:pPr>
              <w:pStyle w:val="Custom2"/>
              <w:rPr>
                <w:b w:val="0"/>
                <w:bCs w:val="0"/>
                <w:color w:val="auto"/>
                <w:sz w:val="16"/>
              </w:rPr>
            </w:pPr>
          </w:p>
          <w:p w:rsidR="009267C8" w:rsidRDefault="009267C8" w:rsidP="009267C8">
            <w:pPr>
              <w:pStyle w:val="Custom2"/>
              <w:rPr>
                <w:b w:val="0"/>
                <w:bCs w:val="0"/>
                <w:color w:val="auto"/>
                <w:sz w:val="16"/>
              </w:rPr>
            </w:pPr>
            <w:r>
              <w:rPr>
                <w:b w:val="0"/>
                <w:bCs w:val="0"/>
                <w:color w:val="auto"/>
                <w:sz w:val="16"/>
              </w:rPr>
              <w:t>-Amp/Sulbactam</w:t>
            </w:r>
          </w:p>
          <w:p w:rsidR="009267C8" w:rsidRDefault="009267C8" w:rsidP="009267C8">
            <w:pPr>
              <w:pStyle w:val="Custom2"/>
              <w:rPr>
                <w:b w:val="0"/>
                <w:bCs w:val="0"/>
                <w:color w:val="auto"/>
                <w:sz w:val="16"/>
              </w:rPr>
            </w:pPr>
            <w:r>
              <w:rPr>
                <w:b w:val="0"/>
                <w:bCs w:val="0"/>
                <w:color w:val="auto"/>
                <w:sz w:val="16"/>
              </w:rPr>
              <w:t>-Ceftazidime</w:t>
            </w:r>
          </w:p>
          <w:p w:rsidR="009267C8" w:rsidRDefault="009267C8" w:rsidP="009267C8">
            <w:pPr>
              <w:pStyle w:val="Custom2"/>
              <w:rPr>
                <w:b w:val="0"/>
                <w:bCs w:val="0"/>
                <w:color w:val="auto"/>
                <w:sz w:val="16"/>
              </w:rPr>
            </w:pPr>
            <w:r>
              <w:rPr>
                <w:b w:val="0"/>
                <w:bCs w:val="0"/>
                <w:color w:val="auto"/>
                <w:sz w:val="16"/>
              </w:rPr>
              <w:t>-Cefepime</w:t>
            </w:r>
          </w:p>
          <w:p w:rsidR="009267C8" w:rsidRDefault="009267C8" w:rsidP="009267C8">
            <w:pPr>
              <w:pStyle w:val="Custom2"/>
              <w:rPr>
                <w:b w:val="0"/>
                <w:bCs w:val="0"/>
                <w:color w:val="auto"/>
                <w:sz w:val="16"/>
              </w:rPr>
            </w:pPr>
            <w:r>
              <w:rPr>
                <w:b w:val="0"/>
                <w:bCs w:val="0"/>
                <w:color w:val="auto"/>
                <w:sz w:val="16"/>
              </w:rPr>
              <w:t>-Ceftriaxone</w:t>
            </w:r>
          </w:p>
          <w:p w:rsidR="009267C8" w:rsidRDefault="009267C8" w:rsidP="009267C8">
            <w:pPr>
              <w:pStyle w:val="Custom2"/>
              <w:rPr>
                <w:b w:val="0"/>
                <w:bCs w:val="0"/>
                <w:color w:val="auto"/>
                <w:sz w:val="16"/>
              </w:rPr>
            </w:pPr>
            <w:r>
              <w:rPr>
                <w:b w:val="0"/>
                <w:bCs w:val="0"/>
                <w:color w:val="auto"/>
                <w:sz w:val="16"/>
              </w:rPr>
              <w:t>-Ciprofloxacin</w:t>
            </w:r>
          </w:p>
          <w:p w:rsidR="009267C8" w:rsidRDefault="009267C8" w:rsidP="009267C8">
            <w:pPr>
              <w:pStyle w:val="Custom2"/>
              <w:rPr>
                <w:b w:val="0"/>
                <w:bCs w:val="0"/>
                <w:color w:val="auto"/>
                <w:sz w:val="16"/>
              </w:rPr>
            </w:pPr>
            <w:r>
              <w:rPr>
                <w:b w:val="0"/>
                <w:bCs w:val="0"/>
                <w:color w:val="auto"/>
                <w:sz w:val="16"/>
              </w:rPr>
              <w:t>-Levofloxacin</w:t>
            </w:r>
          </w:p>
          <w:p w:rsidR="009267C8" w:rsidRDefault="009267C8" w:rsidP="009267C8">
            <w:pPr>
              <w:pStyle w:val="Custom2"/>
              <w:rPr>
                <w:b w:val="0"/>
                <w:bCs w:val="0"/>
                <w:color w:val="auto"/>
                <w:sz w:val="16"/>
              </w:rPr>
            </w:pPr>
            <w:r>
              <w:rPr>
                <w:b w:val="0"/>
                <w:bCs w:val="0"/>
                <w:color w:val="auto"/>
                <w:sz w:val="16"/>
              </w:rPr>
              <w:t>-Gentamicin</w:t>
            </w:r>
          </w:p>
          <w:p w:rsidR="009267C8" w:rsidRDefault="009267C8" w:rsidP="009267C8">
            <w:pPr>
              <w:pStyle w:val="Custom2"/>
              <w:rPr>
                <w:b w:val="0"/>
                <w:bCs w:val="0"/>
                <w:color w:val="auto"/>
                <w:sz w:val="16"/>
              </w:rPr>
            </w:pPr>
            <w:r>
              <w:rPr>
                <w:b w:val="0"/>
                <w:bCs w:val="0"/>
                <w:color w:val="auto"/>
                <w:sz w:val="16"/>
              </w:rPr>
              <w:t>-Imipenem</w:t>
            </w:r>
          </w:p>
          <w:p w:rsidR="009267C8" w:rsidRDefault="009267C8" w:rsidP="009267C8">
            <w:pPr>
              <w:pStyle w:val="Custom2"/>
              <w:rPr>
                <w:b w:val="0"/>
                <w:bCs w:val="0"/>
                <w:color w:val="auto"/>
                <w:sz w:val="16"/>
              </w:rPr>
            </w:pPr>
            <w:r>
              <w:rPr>
                <w:b w:val="0"/>
                <w:bCs w:val="0"/>
                <w:color w:val="auto"/>
                <w:sz w:val="16"/>
              </w:rPr>
              <w:t>Piperacillin/Tazobactam</w:t>
            </w:r>
          </w:p>
          <w:p w:rsidR="009267C8" w:rsidRDefault="009267C8" w:rsidP="009267C8">
            <w:pPr>
              <w:pStyle w:val="Custom2"/>
              <w:rPr>
                <w:b w:val="0"/>
                <w:bCs w:val="0"/>
                <w:color w:val="auto"/>
                <w:sz w:val="16"/>
              </w:rPr>
            </w:pPr>
            <w:r>
              <w:rPr>
                <w:b w:val="0"/>
                <w:bCs w:val="0"/>
                <w:color w:val="auto"/>
                <w:sz w:val="16"/>
              </w:rPr>
              <w:t>-Tobramycin</w:t>
            </w:r>
          </w:p>
          <w:p w:rsidR="009267C8" w:rsidRDefault="009267C8" w:rsidP="009267C8">
            <w:pPr>
              <w:pStyle w:val="Custom2"/>
              <w:rPr>
                <w:b w:val="0"/>
                <w:bCs w:val="0"/>
                <w:color w:val="auto"/>
                <w:sz w:val="16"/>
              </w:rPr>
            </w:pPr>
            <w:r>
              <w:rPr>
                <w:b w:val="0"/>
                <w:bCs w:val="0"/>
                <w:color w:val="auto"/>
                <w:sz w:val="16"/>
              </w:rPr>
              <w:t>-Trimethoprim/Sulfa</w:t>
            </w:r>
          </w:p>
          <w:p w:rsidR="009267C8" w:rsidRDefault="009267C8" w:rsidP="009267C8">
            <w:pPr>
              <w:pStyle w:val="Custom2"/>
              <w:rPr>
                <w:b w:val="0"/>
                <w:bCs w:val="0"/>
                <w:color w:val="auto"/>
                <w:sz w:val="16"/>
              </w:rPr>
            </w:pPr>
            <w:r>
              <w:rPr>
                <w:b w:val="0"/>
                <w:bCs w:val="0"/>
                <w:color w:val="auto"/>
                <w:sz w:val="16"/>
              </w:rPr>
              <w:t>-Meropenem</w:t>
            </w:r>
          </w:p>
          <w:p w:rsidR="009267C8" w:rsidRDefault="009267C8" w:rsidP="009267C8">
            <w:pPr>
              <w:pStyle w:val="Custom2"/>
              <w:rPr>
                <w:b w:val="0"/>
                <w:bCs w:val="0"/>
                <w:color w:val="auto"/>
                <w:sz w:val="16"/>
              </w:rPr>
            </w:pPr>
          </w:p>
          <w:p w:rsidR="00105D4E" w:rsidRDefault="00105D4E">
            <w:pPr>
              <w:tabs>
                <w:tab w:val="left" w:pos="3382"/>
              </w:tabs>
              <w:jc w:val="center"/>
              <w:rPr>
                <w:rFonts w:ascii="Arial" w:hAnsi="Arial" w:cs="Arial"/>
                <w:b/>
                <w:bCs/>
                <w:color w:val="0000FF"/>
                <w:sz w:val="16"/>
              </w:rPr>
            </w:pPr>
          </w:p>
          <w:p w:rsidR="00105D4E" w:rsidRDefault="00105D4E">
            <w:pPr>
              <w:tabs>
                <w:tab w:val="left" w:pos="3382"/>
              </w:tabs>
              <w:jc w:val="center"/>
              <w:rPr>
                <w:rFonts w:ascii="Arial" w:hAnsi="Arial" w:cs="Arial"/>
                <w:b/>
                <w:bCs/>
                <w:color w:val="0000FF"/>
                <w:sz w:val="20"/>
              </w:rPr>
            </w:pPr>
          </w:p>
        </w:tc>
        <w:tc>
          <w:tcPr>
            <w:tcW w:w="2538"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9267C8">
        <w:trPr>
          <w:cantSplit/>
        </w:trPr>
        <w:tc>
          <w:tcPr>
            <w:tcW w:w="2088" w:type="dxa"/>
          </w:tcPr>
          <w:p w:rsidR="00105D4E" w:rsidRDefault="00D832F6">
            <w:pPr>
              <w:tabs>
                <w:tab w:val="left" w:pos="3382"/>
              </w:tabs>
              <w:jc w:val="center"/>
              <w:rPr>
                <w:rFonts w:ascii="Arial" w:hAnsi="Arial" w:cs="Arial"/>
                <w:b/>
                <w:bCs/>
                <w:color w:val="0000FF"/>
                <w:sz w:val="20"/>
                <w:u w:val="single"/>
              </w:rPr>
            </w:pPr>
            <w:r>
              <w:rPr>
                <w:rFonts w:ascii="Arial" w:hAnsi="Arial" w:cs="Arial"/>
                <w:b/>
                <w:bCs/>
                <w:color w:val="0000FF"/>
                <w:sz w:val="20"/>
                <w:u w:val="single"/>
              </w:rPr>
              <w:t>Non-Enterobacteriaceae</w:t>
            </w:r>
          </w:p>
          <w:p w:rsidR="00105D4E" w:rsidRDefault="00105D4E">
            <w:pPr>
              <w:tabs>
                <w:tab w:val="left" w:pos="3382"/>
              </w:tabs>
              <w:jc w:val="center"/>
              <w:rPr>
                <w:rFonts w:ascii="Arial" w:hAnsi="Arial" w:cs="Arial"/>
                <w:b/>
                <w:bCs/>
                <w:color w:val="0000FF"/>
                <w:sz w:val="16"/>
                <w:u w:val="single"/>
              </w:rPr>
            </w:pPr>
          </w:p>
          <w:p w:rsidR="00105D4E" w:rsidRDefault="00A75180">
            <w:pPr>
              <w:tabs>
                <w:tab w:val="left" w:pos="3382"/>
              </w:tabs>
              <w:jc w:val="center"/>
              <w:rPr>
                <w:rFonts w:ascii="Arial" w:hAnsi="Arial" w:cs="Arial"/>
                <w:b/>
                <w:bCs/>
                <w:sz w:val="16"/>
              </w:rPr>
            </w:pPr>
            <w:r>
              <w:rPr>
                <w:rFonts w:ascii="Arial" w:hAnsi="Arial" w:cs="Arial"/>
                <w:b/>
                <w:bCs/>
                <w:sz w:val="16"/>
              </w:rPr>
              <w:t>Vitek GN95</w:t>
            </w:r>
            <w:r w:rsidR="00643D0F">
              <w:rPr>
                <w:rFonts w:ascii="Arial" w:hAnsi="Arial" w:cs="Arial"/>
                <w:b/>
                <w:bCs/>
                <w:sz w:val="16"/>
              </w:rPr>
              <w:t>, XN08</w:t>
            </w:r>
            <w:r w:rsidR="00105D4E">
              <w:rPr>
                <w:rFonts w:ascii="Arial" w:hAnsi="Arial" w:cs="Arial"/>
                <w:b/>
                <w:bCs/>
                <w:sz w:val="16"/>
              </w:rPr>
              <w:t xml:space="preserve"> or</w:t>
            </w:r>
          </w:p>
          <w:p w:rsidR="00105D4E" w:rsidRPr="00A17FA2" w:rsidRDefault="00BE33EF" w:rsidP="00A17FA2">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 </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BE33EF"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Default="00105D4E">
            <w:pPr>
              <w:tabs>
                <w:tab w:val="left" w:pos="3382"/>
              </w:tabs>
              <w:jc w:val="center"/>
              <w:rPr>
                <w:rFonts w:ascii="Arial" w:hAnsi="Arial" w:cs="Arial"/>
                <w:b/>
                <w:bCs/>
                <w:sz w:val="16"/>
                <w:u w:val="single"/>
              </w:rPr>
            </w:pPr>
            <w:r>
              <w:rPr>
                <w:rFonts w:ascii="Arial" w:hAnsi="Arial" w:cs="Arial"/>
                <w:b/>
                <w:bCs/>
                <w:sz w:val="16"/>
                <w:u w:val="single"/>
              </w:rPr>
              <w:t xml:space="preserve">KBS disk diffusion </w:t>
            </w:r>
          </w:p>
          <w:p w:rsidR="00105D4E" w:rsidRDefault="000633BC">
            <w:pPr>
              <w:tabs>
                <w:tab w:val="left" w:pos="3382"/>
              </w:tabs>
              <w:jc w:val="center"/>
              <w:rPr>
                <w:rFonts w:ascii="Arial" w:hAnsi="Arial" w:cs="Arial"/>
                <w:b/>
                <w:bCs/>
                <w:sz w:val="16"/>
                <w:u w:val="single"/>
                <w:vertAlign w:val="subscript"/>
              </w:rPr>
            </w:pPr>
            <w:r>
              <w:rPr>
                <w:rFonts w:ascii="Arial" w:hAnsi="Arial" w:cs="Arial"/>
                <w:b/>
                <w:bCs/>
                <w:sz w:val="16"/>
                <w:u w:val="single"/>
              </w:rPr>
              <w:t xml:space="preserve">MH with SB in </w:t>
            </w:r>
            <w:r w:rsidR="00105D4E">
              <w:rPr>
                <w:rFonts w:ascii="Arial" w:hAnsi="Arial" w:cs="Arial"/>
                <w:b/>
                <w:bCs/>
                <w:sz w:val="16"/>
                <w:u w:val="single"/>
              </w:rPr>
              <w:t>CO</w:t>
            </w:r>
            <w:r w:rsidR="00105D4E">
              <w:rPr>
                <w:rFonts w:ascii="Arial" w:hAnsi="Arial" w:cs="Arial"/>
                <w:b/>
                <w:bCs/>
                <w:sz w:val="16"/>
                <w:u w:val="single"/>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872"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9267C8">
            <w:pPr>
              <w:pStyle w:val="Custom2"/>
              <w:jc w:val="center"/>
              <w:rPr>
                <w:color w:val="auto"/>
                <w:sz w:val="16"/>
              </w:rPr>
            </w:pPr>
            <w:r>
              <w:rPr>
                <w:color w:val="auto"/>
                <w:sz w:val="16"/>
              </w:rPr>
              <w:t>MSCN—NC68</w:t>
            </w:r>
            <w:r w:rsidR="00105D4E">
              <w:rPr>
                <w:color w:val="auto"/>
                <w:sz w:val="16"/>
              </w:rPr>
              <w:t xml:space="preserve">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-Levofloxacin</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207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Pr="004E6DC4" w:rsidRDefault="001266F8" w:rsidP="00A17FA2">
            <w:pPr>
              <w:tabs>
                <w:tab w:val="left" w:pos="3382"/>
              </w:tabs>
              <w:jc w:val="left"/>
              <w:rPr>
                <w:rFonts w:ascii="Arial" w:hAnsi="Arial" w:cs="Arial"/>
                <w:b/>
                <w:sz w:val="16"/>
                <w:szCs w:val="16"/>
              </w:rPr>
            </w:pPr>
          </w:p>
        </w:tc>
        <w:tc>
          <w:tcPr>
            <w:tcW w:w="2538"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rsidTr="009267C8">
        <w:trPr>
          <w:cantSplit/>
        </w:trPr>
        <w:tc>
          <w:tcPr>
            <w:tcW w:w="2088" w:type="dxa"/>
            <w:tcBorders>
              <w:bottom w:val="single" w:sz="4" w:space="0" w:color="auto"/>
            </w:tcBorders>
          </w:tcPr>
          <w:p w:rsidR="00105D4E" w:rsidRDefault="00105D4E">
            <w:pPr>
              <w:pStyle w:val="Custom2"/>
              <w:jc w:val="center"/>
              <w:rPr>
                <w:u w:val="single"/>
              </w:rPr>
            </w:pPr>
            <w:r>
              <w:rPr>
                <w:i/>
                <w:iCs/>
                <w:u w:val="single"/>
              </w:rPr>
              <w:lastRenderedPageBreak/>
              <w:t xml:space="preserve">Staphylococcus </w:t>
            </w:r>
            <w:r>
              <w:rPr>
                <w:u w:val="single"/>
              </w:rPr>
              <w:t>sp.</w:t>
            </w:r>
          </w:p>
          <w:p w:rsidR="00105D4E" w:rsidRDefault="00105D4E">
            <w:pPr>
              <w:pStyle w:val="Custom2"/>
              <w:jc w:val="center"/>
              <w:rPr>
                <w:i/>
                <w:iCs/>
                <w:u w:val="single"/>
              </w:rPr>
            </w:pPr>
          </w:p>
          <w:p w:rsidR="00105D4E" w:rsidRDefault="00105D4E" w:rsidP="00643D0F">
            <w:pPr>
              <w:pStyle w:val="Custom2"/>
              <w:jc w:val="center"/>
              <w:rPr>
                <w:color w:val="auto"/>
                <w:sz w:val="16"/>
                <w:u w:val="single"/>
              </w:rPr>
            </w:pPr>
            <w:r>
              <w:rPr>
                <w:color w:val="auto"/>
                <w:sz w:val="16"/>
              </w:rPr>
              <w:t xml:space="preserve">Vitek AST 67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rsidP="00643D0F">
            <w:pPr>
              <w:pStyle w:val="Custom2"/>
              <w:jc w:val="center"/>
              <w:rPr>
                <w:color w:val="auto"/>
                <w:sz w:val="16"/>
              </w:rPr>
            </w:pPr>
            <w:r>
              <w:rPr>
                <w:color w:val="auto"/>
                <w:sz w:val="16"/>
              </w:rPr>
              <w:t xml:space="preserve">Vitek AST 67 </w:t>
            </w:r>
            <w:r>
              <w:rPr>
                <w:color w:val="auto"/>
                <w:sz w:val="16"/>
                <w:u w:val="single"/>
              </w:rPr>
              <w:t>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872"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A14F60" w:rsidRDefault="00B61D5D">
            <w:pPr>
              <w:pStyle w:val="Custom2"/>
              <w:jc w:val="center"/>
              <w:rPr>
                <w:color w:val="auto"/>
                <w:sz w:val="16"/>
                <w:u w:val="single"/>
              </w:rPr>
            </w:pPr>
            <w:r>
              <w:rPr>
                <w:color w:val="auto"/>
                <w:sz w:val="16"/>
              </w:rPr>
              <w:t xml:space="preserve">CSF/BC Vitek GP74 </w:t>
            </w:r>
          </w:p>
          <w:p w:rsidR="00B61D5D" w:rsidRDefault="00B61D5D">
            <w:pPr>
              <w:pStyle w:val="Custom2"/>
              <w:jc w:val="center"/>
              <w:rPr>
                <w:color w:val="auto"/>
                <w:sz w:val="16"/>
              </w:rPr>
            </w:pPr>
          </w:p>
          <w:p w:rsidR="00105D4E" w:rsidRDefault="00A14F60">
            <w:pPr>
              <w:pStyle w:val="Custom2"/>
              <w:jc w:val="center"/>
              <w:rPr>
                <w:color w:val="auto"/>
                <w:sz w:val="16"/>
                <w:u w:val="single"/>
              </w:rPr>
            </w:pPr>
            <w:r>
              <w:rPr>
                <w:color w:val="auto"/>
                <w:sz w:val="16"/>
              </w:rPr>
              <w:t xml:space="preserve">Vitek AST-ST02  </w:t>
            </w:r>
            <w:r w:rsidR="00105D4E">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&amp; Penicillin Etest</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3C44D0" w:rsidRDefault="003C44D0">
            <w:pPr>
              <w:tabs>
                <w:tab w:val="left" w:pos="3382"/>
              </w:tabs>
              <w:jc w:val="center"/>
              <w:rPr>
                <w:rFonts w:ascii="Arial" w:hAnsi="Arial" w:cs="Arial"/>
                <w:b/>
                <w:bCs/>
                <w:color w:val="000000"/>
                <w:sz w:val="16"/>
              </w:rPr>
            </w:pPr>
          </w:p>
          <w:p w:rsidR="003C44D0" w:rsidRDefault="003C44D0">
            <w:pPr>
              <w:tabs>
                <w:tab w:val="left" w:pos="3382"/>
              </w:tabs>
              <w:jc w:val="center"/>
              <w:rPr>
                <w:rFonts w:ascii="Arial" w:hAnsi="Arial" w:cs="Arial"/>
                <w:b/>
                <w:bCs/>
                <w:color w:val="000000"/>
                <w:sz w:val="16"/>
              </w:rPr>
            </w:pPr>
          </w:p>
          <w:p w:rsidR="00105D4E" w:rsidRDefault="00105D4E" w:rsidP="00A14F60">
            <w:pPr>
              <w:tabs>
                <w:tab w:val="left" w:pos="3382"/>
              </w:tabs>
              <w:jc w:val="center"/>
              <w:rPr>
                <w:rFonts w:ascii="Arial" w:hAnsi="Arial" w:cs="Arial"/>
                <w:color w:val="0000FF"/>
                <w:sz w:val="16"/>
              </w:rPr>
            </w:pPr>
          </w:p>
        </w:tc>
        <w:tc>
          <w:tcPr>
            <w:tcW w:w="2268"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2E5E9F">
              <w:rPr>
                <w:rFonts w:ascii="Arial" w:hAnsi="Arial" w:cs="Arial"/>
                <w:b/>
                <w:bCs/>
                <w:sz w:val="16"/>
              </w:rPr>
              <w:t xml:space="preserve">AST-ST02 </w:t>
            </w:r>
            <w:r w:rsidR="002E5E9F" w:rsidRPr="00B61D5D">
              <w:rPr>
                <w:rFonts w:ascii="Arial" w:hAnsi="Arial" w:cs="Arial"/>
                <w:b/>
                <w:bCs/>
                <w:sz w:val="16"/>
                <w:u w:val="single"/>
              </w:rPr>
              <w:t>or</w:t>
            </w:r>
            <w:r w:rsidR="002E5E9F">
              <w:rPr>
                <w:rFonts w:ascii="Arial" w:hAnsi="Arial" w:cs="Arial"/>
                <w:b/>
                <w:bCs/>
                <w:sz w:val="16"/>
              </w:rPr>
              <w:t xml:space="preserve"> </w:t>
            </w:r>
            <w:r w:rsidR="00105D4E">
              <w:rPr>
                <w:rFonts w:ascii="Arial" w:hAnsi="Arial" w:cs="Arial"/>
                <w:b/>
                <w:bCs/>
                <w:sz w:val="16"/>
              </w:rPr>
              <w:t>MSTRP</w:t>
            </w:r>
          </w:p>
          <w:p w:rsidR="008E2DCD" w:rsidRDefault="00BE33EF">
            <w:pPr>
              <w:tabs>
                <w:tab w:val="left" w:pos="3382"/>
              </w:tabs>
              <w:jc w:val="center"/>
              <w:rPr>
                <w:rFonts w:ascii="Arial" w:hAnsi="Arial" w:cs="Arial"/>
                <w:b/>
                <w:bCs/>
                <w:sz w:val="16"/>
              </w:rPr>
            </w:pPr>
            <w:r w:rsidRPr="00B61D5D">
              <w:rPr>
                <w:rFonts w:ascii="Arial" w:hAnsi="Arial" w:cs="Arial"/>
                <w:b/>
                <w:bCs/>
                <w:sz w:val="16"/>
                <w:u w:val="single"/>
              </w:rPr>
              <w:t>or</w:t>
            </w:r>
            <w:r>
              <w:rPr>
                <w:rFonts w:ascii="Arial" w:hAnsi="Arial" w:cs="Arial"/>
                <w:b/>
                <w:bCs/>
                <w:sz w:val="16"/>
              </w:rPr>
              <w:t xml:space="preserve"> KBS disk MHSB</w:t>
            </w:r>
          </w:p>
          <w:p w:rsidR="00FE5605" w:rsidRDefault="00FE5605">
            <w:pPr>
              <w:tabs>
                <w:tab w:val="left" w:pos="3382"/>
              </w:tabs>
              <w:jc w:val="center"/>
              <w:rPr>
                <w:rFonts w:ascii="Arial" w:hAnsi="Arial" w:cs="Arial"/>
                <w:b/>
                <w:bCs/>
                <w:sz w:val="16"/>
              </w:rPr>
            </w:pPr>
          </w:p>
          <w:p w:rsidR="00B61D5D" w:rsidRDefault="00B61D5D" w:rsidP="00B61D5D">
            <w:pPr>
              <w:tabs>
                <w:tab w:val="left" w:pos="3382"/>
              </w:tabs>
              <w:rPr>
                <w:rFonts w:ascii="Arial" w:hAnsi="Arial" w:cs="Arial"/>
                <w:b/>
                <w:bCs/>
                <w:sz w:val="16"/>
              </w:rPr>
            </w:pPr>
            <w:r>
              <w:rPr>
                <w:rFonts w:ascii="Arial" w:hAnsi="Arial" w:cs="Arial"/>
                <w:b/>
                <w:bCs/>
                <w:sz w:val="16"/>
                <w:szCs w:val="16"/>
              </w:rPr>
              <w:t xml:space="preserve">β-strep Group </w:t>
            </w:r>
            <w:r w:rsidR="00105D4E">
              <w:rPr>
                <w:rFonts w:ascii="Arial" w:hAnsi="Arial" w:cs="Arial"/>
                <w:b/>
                <w:bCs/>
                <w:sz w:val="16"/>
              </w:rPr>
              <w:sym w:font="Wingdings" w:char="F0E0"/>
            </w:r>
            <w:r w:rsidR="002E5E9F">
              <w:rPr>
                <w:rFonts w:ascii="Arial" w:hAnsi="Arial" w:cs="Arial"/>
                <w:b/>
                <w:bCs/>
                <w:sz w:val="16"/>
              </w:rPr>
              <w:t>AST-ST02</w:t>
            </w:r>
            <w:r>
              <w:rPr>
                <w:rFonts w:ascii="Arial" w:hAnsi="Arial" w:cs="Arial"/>
                <w:b/>
                <w:bCs/>
                <w:sz w:val="16"/>
              </w:rPr>
              <w:t xml:space="preserve">     </w:t>
            </w:r>
          </w:p>
          <w:p w:rsidR="00105D4E" w:rsidRDefault="00B61D5D" w:rsidP="00B61D5D">
            <w:pPr>
              <w:tabs>
                <w:tab w:val="left" w:pos="3382"/>
              </w:tabs>
              <w:rPr>
                <w:rFonts w:ascii="Arial" w:hAnsi="Arial" w:cs="Arial"/>
                <w:b/>
                <w:bCs/>
                <w:sz w:val="16"/>
              </w:rPr>
            </w:pPr>
            <w:r>
              <w:rPr>
                <w:rFonts w:ascii="Arial" w:hAnsi="Arial" w:cs="Arial"/>
                <w:b/>
                <w:bCs/>
                <w:sz w:val="16"/>
              </w:rPr>
              <w:t xml:space="preserve">                 </w:t>
            </w:r>
            <w:r w:rsidRPr="00B61D5D">
              <w:rPr>
                <w:rFonts w:ascii="Arial" w:hAnsi="Arial" w:cs="Arial"/>
                <w:b/>
                <w:bCs/>
                <w:sz w:val="16"/>
                <w:u w:val="single"/>
              </w:rPr>
              <w:t>or</w:t>
            </w:r>
            <w:r>
              <w:rPr>
                <w:rFonts w:ascii="Arial" w:hAnsi="Arial" w:cs="Arial"/>
                <w:b/>
                <w:bCs/>
                <w:sz w:val="16"/>
              </w:rPr>
              <w:t xml:space="preserve"> MSTRP</w:t>
            </w:r>
            <w:r w:rsidR="002E5E9F">
              <w:rPr>
                <w:rFonts w:ascii="Arial" w:hAnsi="Arial" w:cs="Arial"/>
                <w:b/>
                <w:bCs/>
                <w:sz w:val="16"/>
              </w:rPr>
              <w:t xml:space="preserve"> </w:t>
            </w:r>
            <w:r>
              <w:rPr>
                <w:rFonts w:ascii="Arial" w:hAnsi="Arial" w:cs="Arial"/>
                <w:b/>
                <w:bCs/>
                <w:sz w:val="16"/>
              </w:rPr>
              <w:t xml:space="preserve">            </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8E2DCD" w:rsidP="00FE5605">
            <w:pPr>
              <w:tabs>
                <w:tab w:val="left" w:pos="3382"/>
              </w:tabs>
              <w:ind w:left="720"/>
              <w:jc w:val="left"/>
              <w:rPr>
                <w:rFonts w:ascii="Arial" w:hAnsi="Arial" w:cs="Arial"/>
                <w:b/>
                <w:bCs/>
                <w:sz w:val="16"/>
                <w:szCs w:val="16"/>
              </w:rPr>
            </w:pPr>
            <w:r>
              <w:rPr>
                <w:rFonts w:ascii="Arial" w:hAnsi="Arial" w:cs="Arial"/>
                <w:b/>
                <w:bCs/>
                <w:sz w:val="16"/>
                <w:szCs w:val="16"/>
              </w:rPr>
              <w:t>(</w:t>
            </w:r>
            <w:r w:rsidRPr="004D2A8A">
              <w:rPr>
                <w:rFonts w:ascii="Arial" w:hAnsi="Arial" w:cs="Arial"/>
                <w:b/>
                <w:bCs/>
                <w:sz w:val="16"/>
                <w:szCs w:val="16"/>
                <w:highlight w:val="green"/>
              </w:rPr>
              <w:t>ONLY</w:t>
            </w:r>
            <w:r>
              <w:rPr>
                <w:rFonts w:ascii="Arial" w:hAnsi="Arial" w:cs="Arial"/>
                <w:b/>
                <w:bCs/>
                <w:sz w:val="16"/>
                <w:szCs w:val="16"/>
              </w:rPr>
              <w:t xml:space="preserve"> done per special request; i.e. penicillin allergy)</w:t>
            </w:r>
          </w:p>
          <w:p w:rsidR="00B61D5D" w:rsidRDefault="00B61D5D" w:rsidP="00B61D5D">
            <w:pPr>
              <w:tabs>
                <w:tab w:val="left" w:pos="3382"/>
              </w:tabs>
              <w:rPr>
                <w:rFonts w:ascii="Arial" w:hAnsi="Arial" w:cs="Arial"/>
                <w:b/>
                <w:bCs/>
                <w:sz w:val="16"/>
                <w:szCs w:val="16"/>
              </w:rPr>
            </w:pPr>
          </w:p>
          <w:p w:rsidR="009C6DF8" w:rsidRPr="00B61D5D" w:rsidRDefault="00105D4E" w:rsidP="00B61D5D">
            <w:pPr>
              <w:tabs>
                <w:tab w:val="left" w:pos="3382"/>
              </w:tabs>
              <w:rPr>
                <w:rFonts w:ascii="Arial" w:hAnsi="Arial" w:cs="Arial"/>
                <w:b/>
                <w:bCs/>
                <w:sz w:val="16"/>
                <w:szCs w:val="16"/>
              </w:rPr>
            </w:pPr>
            <w:r w:rsidRPr="00B61D5D">
              <w:rPr>
                <w:rFonts w:ascii="Arial" w:hAnsi="Arial" w:cs="Arial"/>
                <w:b/>
                <w:bCs/>
                <w:sz w:val="16"/>
                <w:szCs w:val="16"/>
              </w:rPr>
              <w:t>β-strep Group B</w:t>
            </w:r>
            <w:r w:rsidRPr="00B61D5D">
              <w:rPr>
                <w:rFonts w:ascii="Arial" w:hAnsi="Arial" w:cs="Arial"/>
                <w:b/>
                <w:bCs/>
                <w:sz w:val="16"/>
                <w:szCs w:val="16"/>
              </w:rPr>
              <w:sym w:font="Wingdings" w:char="F0E0"/>
            </w:r>
          </w:p>
          <w:p w:rsidR="00105D4E" w:rsidRDefault="002E5E9F" w:rsidP="009C6DF8">
            <w:pPr>
              <w:tabs>
                <w:tab w:val="left" w:pos="3382"/>
              </w:tabs>
              <w:jc w:val="center"/>
              <w:rPr>
                <w:rFonts w:ascii="Arial" w:hAnsi="Arial" w:cs="Arial"/>
                <w:b/>
                <w:bCs/>
                <w:sz w:val="16"/>
              </w:rPr>
            </w:pPr>
            <w:r>
              <w:rPr>
                <w:rFonts w:ascii="Arial" w:hAnsi="Arial" w:cs="Arial"/>
                <w:b/>
                <w:bCs/>
                <w:sz w:val="16"/>
              </w:rPr>
              <w:t>Vitek-AST-ST02</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rsidTr="009267C8">
        <w:trPr>
          <w:cantSplit/>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872" w:type="dxa"/>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1829E0">
            <w:pPr>
              <w:pStyle w:val="Header"/>
              <w:tabs>
                <w:tab w:val="clear" w:pos="4320"/>
                <w:tab w:val="clear" w:pos="8640"/>
              </w:tabs>
              <w:jc w:val="center"/>
              <w:rPr>
                <w:rFonts w:ascii="Arial" w:hAnsi="Arial"/>
                <w:sz w:val="16"/>
              </w:rPr>
            </w:pPr>
          </w:p>
          <w:p w:rsidR="00105D4E" w:rsidRDefault="00105D4E">
            <w:pPr>
              <w:tabs>
                <w:tab w:val="left" w:pos="3382"/>
              </w:tabs>
              <w:jc w:val="center"/>
              <w:rPr>
                <w:rFonts w:ascii="Arial" w:hAnsi="Arial" w:cs="Arial"/>
                <w:color w:val="0000FF"/>
                <w:sz w:val="16"/>
              </w:rPr>
            </w:pPr>
          </w:p>
        </w:tc>
        <w:tc>
          <w:tcPr>
            <w:tcW w:w="2268"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r w:rsidR="009C6DF8" w:rsidRPr="009C6DF8">
              <w:rPr>
                <w:rFonts w:ascii="Arial" w:hAnsi="Arial"/>
                <w:sz w:val="16"/>
                <w:highlight w:val="cyan"/>
              </w:rPr>
              <w:t>**</w:t>
            </w:r>
          </w:p>
          <w:p w:rsidR="00105D4E" w:rsidRDefault="00105D4E">
            <w:pPr>
              <w:pStyle w:val="Header"/>
              <w:tabs>
                <w:tab w:val="clear" w:pos="4320"/>
                <w:tab w:val="clear" w:pos="8640"/>
              </w:tabs>
              <w:rPr>
                <w:rFonts w:ascii="Arial" w:hAnsi="Arial"/>
                <w:sz w:val="16"/>
              </w:rPr>
            </w:pPr>
            <w:r>
              <w:rPr>
                <w:rFonts w:ascii="Arial" w:hAnsi="Arial"/>
                <w:sz w:val="16"/>
              </w:rPr>
              <w:t>-Clindamycin</w:t>
            </w:r>
            <w:r w:rsidR="009C6DF8" w:rsidRPr="009C6DF8">
              <w:rPr>
                <w:rFonts w:ascii="Arial" w:hAnsi="Arial"/>
                <w:sz w:val="16"/>
                <w:highlight w:val="cyan"/>
              </w:rPr>
              <w:t>**</w:t>
            </w:r>
          </w:p>
          <w:p w:rsidR="001F68F8" w:rsidRDefault="001F68F8">
            <w:pPr>
              <w:pStyle w:val="Header"/>
              <w:tabs>
                <w:tab w:val="clear" w:pos="4320"/>
                <w:tab w:val="clear" w:pos="8640"/>
              </w:tabs>
              <w:rPr>
                <w:rFonts w:ascii="Arial" w:hAnsi="Arial"/>
                <w:sz w:val="16"/>
              </w:rPr>
            </w:pPr>
            <w:r>
              <w:rPr>
                <w:rFonts w:ascii="Arial" w:hAnsi="Arial"/>
                <w:sz w:val="16"/>
              </w:rPr>
              <w:t>-ICR for beta strep</w:t>
            </w:r>
          </w:p>
          <w:p w:rsidR="00105D4E" w:rsidRDefault="00105D4E">
            <w:pPr>
              <w:pStyle w:val="Header"/>
              <w:tabs>
                <w:tab w:val="clear" w:pos="4320"/>
                <w:tab w:val="clear" w:pos="8640"/>
              </w:tabs>
              <w:rPr>
                <w:rFonts w:ascii="Arial" w:hAnsi="Arial"/>
                <w:sz w:val="16"/>
              </w:rPr>
            </w:pPr>
            <w:r>
              <w:rPr>
                <w:rFonts w:ascii="Arial" w:hAnsi="Arial"/>
                <w:sz w:val="16"/>
              </w:rPr>
              <w:t>-Vancomycin</w:t>
            </w: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1F68F8">
              <w:rPr>
                <w:rFonts w:ascii="Arial" w:hAnsi="Arial"/>
                <w:b/>
                <w:bCs/>
                <w:sz w:val="16"/>
              </w:rPr>
              <w:t xml:space="preserve">REPORT: </w:t>
            </w:r>
            <w:r w:rsidR="009C6DF8">
              <w:rPr>
                <w:rFonts w:ascii="Arial" w:hAnsi="Arial"/>
                <w:b/>
                <w:bCs/>
                <w:sz w:val="16"/>
              </w:rPr>
              <w:t xml:space="preserve">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8A7DBE" w:rsidRPr="009C6DF8" w:rsidRDefault="001F68F8" w:rsidP="001F68F8">
            <w:pPr>
              <w:tabs>
                <w:tab w:val="left" w:pos="3382"/>
              </w:tabs>
              <w:jc w:val="left"/>
              <w:rPr>
                <w:rFonts w:ascii="Arial" w:hAnsi="Arial" w:cs="Arial"/>
                <w:sz w:val="16"/>
              </w:rPr>
            </w:pPr>
            <w:r>
              <w:rPr>
                <w:rFonts w:ascii="Arial" w:hAnsi="Arial" w:cs="Arial"/>
                <w:sz w:val="16"/>
              </w:rPr>
              <w:t xml:space="preserve"> </w:t>
            </w:r>
            <w:r w:rsidR="009C6DF8">
              <w:rPr>
                <w:rFonts w:ascii="Arial" w:hAnsi="Arial" w:cs="Arial"/>
                <w:sz w:val="16"/>
              </w:rPr>
              <w:t>(</w:t>
            </w:r>
            <w:r w:rsidR="009C6DF8" w:rsidRPr="009C6DF8">
              <w:rPr>
                <w:rFonts w:ascii="Arial" w:hAnsi="Arial" w:cs="Arial"/>
                <w:sz w:val="16"/>
                <w:highlight w:val="cyan"/>
              </w:rPr>
              <w:t>**</w:t>
            </w:r>
            <w:r w:rsidR="009C6DF8">
              <w:rPr>
                <w:rFonts w:ascii="Arial" w:hAnsi="Arial" w:cs="Arial"/>
                <w:sz w:val="16"/>
              </w:rPr>
              <w:t>not on neonates)</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A17FA2">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Pr="003C1F26" w:rsidRDefault="00105D4E" w:rsidP="00A17FA2">
            <w:pPr>
              <w:pStyle w:val="Header"/>
              <w:tabs>
                <w:tab w:val="clear" w:pos="4320"/>
                <w:tab w:val="clear" w:pos="8640"/>
              </w:tabs>
              <w:jc w:val="center"/>
              <w:rPr>
                <w:rFonts w:ascii="Arial" w:hAnsi="Arial"/>
                <w:sz w:val="16"/>
              </w:rPr>
            </w:pPr>
          </w:p>
        </w:tc>
      </w:tr>
      <w:tr w:rsidR="002E7DE5" w:rsidTr="009267C8">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9267C8" w:rsidRDefault="009267C8" w:rsidP="009267C8">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Bacillus </w:t>
            </w:r>
            <w:r>
              <w:rPr>
                <w:rFonts w:ascii="Arial" w:hAnsi="Arial"/>
                <w:b/>
                <w:color w:val="0000FF"/>
                <w:sz w:val="20"/>
                <w:szCs w:val="20"/>
                <w:u w:val="single"/>
              </w:rPr>
              <w:t>sp.</w:t>
            </w:r>
          </w:p>
          <w:p w:rsidR="009267C8" w:rsidRDefault="009267C8" w:rsidP="009267C8">
            <w:pPr>
              <w:tabs>
                <w:tab w:val="left" w:pos="3382"/>
              </w:tabs>
              <w:jc w:val="center"/>
              <w:rPr>
                <w:rFonts w:ascii="Arial" w:hAnsi="Arial" w:cs="Arial"/>
                <w:b/>
                <w:bCs/>
                <w:sz w:val="16"/>
              </w:rPr>
            </w:pP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Refer AST  </w:t>
            </w: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U of M </w:t>
            </w:r>
          </w:p>
          <w:p w:rsidR="002E7DE5" w:rsidRDefault="002E7DE5">
            <w:pPr>
              <w:tabs>
                <w:tab w:val="left" w:pos="3382"/>
              </w:tabs>
              <w:jc w:val="left"/>
              <w:rPr>
                <w:rFonts w:ascii="Arial" w:hAnsi="Arial" w:cs="Arial"/>
                <w:color w:val="0000FF"/>
                <w:sz w:val="16"/>
              </w:rPr>
            </w:pPr>
          </w:p>
        </w:tc>
        <w:tc>
          <w:tcPr>
            <w:tcW w:w="1872" w:type="dxa"/>
          </w:tcPr>
          <w:p w:rsidR="00803073" w:rsidRDefault="00803073" w:rsidP="00803073">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Pasteurella </w:t>
            </w:r>
            <w:r>
              <w:rPr>
                <w:rFonts w:ascii="Arial" w:hAnsi="Arial"/>
                <w:b/>
                <w:color w:val="0000FF"/>
                <w:sz w:val="20"/>
                <w:szCs w:val="20"/>
                <w:u w:val="single"/>
              </w:rPr>
              <w:t>sp.</w:t>
            </w:r>
          </w:p>
          <w:p w:rsidR="002E7DE5" w:rsidRDefault="002E7DE5">
            <w:pPr>
              <w:pStyle w:val="Header"/>
              <w:tabs>
                <w:tab w:val="clear" w:pos="4320"/>
                <w:tab w:val="clear" w:pos="8640"/>
              </w:tabs>
              <w:jc w:val="left"/>
              <w:rPr>
                <w:rFonts w:ascii="Arial" w:hAnsi="Arial"/>
                <w:sz w:val="16"/>
                <w:u w:val="single"/>
              </w:rPr>
            </w:pP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Refer AST  </w:t>
            </w: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U of M </w:t>
            </w:r>
          </w:p>
          <w:p w:rsidR="00803073" w:rsidRPr="00803073" w:rsidRDefault="00803073">
            <w:pPr>
              <w:pStyle w:val="Header"/>
              <w:tabs>
                <w:tab w:val="clear" w:pos="4320"/>
                <w:tab w:val="clear" w:pos="8640"/>
              </w:tabs>
              <w:jc w:val="left"/>
              <w:rPr>
                <w:rFonts w:ascii="Arial" w:hAnsi="Arial"/>
                <w:sz w:val="16"/>
                <w:u w:val="single"/>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rsidTr="009267C8">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872" w:type="dxa"/>
          </w:tcPr>
          <w:p w:rsidR="002E7DE5" w:rsidRDefault="002E7DE5">
            <w:pPr>
              <w:pStyle w:val="Header"/>
              <w:tabs>
                <w:tab w:val="clear" w:pos="4320"/>
                <w:tab w:val="clear" w:pos="8640"/>
              </w:tabs>
              <w:jc w:val="left"/>
              <w:rPr>
                <w:rFonts w:ascii="Arial" w:hAnsi="Arial"/>
                <w:sz w:val="16"/>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643D0F">
            <w:pPr>
              <w:tabs>
                <w:tab w:val="left" w:pos="3382"/>
              </w:tabs>
              <w:jc w:val="left"/>
              <w:rPr>
                <w:rFonts w:ascii="Arial" w:hAnsi="Arial" w:cs="Arial"/>
                <w:b/>
                <w:bCs/>
                <w:sz w:val="16"/>
              </w:rPr>
            </w:pPr>
            <w:r>
              <w:rPr>
                <w:rFonts w:ascii="Arial" w:hAnsi="Arial" w:cs="Arial"/>
                <w:b/>
                <w:bCs/>
                <w:sz w:val="16"/>
              </w:rPr>
              <w:t>XN08 Gram negative extension card</w:t>
            </w:r>
          </w:p>
          <w:p w:rsidR="00105D4E" w:rsidRDefault="00105D4E" w:rsidP="001829E0">
            <w:pPr>
              <w:tabs>
                <w:tab w:val="left" w:pos="3382"/>
              </w:tabs>
              <w:rPr>
                <w:rFonts w:ascii="Arial" w:hAnsi="Arial" w:cs="Arial"/>
                <w:b/>
                <w:bCs/>
                <w:sz w:val="16"/>
              </w:rPr>
            </w:pPr>
          </w:p>
        </w:tc>
        <w:tc>
          <w:tcPr>
            <w:tcW w:w="6480" w:type="dxa"/>
            <w:gridSpan w:val="6"/>
          </w:tcPr>
          <w:p w:rsidR="00105D4E" w:rsidRPr="00FC0F4E" w:rsidRDefault="00FC0F4E">
            <w:pPr>
              <w:tabs>
                <w:tab w:val="left" w:pos="3382"/>
              </w:tabs>
              <w:rPr>
                <w:rFonts w:ascii="Arial" w:hAnsi="Arial" w:cs="Arial"/>
                <w:sz w:val="20"/>
                <w:szCs w:val="20"/>
              </w:rPr>
            </w:pPr>
            <w:r w:rsidRPr="00FC0F4E">
              <w:rPr>
                <w:rFonts w:ascii="Arial" w:hAnsi="Arial" w:cs="Arial"/>
                <w:sz w:val="20"/>
                <w:szCs w:val="20"/>
              </w:rPr>
              <w:t>Set up this card when additional antibiotics are requested</w:t>
            </w:r>
            <w:r>
              <w:rPr>
                <w:rFonts w:ascii="Arial" w:hAnsi="Arial" w:cs="Arial"/>
                <w:sz w:val="20"/>
                <w:szCs w:val="20"/>
              </w:rPr>
              <w:t xml:space="preserve">. This card tests Amikacin, Aztreonam, Cefoxitin, Cefpodoxime, Ceftolozane/Tazobactam, Cefuroxime, Meropenem and Tetracycline. Only report antibiotics that are requested. Review product limitations.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007372B7">
              <w:rPr>
                <w:rFonts w:ascii="Arial" w:hAnsi="Arial" w:cs="Arial"/>
                <w:i/>
                <w:iCs/>
                <w:sz w:val="20"/>
                <w:szCs w:val="20"/>
              </w:rPr>
              <w:t xml:space="preserve">Staphylococci </w:t>
            </w:r>
            <w:r w:rsidR="007372B7" w:rsidRPr="007372B7">
              <w:rPr>
                <w:rFonts w:ascii="Arial" w:hAnsi="Arial" w:cs="Arial"/>
                <w:iCs/>
                <w:sz w:val="20"/>
                <w:szCs w:val="20"/>
              </w:rPr>
              <w:t xml:space="preserve">and the AST-ST02 for </w:t>
            </w:r>
            <w:r w:rsidR="007372B7" w:rsidRPr="008F320F">
              <w:rPr>
                <w:rFonts w:ascii="Arial" w:hAnsi="Arial" w:cs="Arial"/>
                <w:sz w:val="20"/>
                <w:szCs w:val="20"/>
              </w:rPr>
              <w:sym w:font="Symbol" w:char="F062"/>
            </w:r>
            <w:r w:rsidR="007372B7" w:rsidRPr="008F320F">
              <w:rPr>
                <w:rFonts w:ascii="Arial" w:hAnsi="Arial" w:cs="Arial"/>
                <w:sz w:val="20"/>
                <w:szCs w:val="20"/>
              </w:rPr>
              <w:t>- hemolytic strep</w:t>
            </w:r>
            <w:r w:rsidR="007372B7">
              <w:rPr>
                <w:rFonts w:ascii="Arial" w:hAnsi="Arial" w:cs="Arial"/>
                <w:sz w:val="20"/>
                <w:szCs w:val="20"/>
              </w:rPr>
              <w:t xml:space="preserve">. </w:t>
            </w:r>
            <w:r w:rsidRPr="008F320F">
              <w:rPr>
                <w:rFonts w:ascii="Arial" w:hAnsi="Arial" w:cs="Arial"/>
                <w:sz w:val="20"/>
                <w:szCs w:val="20"/>
              </w:rPr>
              <w:t>If the ICR is positive</w:t>
            </w:r>
            <w:r w:rsidR="00643D0F">
              <w:rPr>
                <w:rFonts w:ascii="Arial" w:hAnsi="Arial" w:cs="Arial"/>
                <w:sz w:val="20"/>
                <w:szCs w:val="20"/>
              </w:rPr>
              <w:t>,</w:t>
            </w:r>
            <w:r w:rsidRPr="008F320F">
              <w:rPr>
                <w:rFonts w:ascii="Arial" w:hAnsi="Arial" w:cs="Arial"/>
                <w:sz w:val="20"/>
                <w:szCs w:val="20"/>
              </w:rPr>
              <w:t xml:space="preserve"> the Clindamycin MIC is reported as </w:t>
            </w:r>
            <w:r w:rsidR="005E525B">
              <w:rPr>
                <w:rFonts w:ascii="Arial" w:hAnsi="Arial" w:cs="Arial"/>
                <w:sz w:val="20"/>
                <w:szCs w:val="20"/>
              </w:rPr>
              <w:t>R</w:t>
            </w:r>
            <w:r w:rsidRPr="008F320F">
              <w:rPr>
                <w:rFonts w:ascii="Arial" w:hAnsi="Arial" w:cs="Arial"/>
                <w:sz w:val="20"/>
                <w:szCs w:val="20"/>
              </w:rPr>
              <w:t xml:space="preserve">.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Penicillin Etest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Etest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Enter Etest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PENM</w:t>
            </w:r>
            <w:r w:rsidRPr="008F320F">
              <w:rPr>
                <w:rFonts w:ascii="Arial" w:hAnsi="Arial" w:cs="Arial"/>
                <w:sz w:val="20"/>
                <w:szCs w:val="20"/>
              </w:rPr>
              <w:t xml:space="preserve">, </w:t>
            </w:r>
            <w:r w:rsidRPr="008F320F">
              <w:rPr>
                <w:rFonts w:ascii="Arial" w:hAnsi="Arial" w:cs="Arial"/>
                <w:b/>
                <w:bCs/>
                <w:sz w:val="20"/>
                <w:szCs w:val="20"/>
              </w:rPr>
              <w:t xml:space="preserve">PENV,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DO NOT REPORT PENV (oral) on sterile body sites; i.e. CSF, BC, or BF.</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ESBL detection</w:t>
            </w:r>
          </w:p>
        </w:tc>
        <w:tc>
          <w:tcPr>
            <w:tcW w:w="6480" w:type="dxa"/>
            <w:gridSpan w:val="6"/>
          </w:tcPr>
          <w:p w:rsidR="00105D4E" w:rsidRPr="008F320F" w:rsidRDefault="00105D4E">
            <w:pPr>
              <w:pStyle w:val="Custom2"/>
              <w:rPr>
                <w:b w:val="0"/>
                <w:bCs w:val="0"/>
                <w:i/>
                <w:iCs/>
                <w:color w:val="auto"/>
                <w:szCs w:val="20"/>
              </w:rPr>
            </w:pPr>
            <w:r w:rsidRPr="008F320F">
              <w:rPr>
                <w:b w:val="0"/>
                <w:bCs w:val="0"/>
                <w:color w:val="auto"/>
                <w:szCs w:val="20"/>
              </w:rPr>
              <w:t>This is performed on</w:t>
            </w:r>
            <w:r w:rsidRPr="008F320F">
              <w:rPr>
                <w:b w:val="0"/>
                <w:bCs w:val="0"/>
                <w:szCs w:val="20"/>
              </w:rPr>
              <w:t xml:space="preserve"> </w:t>
            </w:r>
            <w:r w:rsidR="00A75180">
              <w:rPr>
                <w:b w:val="0"/>
                <w:bCs w:val="0"/>
                <w:color w:val="auto"/>
                <w:szCs w:val="20"/>
              </w:rPr>
              <w:t>Vitek AST-GN95 card</w:t>
            </w:r>
            <w:r w:rsidRPr="008F320F">
              <w:rPr>
                <w:b w:val="0"/>
                <w:bCs w:val="0"/>
                <w:color w:val="auto"/>
                <w:szCs w:val="20"/>
              </w:rPr>
              <w:t xml:space="preserve"> for </w:t>
            </w:r>
            <w:r w:rsidRPr="008F320F">
              <w:rPr>
                <w:b w:val="0"/>
                <w:bCs w:val="0"/>
                <w:i/>
                <w:iCs/>
                <w:color w:val="auto"/>
                <w:szCs w:val="20"/>
              </w:rPr>
              <w:t>E. coli, K. pneumoniae, K. oxytoca.</w:t>
            </w:r>
          </w:p>
          <w:p w:rsidR="00105D4E" w:rsidRDefault="00105D4E">
            <w:pPr>
              <w:pStyle w:val="Custom2"/>
              <w:rPr>
                <w:b w:val="0"/>
                <w:bCs w:val="0"/>
                <w:color w:val="auto"/>
                <w:szCs w:val="20"/>
              </w:rPr>
            </w:pPr>
            <w:r w:rsidRPr="008F320F">
              <w:rPr>
                <w:b w:val="0"/>
                <w:bCs w:val="0"/>
                <w:color w:val="auto"/>
                <w:szCs w:val="20"/>
              </w:rPr>
              <w:t>If Vitek AES phenotype is ESBL or ESBL (CTX-M LIKE), report the ESBL as positive.</w:t>
            </w:r>
            <w:r w:rsidR="00A6579E">
              <w:rPr>
                <w:b w:val="0"/>
                <w:bCs w:val="0"/>
                <w:color w:val="auto"/>
                <w:szCs w:val="20"/>
              </w:rPr>
              <w:t xml:space="preserve"> </w:t>
            </w:r>
          </w:p>
          <w:p w:rsidR="005E525B" w:rsidRDefault="005E525B">
            <w:pPr>
              <w:pStyle w:val="Custom2"/>
              <w:rPr>
                <w:b w:val="0"/>
                <w:bCs w:val="0"/>
                <w:color w:val="auto"/>
                <w:szCs w:val="20"/>
              </w:rPr>
            </w:pPr>
            <w:r>
              <w:rPr>
                <w:b w:val="0"/>
                <w:bCs w:val="0"/>
                <w:color w:val="auto"/>
                <w:szCs w:val="20"/>
              </w:rPr>
              <w:t xml:space="preserve">Change bracketed [ ] results to R. Do not report MIC. </w:t>
            </w:r>
          </w:p>
          <w:p w:rsidR="00105D4E" w:rsidRDefault="00105D4E">
            <w:pPr>
              <w:pStyle w:val="Custom2"/>
              <w:rPr>
                <w:b w:val="0"/>
                <w:bCs w:val="0"/>
                <w:color w:val="auto"/>
                <w:sz w:val="16"/>
              </w:rPr>
            </w:pPr>
            <w:r w:rsidRPr="008F320F">
              <w:rPr>
                <w:b w:val="0"/>
                <w:bCs w:val="0"/>
                <w:color w:val="auto"/>
                <w:szCs w:val="20"/>
              </w:rPr>
              <w:t xml:space="preserve">For </w:t>
            </w:r>
            <w:r w:rsidRPr="008F320F">
              <w:rPr>
                <w:b w:val="0"/>
                <w:bCs w:val="0"/>
                <w:i/>
                <w:iCs/>
                <w:color w:val="auto"/>
                <w:szCs w:val="20"/>
              </w:rPr>
              <w:t xml:space="preserve">Proteus mirabilis:  </w:t>
            </w:r>
            <w:r w:rsidRPr="008F320F">
              <w:rPr>
                <w:b w:val="0"/>
                <w:bCs w:val="0"/>
                <w:color w:val="auto"/>
                <w:szCs w:val="20"/>
              </w:rPr>
              <w:t>Perform phenotypic disk confirmatory test if the Vitek AES reports an ESBL phenotype.</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3A062A">
            <w:pPr>
              <w:tabs>
                <w:tab w:val="left" w:pos="3382"/>
              </w:tabs>
              <w:rPr>
                <w:rFonts w:ascii="Arial" w:hAnsi="Arial" w:cs="Arial"/>
                <w:sz w:val="16"/>
              </w:rPr>
            </w:pPr>
            <w:r>
              <w:rPr>
                <w:rFonts w:ascii="Arial" w:hAnsi="Arial" w:cs="Arial"/>
                <w:b/>
                <w:bCs/>
                <w:sz w:val="16"/>
              </w:rPr>
              <w:t xml:space="preserve">Carbapenemase </w:t>
            </w:r>
            <w:r w:rsidR="00105D4E">
              <w:rPr>
                <w:rFonts w:ascii="Arial" w:hAnsi="Arial" w:cs="Arial"/>
                <w:b/>
                <w:bCs/>
                <w:sz w:val="16"/>
              </w:rPr>
              <w:t>detection</w:t>
            </w:r>
          </w:p>
        </w:tc>
        <w:tc>
          <w:tcPr>
            <w:tcW w:w="6480" w:type="dxa"/>
            <w:gridSpan w:val="6"/>
          </w:tcPr>
          <w:p w:rsidR="00105D4E" w:rsidRDefault="00105D4E" w:rsidP="003A062A">
            <w:pPr>
              <w:tabs>
                <w:tab w:val="left" w:pos="3382"/>
              </w:tabs>
              <w:jc w:val="left"/>
              <w:rPr>
                <w:rFonts w:ascii="Arial" w:hAnsi="Arial" w:cs="Arial"/>
                <w:sz w:val="16"/>
              </w:rPr>
            </w:pPr>
            <w:r w:rsidRPr="008F320F">
              <w:rPr>
                <w:rFonts w:ascii="Arial" w:hAnsi="Arial" w:cs="Arial"/>
                <w:sz w:val="20"/>
                <w:szCs w:val="20"/>
              </w:rPr>
              <w:t xml:space="preserve">If Vitek </w:t>
            </w:r>
            <w:r w:rsidR="00CA7F6B">
              <w:rPr>
                <w:rFonts w:ascii="Arial" w:hAnsi="Arial" w:cs="Arial"/>
                <w:sz w:val="20"/>
                <w:szCs w:val="20"/>
              </w:rPr>
              <w:t>AES phenotype is a possible Carbapenemase producer,</w:t>
            </w:r>
            <w:r w:rsidR="003A062A">
              <w:rPr>
                <w:rFonts w:ascii="Arial" w:hAnsi="Arial" w:cs="Arial"/>
                <w:sz w:val="20"/>
                <w:szCs w:val="20"/>
              </w:rPr>
              <w:t xml:space="preserve"> confirm by alternate method. </w:t>
            </w:r>
            <w:r w:rsidR="003A062A" w:rsidRPr="003A062A">
              <w:rPr>
                <w:rFonts w:ascii="Arial" w:hAnsi="Arial" w:cs="Arial"/>
                <w:sz w:val="20"/>
                <w:szCs w:val="20"/>
              </w:rPr>
              <w:t xml:space="preserve">Using current breakpoints, report </w:t>
            </w:r>
            <w:r w:rsidR="003A062A">
              <w:rPr>
                <w:rFonts w:ascii="Arial" w:hAnsi="Arial" w:cs="Arial"/>
                <w:sz w:val="20"/>
                <w:szCs w:val="20"/>
              </w:rPr>
              <w:t xml:space="preserve">MIC </w:t>
            </w:r>
            <w:r w:rsidR="003A062A" w:rsidRPr="003A062A">
              <w:rPr>
                <w:rFonts w:ascii="Arial" w:hAnsi="Arial" w:cs="Arial"/>
                <w:sz w:val="20"/>
                <w:szCs w:val="20"/>
              </w:rPr>
              <w:t>results as tested. Do no change interpretations</w:t>
            </w:r>
            <w:r w:rsidR="003A062A">
              <w:rPr>
                <w:rFonts w:ascii="Arial" w:hAnsi="Arial" w:cs="Arial"/>
                <w:sz w:val="20"/>
                <w:szCs w:val="20"/>
              </w:rPr>
              <w:t>. S</w:t>
            </w:r>
            <w:r w:rsidR="00BD18BA" w:rsidRPr="008F320F">
              <w:rPr>
                <w:rFonts w:ascii="Arial" w:hAnsi="Arial" w:cs="Arial"/>
                <w:sz w:val="20"/>
                <w:szCs w:val="20"/>
              </w:rPr>
              <w:t xml:space="preserve">end </w:t>
            </w:r>
            <w:r w:rsidRPr="008F320F">
              <w:rPr>
                <w:rFonts w:ascii="Arial" w:hAnsi="Arial" w:cs="Arial"/>
                <w:sz w:val="20"/>
                <w:szCs w:val="20"/>
              </w:rPr>
              <w:t>to</w:t>
            </w:r>
            <w:r w:rsidR="004D2A8A" w:rsidRPr="008F320F">
              <w:rPr>
                <w:rFonts w:ascii="Arial" w:hAnsi="Arial" w:cs="Arial"/>
                <w:sz w:val="20"/>
                <w:szCs w:val="20"/>
              </w:rPr>
              <w:t xml:space="preserve"> MDH</w:t>
            </w:r>
            <w:r w:rsidRPr="008F320F">
              <w:rPr>
                <w:rFonts w:ascii="Arial" w:hAnsi="Arial" w:cs="Arial"/>
                <w:sz w:val="20"/>
                <w:szCs w:val="20"/>
              </w:rPr>
              <w:t xml:space="preserve"> </w:t>
            </w:r>
            <w:r w:rsidR="00CA7F6B">
              <w:rPr>
                <w:rFonts w:ascii="Arial" w:hAnsi="Arial" w:cs="Arial"/>
                <w:sz w:val="20"/>
                <w:szCs w:val="20"/>
              </w:rPr>
              <w:t>Project 1380</w:t>
            </w:r>
            <w:r w:rsidR="004D2A8A" w:rsidRPr="008F320F">
              <w:rPr>
                <w:rFonts w:ascii="Arial" w:hAnsi="Arial" w:cs="Arial"/>
                <w:sz w:val="20"/>
                <w:szCs w:val="20"/>
              </w:rPr>
              <w:t xml:space="preserve">, </w:t>
            </w:r>
            <w:r w:rsidR="00CA7F6B">
              <w:rPr>
                <w:rFonts w:ascii="Arial" w:hAnsi="Arial" w:cs="Arial"/>
                <w:sz w:val="20"/>
                <w:szCs w:val="20"/>
              </w:rPr>
              <w:t>using the Clinical Isolate Submission Form.</w:t>
            </w:r>
            <w:r w:rsidR="003A062A" w:rsidRPr="003A062A">
              <w:rPr>
                <w:rFonts w:ascii="Arial" w:hAnsi="Arial" w:cs="Arial"/>
                <w:sz w:val="20"/>
                <w:szCs w:val="20"/>
              </w:rPr>
              <w:t xml:space="preserve"> </w:t>
            </w:r>
            <w:r w:rsidR="00CA7F6B" w:rsidRPr="003A062A">
              <w:rPr>
                <w:rFonts w:ascii="Arial" w:hAnsi="Arial" w:cs="Arial"/>
                <w:sz w:val="20"/>
                <w:szCs w:val="20"/>
              </w:rPr>
              <w:t>If MDH results are positive for Carbapenemase Producer,</w:t>
            </w:r>
            <w:r w:rsidR="003A062A" w:rsidRPr="003A062A">
              <w:rPr>
                <w:rFonts w:ascii="Arial" w:hAnsi="Arial" w:cs="Arial"/>
                <w:sz w:val="20"/>
                <w:szCs w:val="20"/>
              </w:rPr>
              <w:t xml:space="preserve"> </w:t>
            </w:r>
            <w:r w:rsidR="003A062A">
              <w:rPr>
                <w:rFonts w:ascii="Arial" w:hAnsi="Arial" w:cs="Arial"/>
                <w:sz w:val="20"/>
                <w:szCs w:val="20"/>
              </w:rPr>
              <w:t>add code (KPC, NDM, etc.) to organism.</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rsidP="003B59A3">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w:t>
            </w:r>
            <w:r w:rsidR="00643D0F">
              <w:rPr>
                <w:rFonts w:ascii="Arial" w:hAnsi="Arial" w:cs="Arial"/>
                <w:sz w:val="20"/>
                <w:szCs w:val="20"/>
              </w:rPr>
              <w:t>67 card</w:t>
            </w:r>
            <w:r w:rsidRPr="008F320F">
              <w:rPr>
                <w:rFonts w:ascii="Arial" w:hAnsi="Arial" w:cs="Arial"/>
                <w:sz w:val="20"/>
                <w:szCs w:val="20"/>
              </w:rPr>
              <w:t xml:space="preserve">.  Gentamycin synergy (GMSS) is reported on systemic </w:t>
            </w:r>
            <w:r w:rsidR="00643D0F" w:rsidRPr="008F320F">
              <w:rPr>
                <w:rFonts w:ascii="Arial" w:hAnsi="Arial" w:cs="Arial"/>
                <w:sz w:val="20"/>
                <w:szCs w:val="20"/>
              </w:rPr>
              <w:t>enterococcus</w:t>
            </w:r>
            <w:r w:rsidRPr="008F320F">
              <w:rPr>
                <w:rFonts w:ascii="Arial" w:hAnsi="Arial" w:cs="Arial"/>
                <w:sz w:val="20"/>
                <w:szCs w:val="20"/>
              </w:rPr>
              <w:t xml:space="preserve"> isolates.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rsidP="00643D0F">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g/ml or higher, confirm with Etes</w:t>
            </w:r>
            <w:r w:rsidR="00643D0F">
              <w:rPr>
                <w:rFonts w:ascii="Arial" w:hAnsi="Arial" w:cs="Arial"/>
                <w:sz w:val="20"/>
                <w:szCs w:val="20"/>
              </w:rPr>
              <w:t xml:space="preserve">t vancomycin strip and perform MALDI </w:t>
            </w:r>
            <w:r w:rsidRPr="008F320F">
              <w:rPr>
                <w:rFonts w:ascii="Arial" w:hAnsi="Arial" w:cs="Arial"/>
                <w:sz w:val="20"/>
                <w:szCs w:val="20"/>
              </w:rPr>
              <w:t xml:space="preserve">for identification to distinguish species </w:t>
            </w:r>
            <w:r w:rsidR="00643D0F">
              <w:rPr>
                <w:rFonts w:ascii="Arial" w:hAnsi="Arial" w:cs="Arial"/>
                <w:sz w:val="20"/>
                <w:szCs w:val="20"/>
              </w:rPr>
              <w:t xml:space="preserve">from those </w:t>
            </w:r>
            <w:r w:rsidRPr="008F320F">
              <w:rPr>
                <w:rFonts w:ascii="Arial" w:hAnsi="Arial" w:cs="Arial"/>
                <w:sz w:val="20"/>
                <w:szCs w:val="20"/>
              </w:rPr>
              <w:t>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00643D0F">
              <w:rPr>
                <w:rFonts w:ascii="Arial" w:hAnsi="Arial" w:cs="Arial"/>
                <w:i/>
                <w:iCs/>
                <w:sz w:val="20"/>
                <w:szCs w:val="20"/>
              </w:rPr>
              <w:t xml:space="preserve">) </w:t>
            </w:r>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00643D0F">
              <w:rPr>
                <w:rFonts w:ascii="Arial" w:hAnsi="Arial" w:cs="Arial"/>
                <w:sz w:val="20"/>
                <w:szCs w:val="20"/>
              </w:rPr>
              <w:t xml:space="preserve">.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r w:rsidR="00FC0F4E" w:rsidRPr="008F320F">
              <w:rPr>
                <w:rFonts w:ascii="Arial" w:hAnsi="Arial"/>
                <w:iCs/>
                <w:sz w:val="20"/>
                <w:szCs w:val="20"/>
              </w:rPr>
              <w:t>Tetracycline’s</w:t>
            </w:r>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Update Salmonella drugs to include Nalidixic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Pen Etest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bookmarkStart w:id="0" w:name="_GoBack"/>
            <w:bookmarkEnd w:id="0"/>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r w:rsidR="003B59A3">
        <w:trPr>
          <w:cantSplit/>
          <w:trHeight w:val="288"/>
        </w:trPr>
        <w:tc>
          <w:tcPr>
            <w:tcW w:w="2088" w:type="dxa"/>
            <w:tcBorders>
              <w:top w:val="nil"/>
              <w:left w:val="nil"/>
              <w:bottom w:val="nil"/>
              <w:right w:val="single" w:sz="4" w:space="0" w:color="auto"/>
            </w:tcBorders>
          </w:tcPr>
          <w:p w:rsidR="003B59A3" w:rsidRDefault="003B59A3">
            <w:pPr>
              <w:pStyle w:val="Custom2"/>
              <w:rPr>
                <w:sz w:val="16"/>
              </w:rPr>
            </w:pPr>
          </w:p>
        </w:tc>
        <w:tc>
          <w:tcPr>
            <w:tcW w:w="1080" w:type="dxa"/>
            <w:tcBorders>
              <w:left w:val="single" w:sz="4" w:space="0" w:color="auto"/>
            </w:tcBorders>
          </w:tcPr>
          <w:p w:rsidR="003B59A3" w:rsidRDefault="003B59A3">
            <w:pPr>
              <w:rPr>
                <w:rFonts w:ascii="Arial" w:hAnsi="Arial" w:cs="Arial"/>
                <w:sz w:val="16"/>
              </w:rPr>
            </w:pPr>
            <w:r>
              <w:rPr>
                <w:rFonts w:ascii="Arial" w:hAnsi="Arial" w:cs="Arial"/>
                <w:sz w:val="16"/>
              </w:rPr>
              <w:t>7</w:t>
            </w:r>
          </w:p>
        </w:tc>
        <w:tc>
          <w:tcPr>
            <w:tcW w:w="3060" w:type="dxa"/>
            <w:gridSpan w:val="3"/>
            <w:tcBorders>
              <w:left w:val="single" w:sz="4" w:space="0" w:color="auto"/>
            </w:tcBorders>
          </w:tcPr>
          <w:p w:rsidR="003B59A3" w:rsidRDefault="003B59A3">
            <w:pPr>
              <w:rPr>
                <w:rFonts w:ascii="Arial" w:hAnsi="Arial" w:cs="Arial"/>
                <w:sz w:val="16"/>
              </w:rPr>
            </w:pPr>
            <w:r>
              <w:rPr>
                <w:rFonts w:ascii="Arial" w:hAnsi="Arial" w:cs="Arial"/>
                <w:sz w:val="16"/>
              </w:rPr>
              <w:t>Susan DeMeyere</w:t>
            </w:r>
          </w:p>
        </w:tc>
        <w:tc>
          <w:tcPr>
            <w:tcW w:w="1080" w:type="dxa"/>
            <w:tcBorders>
              <w:left w:val="single" w:sz="4" w:space="0" w:color="auto"/>
            </w:tcBorders>
          </w:tcPr>
          <w:p w:rsidR="003B59A3" w:rsidRDefault="007D0DDA">
            <w:pPr>
              <w:rPr>
                <w:rFonts w:ascii="Arial" w:hAnsi="Arial" w:cs="Arial"/>
                <w:sz w:val="16"/>
              </w:rPr>
            </w:pPr>
            <w:r>
              <w:rPr>
                <w:rFonts w:ascii="Arial" w:hAnsi="Arial" w:cs="Arial"/>
                <w:sz w:val="16"/>
              </w:rPr>
              <w:t>10</w:t>
            </w:r>
            <w:r w:rsidR="00B2187D">
              <w:rPr>
                <w:rFonts w:ascii="Arial" w:hAnsi="Arial" w:cs="Arial"/>
                <w:sz w:val="16"/>
              </w:rPr>
              <w:t>/2</w:t>
            </w:r>
            <w:r>
              <w:rPr>
                <w:rFonts w:ascii="Arial" w:hAnsi="Arial" w:cs="Arial"/>
                <w:sz w:val="16"/>
              </w:rPr>
              <w:t>0</w:t>
            </w:r>
            <w:r w:rsidR="003B59A3">
              <w:rPr>
                <w:rFonts w:ascii="Arial" w:hAnsi="Arial" w:cs="Arial"/>
                <w:sz w:val="16"/>
              </w:rPr>
              <w:t>/2020</w:t>
            </w:r>
          </w:p>
        </w:tc>
        <w:tc>
          <w:tcPr>
            <w:tcW w:w="3240" w:type="dxa"/>
            <w:gridSpan w:val="3"/>
            <w:tcBorders>
              <w:left w:val="single" w:sz="4" w:space="0" w:color="auto"/>
            </w:tcBorders>
          </w:tcPr>
          <w:p w:rsidR="003B59A3" w:rsidRDefault="003B59A3">
            <w:pPr>
              <w:rPr>
                <w:rFonts w:ascii="Arial" w:hAnsi="Arial" w:cs="Arial"/>
                <w:sz w:val="16"/>
              </w:rPr>
            </w:pPr>
            <w:r>
              <w:rPr>
                <w:rFonts w:ascii="Arial" w:hAnsi="Arial" w:cs="Arial"/>
                <w:sz w:val="16"/>
              </w:rPr>
              <w:t>Added ST02 card. Removed confirmation of resistant Gent synergy on Enterococcus.</w:t>
            </w:r>
            <w:r w:rsidR="00043C39">
              <w:rPr>
                <w:rFonts w:ascii="Arial" w:hAnsi="Arial" w:cs="Arial"/>
                <w:sz w:val="16"/>
              </w:rPr>
              <w:t xml:space="preserve"> Added Pasteurella susceptibilities be sent to U of M.</w:t>
            </w:r>
          </w:p>
        </w:tc>
      </w:tr>
    </w:tbl>
    <w:p w:rsidR="00105D4E" w:rsidRDefault="00105D4E">
      <w:pPr>
        <w:pStyle w:val="Custom2"/>
        <w:rPr>
          <w:sz w:val="16"/>
        </w:rPr>
      </w:pPr>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F0" w:rsidRDefault="00CA1DF0">
      <w:r>
        <w:separator/>
      </w:r>
    </w:p>
  </w:endnote>
  <w:endnote w:type="continuationSeparator" w:id="0">
    <w:p w:rsidR="00CA1DF0" w:rsidRDefault="00CA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0" w:rsidRDefault="00CA1DF0">
    <w:pPr>
      <w:ind w:left="-1260" w:right="-1260"/>
      <w:rPr>
        <w:rFonts w:ascii="Arial" w:hAnsi="Arial" w:cs="Arial"/>
        <w:sz w:val="16"/>
      </w:rPr>
    </w:pPr>
    <w:r>
      <w:rPr>
        <w:rFonts w:ascii="Arial" w:hAnsi="Arial" w:cs="Arial"/>
        <w:sz w:val="16"/>
      </w:rPr>
      <w:tab/>
    </w:r>
  </w:p>
  <w:p w:rsidR="00CA1DF0" w:rsidRPr="009F4FE5" w:rsidRDefault="00CA1DF0"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7D0DDA">
      <w:rPr>
        <w:rFonts w:ascii="Arial" w:hAnsi="Arial" w:cs="Arial"/>
        <w:noProof/>
        <w:sz w:val="16"/>
        <w:szCs w:val="16"/>
      </w:rPr>
      <w:t>3</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7D0DDA">
      <w:rPr>
        <w:rFonts w:ascii="Arial" w:hAnsi="Arial" w:cs="Arial"/>
        <w:noProof/>
        <w:sz w:val="16"/>
        <w:szCs w:val="16"/>
      </w:rPr>
      <w:t>5</w:t>
    </w:r>
    <w:r w:rsidRPr="009F4FE5">
      <w:rPr>
        <w:rFonts w:ascii="Arial" w:hAnsi="Arial" w:cs="Arial"/>
        <w:sz w:val="16"/>
        <w:szCs w:val="16"/>
      </w:rPr>
      <w:fldChar w:fldCharType="end"/>
    </w:r>
  </w:p>
  <w:p w:rsidR="00CA1DF0" w:rsidRPr="009F4FE5" w:rsidRDefault="00CA1DF0"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CA1DF0" w:rsidRPr="009F4FE5" w:rsidRDefault="00CA1DF0">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F0" w:rsidRDefault="00CA1DF0">
      <w:r>
        <w:separator/>
      </w:r>
    </w:p>
  </w:footnote>
  <w:footnote w:type="continuationSeparator" w:id="0">
    <w:p w:rsidR="00CA1DF0" w:rsidRDefault="00CA1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0" w:rsidRDefault="00CA1DF0"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5503B6" w:rsidRDefault="006D06CA" w:rsidP="001B5689">
    <w:pPr>
      <w:pStyle w:val="BlockText"/>
      <w:ind w:left="0"/>
    </w:pPr>
    <w:r>
      <w:t>Version 7</w:t>
    </w:r>
  </w:p>
  <w:p w:rsidR="00CA1DF0" w:rsidRDefault="007D0DDA" w:rsidP="001B5689">
    <w:pPr>
      <w:pStyle w:val="BlockText"/>
      <w:ind w:left="0"/>
    </w:pPr>
    <w:r>
      <w:t>Effective Date:  10</w:t>
    </w:r>
    <w:r w:rsidR="00B2187D">
      <w:t>/2</w:t>
    </w:r>
    <w:r>
      <w:t>0</w:t>
    </w:r>
    <w:r w:rsidR="00B2187D">
      <w:t>/</w:t>
    </w:r>
    <w:r w:rsidR="006D06CA">
      <w:t>2020</w:t>
    </w:r>
    <w:r w:rsidR="00CA1DF0">
      <w:tab/>
    </w:r>
    <w:r w:rsidR="00CA1DF0">
      <w:tab/>
    </w:r>
    <w:r w:rsidR="00CA1DF0">
      <w:tab/>
    </w:r>
    <w:r w:rsidR="00CA1DF0">
      <w:tab/>
    </w:r>
    <w:r w:rsidR="00CA1DF0">
      <w:tab/>
    </w:r>
    <w:r w:rsidR="00CA1DF0">
      <w:tab/>
    </w:r>
    <w:r w:rsidR="00CA1DF0">
      <w:tab/>
    </w:r>
    <w:r w:rsidR="00CA1DF0">
      <w:tab/>
    </w:r>
    <w:r w:rsidR="00CA1DF0">
      <w:tab/>
    </w:r>
  </w:p>
  <w:p w:rsidR="00CA1DF0" w:rsidRPr="001B5689" w:rsidRDefault="00CA1DF0"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8"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4"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5"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8"/>
  </w:num>
  <w:num w:numId="2">
    <w:abstractNumId w:val="17"/>
  </w:num>
  <w:num w:numId="3">
    <w:abstractNumId w:val="35"/>
  </w:num>
  <w:num w:numId="4">
    <w:abstractNumId w:val="3"/>
  </w:num>
  <w:num w:numId="5">
    <w:abstractNumId w:val="0"/>
  </w:num>
  <w:num w:numId="6">
    <w:abstractNumId w:val="24"/>
  </w:num>
  <w:num w:numId="7">
    <w:abstractNumId w:val="8"/>
  </w:num>
  <w:num w:numId="8">
    <w:abstractNumId w:val="14"/>
  </w:num>
  <w:num w:numId="9">
    <w:abstractNumId w:val="26"/>
  </w:num>
  <w:num w:numId="10">
    <w:abstractNumId w:val="12"/>
  </w:num>
  <w:num w:numId="11">
    <w:abstractNumId w:val="2"/>
  </w:num>
  <w:num w:numId="12">
    <w:abstractNumId w:val="13"/>
  </w:num>
  <w:num w:numId="13">
    <w:abstractNumId w:val="23"/>
  </w:num>
  <w:num w:numId="14">
    <w:abstractNumId w:val="5"/>
  </w:num>
  <w:num w:numId="15">
    <w:abstractNumId w:val="4"/>
  </w:num>
  <w:num w:numId="16">
    <w:abstractNumId w:val="6"/>
  </w:num>
  <w:num w:numId="17">
    <w:abstractNumId w:val="15"/>
  </w:num>
  <w:num w:numId="18">
    <w:abstractNumId w:val="29"/>
  </w:num>
  <w:num w:numId="19">
    <w:abstractNumId w:val="1"/>
  </w:num>
  <w:num w:numId="20">
    <w:abstractNumId w:val="7"/>
  </w:num>
  <w:num w:numId="21">
    <w:abstractNumId w:val="25"/>
  </w:num>
  <w:num w:numId="22">
    <w:abstractNumId w:val="33"/>
  </w:num>
  <w:num w:numId="23">
    <w:abstractNumId w:val="37"/>
  </w:num>
  <w:num w:numId="24">
    <w:abstractNumId w:val="34"/>
  </w:num>
  <w:num w:numId="25">
    <w:abstractNumId w:val="36"/>
  </w:num>
  <w:num w:numId="26">
    <w:abstractNumId w:val="20"/>
  </w:num>
  <w:num w:numId="27">
    <w:abstractNumId w:val="9"/>
  </w:num>
  <w:num w:numId="28">
    <w:abstractNumId w:val="19"/>
  </w:num>
  <w:num w:numId="29">
    <w:abstractNumId w:val="32"/>
  </w:num>
  <w:num w:numId="30">
    <w:abstractNumId w:val="21"/>
  </w:num>
  <w:num w:numId="31">
    <w:abstractNumId w:val="18"/>
  </w:num>
  <w:num w:numId="32">
    <w:abstractNumId w:val="22"/>
  </w:num>
  <w:num w:numId="33">
    <w:abstractNumId w:val="30"/>
  </w:num>
  <w:num w:numId="34">
    <w:abstractNumId w:val="11"/>
  </w:num>
  <w:num w:numId="35">
    <w:abstractNumId w:val="27"/>
  </w:num>
  <w:num w:numId="36">
    <w:abstractNumId w:val="10"/>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43C39"/>
    <w:rsid w:val="00047D86"/>
    <w:rsid w:val="000633BC"/>
    <w:rsid w:val="000770E0"/>
    <w:rsid w:val="00082E4C"/>
    <w:rsid w:val="000B2F1E"/>
    <w:rsid w:val="000F7C8E"/>
    <w:rsid w:val="00105D4E"/>
    <w:rsid w:val="00122CF2"/>
    <w:rsid w:val="001266F8"/>
    <w:rsid w:val="00133C99"/>
    <w:rsid w:val="00147AB1"/>
    <w:rsid w:val="001829E0"/>
    <w:rsid w:val="001863EB"/>
    <w:rsid w:val="00195CF1"/>
    <w:rsid w:val="001B5689"/>
    <w:rsid w:val="001C3C88"/>
    <w:rsid w:val="001E4BE9"/>
    <w:rsid w:val="001F68F8"/>
    <w:rsid w:val="002035D4"/>
    <w:rsid w:val="002350C4"/>
    <w:rsid w:val="00254652"/>
    <w:rsid w:val="0026778A"/>
    <w:rsid w:val="00270D02"/>
    <w:rsid w:val="0029303D"/>
    <w:rsid w:val="002D1D43"/>
    <w:rsid w:val="002D6698"/>
    <w:rsid w:val="002E30B1"/>
    <w:rsid w:val="002E5E9F"/>
    <w:rsid w:val="002E7585"/>
    <w:rsid w:val="002E7DE5"/>
    <w:rsid w:val="002F294E"/>
    <w:rsid w:val="00343EB3"/>
    <w:rsid w:val="003846E3"/>
    <w:rsid w:val="00390C9D"/>
    <w:rsid w:val="00394559"/>
    <w:rsid w:val="00395036"/>
    <w:rsid w:val="003A062A"/>
    <w:rsid w:val="003B59A3"/>
    <w:rsid w:val="003C1F26"/>
    <w:rsid w:val="003C44D0"/>
    <w:rsid w:val="003C6575"/>
    <w:rsid w:val="003C7C9F"/>
    <w:rsid w:val="00411E0F"/>
    <w:rsid w:val="00425A4B"/>
    <w:rsid w:val="004312F9"/>
    <w:rsid w:val="00452805"/>
    <w:rsid w:val="004627E3"/>
    <w:rsid w:val="00467ACF"/>
    <w:rsid w:val="00472245"/>
    <w:rsid w:val="004A2D01"/>
    <w:rsid w:val="004D2A8A"/>
    <w:rsid w:val="004E6DC4"/>
    <w:rsid w:val="005503B6"/>
    <w:rsid w:val="00571C65"/>
    <w:rsid w:val="00576BCF"/>
    <w:rsid w:val="0059727F"/>
    <w:rsid w:val="005B20C2"/>
    <w:rsid w:val="005B5A7A"/>
    <w:rsid w:val="005E525B"/>
    <w:rsid w:val="006059E5"/>
    <w:rsid w:val="00635A91"/>
    <w:rsid w:val="00641DFD"/>
    <w:rsid w:val="00643D0F"/>
    <w:rsid w:val="006668A0"/>
    <w:rsid w:val="006B5902"/>
    <w:rsid w:val="006D06CA"/>
    <w:rsid w:val="006E7A1C"/>
    <w:rsid w:val="006F4F4C"/>
    <w:rsid w:val="007372B7"/>
    <w:rsid w:val="00766D9E"/>
    <w:rsid w:val="007C771A"/>
    <w:rsid w:val="007D0DDA"/>
    <w:rsid w:val="00803073"/>
    <w:rsid w:val="0085025A"/>
    <w:rsid w:val="008A7DBE"/>
    <w:rsid w:val="008C22BB"/>
    <w:rsid w:val="008D3FA1"/>
    <w:rsid w:val="008E2DCD"/>
    <w:rsid w:val="008F320F"/>
    <w:rsid w:val="009267C8"/>
    <w:rsid w:val="0093037C"/>
    <w:rsid w:val="00940F7B"/>
    <w:rsid w:val="00944542"/>
    <w:rsid w:val="0095796B"/>
    <w:rsid w:val="009A3D65"/>
    <w:rsid w:val="009C6DF8"/>
    <w:rsid w:val="009F4FE5"/>
    <w:rsid w:val="00A039B7"/>
    <w:rsid w:val="00A14F60"/>
    <w:rsid w:val="00A17FA2"/>
    <w:rsid w:val="00A42C2A"/>
    <w:rsid w:val="00A62601"/>
    <w:rsid w:val="00A6579E"/>
    <w:rsid w:val="00A728C2"/>
    <w:rsid w:val="00A75180"/>
    <w:rsid w:val="00AD159C"/>
    <w:rsid w:val="00B01AB9"/>
    <w:rsid w:val="00B2187D"/>
    <w:rsid w:val="00B36B7C"/>
    <w:rsid w:val="00B61D5D"/>
    <w:rsid w:val="00B94764"/>
    <w:rsid w:val="00B9546B"/>
    <w:rsid w:val="00BC7450"/>
    <w:rsid w:val="00BD18BA"/>
    <w:rsid w:val="00BE33EF"/>
    <w:rsid w:val="00BE4869"/>
    <w:rsid w:val="00C019DA"/>
    <w:rsid w:val="00C22BD5"/>
    <w:rsid w:val="00C53CEC"/>
    <w:rsid w:val="00C602D9"/>
    <w:rsid w:val="00C65B8D"/>
    <w:rsid w:val="00C74E4D"/>
    <w:rsid w:val="00C9005B"/>
    <w:rsid w:val="00CA1DF0"/>
    <w:rsid w:val="00CA4E42"/>
    <w:rsid w:val="00CA7F6B"/>
    <w:rsid w:val="00CD7EAA"/>
    <w:rsid w:val="00CF2497"/>
    <w:rsid w:val="00D125FA"/>
    <w:rsid w:val="00D75572"/>
    <w:rsid w:val="00D832F6"/>
    <w:rsid w:val="00DC4C0A"/>
    <w:rsid w:val="00DE4E41"/>
    <w:rsid w:val="00DF3D07"/>
    <w:rsid w:val="00ED16E5"/>
    <w:rsid w:val="00ED3BC5"/>
    <w:rsid w:val="00F038E3"/>
    <w:rsid w:val="00F171F6"/>
    <w:rsid w:val="00F20F85"/>
    <w:rsid w:val="00F311F8"/>
    <w:rsid w:val="00F451C7"/>
    <w:rsid w:val="00F85906"/>
    <w:rsid w:val="00FC0F4E"/>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C438-1640-4ABF-88A7-2F4AC279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1601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12191</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19</cp:revision>
  <cp:lastPrinted>2015-07-24T15:25:00Z</cp:lastPrinted>
  <dcterms:created xsi:type="dcterms:W3CDTF">2020-08-12T16:53:00Z</dcterms:created>
  <dcterms:modified xsi:type="dcterms:W3CDTF">2020-10-20T18:15:00Z</dcterms:modified>
</cp:coreProperties>
</file>