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rsidTr="00E3253B">
        <w:trPr>
          <w:tblHeader/>
        </w:trPr>
        <w:tc>
          <w:tcPr>
            <w:tcW w:w="11160" w:type="dxa"/>
            <w:gridSpan w:val="7"/>
            <w:tcBorders>
              <w:top w:val="nil"/>
              <w:left w:val="nil"/>
              <w:bottom w:val="nil"/>
              <w:right w:val="nil"/>
            </w:tcBorders>
          </w:tcPr>
          <w:p w:rsidR="00E3253B" w:rsidRDefault="005217B0">
            <w:pPr>
              <w:rPr>
                <w:rFonts w:cs="Arial"/>
                <w:b/>
                <w:bCs/>
                <w:color w:val="0000FF"/>
                <w:sz w:val="36"/>
              </w:rPr>
            </w:pPr>
            <w:r>
              <w:rPr>
                <w:rFonts w:cs="Arial"/>
                <w:b/>
                <w:bCs/>
                <w:color w:val="0000FF"/>
                <w:sz w:val="36"/>
              </w:rPr>
              <w:t>Albumin BCG</w:t>
            </w:r>
          </w:p>
          <w:p w:rsidR="00E3253B" w:rsidRDefault="00E3253B">
            <w:pPr>
              <w:rPr>
                <w:rFonts w:cs="Arial"/>
                <w:b/>
                <w:bCs/>
                <w:color w:val="0000FF"/>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rsidR="00E3253B" w:rsidRPr="00DC7421" w:rsidRDefault="00E3253B" w:rsidP="00F63DA5">
            <w:pPr>
              <w:autoSpaceDE w:val="0"/>
              <w:autoSpaceDN w:val="0"/>
              <w:adjustRightInd w:val="0"/>
              <w:rPr>
                <w:rStyle w:val="A7"/>
                <w:rFonts w:cs="Arial"/>
                <w:b w:val="0"/>
                <w:bCs w:val="0"/>
                <w:sz w:val="20"/>
                <w:szCs w:val="20"/>
              </w:rPr>
            </w:pPr>
            <w:r w:rsidRPr="00DC7421">
              <w:rPr>
                <w:rStyle w:val="A7"/>
                <w:rFonts w:cs="Arial"/>
                <w:b w:val="0"/>
                <w:bCs w:val="0"/>
                <w:sz w:val="20"/>
                <w:szCs w:val="20"/>
              </w:rPr>
              <w:t>This procedure provi</w:t>
            </w:r>
            <w:r w:rsidR="009D085B" w:rsidRPr="00DC7421">
              <w:rPr>
                <w:rStyle w:val="A7"/>
                <w:rFonts w:cs="Arial"/>
                <w:b w:val="0"/>
                <w:bCs w:val="0"/>
                <w:sz w:val="20"/>
                <w:szCs w:val="20"/>
              </w:rPr>
              <w:t>des instructions for ALBUMIN BROMCRESOL GREEN (BCG) ON ABBOTT INSTRUMEN</w:t>
            </w:r>
            <w:r w:rsidR="003A3AD6">
              <w:rPr>
                <w:rStyle w:val="A7"/>
                <w:rFonts w:cs="Arial"/>
                <w:b w:val="0"/>
                <w:bCs w:val="0"/>
                <w:sz w:val="20"/>
                <w:szCs w:val="20"/>
              </w:rPr>
              <w:t>T</w:t>
            </w:r>
            <w:r w:rsidR="009D085B" w:rsidRPr="00DC7421">
              <w:rPr>
                <w:rStyle w:val="A7"/>
                <w:rFonts w:cs="Arial"/>
                <w:b w:val="0"/>
                <w:bCs w:val="0"/>
                <w:sz w:val="20"/>
                <w:szCs w:val="20"/>
              </w:rPr>
              <w:t>ATION</w:t>
            </w:r>
            <w:r w:rsidRPr="00DC7421">
              <w:rPr>
                <w:rStyle w:val="A7"/>
                <w:rFonts w:cs="Arial"/>
                <w:b w:val="0"/>
                <w:bCs w:val="0"/>
                <w:sz w:val="20"/>
                <w:szCs w:val="20"/>
              </w:rPr>
              <w:t>.</w:t>
            </w:r>
            <w:r w:rsidR="00E93074" w:rsidRPr="00DC7421">
              <w:rPr>
                <w:rFonts w:cs="Arial"/>
                <w:szCs w:val="20"/>
              </w:rPr>
              <w:t xml:space="preserve"> </w:t>
            </w:r>
            <w:r w:rsidR="009D085B" w:rsidRPr="00DC7421">
              <w:rPr>
                <w:rFonts w:cs="Arial"/>
                <w:szCs w:val="20"/>
              </w:rPr>
              <w:t xml:space="preserve"> The Albumin BCG</w:t>
            </w:r>
            <w:r w:rsidR="00E93074" w:rsidRPr="00DC7421">
              <w:rPr>
                <w:rFonts w:cs="Arial"/>
                <w:szCs w:val="20"/>
              </w:rPr>
              <w:t xml:space="preserve"> method is an </w:t>
            </w:r>
            <w:r w:rsidR="00E93074" w:rsidRPr="00DC7421">
              <w:rPr>
                <w:rFonts w:cs="Arial"/>
                <w:i/>
                <w:iCs/>
                <w:szCs w:val="20"/>
              </w:rPr>
              <w:t xml:space="preserve">in vitro </w:t>
            </w:r>
            <w:r w:rsidR="00E93074" w:rsidRPr="00DC7421">
              <w:rPr>
                <w:rFonts w:cs="Arial"/>
                <w:szCs w:val="20"/>
              </w:rPr>
              <w:t>diagnostic test for the quantitative measurement of albumin</w:t>
            </w:r>
            <w:r w:rsidR="00F63DA5" w:rsidRPr="00DC7421">
              <w:rPr>
                <w:rFonts w:cs="Arial"/>
                <w:szCs w:val="20"/>
              </w:rPr>
              <w:t xml:space="preserve"> </w:t>
            </w:r>
            <w:r w:rsidR="00E93074" w:rsidRPr="00DC7421">
              <w:rPr>
                <w:rFonts w:cs="Arial"/>
                <w:szCs w:val="20"/>
              </w:rPr>
              <w:t>in h</w:t>
            </w:r>
            <w:r w:rsidR="005C6F36" w:rsidRPr="00DC7421">
              <w:rPr>
                <w:rFonts w:cs="Arial"/>
                <w:szCs w:val="20"/>
              </w:rPr>
              <w:t xml:space="preserve">uman serum and plasma on the Abbott Architect c4000 or Abbott Alinity c </w:t>
            </w:r>
            <w:r w:rsidR="00B11633" w:rsidRPr="00DC7421">
              <w:rPr>
                <w:rFonts w:cs="Arial"/>
                <w:szCs w:val="20"/>
              </w:rPr>
              <w:t xml:space="preserve">automated </w:t>
            </w:r>
            <w:r w:rsidR="005C6F36" w:rsidRPr="00DC7421">
              <w:rPr>
                <w:rFonts w:cs="Arial"/>
                <w:szCs w:val="20"/>
              </w:rPr>
              <w:t>chemistry analyzers.</w:t>
            </w:r>
          </w:p>
          <w:p w:rsidR="00E3253B" w:rsidRPr="00DC7421"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rsidR="00E3253B" w:rsidRPr="00DC7421" w:rsidRDefault="00E3253B">
            <w:pPr>
              <w:rPr>
                <w:rFonts w:cs="Arial"/>
                <w:szCs w:val="20"/>
              </w:rPr>
            </w:pPr>
            <w:r w:rsidRPr="00DC7421">
              <w:rPr>
                <w:rFonts w:cs="Arial"/>
                <w:szCs w:val="20"/>
              </w:rPr>
              <w:t>This procedure applies to all personnel responsible f</w:t>
            </w:r>
            <w:r w:rsidR="005C6F36" w:rsidRPr="00DC7421">
              <w:rPr>
                <w:rFonts w:cs="Arial"/>
                <w:szCs w:val="20"/>
              </w:rPr>
              <w:t>or operating the Abbott Architect c4000</w:t>
            </w:r>
            <w:r w:rsidRPr="00DC7421">
              <w:rPr>
                <w:rFonts w:cs="Arial"/>
                <w:szCs w:val="20"/>
              </w:rPr>
              <w:t xml:space="preserve"> </w:t>
            </w:r>
            <w:r w:rsidR="005C6F36" w:rsidRPr="00DC7421">
              <w:rPr>
                <w:rFonts w:cs="Arial"/>
                <w:szCs w:val="20"/>
              </w:rPr>
              <w:t xml:space="preserve">or Abbott Alinity c at Children’s Minnesota Laboratory.  </w:t>
            </w:r>
            <w:r w:rsidRPr="00DC7421">
              <w:rPr>
                <w:rFonts w:cs="Arial"/>
                <w:szCs w:val="20"/>
              </w:rPr>
              <w:t xml:space="preserve"> </w:t>
            </w:r>
          </w:p>
          <w:p w:rsidR="00E3253B" w:rsidRPr="00DC7421" w:rsidRDefault="00E3253B" w:rsidP="003D713F">
            <w:pPr>
              <w:rPr>
                <w:rFonts w:cs="Arial"/>
                <w:szCs w:val="20"/>
              </w:rPr>
            </w:pPr>
          </w:p>
        </w:tc>
      </w:tr>
      <w:tr w:rsidR="00E3253B" w:rsidTr="00DC7421">
        <w:trPr>
          <w:trHeight w:val="127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5C6F36" w:rsidRPr="00DC7421" w:rsidRDefault="005C6F36" w:rsidP="005C6F36">
            <w:pPr>
              <w:autoSpaceDE w:val="0"/>
              <w:autoSpaceDN w:val="0"/>
              <w:adjustRightInd w:val="0"/>
              <w:rPr>
                <w:rFonts w:cs="Arial"/>
                <w:color w:val="000000"/>
                <w:szCs w:val="20"/>
              </w:rPr>
            </w:pPr>
            <w:r w:rsidRPr="00DC7421">
              <w:rPr>
                <w:rFonts w:cs="Arial"/>
                <w:color w:val="000000"/>
                <w:szCs w:val="20"/>
              </w:rPr>
              <w:t xml:space="preserve">The Albumin BCG procedure is based on the binding of bromcresol green specifically with albumin to produce a colored complex. </w:t>
            </w:r>
            <w:r w:rsidR="0030640D" w:rsidRPr="00DC7421">
              <w:rPr>
                <w:rFonts w:cs="Arial"/>
                <w:color w:val="000000"/>
                <w:szCs w:val="20"/>
              </w:rPr>
              <w:t xml:space="preserve"> </w:t>
            </w:r>
            <w:r w:rsidRPr="00DC7421">
              <w:rPr>
                <w:rFonts w:cs="Arial"/>
                <w:color w:val="000000"/>
                <w:szCs w:val="20"/>
              </w:rPr>
              <w:t xml:space="preserve">The absorbance of the complex at 628 nm is directly proportional to the albumin concentration in the sample. </w:t>
            </w:r>
          </w:p>
          <w:p w:rsidR="00C00B65" w:rsidRPr="00DC7421" w:rsidRDefault="00C00B65" w:rsidP="005C6F36">
            <w:pPr>
              <w:pStyle w:val="Header"/>
              <w:tabs>
                <w:tab w:val="clear" w:pos="4320"/>
                <w:tab w:val="clear" w:pos="8640"/>
              </w:tabs>
              <w:rPr>
                <w:rFonts w:cs="Arial"/>
                <w:color w:val="000000"/>
                <w:szCs w:val="20"/>
              </w:rPr>
            </w:pPr>
          </w:p>
          <w:p w:rsidR="005C6F36" w:rsidRDefault="005C6F36" w:rsidP="005C6F36">
            <w:pPr>
              <w:pStyle w:val="Header"/>
              <w:tabs>
                <w:tab w:val="clear" w:pos="4320"/>
                <w:tab w:val="clear" w:pos="8640"/>
              </w:tabs>
              <w:rPr>
                <w:rFonts w:cs="Arial"/>
                <w:color w:val="000000"/>
                <w:szCs w:val="20"/>
              </w:rPr>
            </w:pPr>
            <w:r w:rsidRPr="00DC7421">
              <w:rPr>
                <w:rFonts w:cs="Arial"/>
                <w:color w:val="000000"/>
                <w:szCs w:val="20"/>
              </w:rPr>
              <w:t xml:space="preserve">Methodology: </w:t>
            </w:r>
            <w:r w:rsidR="0030640D" w:rsidRPr="00DC7421">
              <w:rPr>
                <w:rFonts w:cs="Arial"/>
                <w:color w:val="000000"/>
                <w:szCs w:val="20"/>
              </w:rPr>
              <w:t>Colorimetric (Bromcresol Green)</w:t>
            </w:r>
          </w:p>
          <w:p w:rsidR="005F694E" w:rsidRPr="00DC7421" w:rsidRDefault="005F694E" w:rsidP="005C6F36">
            <w:pPr>
              <w:pStyle w:val="Header"/>
              <w:tabs>
                <w:tab w:val="clear" w:pos="4320"/>
                <w:tab w:val="clear" w:pos="8640"/>
              </w:tabs>
              <w:rPr>
                <w:rFonts w:cs="Arial"/>
                <w:color w:val="000000"/>
                <w:szCs w:val="20"/>
              </w:rPr>
            </w:pPr>
          </w:p>
        </w:tc>
      </w:tr>
      <w:tr w:rsidR="00E3253B" w:rsidTr="00DC7421">
        <w:trPr>
          <w:trHeight w:val="166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5C6F36" w:rsidRPr="00DC7421" w:rsidRDefault="00E3253B" w:rsidP="00C00B65">
            <w:pPr>
              <w:pStyle w:val="Pa5"/>
              <w:spacing w:after="120"/>
              <w:rPr>
                <w:rFonts w:ascii="Arial" w:hAnsi="Arial" w:cs="Arial"/>
                <w:color w:val="000000"/>
                <w:sz w:val="20"/>
                <w:szCs w:val="20"/>
              </w:rPr>
            </w:pPr>
            <w:r w:rsidRPr="00DC7421">
              <w:rPr>
                <w:rFonts w:ascii="Arial" w:hAnsi="Arial" w:cs="Arial"/>
                <w:color w:val="000000"/>
                <w:sz w:val="20"/>
                <w:szCs w:val="20"/>
              </w:rPr>
              <w:t>Measurements of albumin are used in the diagnosis and treatment of numerous diseases involving primarily the liver or kidneys.</w:t>
            </w:r>
          </w:p>
          <w:p w:rsidR="00E3253B" w:rsidRPr="00DC7421" w:rsidRDefault="005C6F36" w:rsidP="005C6F36">
            <w:pPr>
              <w:rPr>
                <w:rFonts w:cs="Arial"/>
                <w:color w:val="000000"/>
                <w:szCs w:val="20"/>
              </w:rPr>
            </w:pPr>
            <w:r w:rsidRPr="00DC7421">
              <w:rPr>
                <w:rFonts w:cs="Arial"/>
                <w:color w:val="000000"/>
                <w:szCs w:val="20"/>
              </w:rPr>
              <w:t xml:space="preserve">Albumin is the most abundant protein in human serum/plasma. </w:t>
            </w:r>
            <w:r w:rsidR="0030640D" w:rsidRPr="00DC7421">
              <w:rPr>
                <w:rFonts w:cs="Arial"/>
                <w:color w:val="000000"/>
                <w:szCs w:val="20"/>
              </w:rPr>
              <w:t xml:space="preserve"> </w:t>
            </w:r>
            <w:r w:rsidRPr="00DC7421">
              <w:rPr>
                <w:rFonts w:cs="Arial"/>
                <w:color w:val="000000"/>
                <w:szCs w:val="20"/>
              </w:rPr>
              <w:t xml:space="preserve">Elevated serum albumin levels are usually the result of dehydration. </w:t>
            </w:r>
            <w:r w:rsidR="0030640D" w:rsidRPr="00DC7421">
              <w:rPr>
                <w:rFonts w:cs="Arial"/>
                <w:color w:val="000000"/>
                <w:szCs w:val="20"/>
              </w:rPr>
              <w:t xml:space="preserve"> </w:t>
            </w:r>
            <w:r w:rsidRPr="00DC7421">
              <w:rPr>
                <w:rFonts w:cs="Arial"/>
                <w:color w:val="000000"/>
                <w:szCs w:val="20"/>
              </w:rPr>
              <w:t xml:space="preserve">Decreased albumin levels are found in a wide variety of conditions, including kidney disease, liver disease, malabsorption, malnutrition, severe burns, infections, and cancer. </w:t>
            </w:r>
          </w:p>
          <w:p w:rsidR="005C6F36" w:rsidRPr="00DC7421" w:rsidRDefault="005C6F36" w:rsidP="005C6F36">
            <w:pPr>
              <w:rPr>
                <w:rFonts w:cs="Arial"/>
                <w:szCs w:val="20"/>
              </w:rPr>
            </w:pP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rsidR="00C00B65" w:rsidRPr="00DC7421" w:rsidRDefault="00AA5656" w:rsidP="00C00B65">
            <w:pPr>
              <w:pStyle w:val="BodyText2"/>
              <w:spacing w:after="60" w:line="240" w:lineRule="auto"/>
              <w:rPr>
                <w:rFonts w:cs="Arial"/>
                <w:b/>
                <w:bCs/>
                <w:color w:val="7030A0"/>
                <w:szCs w:val="20"/>
              </w:rPr>
            </w:pPr>
            <w:r w:rsidRPr="00DC7421">
              <w:rPr>
                <w:rFonts w:cs="Arial"/>
                <w:b/>
                <w:bCs/>
                <w:color w:val="7030A0"/>
                <w:szCs w:val="20"/>
              </w:rPr>
              <w:t xml:space="preserve">Minneapolis: </w:t>
            </w:r>
            <w:r w:rsidR="00B109AB" w:rsidRPr="00DC7421">
              <w:rPr>
                <w:rFonts w:cs="Arial"/>
                <w:b/>
                <w:bCs/>
                <w:color w:val="7030A0"/>
                <w:szCs w:val="20"/>
              </w:rPr>
              <w:t>Abbott Alinity c</w:t>
            </w:r>
            <w:r w:rsidR="00C00B65" w:rsidRPr="00DC7421">
              <w:rPr>
                <w:rFonts w:cs="Arial"/>
                <w:b/>
                <w:bCs/>
                <w:color w:val="7030A0"/>
                <w:szCs w:val="20"/>
              </w:rPr>
              <w:t xml:space="preserve"> (</w:t>
            </w:r>
            <w:r w:rsidR="00252F1D" w:rsidRPr="00DC7421">
              <w:rPr>
                <w:rFonts w:cs="Arial"/>
                <w:b/>
                <w:bCs/>
                <w:color w:val="7030A0"/>
                <w:szCs w:val="20"/>
              </w:rPr>
              <w:t xml:space="preserve">Sunquest method code: </w:t>
            </w:r>
            <w:r w:rsidR="00C00B65" w:rsidRPr="00DC7421">
              <w:rPr>
                <w:rFonts w:cs="Arial"/>
                <w:b/>
                <w:bCs/>
                <w:color w:val="7030A0"/>
                <w:szCs w:val="20"/>
              </w:rPr>
              <w:t>MALIC)</w:t>
            </w:r>
            <w:r w:rsidR="00BB255B">
              <w:rPr>
                <w:rFonts w:cs="Arial"/>
                <w:b/>
                <w:bCs/>
                <w:color w:val="7030A0"/>
                <w:szCs w:val="20"/>
              </w:rPr>
              <w:t xml:space="preserve"> and Abbott Alinity ci (Sunquest method code: MALCI; MACC for c-side.)</w:t>
            </w:r>
          </w:p>
          <w:p w:rsidR="00B109AB" w:rsidRPr="00DC7421" w:rsidRDefault="00B109AB" w:rsidP="005C4401">
            <w:pPr>
              <w:pStyle w:val="BodyText2"/>
              <w:spacing w:after="60" w:line="240" w:lineRule="auto"/>
              <w:rPr>
                <w:rFonts w:cs="Arial"/>
                <w:b/>
                <w:bCs/>
                <w:color w:val="7030A0"/>
                <w:szCs w:val="20"/>
              </w:rPr>
            </w:pPr>
            <w:r w:rsidRPr="00DC7421">
              <w:rPr>
                <w:rFonts w:cs="Arial"/>
                <w:b/>
                <w:bCs/>
                <w:color w:val="984806" w:themeColor="accent6" w:themeShade="80"/>
                <w:szCs w:val="20"/>
              </w:rPr>
              <w:t>St. Paul: Abbott Architect c4000</w:t>
            </w:r>
            <w:r w:rsidR="00252F1D" w:rsidRPr="00DC7421">
              <w:rPr>
                <w:rFonts w:cs="Arial"/>
                <w:b/>
                <w:bCs/>
                <w:color w:val="984806" w:themeColor="accent6" w:themeShade="80"/>
                <w:szCs w:val="20"/>
              </w:rPr>
              <w:t xml:space="preserve"> (Sunquest method code: ARCH4)</w:t>
            </w:r>
            <w:r w:rsidR="00466D6A">
              <w:rPr>
                <w:rFonts w:cs="Arial"/>
                <w:b/>
                <w:bCs/>
                <w:color w:val="984806" w:themeColor="accent6" w:themeShade="80"/>
                <w:szCs w:val="20"/>
              </w:rPr>
              <w:t xml:space="preserve"> </w:t>
            </w:r>
            <w:r w:rsidR="00BB255B">
              <w:rPr>
                <w:rFonts w:cs="Arial"/>
                <w:b/>
                <w:bCs/>
                <w:color w:val="984806" w:themeColor="accent6" w:themeShade="80"/>
                <w:szCs w:val="20"/>
              </w:rPr>
              <w:t xml:space="preserve">and </w:t>
            </w:r>
            <w:r w:rsidR="00466D6A">
              <w:rPr>
                <w:rFonts w:cs="Arial"/>
                <w:b/>
                <w:bCs/>
                <w:color w:val="984806" w:themeColor="accent6" w:themeShade="80"/>
                <w:szCs w:val="20"/>
              </w:rPr>
              <w:t xml:space="preserve">Abbott Alinity c (Sunquest method code: </w:t>
            </w:r>
            <w:r w:rsidR="005C4401">
              <w:rPr>
                <w:rFonts w:cs="Arial"/>
                <w:b/>
                <w:bCs/>
                <w:color w:val="984806" w:themeColor="accent6" w:themeShade="80"/>
                <w:szCs w:val="20"/>
              </w:rPr>
              <w:t>SALIC</w:t>
            </w:r>
            <w:r w:rsidR="00466D6A">
              <w:rPr>
                <w:rFonts w:cs="Arial"/>
                <w:b/>
                <w:bCs/>
                <w:color w:val="984806" w:themeColor="accent6" w:themeShade="80"/>
                <w:szCs w:val="20"/>
              </w:rPr>
              <w:t>)</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rsidR="005F694E" w:rsidRDefault="00AF56A8">
            <w:pPr>
              <w:pStyle w:val="Heading2"/>
              <w:jc w:val="left"/>
              <w:rPr>
                <w:b w:val="0"/>
                <w:bCs w:val="0"/>
                <w:sz w:val="20"/>
                <w:szCs w:val="20"/>
              </w:rPr>
            </w:pPr>
            <w:r w:rsidRPr="00DC7421">
              <w:rPr>
                <w:sz w:val="20"/>
                <w:szCs w:val="20"/>
              </w:rPr>
              <w:t>A</w:t>
            </w:r>
            <w:r w:rsidR="00E3253B" w:rsidRPr="00DC7421">
              <w:rPr>
                <w:sz w:val="20"/>
                <w:szCs w:val="20"/>
              </w:rPr>
              <w:t xml:space="preserve">LB: </w:t>
            </w:r>
            <w:r w:rsidR="00E3253B" w:rsidRPr="00DC7421">
              <w:rPr>
                <w:b w:val="0"/>
                <w:bCs w:val="0"/>
                <w:sz w:val="20"/>
                <w:szCs w:val="20"/>
              </w:rPr>
              <w:t>Albumin in serum and plasma</w:t>
            </w:r>
          </w:p>
          <w:p w:rsidR="00E3253B" w:rsidRPr="00DC7421" w:rsidRDefault="00E3253B">
            <w:pPr>
              <w:pStyle w:val="Heading2"/>
              <w:jc w:val="left"/>
              <w:rPr>
                <w:sz w:val="20"/>
                <w:szCs w:val="20"/>
              </w:rPr>
            </w:pPr>
          </w:p>
        </w:tc>
      </w:tr>
      <w:tr w:rsidR="00E3253B" w:rsidTr="00250A09">
        <w:trPr>
          <w:trHeight w:val="6255"/>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93074" w:rsidRPr="00DC7421" w:rsidRDefault="00E93074">
            <w:pPr>
              <w:rPr>
                <w:rFonts w:cs="Arial"/>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p>
          <w:p w:rsidR="00E3253B" w:rsidRPr="00DC7421" w:rsidRDefault="00AA5656" w:rsidP="00AA5656">
            <w:pPr>
              <w:rPr>
                <w:rFonts w:cs="Arial"/>
                <w:szCs w:val="20"/>
              </w:rPr>
            </w:pPr>
            <w:r w:rsidRPr="00DC7421">
              <w:rPr>
                <w:rFonts w:cs="Arial"/>
                <w:szCs w:val="20"/>
              </w:rPr>
              <w:t>Plasma (lithium heparin with or without gel) preferred.  Sodium heparin plasma or serum (with or without gel</w:t>
            </w:r>
            <w:r w:rsidR="00E3253B" w:rsidRPr="00DC7421">
              <w:rPr>
                <w:rFonts w:cs="Arial"/>
                <w:szCs w:val="20"/>
              </w:rPr>
              <w:t>)</w:t>
            </w:r>
            <w:r w:rsidRPr="00DC7421">
              <w:rPr>
                <w:rFonts w:cs="Arial"/>
                <w:szCs w:val="20"/>
              </w:rPr>
              <w:t xml:space="preserve"> also acceptable</w:t>
            </w:r>
            <w:r w:rsidR="00E3253B" w:rsidRPr="00DC7421">
              <w:rPr>
                <w:rFonts w:cs="Arial"/>
                <w:szCs w:val="20"/>
              </w:rPr>
              <w:t>. Refer to specimen collection procedures.</w:t>
            </w:r>
          </w:p>
          <w:p w:rsidR="00E3253B" w:rsidRPr="00DC7421" w:rsidRDefault="00E3253B">
            <w:pPr>
              <w:rPr>
                <w:rFonts w:cs="Arial"/>
                <w:szCs w:val="20"/>
              </w:rPr>
            </w:pPr>
          </w:p>
          <w:p w:rsidR="00E93074" w:rsidRPr="00DC7421"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1102B2" w:rsidRPr="00DC7421">
              <w:rPr>
                <w:rFonts w:ascii="Arial" w:hAnsi="Arial" w:cs="Arial"/>
                <w:sz w:val="20"/>
                <w:szCs w:val="20"/>
              </w:rPr>
              <w:t xml:space="preserve"> 200 µL preferred, 150 µL minimum</w:t>
            </w:r>
          </w:p>
          <w:p w:rsidR="00E3253B" w:rsidRPr="00DC7421" w:rsidRDefault="00E3253B">
            <w:pPr>
              <w:rPr>
                <w:rFonts w:cs="Arial"/>
                <w:szCs w:val="20"/>
              </w:rPr>
            </w:pPr>
          </w:p>
          <w:p w:rsidR="00E3253B" w:rsidRPr="00DC7421" w:rsidRDefault="009A1A3D">
            <w:pPr>
              <w:pStyle w:val="Header"/>
              <w:tabs>
                <w:tab w:val="clear" w:pos="4320"/>
                <w:tab w:val="clear" w:pos="8640"/>
              </w:tabs>
              <w:rPr>
                <w:rFonts w:cs="Arial"/>
                <w:szCs w:val="20"/>
              </w:rPr>
            </w:pPr>
            <w:r w:rsidRPr="00DC7421">
              <w:rPr>
                <w:rFonts w:cs="Arial"/>
                <w:b/>
                <w:bCs/>
                <w:szCs w:val="20"/>
              </w:rPr>
              <w:t>Stability when separated from cells/gel:</w:t>
            </w:r>
            <w:r w:rsidR="00685D61" w:rsidRPr="00DC7421">
              <w:rPr>
                <w:rFonts w:cs="Arial"/>
                <w:szCs w:val="20"/>
              </w:rPr>
              <w:t xml:space="preserve"> RT / 60 days</w:t>
            </w:r>
            <w:r w:rsidR="00E3253B" w:rsidRPr="00DC7421">
              <w:rPr>
                <w:rFonts w:cs="Arial"/>
                <w:szCs w:val="20"/>
              </w:rPr>
              <w:t xml:space="preserve">, 2-8 </w:t>
            </w:r>
            <w:r w:rsidR="00E3253B" w:rsidRPr="00DC7421">
              <w:rPr>
                <w:rFonts w:cs="Arial"/>
                <w:szCs w:val="20"/>
              </w:rPr>
              <w:sym w:font="Symbol" w:char="F0B0"/>
            </w:r>
            <w:r w:rsidR="00E3253B" w:rsidRPr="00DC7421">
              <w:rPr>
                <w:rFonts w:cs="Arial"/>
                <w:szCs w:val="20"/>
              </w:rPr>
              <w:t>C /</w:t>
            </w:r>
            <w:r w:rsidRPr="00DC7421">
              <w:rPr>
                <w:rFonts w:cs="Arial"/>
                <w:szCs w:val="20"/>
              </w:rPr>
              <w:t xml:space="preserve"> 5 months</w:t>
            </w:r>
            <w:r w:rsidR="00E3253B" w:rsidRPr="00DC7421">
              <w:rPr>
                <w:rFonts w:cs="Arial"/>
                <w:szCs w:val="20"/>
              </w:rPr>
              <w:t xml:space="preserve"> , &lt; -20</w:t>
            </w:r>
            <w:r w:rsidR="00E3253B" w:rsidRPr="00DC7421">
              <w:rPr>
                <w:rFonts w:cs="Arial"/>
                <w:szCs w:val="20"/>
              </w:rPr>
              <w:sym w:font="Symbol" w:char="F0B0"/>
            </w:r>
            <w:r w:rsidR="00E3253B" w:rsidRPr="00DC7421">
              <w:rPr>
                <w:rFonts w:cs="Arial"/>
                <w:szCs w:val="20"/>
              </w:rPr>
              <w:t xml:space="preserve">C / </w:t>
            </w:r>
            <w:r w:rsidRPr="00DC7421">
              <w:rPr>
                <w:rFonts w:cs="Arial"/>
                <w:szCs w:val="20"/>
              </w:rPr>
              <w:t>3</w:t>
            </w:r>
            <w:r w:rsidR="00F6060A" w:rsidRPr="00DC7421">
              <w:rPr>
                <w:rFonts w:cs="Arial"/>
                <w:szCs w:val="20"/>
              </w:rPr>
              <w:t xml:space="preserve"> months</w:t>
            </w:r>
          </w:p>
          <w:p w:rsidR="00E3253B" w:rsidRPr="00DC7421" w:rsidRDefault="00E3253B">
            <w:pPr>
              <w:pStyle w:val="Header"/>
              <w:tabs>
                <w:tab w:val="clear" w:pos="4320"/>
                <w:tab w:val="clear" w:pos="8640"/>
              </w:tabs>
              <w:rPr>
                <w:rFonts w:cs="Arial"/>
                <w:szCs w:val="20"/>
              </w:rPr>
            </w:pPr>
          </w:p>
          <w:p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Pr="00DC7421">
              <w:rPr>
                <w:rFonts w:cs="Arial"/>
                <w:szCs w:val="20"/>
              </w:rPr>
              <w:t>h</w:t>
            </w:r>
            <w:r w:rsidR="009A1A3D" w:rsidRPr="00DC7421">
              <w:rPr>
                <w:rFonts w:cs="Arial"/>
                <w:szCs w:val="20"/>
              </w:rPr>
              <w:t>eparinized plasma</w:t>
            </w:r>
          </w:p>
          <w:p w:rsidR="00E3253B" w:rsidRPr="00DC7421" w:rsidRDefault="00E3253B">
            <w:pPr>
              <w:autoSpaceDE w:val="0"/>
              <w:autoSpaceDN w:val="0"/>
              <w:adjustRightInd w:val="0"/>
              <w:rPr>
                <w:rFonts w:cs="Arial"/>
                <w:szCs w:val="20"/>
              </w:rPr>
            </w:pPr>
          </w:p>
          <w:p w:rsidR="00E93074" w:rsidRPr="00DC7421" w:rsidRDefault="00E93074" w:rsidP="00E93074">
            <w:pPr>
              <w:pStyle w:val="Header"/>
              <w:tabs>
                <w:tab w:val="clear" w:pos="4320"/>
                <w:tab w:val="clear" w:pos="8640"/>
              </w:tabs>
              <w:rPr>
                <w:rFonts w:cs="Arial"/>
                <w:szCs w:val="20"/>
              </w:rPr>
            </w:pPr>
            <w:r w:rsidRPr="00DC7421">
              <w:rPr>
                <w:rFonts w:cs="Arial"/>
                <w:b/>
                <w:bCs/>
                <w:szCs w:val="20"/>
              </w:rPr>
              <w:t xml:space="preserve">Patient </w:t>
            </w:r>
            <w:r w:rsidR="00E3253B" w:rsidRPr="00DC7421">
              <w:rPr>
                <w:rFonts w:cs="Arial"/>
                <w:b/>
                <w:bCs/>
                <w:szCs w:val="20"/>
              </w:rPr>
              <w:t>Preparation:</w:t>
            </w:r>
            <w:r w:rsidRPr="00DC7421">
              <w:rPr>
                <w:rFonts w:cs="Arial"/>
                <w:szCs w:val="20"/>
              </w:rPr>
              <w:t xml:space="preserve"> </w:t>
            </w:r>
          </w:p>
          <w:p w:rsidR="00E3253B" w:rsidRPr="00DC7421" w:rsidRDefault="00B11633" w:rsidP="00B11633">
            <w:pPr>
              <w:autoSpaceDE w:val="0"/>
              <w:autoSpaceDN w:val="0"/>
              <w:adjustRightInd w:val="0"/>
              <w:rPr>
                <w:rFonts w:cs="Arial"/>
                <w:bCs/>
                <w:szCs w:val="20"/>
              </w:rPr>
            </w:pPr>
            <w:r w:rsidRPr="00DC7421">
              <w:rPr>
                <w:rFonts w:eastAsia="HelenPro-Regular" w:cs="Arial"/>
                <w:szCs w:val="20"/>
              </w:rPr>
              <w:t xml:space="preserve">Levels are posture dependent, increasing up to 10% to 15% if </w:t>
            </w:r>
            <w:r w:rsidR="004C14CE" w:rsidRPr="00DC7421">
              <w:rPr>
                <w:rFonts w:eastAsia="HelenPro-Regular" w:cs="Arial"/>
                <w:szCs w:val="20"/>
              </w:rPr>
              <w:t xml:space="preserve">the individual is </w:t>
            </w:r>
            <w:r w:rsidRPr="00DC7421">
              <w:rPr>
                <w:rFonts w:eastAsia="HelenPro-Regular" w:cs="Arial"/>
                <w:szCs w:val="20"/>
              </w:rPr>
              <w:t>standing.</w:t>
            </w:r>
            <w:r w:rsidRPr="00DC7421">
              <w:rPr>
                <w:rFonts w:cs="Arial"/>
                <w:b/>
                <w:bCs/>
                <w:szCs w:val="20"/>
              </w:rPr>
              <w:t xml:space="preserve">  </w:t>
            </w:r>
            <w:r w:rsidRPr="00DC7421">
              <w:rPr>
                <w:rFonts w:cs="Arial"/>
                <w:bCs/>
                <w:szCs w:val="20"/>
              </w:rPr>
              <w:t>Draw while patient is seated whenever possible.  Suggest a redraw if falsely low results are</w:t>
            </w:r>
            <w:r w:rsidR="004C14CE" w:rsidRPr="00DC7421">
              <w:rPr>
                <w:rFonts w:cs="Arial"/>
                <w:bCs/>
                <w:szCs w:val="20"/>
              </w:rPr>
              <w:t xml:space="preserve"> suspected due to supine</w:t>
            </w:r>
            <w:r w:rsidRPr="00DC7421">
              <w:rPr>
                <w:rFonts w:cs="Arial"/>
                <w:bCs/>
                <w:szCs w:val="20"/>
              </w:rPr>
              <w:t xml:space="preserve"> draw.  </w:t>
            </w:r>
          </w:p>
          <w:p w:rsidR="00B11633" w:rsidRPr="00DC7421" w:rsidRDefault="00B11633" w:rsidP="00B11633">
            <w:pPr>
              <w:autoSpaceDE w:val="0"/>
              <w:autoSpaceDN w:val="0"/>
              <w:adjustRightInd w:val="0"/>
              <w:rPr>
                <w:rFonts w:eastAsia="HelenPro-Regular" w:cs="Arial"/>
                <w:szCs w:val="20"/>
              </w:rPr>
            </w:pPr>
          </w:p>
          <w:p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rsidR="00E93074" w:rsidRPr="00DC7421" w:rsidRDefault="00E93074" w:rsidP="00F6060A">
            <w:pPr>
              <w:numPr>
                <w:ilvl w:val="0"/>
                <w:numId w:val="26"/>
              </w:numPr>
              <w:jc w:val="both"/>
              <w:rPr>
                <w:rFonts w:cs="Arial"/>
                <w:szCs w:val="20"/>
              </w:rPr>
            </w:pPr>
            <w:r w:rsidRPr="00DC7421">
              <w:rPr>
                <w:rFonts w:cs="Arial"/>
                <w:szCs w:val="20"/>
              </w:rPr>
              <w:t>Whole blood specimens should be centrifuged following complete clot formation, according to Specimen Processing procedures prior to analysis.</w:t>
            </w:r>
          </w:p>
          <w:p w:rsidR="00E93074" w:rsidRPr="00DC7421" w:rsidRDefault="00E93074" w:rsidP="00F6060A">
            <w:pPr>
              <w:numPr>
                <w:ilvl w:val="0"/>
                <w:numId w:val="26"/>
              </w:numPr>
              <w:autoSpaceDE w:val="0"/>
              <w:autoSpaceDN w:val="0"/>
              <w:adjustRightInd w:val="0"/>
              <w:jc w:val="both"/>
              <w:rPr>
                <w:rFonts w:cs="Arial"/>
                <w:szCs w:val="20"/>
              </w:rPr>
            </w:pPr>
            <w:r w:rsidRPr="00DC7421">
              <w:rPr>
                <w:rFonts w:cs="Arial"/>
                <w:szCs w:val="20"/>
              </w:rPr>
              <w:t>Serum or plasma should be physically separated from cells as soon as possible with a maximum limit of two hours from the time of collection.</w:t>
            </w:r>
          </w:p>
          <w:p w:rsidR="00F6060A" w:rsidRPr="00DC7421" w:rsidRDefault="00E93074" w:rsidP="00F6060A">
            <w:pPr>
              <w:numPr>
                <w:ilvl w:val="0"/>
                <w:numId w:val="26"/>
              </w:numPr>
              <w:autoSpaceDE w:val="0"/>
              <w:autoSpaceDN w:val="0"/>
              <w:adjustRightInd w:val="0"/>
              <w:rPr>
                <w:rFonts w:cs="Arial"/>
                <w:szCs w:val="20"/>
              </w:rPr>
            </w:pPr>
            <w:r w:rsidRPr="00DC7421">
              <w:rPr>
                <w:rFonts w:cs="Arial"/>
                <w:szCs w:val="20"/>
              </w:rPr>
              <w:t>Specimens should be free of particulate matter.</w:t>
            </w:r>
            <w:r w:rsidR="00F6060A" w:rsidRPr="00DC7421">
              <w:rPr>
                <w:rFonts w:cs="Arial"/>
                <w:szCs w:val="20"/>
              </w:rPr>
              <w:t xml:space="preserve"> </w:t>
            </w:r>
          </w:p>
          <w:p w:rsidR="00A002D3" w:rsidRPr="00DC7421" w:rsidRDefault="00E93074" w:rsidP="00F6060A">
            <w:pPr>
              <w:numPr>
                <w:ilvl w:val="0"/>
                <w:numId w:val="26"/>
              </w:numPr>
              <w:autoSpaceDE w:val="0"/>
              <w:autoSpaceDN w:val="0"/>
              <w:adjustRightInd w:val="0"/>
              <w:rPr>
                <w:rFonts w:cs="Arial"/>
                <w:szCs w:val="20"/>
              </w:rPr>
            </w:pPr>
            <w:r w:rsidRPr="00DC7421">
              <w:rPr>
                <w:rFonts w:cs="Arial"/>
                <w:szCs w:val="20"/>
              </w:rPr>
              <w:t>Transfer serum or plasma to</w:t>
            </w:r>
            <w:r w:rsidR="00A002D3" w:rsidRPr="00DC7421">
              <w:rPr>
                <w:rFonts w:cs="Arial"/>
                <w:szCs w:val="20"/>
              </w:rPr>
              <w:t xml:space="preserve"> a properly l</w:t>
            </w:r>
            <w:r w:rsidR="00643987">
              <w:rPr>
                <w:rFonts w:cs="Arial"/>
                <w:szCs w:val="20"/>
              </w:rPr>
              <w:t>abeled pilot tube, sendout tube, or Abbott sample cup</w:t>
            </w:r>
            <w:r w:rsidRPr="00DC7421">
              <w:rPr>
                <w:rFonts w:cs="Arial"/>
                <w:szCs w:val="20"/>
              </w:rPr>
              <w:t>.</w:t>
            </w:r>
            <w:r w:rsidR="00A002D3" w:rsidRPr="00DC7421">
              <w:rPr>
                <w:rFonts w:cs="Arial"/>
                <w:szCs w:val="20"/>
              </w:rPr>
              <w:t xml:space="preserve">  Architect and Alinity </w:t>
            </w:r>
            <w:r w:rsidR="00685D61" w:rsidRPr="00DC7421">
              <w:rPr>
                <w:rFonts w:cs="Arial"/>
                <w:szCs w:val="20"/>
              </w:rPr>
              <w:t>systems utilize</w:t>
            </w:r>
            <w:r w:rsidR="00A002D3" w:rsidRPr="00DC7421">
              <w:rPr>
                <w:rFonts w:cs="Arial"/>
                <w:szCs w:val="20"/>
              </w:rPr>
              <w:t xml:space="preserve"> a specimen level detect mechanism, so special racks</w:t>
            </w:r>
            <w:r w:rsidR="00685D61" w:rsidRPr="00DC7421">
              <w:rPr>
                <w:rFonts w:cs="Arial"/>
                <w:szCs w:val="20"/>
              </w:rPr>
              <w:t xml:space="preserve"> specific to tube-type</w:t>
            </w:r>
            <w:r w:rsidR="00A002D3" w:rsidRPr="00DC7421">
              <w:rPr>
                <w:rFonts w:cs="Arial"/>
                <w:szCs w:val="20"/>
              </w:rPr>
              <w:t xml:space="preserve"> are not required.</w:t>
            </w:r>
            <w:r w:rsidR="00643987">
              <w:rPr>
                <w:rFonts w:cs="Arial"/>
                <w:szCs w:val="20"/>
              </w:rPr>
              <w:t xml:space="preserve">  Very low volumes should be pipetted into an Abbott sample cup and placed on top of a pilot or sendout tube.  Both sample cup and carrier tube must be properly labeled.  After testing, if there is any volume left, pipette the remaining amount into the sendout or pilot tube and cap tightly.</w:t>
            </w:r>
            <w:r w:rsidR="00A002D3" w:rsidRPr="00DC7421">
              <w:rPr>
                <w:rFonts w:cs="Arial"/>
                <w:szCs w:val="20"/>
              </w:rPr>
              <w:t xml:space="preserve"> </w:t>
            </w:r>
            <w:r w:rsidRPr="00DC7421">
              <w:rPr>
                <w:rFonts w:cs="Arial"/>
                <w:szCs w:val="20"/>
              </w:rPr>
              <w:t xml:space="preserve"> </w:t>
            </w:r>
          </w:p>
          <w:p w:rsidR="00E93074" w:rsidRPr="00DC7421" w:rsidRDefault="00E93074" w:rsidP="00F6060A">
            <w:pPr>
              <w:numPr>
                <w:ilvl w:val="0"/>
                <w:numId w:val="26"/>
              </w:numPr>
              <w:autoSpaceDE w:val="0"/>
              <w:autoSpaceDN w:val="0"/>
              <w:adjustRightInd w:val="0"/>
              <w:rPr>
                <w:rFonts w:cs="Arial"/>
                <w:szCs w:val="20"/>
              </w:rPr>
            </w:pPr>
            <w:r w:rsidRPr="00DC7421">
              <w:rPr>
                <w:rFonts w:cs="Arial"/>
                <w:szCs w:val="20"/>
              </w:rPr>
              <w:t>Minimum labeling includes sample accession ID, and/ or patient name, medical record number, collection date and time.</w:t>
            </w:r>
          </w:p>
          <w:p w:rsidR="00E3253B" w:rsidRPr="00DC7421" w:rsidRDefault="00E3253B" w:rsidP="00F6060A">
            <w:pPr>
              <w:autoSpaceDE w:val="0"/>
              <w:autoSpaceDN w:val="0"/>
              <w:adjustRightInd w:val="0"/>
              <w:rPr>
                <w:rFonts w:cs="Arial"/>
                <w:szCs w:val="20"/>
              </w:rPr>
            </w:pPr>
          </w:p>
        </w:tc>
      </w:tr>
      <w:tr w:rsidR="00D955F6" w:rsidTr="00DC7421">
        <w:trPr>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lastRenderedPageBreak/>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2F5C68" w:rsidP="00440E37">
            <w:pPr>
              <w:autoSpaceDE w:val="0"/>
              <w:autoSpaceDN w:val="0"/>
              <w:adjustRightInd w:val="0"/>
              <w:rPr>
                <w:rFonts w:cs="Arial"/>
                <w:b/>
                <w:bCs/>
                <w:color w:val="000000"/>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p>
          <w:p w:rsidR="00440E37" w:rsidRPr="00DC7421" w:rsidRDefault="00440E37" w:rsidP="00440E37">
            <w:pPr>
              <w:autoSpaceDE w:val="0"/>
              <w:autoSpaceDN w:val="0"/>
              <w:adjustRightInd w:val="0"/>
              <w:rPr>
                <w:rFonts w:cs="Arial"/>
                <w:color w:val="000000"/>
                <w:szCs w:val="20"/>
              </w:rPr>
            </w:pPr>
            <w:r w:rsidRPr="00DC7421">
              <w:rPr>
                <w:rFonts w:cs="Arial"/>
                <w:b/>
                <w:bCs/>
                <w:color w:val="000000"/>
                <w:szCs w:val="20"/>
              </w:rPr>
              <w:t xml:space="preserve">Reagent Handling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Upon receipt, place reagent cartrid</w:t>
            </w:r>
            <w:r w:rsidR="00BD3CED" w:rsidRPr="00DC7421">
              <w:rPr>
                <w:rFonts w:cs="Arial"/>
                <w:color w:val="000000"/>
                <w:szCs w:val="20"/>
              </w:rPr>
              <w:t>ges in an upright position for 8 hours</w:t>
            </w:r>
            <w:r w:rsidRPr="00DC7421">
              <w:rPr>
                <w:rFonts w:cs="Arial"/>
                <w:color w:val="000000"/>
                <w:szCs w:val="20"/>
              </w:rPr>
              <w:t xml:space="preserve"> before use to allow bubbles that may have formed to dissipate. </w:t>
            </w:r>
          </w:p>
          <w:p w:rsidR="00440E37" w:rsidRPr="00DC7421" w:rsidRDefault="00440E37" w:rsidP="00440E37">
            <w:pPr>
              <w:autoSpaceDE w:val="0"/>
              <w:autoSpaceDN w:val="0"/>
              <w:adjustRightInd w:val="0"/>
              <w:spacing w:after="208"/>
              <w:rPr>
                <w:rFonts w:cs="Arial"/>
                <w:color w:val="000000"/>
                <w:szCs w:val="20"/>
              </w:rPr>
            </w:pPr>
            <w:r w:rsidRPr="00DC7421">
              <w:rPr>
                <w:rFonts w:cs="Arial"/>
                <w:color w:val="000000"/>
                <w:szCs w:val="20"/>
              </w:rPr>
              <w:t xml:space="preserve">If a reagent cartridge is dropped, place in an upright position for 1 hour before use to allow bubbles that may have formed to dissipate. </w:t>
            </w:r>
          </w:p>
          <w:p w:rsidR="00BD3CED" w:rsidRPr="00DC7421" w:rsidRDefault="00440E37" w:rsidP="00440E37">
            <w:pPr>
              <w:autoSpaceDE w:val="0"/>
              <w:autoSpaceDN w:val="0"/>
              <w:adjustRightInd w:val="0"/>
              <w:rPr>
                <w:rFonts w:cs="Arial"/>
                <w:color w:val="000000"/>
                <w:szCs w:val="20"/>
              </w:rPr>
            </w:pPr>
            <w:r w:rsidRPr="00DC7421">
              <w:rPr>
                <w:rFonts w:cs="Arial"/>
                <w:color w:val="000000"/>
                <w:szCs w:val="20"/>
              </w:rPr>
              <w:t xml:space="preserve">Reagents are susceptible to the formation of foam and bubbles. Bubbles may interfere with the detection of the reagent level in the cartridge and cause insufficient reagent aspiration that may adversely affect results. </w:t>
            </w:r>
            <w:r w:rsidR="002F5C68" w:rsidRPr="00DC7421">
              <w:rPr>
                <w:rFonts w:cs="Arial"/>
                <w:color w:val="000000"/>
                <w:szCs w:val="20"/>
              </w:rPr>
              <w:t>Use a pipette to remove all bubbles prior to loading on the Alinity or Architect system.</w:t>
            </w:r>
          </w:p>
          <w:p w:rsidR="00950E15" w:rsidRPr="00DC7421" w:rsidRDefault="00950E15" w:rsidP="00440E37">
            <w:pPr>
              <w:autoSpaceDE w:val="0"/>
              <w:autoSpaceDN w:val="0"/>
              <w:adjustRightInd w:val="0"/>
              <w:rPr>
                <w:rFonts w:cs="Arial"/>
                <w:color w:val="000000"/>
                <w:szCs w:val="20"/>
              </w:rPr>
            </w:pP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reagents beyond the expiration date.</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pool reagents within a kit or between kits.</w:t>
            </w:r>
          </w:p>
          <w:p w:rsidR="00950E15" w:rsidRPr="00DC7421" w:rsidRDefault="00950E15" w:rsidP="00950E15">
            <w:pPr>
              <w:pStyle w:val="ListParagraph"/>
              <w:numPr>
                <w:ilvl w:val="0"/>
                <w:numId w:val="38"/>
              </w:numPr>
              <w:autoSpaceDE w:val="0"/>
              <w:autoSpaceDN w:val="0"/>
              <w:adjustRightInd w:val="0"/>
              <w:rPr>
                <w:rFonts w:eastAsia="HelenPro-Regular"/>
                <w:szCs w:val="20"/>
              </w:rPr>
            </w:pPr>
            <w:r w:rsidRPr="00DC7421">
              <w:rPr>
                <w:rFonts w:eastAsia="HelenPro-Regular"/>
                <w:szCs w:val="20"/>
              </w:rPr>
              <w:t>Do not use components from one lot with components from another lot.</w:t>
            </w:r>
          </w:p>
          <w:p w:rsidR="00440E37" w:rsidRPr="00DC7421" w:rsidRDefault="00440E37" w:rsidP="00440E37">
            <w:pPr>
              <w:autoSpaceDE w:val="0"/>
              <w:autoSpaceDN w:val="0"/>
              <w:adjustRightInd w:val="0"/>
              <w:rPr>
                <w:rFonts w:cs="Arial"/>
                <w:color w:val="000000"/>
                <w:szCs w:val="20"/>
              </w:rPr>
            </w:pPr>
          </w:p>
          <w:p w:rsidR="00BD3CED" w:rsidRPr="00DC7421" w:rsidRDefault="00BD3CED" w:rsidP="00440E37">
            <w:pPr>
              <w:autoSpaceDE w:val="0"/>
              <w:autoSpaceDN w:val="0"/>
              <w:adjustRightInd w:val="0"/>
              <w:rPr>
                <w:rFonts w:cs="Arial"/>
                <w:bCs/>
                <w:szCs w:val="20"/>
              </w:rPr>
            </w:pPr>
            <w:r w:rsidRPr="00DC7421">
              <w:rPr>
                <w:rFonts w:cs="Arial"/>
                <w:b/>
                <w:bCs/>
                <w:color w:val="7030A0"/>
                <w:szCs w:val="20"/>
              </w:rPr>
              <w:t>Alinity c:</w:t>
            </w:r>
          </w:p>
          <w:p w:rsidR="00BD3CED" w:rsidRPr="00DC7421" w:rsidRDefault="00BD3CED" w:rsidP="00BD3CED">
            <w:pPr>
              <w:autoSpaceDE w:val="0"/>
              <w:autoSpaceDN w:val="0"/>
              <w:adjustRightInd w:val="0"/>
              <w:rPr>
                <w:rFonts w:cs="Arial"/>
                <w:szCs w:val="20"/>
              </w:rPr>
            </w:pPr>
            <w:r w:rsidRPr="00DC7421">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rsidR="00440E37" w:rsidRPr="00DC7421" w:rsidRDefault="00440E37" w:rsidP="00EF1741">
            <w:pPr>
              <w:pStyle w:val="Reagents"/>
              <w:rPr>
                <w:rFonts w:ascii="Arial" w:hAnsi="Arial" w:cs="Arial"/>
                <w:b/>
                <w:bCs/>
                <w:color w:val="365F91"/>
              </w:rPr>
            </w:pPr>
          </w:p>
          <w:p w:rsidR="00D955F6" w:rsidRPr="00DC7421" w:rsidRDefault="00A002D3" w:rsidP="00EF1741">
            <w:pPr>
              <w:pStyle w:val="Reagents"/>
              <w:rPr>
                <w:rFonts w:ascii="Arial" w:hAnsi="Arial" w:cs="Arial"/>
                <w:b/>
                <w:bCs/>
              </w:rPr>
            </w:pPr>
            <w:r w:rsidRPr="00DC7421">
              <w:rPr>
                <w:rFonts w:ascii="Arial" w:hAnsi="Arial" w:cs="Arial"/>
                <w:b/>
                <w:bCs/>
                <w:color w:val="7030A0"/>
              </w:rPr>
              <w:t>Alinity c</w:t>
            </w:r>
            <w:r w:rsidR="002F5C68" w:rsidRPr="00DC7421">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DC7421" w:rsidTr="003D713F">
              <w:tc>
                <w:tcPr>
                  <w:tcW w:w="2857" w:type="dxa"/>
                </w:tcPr>
                <w:p w:rsidR="00D955F6" w:rsidRPr="00DC7421" w:rsidRDefault="00D955F6" w:rsidP="00E3253B">
                  <w:pPr>
                    <w:pStyle w:val="Reagents"/>
                    <w:rPr>
                      <w:rFonts w:ascii="Arial" w:hAnsi="Arial" w:cs="Arial"/>
                      <w:b/>
                      <w:bCs/>
                    </w:rPr>
                  </w:pPr>
                  <w:r w:rsidRPr="00DC7421">
                    <w:rPr>
                      <w:rFonts w:ascii="Arial" w:hAnsi="Arial" w:cs="Arial"/>
                      <w:b/>
                      <w:bCs/>
                      <w:i/>
                      <w:iCs/>
                    </w:rPr>
                    <w:t>Product Description</w:t>
                  </w:r>
                </w:p>
              </w:tc>
              <w:tc>
                <w:tcPr>
                  <w:tcW w:w="1710" w:type="dxa"/>
                </w:tcPr>
                <w:p w:rsidR="00D955F6" w:rsidRPr="00DC7421" w:rsidRDefault="00D955F6" w:rsidP="00E3253B">
                  <w:pPr>
                    <w:pStyle w:val="Reagents"/>
                    <w:rPr>
                      <w:rFonts w:ascii="Arial" w:hAnsi="Arial" w:cs="Arial"/>
                      <w:b/>
                      <w:bCs/>
                    </w:rPr>
                  </w:pPr>
                  <w:r w:rsidRPr="00DC7421">
                    <w:rPr>
                      <w:rFonts w:ascii="Arial" w:hAnsi="Arial" w:cs="Arial"/>
                      <w:b/>
                      <w:bCs/>
                      <w:i/>
                      <w:iCs/>
                    </w:rPr>
                    <w:t>Product Code</w:t>
                  </w:r>
                </w:p>
              </w:tc>
              <w:tc>
                <w:tcPr>
                  <w:tcW w:w="4533" w:type="dxa"/>
                </w:tcPr>
                <w:p w:rsidR="00D955F6" w:rsidRPr="00DC7421" w:rsidRDefault="00D955F6" w:rsidP="00E3253B">
                  <w:pPr>
                    <w:pStyle w:val="Reagents"/>
                    <w:rPr>
                      <w:rFonts w:ascii="Arial" w:hAnsi="Arial" w:cs="Arial"/>
                      <w:b/>
                      <w:bCs/>
                    </w:rPr>
                  </w:pPr>
                  <w:r w:rsidRPr="00DC7421">
                    <w:rPr>
                      <w:rFonts w:ascii="Arial" w:hAnsi="Arial" w:cs="Arial"/>
                      <w:b/>
                      <w:bCs/>
                      <w:i/>
                      <w:iCs/>
                    </w:rPr>
                    <w:t>Stability</w:t>
                  </w:r>
                </w:p>
              </w:tc>
            </w:tr>
            <w:tr w:rsidR="00D955F6" w:rsidRPr="00DC7421" w:rsidTr="004C14CE">
              <w:tc>
                <w:tcPr>
                  <w:tcW w:w="2857" w:type="dxa"/>
                  <w:vAlign w:val="center"/>
                </w:tcPr>
                <w:p w:rsidR="009A1A3D" w:rsidRPr="00DC7421" w:rsidRDefault="009A1A3D" w:rsidP="00B01603">
                  <w:pPr>
                    <w:autoSpaceDE w:val="0"/>
                    <w:autoSpaceDN w:val="0"/>
                    <w:adjustRightInd w:val="0"/>
                    <w:rPr>
                      <w:rFonts w:cs="Arial"/>
                      <w:szCs w:val="20"/>
                    </w:rPr>
                  </w:pPr>
                  <w:r w:rsidRPr="00DC7421">
                    <w:rPr>
                      <w:rFonts w:cs="Arial"/>
                      <w:szCs w:val="20"/>
                    </w:rPr>
                    <w:t xml:space="preserve">Abbott Alinity c </w:t>
                  </w:r>
                  <w:r w:rsidR="00B11633" w:rsidRPr="00DC7421">
                    <w:rPr>
                      <w:rFonts w:cs="Arial"/>
                      <w:szCs w:val="20"/>
                    </w:rPr>
                    <w:t xml:space="preserve">   </w:t>
                  </w:r>
                  <w:r w:rsidR="00944DFA">
                    <w:rPr>
                      <w:rFonts w:cs="Arial"/>
                      <w:szCs w:val="20"/>
                    </w:rPr>
                    <w:t xml:space="preserve">        </w:t>
                  </w:r>
                  <w:r w:rsidRPr="00DC7421">
                    <w:rPr>
                      <w:rFonts w:cs="Arial"/>
                      <w:szCs w:val="20"/>
                    </w:rPr>
                    <w:t>Albumin BCG</w:t>
                  </w:r>
                  <w:r w:rsidR="002F5C68" w:rsidRPr="00DC7421">
                    <w:rPr>
                      <w:rFonts w:cs="Arial"/>
                      <w:szCs w:val="20"/>
                    </w:rPr>
                    <w:t xml:space="preserve"> Reagent</w:t>
                  </w:r>
                </w:p>
                <w:p w:rsidR="00D955F6" w:rsidRPr="00DC7421" w:rsidRDefault="009A1A3D" w:rsidP="00B01603">
                  <w:pPr>
                    <w:autoSpaceDE w:val="0"/>
                    <w:autoSpaceDN w:val="0"/>
                    <w:adjustRightInd w:val="0"/>
                    <w:rPr>
                      <w:rFonts w:cs="Arial"/>
                      <w:szCs w:val="20"/>
                    </w:rPr>
                  </w:pPr>
                  <w:r w:rsidRPr="00DC7421">
                    <w:rPr>
                      <w:rFonts w:cs="Arial"/>
                      <w:szCs w:val="20"/>
                    </w:rPr>
                    <w:t>CHC# 32618</w:t>
                  </w:r>
                </w:p>
              </w:tc>
              <w:tc>
                <w:tcPr>
                  <w:tcW w:w="1710" w:type="dxa"/>
                  <w:vAlign w:val="center"/>
                </w:tcPr>
                <w:p w:rsidR="00D955F6" w:rsidRPr="00DC7421" w:rsidRDefault="009A1A3D" w:rsidP="00E3253B">
                  <w:pPr>
                    <w:pStyle w:val="BodyText"/>
                    <w:tabs>
                      <w:tab w:val="left" w:pos="3240"/>
                    </w:tabs>
                    <w:rPr>
                      <w:rFonts w:cs="Arial"/>
                      <w:szCs w:val="20"/>
                    </w:rPr>
                  </w:pPr>
                  <w:r w:rsidRPr="00DC7421">
                    <w:rPr>
                      <w:rFonts w:cs="Arial"/>
                      <w:szCs w:val="20"/>
                    </w:rPr>
                    <w:t>08P02-20</w:t>
                  </w: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autoSpaceDE w:val="0"/>
                    <w:autoSpaceDN w:val="0"/>
                    <w:adjustRightInd w:val="0"/>
                    <w:spacing w:after="80"/>
                    <w:rPr>
                      <w:rFonts w:cs="Arial"/>
                      <w:b/>
                      <w:bCs/>
                      <w:szCs w:val="20"/>
                    </w:rPr>
                  </w:pPr>
                  <w:r w:rsidRPr="00DC7421">
                    <w:rPr>
                      <w:rFonts w:cs="Arial"/>
                      <w:b/>
                      <w:bCs/>
                      <w:szCs w:val="20"/>
                    </w:rPr>
                    <w:t xml:space="preserve">On-board: </w:t>
                  </w:r>
                  <w:r w:rsidR="002F5C68" w:rsidRPr="00DC7421">
                    <w:rPr>
                      <w:rFonts w:cs="Arial"/>
                      <w:b/>
                      <w:bCs/>
                      <w:szCs w:val="20"/>
                    </w:rPr>
                    <w:t>42 days</w:t>
                  </w:r>
                </w:p>
                <w:p w:rsidR="002F5C68" w:rsidRPr="00DC7421" w:rsidRDefault="002F5C68" w:rsidP="00A002D3">
                  <w:pPr>
                    <w:autoSpaceDE w:val="0"/>
                    <w:autoSpaceDN w:val="0"/>
                    <w:adjustRightInd w:val="0"/>
                    <w:spacing w:after="80"/>
                    <w:rPr>
                      <w:rFonts w:cs="Arial"/>
                      <w:szCs w:val="20"/>
                    </w:rPr>
                  </w:pPr>
                  <w:r w:rsidRPr="00DC7421">
                    <w:rPr>
                      <w:rFonts w:cs="Arial"/>
                      <w:b/>
                      <w:bCs/>
                      <w:szCs w:val="20"/>
                    </w:rPr>
                    <w:t xml:space="preserve">Opened, off the analyzer (with clean caps): </w:t>
                  </w:r>
                  <w:r w:rsidR="00B11633" w:rsidRPr="00DC7421">
                    <w:rPr>
                      <w:rFonts w:cs="Arial"/>
                      <w:bCs/>
                      <w:szCs w:val="20"/>
                    </w:rPr>
                    <w:t>Manufacturer’s printed expiration date.  (Reagents may be stored on or off the system.  The system tracks time onboard.)</w:t>
                  </w:r>
                </w:p>
              </w:tc>
            </w:tr>
            <w:tr w:rsidR="00D955F6" w:rsidRPr="00DC7421" w:rsidTr="004C14CE">
              <w:tc>
                <w:tcPr>
                  <w:tcW w:w="2857" w:type="dxa"/>
                  <w:vAlign w:val="center"/>
                </w:tcPr>
                <w:p w:rsidR="002F5C68" w:rsidRPr="00DC7421" w:rsidRDefault="009A1A3D" w:rsidP="002F5C68">
                  <w:pPr>
                    <w:pStyle w:val="BodyText"/>
                    <w:spacing w:after="0"/>
                    <w:rPr>
                      <w:rFonts w:cs="Arial"/>
                      <w:szCs w:val="20"/>
                    </w:rPr>
                  </w:pPr>
                  <w:r w:rsidRPr="00DC7421">
                    <w:rPr>
                      <w:rFonts w:cs="Arial"/>
                      <w:szCs w:val="20"/>
                    </w:rPr>
                    <w:t>Abbott Alinity</w:t>
                  </w:r>
                  <w:r w:rsidR="00B11633" w:rsidRPr="00DC7421">
                    <w:rPr>
                      <w:rFonts w:cs="Arial"/>
                      <w:szCs w:val="20"/>
                    </w:rPr>
                    <w:t xml:space="preserve"> c</w:t>
                  </w:r>
                  <w:r w:rsidRPr="00DC7421">
                    <w:rPr>
                      <w:rFonts w:cs="Arial"/>
                      <w:szCs w:val="20"/>
                    </w:rPr>
                    <w:t xml:space="preserve"> Multiconstituent Calibrator</w:t>
                  </w:r>
                </w:p>
                <w:p w:rsidR="009A1A3D" w:rsidRPr="00DC7421" w:rsidRDefault="009A1A3D" w:rsidP="002F5C68">
                  <w:pPr>
                    <w:pStyle w:val="BodyText"/>
                    <w:spacing w:after="0"/>
                    <w:rPr>
                      <w:rFonts w:cs="Arial"/>
                      <w:szCs w:val="20"/>
                    </w:rPr>
                  </w:pPr>
                  <w:r w:rsidRPr="00DC7421">
                    <w:rPr>
                      <w:rFonts w:cs="Arial"/>
                      <w:szCs w:val="20"/>
                    </w:rPr>
                    <w:t>CHC# 32633</w:t>
                  </w:r>
                </w:p>
              </w:tc>
              <w:tc>
                <w:tcPr>
                  <w:tcW w:w="1710" w:type="dxa"/>
                  <w:vAlign w:val="center"/>
                </w:tcPr>
                <w:p w:rsidR="009A1A3D" w:rsidRPr="00DC7421" w:rsidRDefault="009A1A3D" w:rsidP="009A1A3D">
                  <w:pPr>
                    <w:rPr>
                      <w:rFonts w:eastAsia="Arial Unicode MS" w:cs="Arial"/>
                      <w:szCs w:val="20"/>
                    </w:rPr>
                  </w:pPr>
                  <w:r w:rsidRPr="00DC7421">
                    <w:rPr>
                      <w:rFonts w:eastAsia="Arial Unicode MS" w:cs="Arial"/>
                      <w:szCs w:val="20"/>
                    </w:rPr>
                    <w:t>08P60-01</w:t>
                  </w:r>
                </w:p>
                <w:p w:rsidR="00D955F6" w:rsidRPr="00DC7421" w:rsidRDefault="00D955F6" w:rsidP="00E3253B">
                  <w:pPr>
                    <w:pStyle w:val="BodyText"/>
                    <w:rPr>
                      <w:rFonts w:cs="Arial"/>
                      <w:szCs w:val="20"/>
                    </w:rPr>
                  </w:pPr>
                </w:p>
              </w:tc>
              <w:tc>
                <w:tcPr>
                  <w:tcW w:w="4533" w:type="dxa"/>
                  <w:vAlign w:val="center"/>
                </w:tcPr>
                <w:p w:rsidR="00D955F6" w:rsidRPr="00DC7421" w:rsidRDefault="00D955F6" w:rsidP="00CF08A6">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D955F6" w:rsidRPr="00DC7421" w:rsidRDefault="00D955F6" w:rsidP="00CF08A6">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CF08A6">
                  <w:pPr>
                    <w:pStyle w:val="Reagents"/>
                    <w:spacing w:after="80"/>
                    <w:rPr>
                      <w:rFonts w:ascii="Arial" w:hAnsi="Arial" w:cs="Arial"/>
                      <w:bCs/>
                    </w:rPr>
                  </w:pPr>
                  <w:r w:rsidRPr="00DC7421">
                    <w:rPr>
                      <w:rFonts w:ascii="Arial" w:hAnsi="Arial" w:cs="Arial"/>
                      <w:b/>
                      <w:bCs/>
                    </w:rPr>
                    <w:t>On board</w:t>
                  </w:r>
                  <w:r w:rsidR="002F5C68" w:rsidRPr="00DC7421">
                    <w:rPr>
                      <w:rFonts w:ascii="Arial" w:hAnsi="Arial" w:cs="Arial"/>
                      <w:b/>
                      <w:bCs/>
                    </w:rPr>
                    <w:t xml:space="preserve"> expiration</w:t>
                  </w:r>
                  <w:r w:rsidRPr="00DC7421">
                    <w:rPr>
                      <w:rFonts w:ascii="Arial" w:hAnsi="Arial" w:cs="Arial"/>
                      <w:b/>
                      <w:bCs/>
                    </w:rPr>
                    <w:t>:</w:t>
                  </w:r>
                  <w:r w:rsidR="002F5C68" w:rsidRPr="00DC7421">
                    <w:rPr>
                      <w:rFonts w:ascii="Arial" w:hAnsi="Arial" w:cs="Arial"/>
                      <w:b/>
                      <w:bCs/>
                    </w:rPr>
                    <w:t xml:space="preserve"> 5 days when stored onboard.  </w:t>
                  </w:r>
                  <w:r w:rsidR="002F5C68" w:rsidRPr="00DC7421">
                    <w:rPr>
                      <w:rFonts w:ascii="Arial" w:hAnsi="Arial" w:cs="Arial"/>
                      <w:bCs/>
                    </w:rPr>
                    <w:t>The Alinity c tracks time on the system.</w:t>
                  </w:r>
                </w:p>
                <w:p w:rsidR="00D955F6" w:rsidRPr="00DC7421" w:rsidRDefault="00D955F6" w:rsidP="00A002D3">
                  <w:pPr>
                    <w:pStyle w:val="BodyText"/>
                    <w:spacing w:after="80"/>
                    <w:rPr>
                      <w:rFonts w:cs="Arial"/>
                      <w:szCs w:val="20"/>
                    </w:rPr>
                  </w:pPr>
                  <w:r w:rsidRPr="00DC7421">
                    <w:rPr>
                      <w:rFonts w:cs="Arial"/>
                      <w:b/>
                      <w:bCs/>
                      <w:szCs w:val="20"/>
                    </w:rPr>
                    <w:t>Opened</w:t>
                  </w:r>
                  <w:r w:rsidR="002F5C68" w:rsidRPr="00DC7421">
                    <w:rPr>
                      <w:rFonts w:cs="Arial"/>
                      <w:b/>
                      <w:bCs/>
                      <w:szCs w:val="20"/>
                    </w:rPr>
                    <w:t xml:space="preserve"> expiration</w:t>
                  </w:r>
                  <w:r w:rsidRPr="00DC7421">
                    <w:rPr>
                      <w:rFonts w:cs="Arial"/>
                      <w:b/>
                      <w:bCs/>
                      <w:szCs w:val="20"/>
                    </w:rPr>
                    <w:t xml:space="preserve">: </w:t>
                  </w:r>
                  <w:r w:rsidR="002F5C68" w:rsidRPr="00DC7421">
                    <w:rPr>
                      <w:rFonts w:cs="Arial"/>
                      <w:b/>
                      <w:bCs/>
                      <w:szCs w:val="20"/>
                    </w:rPr>
                    <w:t xml:space="preserve">7 days </w:t>
                  </w:r>
                  <w:r w:rsidR="002F5C68" w:rsidRPr="00DC7421">
                    <w:rPr>
                      <w:rFonts w:cs="Arial"/>
                      <w:bCs/>
                      <w:szCs w:val="20"/>
                    </w:rPr>
                    <w:t>when opened and stored off the system.</w:t>
                  </w:r>
                </w:p>
              </w:tc>
            </w:tr>
          </w:tbl>
          <w:p w:rsidR="00D955F6" w:rsidRPr="00DC7421" w:rsidRDefault="00D955F6" w:rsidP="00747868">
            <w:pPr>
              <w:pStyle w:val="Header"/>
              <w:tabs>
                <w:tab w:val="clear" w:pos="4320"/>
                <w:tab w:val="clear" w:pos="8640"/>
              </w:tabs>
              <w:rPr>
                <w:rFonts w:cs="Arial"/>
                <w:szCs w:val="20"/>
              </w:rPr>
            </w:pPr>
          </w:p>
        </w:tc>
      </w:tr>
      <w:tr w:rsidR="00D955F6" w:rsidTr="00B13C1A">
        <w:trPr>
          <w:trHeight w:val="4059"/>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6"/>
            <w:tcBorders>
              <w:top w:val="single" w:sz="18" w:space="0" w:color="BFBFBF"/>
              <w:left w:val="nil"/>
              <w:bottom w:val="single" w:sz="18" w:space="0" w:color="BFBFBF"/>
              <w:right w:val="nil"/>
            </w:tcBorders>
            <w:vAlign w:val="center"/>
          </w:tcPr>
          <w:p w:rsidR="00D955F6" w:rsidRPr="00DC7421" w:rsidRDefault="00A002D3" w:rsidP="00B13C1A">
            <w:pPr>
              <w:pStyle w:val="Reagents"/>
              <w:rPr>
                <w:rFonts w:ascii="Arial" w:hAnsi="Arial" w:cs="Arial"/>
                <w:b/>
              </w:rPr>
            </w:pPr>
            <w:r w:rsidRPr="00DC7421">
              <w:rPr>
                <w:rFonts w:ascii="Arial" w:hAnsi="Arial" w:cs="Arial"/>
                <w:b/>
                <w:color w:val="984806" w:themeColor="accent6" w:themeShade="80"/>
              </w:rPr>
              <w:t>Architect c4000</w:t>
            </w:r>
            <w:r w:rsidR="002F5C68" w:rsidRPr="00DC7421">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DC7421" w:rsidTr="00B13C1A">
              <w:tc>
                <w:tcPr>
                  <w:tcW w:w="3217" w:type="dxa"/>
                </w:tcPr>
                <w:p w:rsidR="00D955F6" w:rsidRPr="00DC7421" w:rsidRDefault="00D955F6" w:rsidP="00B13C1A">
                  <w:pPr>
                    <w:pStyle w:val="Reagents"/>
                    <w:rPr>
                      <w:rFonts w:ascii="Arial" w:hAnsi="Arial" w:cs="Arial"/>
                    </w:rPr>
                  </w:pPr>
                  <w:r w:rsidRPr="00DC7421">
                    <w:rPr>
                      <w:rFonts w:ascii="Arial" w:hAnsi="Arial" w:cs="Arial"/>
                      <w:b/>
                      <w:bCs/>
                      <w:i/>
                      <w:iCs/>
                    </w:rPr>
                    <w:t>Product Description</w:t>
                  </w:r>
                </w:p>
              </w:tc>
              <w:tc>
                <w:tcPr>
                  <w:tcW w:w="1710" w:type="dxa"/>
                </w:tcPr>
                <w:p w:rsidR="00D955F6" w:rsidRPr="00DC7421" w:rsidRDefault="00D955F6" w:rsidP="00B13C1A">
                  <w:pPr>
                    <w:pStyle w:val="Reagents"/>
                    <w:rPr>
                      <w:rFonts w:ascii="Arial" w:hAnsi="Arial" w:cs="Arial"/>
                    </w:rPr>
                  </w:pPr>
                  <w:r w:rsidRPr="00DC7421">
                    <w:rPr>
                      <w:rFonts w:ascii="Arial" w:hAnsi="Arial" w:cs="Arial"/>
                      <w:b/>
                      <w:bCs/>
                      <w:i/>
                      <w:iCs/>
                    </w:rPr>
                    <w:t>Product Code</w:t>
                  </w:r>
                </w:p>
              </w:tc>
              <w:tc>
                <w:tcPr>
                  <w:tcW w:w="4202" w:type="dxa"/>
                </w:tcPr>
                <w:p w:rsidR="00D955F6" w:rsidRPr="00DC7421" w:rsidRDefault="00D955F6" w:rsidP="00B13C1A">
                  <w:pPr>
                    <w:pStyle w:val="Reagents"/>
                    <w:rPr>
                      <w:rFonts w:ascii="Arial" w:hAnsi="Arial" w:cs="Arial"/>
                    </w:rPr>
                  </w:pPr>
                  <w:r w:rsidRPr="00DC7421">
                    <w:rPr>
                      <w:rFonts w:ascii="Arial" w:hAnsi="Arial" w:cs="Arial"/>
                      <w:b/>
                      <w:bCs/>
                      <w:i/>
                      <w:iCs/>
                    </w:rPr>
                    <w:t>Stability</w:t>
                  </w:r>
                </w:p>
              </w:tc>
            </w:tr>
            <w:tr w:rsidR="00D955F6" w:rsidRPr="00DC7421" w:rsidTr="004C14CE">
              <w:trPr>
                <w:trHeight w:val="1403"/>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944DFA">
                    <w:rPr>
                      <w:rFonts w:ascii="Arial" w:hAnsi="Arial" w:cs="Arial"/>
                    </w:rPr>
                    <w:t xml:space="preserve">                 </w:t>
                  </w:r>
                  <w:r w:rsidRPr="00DC7421">
                    <w:rPr>
                      <w:rFonts w:ascii="Arial" w:hAnsi="Arial" w:cs="Arial"/>
                    </w:rPr>
                    <w:t>Albumin BCG</w:t>
                  </w:r>
                  <w:r w:rsidR="002F5C68" w:rsidRPr="00DC7421">
                    <w:rPr>
                      <w:rFonts w:ascii="Arial" w:hAnsi="Arial" w:cs="Arial"/>
                    </w:rPr>
                    <w:t xml:space="preserve"> Reagent</w:t>
                  </w:r>
                </w:p>
                <w:p w:rsidR="009A1A3D" w:rsidRPr="00DC7421" w:rsidRDefault="009A1A3D" w:rsidP="00B13C1A">
                  <w:pPr>
                    <w:pStyle w:val="Reagents"/>
                    <w:rPr>
                      <w:rFonts w:ascii="Arial" w:hAnsi="Arial" w:cs="Arial"/>
                    </w:rPr>
                  </w:pPr>
                  <w:r w:rsidRPr="00DC7421">
                    <w:rPr>
                      <w:rFonts w:ascii="Arial" w:hAnsi="Arial" w:cs="Arial"/>
                    </w:rPr>
                    <w:t>CHC# 32522</w:t>
                  </w:r>
                </w:p>
              </w:tc>
              <w:tc>
                <w:tcPr>
                  <w:tcW w:w="1710" w:type="dxa"/>
                  <w:vAlign w:val="center"/>
                </w:tcPr>
                <w:p w:rsidR="00D955F6" w:rsidRPr="00DC7421" w:rsidRDefault="009A1A3D" w:rsidP="00B13C1A">
                  <w:pPr>
                    <w:pStyle w:val="Reagents"/>
                    <w:rPr>
                      <w:rFonts w:ascii="Arial" w:hAnsi="Arial" w:cs="Arial"/>
                    </w:rPr>
                  </w:pPr>
                  <w:r w:rsidRPr="00DC7421">
                    <w:rPr>
                      <w:rFonts w:ascii="Arial" w:hAnsi="Arial" w:cs="Arial"/>
                    </w:rPr>
                    <w:t>07D53-23</w:t>
                  </w:r>
                </w:p>
              </w:tc>
              <w:tc>
                <w:tcPr>
                  <w:tcW w:w="4202" w:type="dxa"/>
                  <w:vAlign w:val="center"/>
                </w:tcPr>
                <w:p w:rsidR="00D955F6" w:rsidRPr="00DC7421" w:rsidRDefault="00D955F6" w:rsidP="00B13C1A">
                  <w:pPr>
                    <w:pStyle w:val="Reagents"/>
                    <w:spacing w:after="80"/>
                    <w:rPr>
                      <w:rFonts w:ascii="Arial" w:hAnsi="Arial" w:cs="Arial"/>
                      <w:bCs/>
                    </w:rPr>
                  </w:pPr>
                  <w:r w:rsidRPr="00DC7421">
                    <w:rPr>
                      <w:rFonts w:ascii="Arial" w:hAnsi="Arial" w:cs="Arial"/>
                      <w:b/>
                      <w:bCs/>
                    </w:rPr>
                    <w:t>Store at:</w:t>
                  </w:r>
                  <w:r w:rsidR="002F5C68" w:rsidRPr="00DC7421">
                    <w:rPr>
                      <w:rFonts w:ascii="Arial" w:hAnsi="Arial" w:cs="Arial"/>
                      <w:bCs/>
                    </w:rPr>
                    <w:t xml:space="preserve"> 15 - 30</w:t>
                  </w:r>
                  <w:r w:rsidRPr="00DC7421">
                    <w:rPr>
                      <w:rFonts w:ascii="Arial" w:hAnsi="Arial" w:cs="Arial"/>
                      <w:bCs/>
                    </w:rPr>
                    <w:t>°C</w:t>
                  </w:r>
                </w:p>
                <w:p w:rsidR="00D955F6" w:rsidRPr="00DC7421" w:rsidRDefault="00D955F6" w:rsidP="00B13C1A">
                  <w:pPr>
                    <w:autoSpaceDE w:val="0"/>
                    <w:autoSpaceDN w:val="0"/>
                    <w:adjustRightInd w:val="0"/>
                    <w:spacing w:after="80"/>
                    <w:rPr>
                      <w:rFonts w:cs="Arial"/>
                      <w:bCs/>
                      <w:szCs w:val="20"/>
                    </w:rPr>
                  </w:pPr>
                  <w:r w:rsidRPr="00DC7421">
                    <w:rPr>
                      <w:rFonts w:cs="Arial"/>
                      <w:b/>
                      <w:bCs/>
                      <w:szCs w:val="20"/>
                    </w:rPr>
                    <w:t xml:space="preserve">Unopened: </w:t>
                  </w:r>
                  <w:r w:rsidR="00D75850" w:rsidRPr="00DC7421">
                    <w:rPr>
                      <w:rFonts w:cs="Arial"/>
                      <w:bCs/>
                    </w:rPr>
                    <w:t>Manufacturer’s printed expiration date</w:t>
                  </w:r>
                  <w:r w:rsidRPr="00DC7421">
                    <w:rPr>
                      <w:rFonts w:cs="Arial"/>
                      <w:bCs/>
                      <w:szCs w:val="20"/>
                    </w:rPr>
                    <w:t>.</w:t>
                  </w:r>
                </w:p>
                <w:p w:rsidR="00D955F6" w:rsidRPr="00DC7421" w:rsidRDefault="00A002D3" w:rsidP="00A002D3">
                  <w:pPr>
                    <w:autoSpaceDE w:val="0"/>
                    <w:autoSpaceDN w:val="0"/>
                    <w:adjustRightInd w:val="0"/>
                    <w:spacing w:after="80"/>
                    <w:rPr>
                      <w:rFonts w:cs="Arial"/>
                      <w:szCs w:val="20"/>
                    </w:rPr>
                  </w:pPr>
                  <w:r w:rsidRPr="00DC7421">
                    <w:rPr>
                      <w:rFonts w:cs="Arial"/>
                      <w:b/>
                      <w:bCs/>
                      <w:szCs w:val="20"/>
                    </w:rPr>
                    <w:t>On-board:</w:t>
                  </w:r>
                  <w:r w:rsidR="002F5C68" w:rsidRPr="00DC7421">
                    <w:rPr>
                      <w:rFonts w:cs="Arial"/>
                      <w:b/>
                      <w:bCs/>
                      <w:szCs w:val="20"/>
                    </w:rPr>
                    <w:t xml:space="preserve"> </w:t>
                  </w:r>
                  <w:r w:rsidR="002F5C68" w:rsidRPr="00DC7421">
                    <w:rPr>
                      <w:rFonts w:cs="Arial"/>
                      <w:bCs/>
                      <w:szCs w:val="20"/>
                    </w:rPr>
                    <w:t>42 Days</w:t>
                  </w:r>
                </w:p>
              </w:tc>
            </w:tr>
            <w:tr w:rsidR="00D955F6" w:rsidRPr="00DC7421" w:rsidTr="004C14CE">
              <w:trPr>
                <w:trHeight w:val="1520"/>
              </w:trPr>
              <w:tc>
                <w:tcPr>
                  <w:tcW w:w="3217" w:type="dxa"/>
                  <w:vAlign w:val="center"/>
                </w:tcPr>
                <w:p w:rsidR="00D955F6" w:rsidRPr="00DC7421" w:rsidRDefault="009A1A3D" w:rsidP="00B13C1A">
                  <w:pPr>
                    <w:pStyle w:val="Reagents"/>
                    <w:rPr>
                      <w:rFonts w:ascii="Arial" w:hAnsi="Arial" w:cs="Arial"/>
                    </w:rPr>
                  </w:pPr>
                  <w:r w:rsidRPr="00DC7421">
                    <w:rPr>
                      <w:rFonts w:ascii="Arial" w:hAnsi="Arial" w:cs="Arial"/>
                    </w:rPr>
                    <w:t xml:space="preserve">Abbott Architect </w:t>
                  </w:r>
                  <w:r w:rsidR="00D75850">
                    <w:rPr>
                      <w:rFonts w:ascii="Arial" w:hAnsi="Arial" w:cs="Arial"/>
                    </w:rPr>
                    <w:t xml:space="preserve">             </w:t>
                  </w:r>
                  <w:r w:rsidRPr="00DC7421">
                    <w:rPr>
                      <w:rFonts w:ascii="Arial" w:hAnsi="Arial" w:cs="Arial"/>
                    </w:rPr>
                    <w:t>Multiconstituent Calibrator</w:t>
                  </w:r>
                </w:p>
                <w:p w:rsidR="009A1A3D" w:rsidRPr="00DC7421" w:rsidRDefault="009A1A3D" w:rsidP="00B13C1A">
                  <w:pPr>
                    <w:pStyle w:val="Reagents"/>
                    <w:rPr>
                      <w:rFonts w:ascii="Arial" w:hAnsi="Arial" w:cs="Arial"/>
                    </w:rPr>
                  </w:pPr>
                  <w:r w:rsidRPr="00DC7421">
                    <w:rPr>
                      <w:rFonts w:ascii="Arial" w:hAnsi="Arial" w:cs="Arial"/>
                    </w:rPr>
                    <w:t>CHC# 32557</w:t>
                  </w:r>
                </w:p>
              </w:tc>
              <w:tc>
                <w:tcPr>
                  <w:tcW w:w="1710" w:type="dxa"/>
                  <w:vAlign w:val="center"/>
                </w:tcPr>
                <w:p w:rsidR="00D955F6" w:rsidRPr="00DC7421" w:rsidRDefault="009A1A3D" w:rsidP="004C14CE">
                  <w:pPr>
                    <w:rPr>
                      <w:rFonts w:cs="Arial"/>
                      <w:szCs w:val="20"/>
                    </w:rPr>
                  </w:pPr>
                  <w:r w:rsidRPr="00DC7421">
                    <w:rPr>
                      <w:rFonts w:eastAsia="Arial Unicode MS" w:cs="Arial"/>
                      <w:szCs w:val="20"/>
                    </w:rPr>
                    <w:t>01E65-05</w:t>
                  </w:r>
                </w:p>
              </w:tc>
              <w:tc>
                <w:tcPr>
                  <w:tcW w:w="4202" w:type="dxa"/>
                  <w:vAlign w:val="center"/>
                </w:tcPr>
                <w:p w:rsidR="00D955F6" w:rsidRPr="00DC7421" w:rsidRDefault="00D955F6" w:rsidP="00B13C1A">
                  <w:pPr>
                    <w:pStyle w:val="Reagents"/>
                    <w:spacing w:after="80"/>
                    <w:rPr>
                      <w:rFonts w:ascii="Arial" w:hAnsi="Arial" w:cs="Arial"/>
                    </w:rPr>
                  </w:pPr>
                  <w:r w:rsidRPr="00DC7421">
                    <w:rPr>
                      <w:rFonts w:ascii="Arial" w:hAnsi="Arial" w:cs="Arial"/>
                      <w:b/>
                    </w:rPr>
                    <w:t>Store at</w:t>
                  </w:r>
                  <w:r w:rsidR="00B11633" w:rsidRPr="00DC7421">
                    <w:rPr>
                      <w:rFonts w:ascii="Arial" w:hAnsi="Arial" w:cs="Arial"/>
                      <w:b/>
                    </w:rPr>
                    <w:t>:</w:t>
                  </w:r>
                  <w:r w:rsidRPr="00DC7421">
                    <w:rPr>
                      <w:rFonts w:ascii="Arial" w:hAnsi="Arial" w:cs="Arial"/>
                    </w:rPr>
                    <w:t xml:space="preserve"> 2 – 8°C</w:t>
                  </w:r>
                </w:p>
                <w:p w:rsidR="00D955F6" w:rsidRPr="00DC7421" w:rsidRDefault="00D955F6" w:rsidP="00B13C1A">
                  <w:pPr>
                    <w:pStyle w:val="Reagents"/>
                    <w:spacing w:after="80"/>
                    <w:rPr>
                      <w:rFonts w:ascii="Arial" w:hAnsi="Arial" w:cs="Arial"/>
                      <w:bCs/>
                    </w:rPr>
                  </w:pPr>
                  <w:r w:rsidRPr="00DC7421">
                    <w:rPr>
                      <w:rFonts w:ascii="Arial" w:hAnsi="Arial" w:cs="Arial"/>
                      <w:b/>
                      <w:bCs/>
                    </w:rPr>
                    <w:t xml:space="preserve">Unopened: </w:t>
                  </w:r>
                  <w:r w:rsidR="002F5C68" w:rsidRPr="00DC7421">
                    <w:rPr>
                      <w:rFonts w:ascii="Arial" w:hAnsi="Arial" w:cs="Arial"/>
                      <w:bCs/>
                    </w:rPr>
                    <w:t>Manufacturer’s printed expiration date</w:t>
                  </w:r>
                </w:p>
                <w:p w:rsidR="00D955F6" w:rsidRPr="00DC7421" w:rsidRDefault="00D955F6" w:rsidP="00A002D3">
                  <w:pPr>
                    <w:pStyle w:val="Reagents"/>
                    <w:spacing w:after="80"/>
                    <w:rPr>
                      <w:rFonts w:ascii="Arial" w:hAnsi="Arial" w:cs="Arial"/>
                    </w:rPr>
                  </w:pPr>
                  <w:r w:rsidRPr="00DC7421">
                    <w:rPr>
                      <w:rFonts w:ascii="Arial" w:hAnsi="Arial" w:cs="Arial"/>
                      <w:b/>
                    </w:rPr>
                    <w:t>Opened:</w:t>
                  </w:r>
                  <w:r w:rsidRPr="00DC7421">
                    <w:rPr>
                      <w:rFonts w:ascii="Arial" w:hAnsi="Arial" w:cs="Arial"/>
                    </w:rPr>
                    <w:t xml:space="preserve"> </w:t>
                  </w:r>
                  <w:r w:rsidR="00B11633" w:rsidRPr="00DC7421">
                    <w:rPr>
                      <w:rFonts w:ascii="Arial" w:hAnsi="Arial" w:cs="Arial"/>
                    </w:rPr>
                    <w:t>7 Days</w:t>
                  </w:r>
                </w:p>
              </w:tc>
            </w:tr>
          </w:tbl>
          <w:p w:rsidR="00D955F6" w:rsidRPr="00DC7421" w:rsidRDefault="00D955F6" w:rsidP="00B13C1A">
            <w:pPr>
              <w:pStyle w:val="Reagents"/>
              <w:rPr>
                <w:rFonts w:ascii="Arial" w:hAnsi="Arial" w:cs="Arial"/>
                <w:b/>
                <w:bCs/>
                <w:color w:val="365F91"/>
              </w:rPr>
            </w:pPr>
          </w:p>
        </w:tc>
      </w:tr>
      <w:tr w:rsidR="00E3253B" w:rsidTr="00950E15">
        <w:trPr>
          <w:trHeight w:val="154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105"/>
            </w:tblGrid>
            <w:tr w:rsidR="003E0A08" w:rsidRPr="00DC7421" w:rsidTr="002C12BF">
              <w:trPr>
                <w:trHeight w:val="63"/>
              </w:trPr>
              <w:tc>
                <w:tcPr>
                  <w:tcW w:w="9105" w:type="dxa"/>
                </w:tcPr>
                <w:p w:rsidR="00D63C07" w:rsidRPr="00DC7421" w:rsidRDefault="00D63C07" w:rsidP="00B22847">
                  <w:pPr>
                    <w:autoSpaceDE w:val="0"/>
                    <w:autoSpaceDN w:val="0"/>
                    <w:adjustRightInd w:val="0"/>
                    <w:rPr>
                      <w:rFonts w:cs="Arial"/>
                      <w:color w:val="000000"/>
                      <w:szCs w:val="20"/>
                    </w:rPr>
                  </w:pPr>
                  <w:r w:rsidRPr="00DC7421">
                    <w:rPr>
                      <w:rFonts w:eastAsia="HelenPro-Regular"/>
                      <w:b/>
                      <w:bCs/>
                      <w:szCs w:val="20"/>
                    </w:rPr>
                    <w:t xml:space="preserve">CAUTION: </w:t>
                  </w:r>
                  <w:r w:rsidRPr="00DC7421">
                    <w:rPr>
                      <w:rFonts w:cs="Arial"/>
                      <w:color w:val="000000"/>
                      <w:szCs w:val="20"/>
                    </w:rPr>
                    <w:t xml:space="preserve">For in vitro diagnostic use.  </w:t>
                  </w:r>
                  <w:r w:rsidRPr="00DC7421">
                    <w:rPr>
                      <w:rFonts w:eastAsia="HelenPro-Regular"/>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must be worn according to Children’s Minnesota Laboratory policies.  </w:t>
                  </w:r>
                  <w:r w:rsidRPr="00DC7421">
                    <w:rPr>
                      <w:rFonts w:cs="Arial"/>
                      <w:color w:val="000000"/>
                      <w:szCs w:val="20"/>
                    </w:rPr>
                    <w:t xml:space="preserve">Current SDSs are kept on the </w:t>
                  </w:r>
                  <w:hyperlink r:id="rId8" w:history="1">
                    <w:r w:rsidRPr="00DC7421">
                      <w:rPr>
                        <w:rStyle w:val="Hyperlink"/>
                        <w:rFonts w:cs="Arial"/>
                        <w:szCs w:val="20"/>
                      </w:rPr>
                      <w:t>Children’s StarN</w:t>
                    </w:r>
                    <w:r w:rsidRPr="00DC7421">
                      <w:rPr>
                        <w:rStyle w:val="Hyperlink"/>
                        <w:rFonts w:cs="Arial"/>
                        <w:szCs w:val="20"/>
                      </w:rPr>
                      <w:t>e</w:t>
                    </w:r>
                    <w:r w:rsidRPr="00DC7421">
                      <w:rPr>
                        <w:rStyle w:val="Hyperlink"/>
                        <w:rFonts w:cs="Arial"/>
                        <w:szCs w:val="20"/>
                      </w:rPr>
                      <w:t>t</w:t>
                    </w:r>
                  </w:hyperlink>
                  <w:r w:rsidRPr="00DC7421">
                    <w:rPr>
                      <w:rFonts w:cs="Arial"/>
                      <w:color w:val="000000"/>
                      <w:szCs w:val="20"/>
                    </w:rPr>
                    <w:t xml:space="preserve"> page</w:t>
                  </w:r>
                </w:p>
                <w:p w:rsidR="00D63C07" w:rsidRPr="00DC7421" w:rsidRDefault="00D63C07" w:rsidP="00B22847">
                  <w:pPr>
                    <w:autoSpaceDE w:val="0"/>
                    <w:autoSpaceDN w:val="0"/>
                    <w:adjustRightInd w:val="0"/>
                    <w:rPr>
                      <w:rFonts w:cs="Arial"/>
                      <w:color w:val="000000"/>
                      <w:szCs w:val="20"/>
                    </w:rPr>
                  </w:pPr>
                </w:p>
                <w:p w:rsidR="003E0A08" w:rsidRPr="00DC7421" w:rsidRDefault="003E0A08" w:rsidP="00B22847">
                  <w:pPr>
                    <w:autoSpaceDE w:val="0"/>
                    <w:autoSpaceDN w:val="0"/>
                    <w:adjustRightInd w:val="0"/>
                    <w:rPr>
                      <w:rFonts w:cs="Arial"/>
                      <w:color w:val="000000"/>
                      <w:szCs w:val="20"/>
                    </w:rPr>
                  </w:pPr>
                  <w:r w:rsidRPr="00DC7421">
                    <w:rPr>
                      <w:rFonts w:cs="Arial"/>
                      <w:color w:val="000000"/>
                      <w:szCs w:val="20"/>
                    </w:rPr>
                    <w:t>R1 reage</w:t>
                  </w:r>
                  <w:r w:rsidR="00950E15" w:rsidRPr="00DC7421">
                    <w:rPr>
                      <w:rFonts w:cs="Arial"/>
                      <w:color w:val="000000"/>
                      <w:szCs w:val="20"/>
                    </w:rPr>
                    <w:t>nt: Contains sodium azide.  D</w:t>
                  </w:r>
                  <w:r w:rsidRPr="00DC7421">
                    <w:rPr>
                      <w:rFonts w:cs="Arial"/>
                      <w:color w:val="000000"/>
                      <w:szCs w:val="20"/>
                    </w:rPr>
                    <w:t>oes not require s</w:t>
                  </w:r>
                  <w:r w:rsidR="00950E15" w:rsidRPr="00DC7421">
                    <w:rPr>
                      <w:rFonts w:cs="Arial"/>
                      <w:color w:val="000000"/>
                      <w:szCs w:val="20"/>
                    </w:rPr>
                    <w:t xml:space="preserve">pecial disposal due to amount.  </w:t>
                  </w:r>
                  <w:r w:rsidRPr="00DC7421">
                    <w:rPr>
                      <w:rFonts w:cs="Arial"/>
                      <w:color w:val="000000"/>
                      <w:szCs w:val="20"/>
                    </w:rPr>
                    <w:t>Dispose of used reagent in normal trash.  Unused (expired) reagents and Multiconstituent Calibrator should be disposed of in Regulated Medical Waste (red trash).</w:t>
                  </w:r>
                </w:p>
                <w:p w:rsidR="003E0A08" w:rsidRPr="00DC7421" w:rsidRDefault="003E0A08" w:rsidP="00B22847">
                  <w:pPr>
                    <w:autoSpaceDE w:val="0"/>
                    <w:autoSpaceDN w:val="0"/>
                    <w:adjustRightInd w:val="0"/>
                    <w:rPr>
                      <w:rFonts w:cs="Arial"/>
                      <w:color w:val="000000"/>
                      <w:szCs w:val="20"/>
                    </w:rPr>
                  </w:pPr>
                </w:p>
              </w:tc>
            </w:tr>
          </w:tbl>
          <w:p w:rsidR="007B2A3E" w:rsidRPr="00DC7421" w:rsidRDefault="007B2A3E" w:rsidP="007B2A3E">
            <w:pPr>
              <w:rPr>
                <w:rFonts w:cs="Arial"/>
                <w:szCs w:val="20"/>
              </w:rPr>
            </w:pPr>
          </w:p>
        </w:tc>
      </w:tr>
      <w:tr w:rsidR="00F50200" w:rsidTr="00DC7421">
        <w:trPr>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rsidR="00F50200" w:rsidRPr="00DC7421" w:rsidRDefault="008D3369" w:rsidP="00A32948">
            <w:pPr>
              <w:pStyle w:val="Pa15"/>
              <w:rPr>
                <w:rFonts w:ascii="Arial" w:hAnsi="Arial" w:cs="Arial"/>
                <w:b/>
                <w:bCs/>
                <w:sz w:val="20"/>
                <w:szCs w:val="20"/>
              </w:rPr>
            </w:pPr>
            <w:r w:rsidRPr="00DC7421">
              <w:rPr>
                <w:rFonts w:ascii="Arial" w:hAnsi="Arial" w:cs="Arial"/>
                <w:b/>
                <w:bCs/>
                <w:color w:val="7030A0"/>
                <w:sz w:val="20"/>
                <w:szCs w:val="20"/>
              </w:rPr>
              <w:t>Alinity c</w:t>
            </w:r>
            <w:r w:rsidR="002F5C68" w:rsidRPr="00DC7421">
              <w:rPr>
                <w:rFonts w:ascii="Arial" w:hAnsi="Arial" w:cs="Arial"/>
                <w:b/>
                <w:bCs/>
                <w:sz w:val="20"/>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rsidR="00F50200" w:rsidRPr="00DC7421" w:rsidRDefault="008D3369" w:rsidP="005217B0">
                  <w:pPr>
                    <w:pStyle w:val="CalVerTable"/>
                    <w:ind w:left="0" w:firstLine="0"/>
                    <w:rPr>
                      <w:rFonts w:ascii="Arial" w:hAnsi="Arial" w:cs="Arial"/>
                    </w:rPr>
                  </w:pPr>
                  <w:r w:rsidRPr="00DC7421">
                    <w:rPr>
                      <w:rFonts w:ascii="Arial" w:hAnsi="Arial" w:cs="Arial"/>
                    </w:rPr>
                    <w:t>0.</w:t>
                  </w:r>
                  <w:r w:rsidR="005217B0">
                    <w:rPr>
                      <w:rFonts w:ascii="Arial" w:hAnsi="Arial" w:cs="Arial"/>
                    </w:rPr>
                    <w:t>6 g/dL-9</w:t>
                  </w:r>
                  <w:r w:rsidRPr="00DC7421">
                    <w:rPr>
                      <w:rFonts w:ascii="Arial" w:hAnsi="Arial" w:cs="Arial"/>
                    </w:rPr>
                    <w:t>.5 g/dL</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rsidR="00F50200" w:rsidRPr="00DC7421" w:rsidRDefault="00440E37" w:rsidP="00440E37">
                  <w:pPr>
                    <w:pStyle w:val="BodyText"/>
                    <w:rPr>
                      <w:rFonts w:cs="Arial"/>
                      <w:szCs w:val="20"/>
                    </w:rPr>
                  </w:pPr>
                  <w:r w:rsidRPr="00DC7421">
                    <w:rPr>
                      <w:rFonts w:cs="Arial"/>
                      <w:szCs w:val="20"/>
                    </w:rPr>
                    <w:t>Abbott Alinity Multiconstituent Calibrator</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rsidR="00F50200" w:rsidRPr="00DC7421" w:rsidRDefault="00F50200" w:rsidP="001D1786">
                  <w:pPr>
                    <w:pStyle w:val="CalVerTable"/>
                    <w:ind w:left="0" w:firstLine="0"/>
                    <w:rPr>
                      <w:rFonts w:ascii="Arial" w:hAnsi="Arial" w:cs="Arial"/>
                    </w:rPr>
                  </w:pPr>
                  <w:r w:rsidRPr="00DC7421">
                    <w:rPr>
                      <w:rFonts w:ascii="Arial" w:hAnsi="Arial" w:cs="Arial"/>
                    </w:rPr>
                    <w:t xml:space="preserve"> </w:t>
                  </w:r>
                  <w:r w:rsidR="004A698D" w:rsidRPr="00DC7421">
                    <w:rPr>
                      <w:rFonts w:ascii="Arial" w:hAnsi="Arial" w:cs="Arial"/>
                    </w:rPr>
                    <w:t>See lot-specific assay set point documentation</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rsidR="00F50200" w:rsidRPr="00DC7421" w:rsidRDefault="008D3369" w:rsidP="00A32948">
                  <w:pPr>
                    <w:pStyle w:val="CalVerTable"/>
                    <w:ind w:left="0" w:firstLine="0"/>
                    <w:rPr>
                      <w:rFonts w:ascii="Arial" w:hAnsi="Arial" w:cs="Arial"/>
                    </w:rPr>
                  </w:pPr>
                  <w:r w:rsidRPr="00DC7421">
                    <w:rPr>
                      <w:rFonts w:ascii="Arial" w:hAnsi="Arial" w:cs="Arial"/>
                    </w:rPr>
                    <w:t>2 levels</w:t>
                  </w:r>
                  <w:r w:rsidR="004A698D" w:rsidRPr="00DC7421">
                    <w:rPr>
                      <w:rFonts w:ascii="Arial" w:hAnsi="Arial" w:cs="Arial"/>
                    </w:rPr>
                    <w:t>, Linear data reduction method</w:t>
                  </w:r>
                </w:p>
              </w:tc>
            </w:tr>
            <w:tr w:rsidR="00F50200" w:rsidRPr="00DC7421" w:rsidTr="001C1CFA">
              <w:tc>
                <w:tcPr>
                  <w:tcW w:w="2947" w:type="dxa"/>
                </w:tcPr>
                <w:p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rsidR="00F50200" w:rsidRPr="00DC7421" w:rsidRDefault="003E0A08" w:rsidP="004A698D">
                  <w:pPr>
                    <w:pStyle w:val="Pa10"/>
                    <w:rPr>
                      <w:rFonts w:ascii="Arial" w:hAnsi="Arial" w:cs="Arial"/>
                      <w:sz w:val="20"/>
                      <w:szCs w:val="20"/>
                    </w:rPr>
                  </w:pPr>
                  <w:r w:rsidRPr="00DC7421">
                    <w:rPr>
                      <w:rFonts w:ascii="Arial" w:hAnsi="Arial" w:cs="Arial"/>
                      <w:sz w:val="20"/>
                      <w:szCs w:val="20"/>
                    </w:rPr>
                    <w:t>41 Days</w:t>
                  </w:r>
                </w:p>
              </w:tc>
            </w:tr>
            <w:tr w:rsidR="00F50200" w:rsidRPr="00DC7421" w:rsidTr="00F50200">
              <w:trPr>
                <w:trHeight w:val="1547"/>
              </w:trPr>
              <w:tc>
                <w:tcPr>
                  <w:tcW w:w="2947" w:type="dxa"/>
                  <w:tcBorders>
                    <w:bottom w:val="single" w:sz="4" w:space="0" w:color="auto"/>
                  </w:tcBorders>
                </w:tcPr>
                <w:p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rsidR="00F50200" w:rsidRPr="00DC7421" w:rsidRDefault="004A698D" w:rsidP="004A698D">
                  <w:pPr>
                    <w:autoSpaceDE w:val="0"/>
                    <w:autoSpaceDN w:val="0"/>
                    <w:adjustRightInd w:val="0"/>
                    <w:rPr>
                      <w:rFonts w:cs="Arial"/>
                      <w:szCs w:val="20"/>
                    </w:rPr>
                  </w:pPr>
                  <w:r w:rsidRPr="00DC7421">
                    <w:rPr>
                      <w:rFonts w:cs="Arial"/>
                      <w:szCs w:val="20"/>
                    </w:rPr>
                    <w:t xml:space="preserve">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DC7421" w:rsidRDefault="00F50200" w:rsidP="00A32948">
            <w:pPr>
              <w:rPr>
                <w:rFonts w:cs="Arial"/>
                <w:szCs w:val="20"/>
              </w:rPr>
            </w:pPr>
          </w:p>
        </w:tc>
      </w:tr>
      <w:tr w:rsidR="00E3253B" w:rsidTr="00F50200">
        <w:trPr>
          <w:trHeight w:val="264"/>
          <w:tblHeader/>
        </w:trPr>
        <w:tc>
          <w:tcPr>
            <w:tcW w:w="1800" w:type="dxa"/>
            <w:tcBorders>
              <w:top w:val="nil"/>
              <w:left w:val="nil"/>
              <w:bottom w:val="nil"/>
              <w:right w:val="nil"/>
            </w:tcBorders>
          </w:tcPr>
          <w:p w:rsidR="003D713F" w:rsidRPr="00C00B65" w:rsidRDefault="003D713F" w:rsidP="003D713F">
            <w:pPr>
              <w:ind w:left="-108" w:right="-108"/>
              <w:rPr>
                <w:rFonts w:cs="Arial"/>
                <w:b/>
                <w:bCs/>
                <w:color w:val="0000FF"/>
                <w:szCs w:val="20"/>
              </w:rPr>
            </w:pPr>
          </w:p>
          <w:p w:rsidR="00E3253B" w:rsidRPr="00C00B65" w:rsidRDefault="00E3253B" w:rsidP="003E0A08">
            <w:pPr>
              <w:ind w:left="-108" w:right="-108"/>
              <w:rPr>
                <w:rFonts w:cs="Arial"/>
                <w:b/>
                <w:bCs/>
                <w:color w:val="0000FF"/>
                <w:szCs w:val="20"/>
              </w:rPr>
            </w:pPr>
          </w:p>
        </w:tc>
        <w:tc>
          <w:tcPr>
            <w:tcW w:w="9360" w:type="dxa"/>
            <w:gridSpan w:val="6"/>
            <w:tcBorders>
              <w:top w:val="single" w:sz="18" w:space="0" w:color="BFBFBF"/>
              <w:left w:val="nil"/>
              <w:bottom w:val="nil"/>
              <w:right w:val="nil"/>
            </w:tcBorders>
          </w:tcPr>
          <w:p w:rsidR="00B13C1A" w:rsidRPr="00DC7421" w:rsidRDefault="008D3369" w:rsidP="00B13C1A">
            <w:pPr>
              <w:tabs>
                <w:tab w:val="left" w:pos="648"/>
              </w:tabs>
              <w:rPr>
                <w:rFonts w:cs="Arial"/>
                <w:szCs w:val="20"/>
              </w:rPr>
            </w:pPr>
            <w:r w:rsidRPr="00DC7421">
              <w:rPr>
                <w:rFonts w:cs="Arial"/>
                <w:b/>
                <w:bCs/>
                <w:color w:val="984806" w:themeColor="accent6" w:themeShade="80"/>
                <w:szCs w:val="20"/>
              </w:rPr>
              <w:t>Architect c4000</w:t>
            </w:r>
            <w:r w:rsidR="002F5C68" w:rsidRPr="00DC7421">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Assay Range:</w:t>
                  </w:r>
                </w:p>
              </w:tc>
              <w:tc>
                <w:tcPr>
                  <w:tcW w:w="6269" w:type="dxa"/>
                </w:tcPr>
                <w:p w:rsidR="00B13C1A" w:rsidRPr="00DC7421" w:rsidRDefault="005217B0" w:rsidP="00B13C1A">
                  <w:pPr>
                    <w:pStyle w:val="CalVerTable"/>
                    <w:ind w:left="0" w:firstLine="0"/>
                    <w:rPr>
                      <w:rFonts w:ascii="Arial" w:hAnsi="Arial" w:cs="Arial"/>
                    </w:rPr>
                  </w:pPr>
                  <w:r>
                    <w:rPr>
                      <w:rFonts w:ascii="Arial" w:hAnsi="Arial" w:cs="Arial"/>
                    </w:rPr>
                    <w:t>0.6 g/dL-9</w:t>
                  </w:r>
                  <w:r w:rsidR="00AB7F16" w:rsidRPr="00DC7421">
                    <w:rPr>
                      <w:rFonts w:ascii="Arial" w:hAnsi="Arial" w:cs="Arial"/>
                    </w:rPr>
                    <w:t>.5 g/dL</w:t>
                  </w:r>
                </w:p>
              </w:tc>
            </w:tr>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Reference Material:</w:t>
                  </w:r>
                </w:p>
              </w:tc>
              <w:tc>
                <w:tcPr>
                  <w:tcW w:w="6269" w:type="dxa"/>
                </w:tcPr>
                <w:p w:rsidR="00B13C1A" w:rsidRPr="00DC7421" w:rsidRDefault="00440E37" w:rsidP="00440E37">
                  <w:pPr>
                    <w:pStyle w:val="Reagents"/>
                    <w:rPr>
                      <w:rFonts w:ascii="Arial" w:hAnsi="Arial" w:cs="Arial"/>
                    </w:rPr>
                  </w:pPr>
                  <w:r w:rsidRPr="00DC7421">
                    <w:rPr>
                      <w:rFonts w:ascii="Arial" w:hAnsi="Arial" w:cs="Arial"/>
                    </w:rPr>
                    <w:t>Abbott Architect Multiconstituent Calibrator</w:t>
                  </w:r>
                </w:p>
              </w:tc>
            </w:tr>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Suggested Calibration Levels:</w:t>
                  </w:r>
                </w:p>
              </w:tc>
              <w:tc>
                <w:tcPr>
                  <w:tcW w:w="6269" w:type="dxa"/>
                </w:tcPr>
                <w:p w:rsidR="00B13C1A" w:rsidRPr="00DC7421" w:rsidRDefault="004A698D" w:rsidP="00B13C1A">
                  <w:pPr>
                    <w:pStyle w:val="CalVerTable"/>
                    <w:ind w:left="0" w:firstLine="0"/>
                    <w:rPr>
                      <w:rFonts w:ascii="Arial" w:hAnsi="Arial" w:cs="Arial"/>
                    </w:rPr>
                  </w:pPr>
                  <w:r w:rsidRPr="00DC7421">
                    <w:rPr>
                      <w:rFonts w:ascii="Arial" w:hAnsi="Arial" w:cs="Arial"/>
                    </w:rPr>
                    <w:t>See lot-specific assay set point documentation</w:t>
                  </w:r>
                </w:p>
              </w:tc>
            </w:tr>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Calibration Scheme:</w:t>
                  </w:r>
                </w:p>
              </w:tc>
              <w:tc>
                <w:tcPr>
                  <w:tcW w:w="6269" w:type="dxa"/>
                </w:tcPr>
                <w:p w:rsidR="00B13C1A" w:rsidRPr="00DC7421" w:rsidRDefault="004A698D" w:rsidP="00B13C1A">
                  <w:pPr>
                    <w:pStyle w:val="CalVerTable"/>
                    <w:ind w:left="0" w:firstLine="0"/>
                    <w:rPr>
                      <w:rFonts w:ascii="Arial" w:hAnsi="Arial" w:cs="Arial"/>
                    </w:rPr>
                  </w:pPr>
                  <w:r w:rsidRPr="00DC7421">
                    <w:rPr>
                      <w:rFonts w:ascii="Arial" w:hAnsi="Arial" w:cs="Arial"/>
                    </w:rPr>
                    <w:t>2 Levels, Linear data reduction method</w:t>
                  </w:r>
                </w:p>
              </w:tc>
            </w:tr>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Calibration Frequency:</w:t>
                  </w:r>
                </w:p>
              </w:tc>
              <w:tc>
                <w:tcPr>
                  <w:tcW w:w="6269" w:type="dxa"/>
                </w:tcPr>
                <w:p w:rsidR="00B13C1A" w:rsidRPr="00DC7421" w:rsidRDefault="004A698D" w:rsidP="004A698D">
                  <w:pPr>
                    <w:pStyle w:val="Pa10"/>
                    <w:rPr>
                      <w:rFonts w:ascii="Arial" w:hAnsi="Arial" w:cs="Arial"/>
                      <w:sz w:val="20"/>
                      <w:szCs w:val="20"/>
                    </w:rPr>
                  </w:pPr>
                  <w:r w:rsidRPr="00DC7421">
                    <w:rPr>
                      <w:rFonts w:ascii="Arial" w:hAnsi="Arial" w:cs="Arial"/>
                      <w:sz w:val="20"/>
                      <w:szCs w:val="20"/>
                    </w:rPr>
                    <w:t>41 Days</w:t>
                  </w:r>
                </w:p>
              </w:tc>
            </w:tr>
            <w:tr w:rsidR="00B13C1A" w:rsidRPr="00DC7421" w:rsidTr="00B13C1A">
              <w:tc>
                <w:tcPr>
                  <w:tcW w:w="2947" w:type="dxa"/>
                </w:tcPr>
                <w:p w:rsidR="00B13C1A" w:rsidRPr="00DC7421" w:rsidRDefault="00B13C1A" w:rsidP="00B13C1A">
                  <w:pPr>
                    <w:pStyle w:val="CalVerTable"/>
                    <w:ind w:left="0" w:firstLine="0"/>
                    <w:rPr>
                      <w:rFonts w:ascii="Arial" w:hAnsi="Arial" w:cs="Arial"/>
                    </w:rPr>
                  </w:pPr>
                  <w:r w:rsidRPr="00DC7421">
                    <w:rPr>
                      <w:rFonts w:ascii="Arial" w:hAnsi="Arial" w:cs="Arial"/>
                    </w:rPr>
                    <w:t>AMR</w:t>
                  </w:r>
                </w:p>
              </w:tc>
              <w:tc>
                <w:tcPr>
                  <w:tcW w:w="6269" w:type="dxa"/>
                </w:tcPr>
                <w:p w:rsidR="00B13C1A" w:rsidRPr="00DC7421" w:rsidRDefault="004A698D" w:rsidP="005F694E">
                  <w:pPr>
                    <w:autoSpaceDE w:val="0"/>
                    <w:autoSpaceDN w:val="0"/>
                    <w:adjustRightInd w:val="0"/>
                    <w:rPr>
                      <w:rFonts w:cs="Arial"/>
                      <w:szCs w:val="20"/>
                    </w:rPr>
                  </w:pPr>
                  <w:r w:rsidRPr="00DC7421">
                    <w:rPr>
                      <w:rFonts w:cs="Arial"/>
                      <w:szCs w:val="20"/>
                    </w:rPr>
                    <w:t>AMR is verified twice annually using the Maine Standards GC1 Product # 1100ab by running all applicable levels in triplicate.  Assay results are submitted to Maine Standards for compilation and comparison to peers.  Results are reviewed and approved by the Technical Specialist.  Any questionable results are investigated and corrective actions documented.</w:t>
                  </w:r>
                </w:p>
              </w:tc>
            </w:tr>
          </w:tbl>
          <w:p w:rsidR="00E3253B" w:rsidRPr="00DC7421" w:rsidRDefault="00E3253B">
            <w:pPr>
              <w:rPr>
                <w:rFonts w:cs="Arial"/>
                <w:szCs w:val="20"/>
              </w:rPr>
            </w:pPr>
          </w:p>
        </w:tc>
      </w:tr>
      <w:tr w:rsidR="00E3253B" w:rsidTr="00DC7421">
        <w:trPr>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6"/>
            <w:tcBorders>
              <w:top w:val="single" w:sz="18" w:space="0" w:color="BFBFBF"/>
              <w:left w:val="nil"/>
              <w:bottom w:val="single" w:sz="18" w:space="0" w:color="BFBFBF"/>
              <w:right w:val="nil"/>
            </w:tcBorders>
            <w:vAlign w:val="center"/>
          </w:tcPr>
          <w:p w:rsidR="002F5C68" w:rsidRPr="00DC7421" w:rsidRDefault="002F5C68" w:rsidP="008D3369">
            <w:pPr>
              <w:pStyle w:val="Header"/>
              <w:tabs>
                <w:tab w:val="clear" w:pos="4320"/>
                <w:tab w:val="clear" w:pos="8640"/>
              </w:tabs>
              <w:jc w:val="both"/>
              <w:rPr>
                <w:rFonts w:cs="Arial"/>
                <w:b/>
                <w:bCs/>
                <w:color w:val="5F497A"/>
                <w:szCs w:val="20"/>
              </w:rPr>
            </w:pPr>
            <w:r w:rsidRPr="00DC7421">
              <w:rPr>
                <w:rFonts w:cs="Arial"/>
                <w:b/>
                <w:bCs/>
                <w:color w:val="7030A0"/>
                <w:szCs w:val="20"/>
              </w:rPr>
              <w:t xml:space="preserve">Alinity c </w:t>
            </w:r>
            <w:r w:rsidRPr="00DC7421">
              <w:rPr>
                <w:rFonts w:cs="Arial"/>
                <w:b/>
                <w:bCs/>
                <w:szCs w:val="20"/>
              </w:rPr>
              <w:t>and</w:t>
            </w:r>
            <w:r w:rsidRPr="00DC7421">
              <w:rPr>
                <w:rFonts w:cs="Arial"/>
                <w:b/>
                <w:bCs/>
                <w:color w:val="7030A0"/>
                <w:szCs w:val="20"/>
              </w:rPr>
              <w:t xml:space="preserve"> </w:t>
            </w:r>
            <w:r w:rsidRPr="00DC7421">
              <w:rPr>
                <w:rFonts w:cs="Arial"/>
                <w:b/>
                <w:bCs/>
                <w:color w:val="984806" w:themeColor="accent6" w:themeShade="80"/>
                <w:szCs w:val="20"/>
              </w:rPr>
              <w:t>Architect c4000</w:t>
            </w:r>
            <w:r w:rsidRPr="00DC7421">
              <w:rPr>
                <w:rFonts w:cs="Arial"/>
                <w:b/>
                <w:bCs/>
                <w:szCs w:val="20"/>
              </w:rPr>
              <w:t>:</w:t>
            </w:r>
            <w:r w:rsidRPr="00DC7421">
              <w:rPr>
                <w:rFonts w:cs="Arial"/>
                <w:b/>
                <w:bCs/>
                <w:color w:val="5F497A"/>
                <w:szCs w:val="20"/>
              </w:rPr>
              <w:t xml:space="preserve"> </w:t>
            </w:r>
          </w:p>
          <w:p w:rsidR="008D3369" w:rsidRPr="00DC7421" w:rsidRDefault="005217B0" w:rsidP="008D3369">
            <w:pPr>
              <w:pStyle w:val="Header"/>
              <w:tabs>
                <w:tab w:val="clear" w:pos="4320"/>
                <w:tab w:val="clear" w:pos="8640"/>
              </w:tabs>
              <w:jc w:val="both"/>
              <w:rPr>
                <w:rFonts w:cs="Arial"/>
                <w:szCs w:val="20"/>
              </w:rPr>
            </w:pPr>
            <w:r>
              <w:rPr>
                <w:rFonts w:cs="Arial"/>
                <w:szCs w:val="20"/>
              </w:rPr>
              <w:t xml:space="preserve">Bio-Rad Liquid </w:t>
            </w:r>
            <w:proofErr w:type="spellStart"/>
            <w:r>
              <w:rPr>
                <w:rFonts w:cs="Arial"/>
                <w:szCs w:val="20"/>
              </w:rPr>
              <w:t>Multiqual</w:t>
            </w:r>
            <w:proofErr w:type="spellEnd"/>
            <w:r w:rsidR="008D3369" w:rsidRPr="00DC7421">
              <w:rPr>
                <w:rFonts w:cs="Arial"/>
                <w:szCs w:val="20"/>
              </w:rPr>
              <w:sym w:font="Symbol" w:char="F0D4"/>
            </w:r>
            <w:r w:rsidR="008D3369" w:rsidRPr="00DC7421">
              <w:rPr>
                <w:rFonts w:cs="Arial"/>
                <w:szCs w:val="20"/>
              </w:rPr>
              <w:t xml:space="preserve"> Unassayed Chemis</w:t>
            </w:r>
            <w:r>
              <w:rPr>
                <w:rFonts w:cs="Arial"/>
                <w:szCs w:val="20"/>
              </w:rPr>
              <w:t>try Control (Human) Levels 1 &amp; 3</w:t>
            </w:r>
          </w:p>
          <w:p w:rsidR="008044BA" w:rsidRPr="00DC7421" w:rsidRDefault="008044BA" w:rsidP="00CE16FB">
            <w:pPr>
              <w:autoSpaceDE w:val="0"/>
              <w:autoSpaceDN w:val="0"/>
              <w:adjustRightInd w:val="0"/>
              <w:jc w:val="both"/>
              <w:rPr>
                <w:rFonts w:cs="Arial"/>
                <w:szCs w:val="20"/>
              </w:rPr>
            </w:pPr>
          </w:p>
          <w:p w:rsidR="00E3253B" w:rsidRPr="00DC7421" w:rsidRDefault="00E3253B" w:rsidP="00CE16FB">
            <w:pPr>
              <w:autoSpaceDE w:val="0"/>
              <w:autoSpaceDN w:val="0"/>
              <w:adjustRightInd w:val="0"/>
              <w:jc w:val="both"/>
              <w:rPr>
                <w:rFonts w:cs="Arial"/>
                <w:szCs w:val="20"/>
              </w:rPr>
            </w:pPr>
            <w:r w:rsidRPr="00DC7421">
              <w:rPr>
                <w:rFonts w:cs="Arial"/>
                <w:b/>
                <w:bCs/>
                <w:szCs w:val="20"/>
              </w:rPr>
              <w:t xml:space="preserve">Frequency: </w:t>
            </w:r>
            <w:r w:rsidRPr="00DC7421">
              <w:rPr>
                <w:rFonts w:cs="Arial"/>
                <w:szCs w:val="20"/>
              </w:rPr>
              <w:t>Two levels each day of use</w:t>
            </w:r>
          </w:p>
          <w:p w:rsidR="00E3253B" w:rsidRPr="00DC7421" w:rsidRDefault="00E3253B" w:rsidP="00CE16FB">
            <w:pPr>
              <w:autoSpaceDE w:val="0"/>
              <w:autoSpaceDN w:val="0"/>
              <w:adjustRightInd w:val="0"/>
              <w:jc w:val="both"/>
              <w:rPr>
                <w:rFonts w:cs="Arial"/>
                <w:szCs w:val="20"/>
              </w:rPr>
            </w:pPr>
          </w:p>
          <w:p w:rsidR="00E3253B" w:rsidRPr="00DC7421" w:rsidRDefault="00E3253B" w:rsidP="008D3369">
            <w:pPr>
              <w:autoSpaceDE w:val="0"/>
              <w:autoSpaceDN w:val="0"/>
              <w:adjustRightInd w:val="0"/>
              <w:rPr>
                <w:rFonts w:eastAsia="HelveticaNeueLTPro-Cn" w:cs="Arial"/>
                <w:szCs w:val="20"/>
              </w:rPr>
            </w:pPr>
            <w:r w:rsidRPr="00DC7421">
              <w:rPr>
                <w:rFonts w:cs="Arial"/>
                <w:b/>
                <w:bCs/>
                <w:szCs w:val="20"/>
              </w:rPr>
              <w:t>Stability:</w:t>
            </w:r>
            <w:r w:rsidR="008D3369" w:rsidRPr="00DC7421">
              <w:rPr>
                <w:rFonts w:cs="Arial"/>
                <w:b/>
                <w:bCs/>
                <w:szCs w:val="20"/>
              </w:rPr>
              <w:t xml:space="preserve"> </w:t>
            </w:r>
            <w:r w:rsidR="008D3369" w:rsidRPr="00DC7421">
              <w:rPr>
                <w:rFonts w:eastAsia="HelveticaNeueLTPro-Cn" w:cs="Arial"/>
                <w:szCs w:val="20"/>
              </w:rPr>
              <w:t>Once thawed, opened, and stored tightly capped at 2 to 8°C, this product will be labeled with an expiration date equal to the shortest sta</w:t>
            </w:r>
            <w:r w:rsidR="0030640D" w:rsidRPr="00DC7421">
              <w:rPr>
                <w:rFonts w:eastAsia="HelveticaNeueLTPro-Cn" w:cs="Arial"/>
                <w:szCs w:val="20"/>
              </w:rPr>
              <w:t>bility of the included analytes, which is</w:t>
            </w:r>
            <w:r w:rsidR="008D3369" w:rsidRPr="00DC7421">
              <w:rPr>
                <w:rFonts w:eastAsia="HelveticaNeueLTPro-Cn" w:cs="Arial"/>
                <w:szCs w:val="20"/>
              </w:rPr>
              <w:t xml:space="preserve"> </w:t>
            </w:r>
            <w:r w:rsidR="005217B0">
              <w:rPr>
                <w:rFonts w:eastAsia="HelveticaNeueLTPro-Cn" w:cs="Arial"/>
                <w:b/>
                <w:szCs w:val="20"/>
              </w:rPr>
              <w:t>7</w:t>
            </w:r>
            <w:r w:rsidR="008D3369" w:rsidRPr="00DC7421">
              <w:rPr>
                <w:rFonts w:eastAsia="HelveticaNeueLTPro-Cn" w:cs="Arial"/>
                <w:b/>
                <w:szCs w:val="20"/>
              </w:rPr>
              <w:t xml:space="preserve"> days</w:t>
            </w:r>
            <w:r w:rsidR="0030640D" w:rsidRPr="00DC7421">
              <w:rPr>
                <w:rFonts w:eastAsia="HelveticaNeueLTPro-Cn" w:cs="Arial"/>
                <w:b/>
                <w:szCs w:val="20"/>
              </w:rPr>
              <w:t>.</w:t>
            </w:r>
          </w:p>
          <w:p w:rsidR="00E3253B" w:rsidRPr="00DC7421" w:rsidRDefault="00E3253B" w:rsidP="00CE16FB">
            <w:pPr>
              <w:autoSpaceDE w:val="0"/>
              <w:autoSpaceDN w:val="0"/>
              <w:adjustRightInd w:val="0"/>
              <w:jc w:val="both"/>
              <w:rPr>
                <w:rFonts w:cs="Arial"/>
                <w:szCs w:val="20"/>
              </w:rPr>
            </w:pPr>
          </w:p>
          <w:p w:rsidR="008D3369" w:rsidRPr="00DC7421" w:rsidRDefault="00E3253B" w:rsidP="008D3369">
            <w:pPr>
              <w:autoSpaceDE w:val="0"/>
              <w:autoSpaceDN w:val="0"/>
              <w:adjustRightInd w:val="0"/>
              <w:rPr>
                <w:rFonts w:cs="Arial"/>
                <w:szCs w:val="20"/>
              </w:rPr>
            </w:pPr>
            <w:r w:rsidRPr="00DC7421">
              <w:rPr>
                <w:rFonts w:cs="Arial"/>
                <w:b/>
                <w:bCs/>
                <w:szCs w:val="20"/>
              </w:rPr>
              <w:t>Preparation</w:t>
            </w:r>
            <w:r w:rsidRPr="00DC7421">
              <w:rPr>
                <w:rFonts w:cs="Arial"/>
                <w:szCs w:val="20"/>
              </w:rPr>
              <w:t xml:space="preserve">: </w:t>
            </w:r>
          </w:p>
          <w:p w:rsidR="0030640D" w:rsidRPr="00DC7421" w:rsidRDefault="008D3369" w:rsidP="008D3369">
            <w:pPr>
              <w:autoSpaceDE w:val="0"/>
              <w:autoSpaceDN w:val="0"/>
              <w:adjustRightInd w:val="0"/>
              <w:rPr>
                <w:rFonts w:eastAsia="HelveticaNeueLTPro-Cn" w:cs="Arial"/>
                <w:szCs w:val="20"/>
              </w:rPr>
            </w:pPr>
            <w:r w:rsidRPr="00DC7421">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DC7421" w:rsidRDefault="008D3369"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To thaw the product, allow it to stand at room temperature (18</w:t>
            </w:r>
            <w:r w:rsidR="0030640D" w:rsidRPr="00DC7421">
              <w:rPr>
                <w:rFonts w:eastAsia="HelveticaNeueLTPro-Cn" w:cs="Arial"/>
                <w:szCs w:val="20"/>
              </w:rPr>
              <w:t>°</w:t>
            </w:r>
            <w:r w:rsidRPr="00DC7421">
              <w:rPr>
                <w:rFonts w:eastAsia="HelveticaNeueLTPro-Cn" w:cs="Arial"/>
                <w:szCs w:val="20"/>
              </w:rPr>
              <w:t xml:space="preserve"> to 25°C) until completely th</w:t>
            </w:r>
            <w:r w:rsidR="00234207">
              <w:rPr>
                <w:rFonts w:eastAsia="HelveticaNeueLTPro-Cn" w:cs="Arial"/>
                <w:szCs w:val="20"/>
              </w:rPr>
              <w:t>awed, approximately</w:t>
            </w:r>
            <w:r w:rsidRPr="00DC7421">
              <w:rPr>
                <w:rFonts w:eastAsia="HelveticaNeueLTPro-Cn" w:cs="Arial"/>
                <w:szCs w:val="20"/>
              </w:rPr>
              <w:t xml:space="preserve"> one (1) hour. </w:t>
            </w:r>
            <w:r w:rsidR="0030640D" w:rsidRPr="00DC7421">
              <w:rPr>
                <w:rFonts w:eastAsia="HelveticaNeueLTPro-Cn" w:cs="Arial"/>
                <w:szCs w:val="20"/>
              </w:rPr>
              <w:t xml:space="preserve"> </w:t>
            </w:r>
          </w:p>
          <w:p w:rsidR="0030640D" w:rsidRPr="00DC7421" w:rsidRDefault="0030640D" w:rsidP="0030640D">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 xml:space="preserve">After thawing, the product </w:t>
            </w:r>
            <w:r w:rsidRPr="00DC7421">
              <w:rPr>
                <w:rFonts w:eastAsia="HelveticaNeueLTPro-Cn" w:cs="Arial"/>
                <w:b/>
                <w:szCs w:val="20"/>
              </w:rPr>
              <w:t>MUST</w:t>
            </w:r>
            <w:r w:rsidRPr="00DC7421">
              <w:rPr>
                <w:rFonts w:eastAsia="HelveticaNeueLTPro-Cn" w:cs="Arial"/>
                <w:szCs w:val="20"/>
              </w:rPr>
              <w:t xml:space="preserve"> be gently swirled and inverted severa</w:t>
            </w:r>
            <w:r w:rsidR="00250A09" w:rsidRPr="00DC7421">
              <w:rPr>
                <w:rFonts w:eastAsia="HelveticaNeueLTPro-Cn" w:cs="Arial"/>
                <w:szCs w:val="20"/>
              </w:rPr>
              <w:t>l times to ensure homogeneity.</w:t>
            </w:r>
          </w:p>
          <w:p w:rsidR="0030640D" w:rsidRPr="00DC7421" w:rsidRDefault="008D3369" w:rsidP="008D336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szCs w:val="20"/>
              </w:rPr>
              <w:t>For optimal analyte stability in the thawed state, promptly return to 2 to 8°C storage after each use</w:t>
            </w:r>
            <w:r w:rsidR="00250A09" w:rsidRPr="00DC7421">
              <w:rPr>
                <w:rFonts w:eastAsia="HelveticaNeueLTPro-Cn" w:cs="Arial"/>
                <w:szCs w:val="20"/>
              </w:rPr>
              <w:t xml:space="preserve"> and minimize the time at room temperature to no more than 20 minutes daily.</w:t>
            </w:r>
          </w:p>
          <w:p w:rsidR="008044BA" w:rsidRPr="00DC7421" w:rsidRDefault="008D3369" w:rsidP="00250A09">
            <w:pPr>
              <w:pStyle w:val="ListParagraph"/>
              <w:numPr>
                <w:ilvl w:val="0"/>
                <w:numId w:val="35"/>
              </w:numPr>
              <w:autoSpaceDE w:val="0"/>
              <w:autoSpaceDN w:val="0"/>
              <w:adjustRightInd w:val="0"/>
              <w:rPr>
                <w:rFonts w:eastAsia="HelveticaNeueLTPro-Cn" w:cs="Arial"/>
                <w:szCs w:val="20"/>
              </w:rPr>
            </w:pPr>
            <w:r w:rsidRPr="00DC7421">
              <w:rPr>
                <w:rFonts w:eastAsia="HelveticaNeueLTPro-Cn" w:cs="Arial"/>
                <w:b/>
                <w:szCs w:val="20"/>
              </w:rPr>
              <w:t>Before each use</w:t>
            </w:r>
            <w:r w:rsidRPr="00DC7421">
              <w:rPr>
                <w:rFonts w:eastAsia="HelveticaNeueLTPro-Cn" w:cs="Arial"/>
                <w:szCs w:val="20"/>
              </w:rPr>
              <w:t xml:space="preserve">, </w:t>
            </w:r>
            <w:r w:rsidR="00234207">
              <w:rPr>
                <w:rFonts w:eastAsia="HelveticaNeueLTPro-Cn" w:cs="Arial"/>
                <w:szCs w:val="20"/>
              </w:rPr>
              <w:t>allow to come to room temperature.  G</w:t>
            </w:r>
            <w:r w:rsidRPr="00DC7421">
              <w:rPr>
                <w:rFonts w:eastAsia="HelveticaNeueLTPro-Cn" w:cs="Arial"/>
                <w:szCs w:val="20"/>
              </w:rPr>
              <w:t>ently swirl the contents until homogeneous with no visib</w:t>
            </w:r>
            <w:r w:rsidR="00250A09" w:rsidRPr="00DC7421">
              <w:rPr>
                <w:rFonts w:eastAsia="HelveticaNeueLTPro-Cn" w:cs="Arial"/>
                <w:szCs w:val="20"/>
              </w:rPr>
              <w:t>le signs of precipitate.</w:t>
            </w:r>
            <w:r w:rsidR="005217B0">
              <w:rPr>
                <w:rFonts w:eastAsia="HelveticaNeueLTPro-Cn" w:cs="Arial"/>
                <w:szCs w:val="20"/>
              </w:rPr>
              <w:t xml:space="preserve">  Avoid bubbles; do not shake.</w:t>
            </w:r>
          </w:p>
          <w:p w:rsidR="00250A09" w:rsidRPr="00DC7421" w:rsidRDefault="00250A09" w:rsidP="00250A09">
            <w:pPr>
              <w:pStyle w:val="ListParagraph"/>
              <w:autoSpaceDE w:val="0"/>
              <w:autoSpaceDN w:val="0"/>
              <w:adjustRightInd w:val="0"/>
              <w:ind w:left="360"/>
              <w:rPr>
                <w:rFonts w:eastAsia="HelveticaNeueLTPro-Cn" w:cs="Arial"/>
                <w:szCs w:val="20"/>
              </w:rPr>
            </w:pPr>
          </w:p>
          <w:p w:rsidR="00420763" w:rsidRPr="00DC7421" w:rsidRDefault="00420763" w:rsidP="00420763">
            <w:pPr>
              <w:jc w:val="both"/>
              <w:rPr>
                <w:rFonts w:cs="Arial"/>
                <w:szCs w:val="20"/>
              </w:rPr>
            </w:pPr>
            <w:r w:rsidRPr="00DC7421">
              <w:rPr>
                <w:rFonts w:cs="Arial"/>
                <w:b/>
                <w:bCs/>
                <w:szCs w:val="20"/>
              </w:rPr>
              <w:t>Acceptable ranges:</w:t>
            </w:r>
            <w:r w:rsidRPr="00DC7421">
              <w:rPr>
                <w:rFonts w:cs="Arial"/>
                <w:szCs w:val="20"/>
              </w:rPr>
              <w:t xml:space="preserve">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Non-Bio-Rad controls will utilize manufacturer ranges and 2 SD Westgard rules.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New lots of Bio-Rad controls should be run for 20 days in parallel with the current lot whenever possible prior to switching to the new lot.  </w:t>
            </w:r>
          </w:p>
          <w:p w:rsidR="00420763" w:rsidRPr="00DC7421" w:rsidRDefault="00420763" w:rsidP="00420763">
            <w:pPr>
              <w:pStyle w:val="ListParagraph"/>
              <w:numPr>
                <w:ilvl w:val="0"/>
                <w:numId w:val="19"/>
              </w:numPr>
              <w:jc w:val="both"/>
              <w:rPr>
                <w:rFonts w:cs="Arial"/>
                <w:szCs w:val="20"/>
              </w:rPr>
            </w:pPr>
            <w:r w:rsidRPr="00DC7421">
              <w:rPr>
                <w:rFonts w:cs="Arial"/>
                <w:szCs w:val="20"/>
              </w:rPr>
              <w:t xml:space="preserve">Refer to the </w:t>
            </w:r>
            <w:hyperlink r:id="rId9" w:history="1">
              <w:r w:rsidRPr="005217B0">
                <w:rPr>
                  <w:rStyle w:val="Hyperlink"/>
                  <w:rFonts w:cs="Arial"/>
                  <w:szCs w:val="20"/>
                </w:rPr>
                <w:t>Westgard Rules in Chemis</w:t>
              </w:r>
              <w:r w:rsidR="005217B0" w:rsidRPr="005217B0">
                <w:rPr>
                  <w:rStyle w:val="Hyperlink"/>
                  <w:rFonts w:cs="Arial"/>
                  <w:szCs w:val="20"/>
                </w:rPr>
                <w:t>try</w:t>
              </w:r>
            </w:hyperlink>
            <w:r w:rsidR="005217B0">
              <w:rPr>
                <w:rFonts w:cs="Arial"/>
                <w:szCs w:val="20"/>
              </w:rPr>
              <w:t xml:space="preserve"> procedure</w:t>
            </w:r>
            <w:r w:rsidRPr="00DC7421">
              <w:rPr>
                <w:rFonts w:cs="Arial"/>
                <w:szCs w:val="20"/>
              </w:rPr>
              <w:t xml:space="preserve"> for current Westgard rules in place for each analyte.  </w:t>
            </w:r>
          </w:p>
          <w:p w:rsidR="00420763" w:rsidRPr="00DC7421" w:rsidRDefault="00420763" w:rsidP="00420763">
            <w:pPr>
              <w:numPr>
                <w:ilvl w:val="0"/>
                <w:numId w:val="19"/>
              </w:numPr>
              <w:autoSpaceDE w:val="0"/>
              <w:autoSpaceDN w:val="0"/>
              <w:adjustRightInd w:val="0"/>
              <w:jc w:val="both"/>
              <w:rPr>
                <w:rFonts w:cs="Arial"/>
                <w:szCs w:val="20"/>
              </w:rPr>
            </w:pPr>
            <w:r w:rsidRPr="00DC7421">
              <w:rPr>
                <w:rFonts w:cs="Arial"/>
                <w:b/>
                <w:szCs w:val="20"/>
              </w:rPr>
              <w:t>Acceptable ranges are current in Unity Real Time only.</w:t>
            </w:r>
            <w:r w:rsidRPr="00DC7421">
              <w:rPr>
                <w:rFonts w:cs="Arial"/>
                <w:szCs w:val="20"/>
              </w:rPr>
              <w:t xml:space="preserve">  Quality Control results must be rejected in Sunquest when the results cross the interface.  </w:t>
            </w:r>
          </w:p>
          <w:p w:rsidR="00420763"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In the event of a QC failure, refer to the </w:t>
            </w:r>
            <w:hyperlink r:id="rId10" w:history="1">
              <w:r w:rsidRPr="00DC7421">
                <w:rPr>
                  <w:rStyle w:val="Hyperlink"/>
                  <w:rFonts w:cs="Arial"/>
                  <w:szCs w:val="20"/>
                </w:rPr>
                <w:t>Unity Real Tim</w:t>
              </w:r>
              <w:r w:rsidRPr="00DC7421">
                <w:rPr>
                  <w:rStyle w:val="Hyperlink"/>
                  <w:rFonts w:cs="Arial"/>
                  <w:szCs w:val="20"/>
                </w:rPr>
                <w:t>e</w:t>
              </w:r>
              <w:r w:rsidRPr="00DC7421">
                <w:rPr>
                  <w:rStyle w:val="Hyperlink"/>
                  <w:rFonts w:cs="Arial"/>
                  <w:szCs w:val="20"/>
                </w:rPr>
                <w:t xml:space="preserve"> QC Review, General User</w:t>
              </w:r>
            </w:hyperlink>
            <w:r w:rsidRPr="00DC7421">
              <w:rPr>
                <w:rFonts w:cs="Arial"/>
                <w:szCs w:val="20"/>
              </w:rPr>
              <w:t xml:space="preserve"> and navigate to the QC Troubleshooting section.</w:t>
            </w:r>
          </w:p>
          <w:p w:rsidR="00E3253B" w:rsidRPr="00DC7421" w:rsidRDefault="00420763" w:rsidP="00420763">
            <w:pPr>
              <w:numPr>
                <w:ilvl w:val="0"/>
                <w:numId w:val="19"/>
              </w:numPr>
              <w:autoSpaceDE w:val="0"/>
              <w:autoSpaceDN w:val="0"/>
              <w:adjustRightInd w:val="0"/>
              <w:jc w:val="both"/>
              <w:rPr>
                <w:rFonts w:cs="Arial"/>
                <w:color w:val="000000"/>
                <w:szCs w:val="20"/>
              </w:rPr>
            </w:pPr>
            <w:r w:rsidRPr="00DC7421">
              <w:rPr>
                <w:rFonts w:cs="Arial"/>
                <w:szCs w:val="20"/>
              </w:rPr>
              <w:t xml:space="preserve">Do not load or release patients until QC is </w:t>
            </w:r>
            <w:r w:rsidR="005F694E">
              <w:rPr>
                <w:rFonts w:cs="Arial"/>
                <w:szCs w:val="20"/>
              </w:rPr>
              <w:t>acceptable in Unity Real Time.</w:t>
            </w:r>
          </w:p>
          <w:p w:rsidR="00DC7421" w:rsidRPr="00DC7421" w:rsidRDefault="00DC7421" w:rsidP="00DC7421">
            <w:pPr>
              <w:autoSpaceDE w:val="0"/>
              <w:autoSpaceDN w:val="0"/>
              <w:adjustRightInd w:val="0"/>
              <w:ind w:left="360"/>
              <w:jc w:val="both"/>
              <w:rPr>
                <w:rFonts w:cs="Arial"/>
                <w:color w:val="000000"/>
                <w:szCs w:val="20"/>
              </w:rPr>
            </w:pPr>
          </w:p>
        </w:tc>
      </w:tr>
      <w:tr w:rsidR="00E3253B" w:rsidTr="00DC7421">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Default="005217B0" w:rsidP="00824C10">
            <w:pPr>
              <w:autoSpaceDE w:val="0"/>
              <w:autoSpaceDN w:val="0"/>
              <w:adjustRightInd w:val="0"/>
              <w:rPr>
                <w:rFonts w:cs="Arial"/>
                <w:b/>
                <w:bCs/>
                <w:color w:val="5F497A"/>
                <w:szCs w:val="20"/>
              </w:rPr>
            </w:pPr>
            <w:r>
              <w:rPr>
                <w:rFonts w:cs="Arial"/>
                <w:b/>
                <w:bCs/>
                <w:color w:val="7030A0"/>
                <w:szCs w:val="20"/>
              </w:rPr>
              <w:t>All analyzers</w:t>
            </w:r>
            <w:r w:rsidR="002F5C68" w:rsidRPr="00DC7421">
              <w:rPr>
                <w:rFonts w:cs="Arial"/>
                <w:b/>
                <w:bCs/>
                <w:szCs w:val="20"/>
              </w:rPr>
              <w:t>:</w:t>
            </w:r>
            <w:r w:rsidR="002F5C68" w:rsidRPr="00DC7421">
              <w:rPr>
                <w:rFonts w:cs="Arial"/>
                <w:b/>
                <w:bCs/>
                <w:color w:val="5F497A"/>
                <w:szCs w:val="20"/>
              </w:rPr>
              <w:t xml:space="preserve"> </w:t>
            </w:r>
          </w:p>
          <w:p w:rsidR="00234207" w:rsidRPr="00234207" w:rsidRDefault="00234207" w:rsidP="00824C10">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234207" w:rsidRPr="006A26B2" w:rsidTr="006D203C">
              <w:tc>
                <w:tcPr>
                  <w:tcW w:w="472" w:type="dxa"/>
                </w:tcPr>
                <w:p w:rsidR="00234207" w:rsidRPr="006A26B2" w:rsidRDefault="00234207" w:rsidP="00234207">
                  <w:pPr>
                    <w:autoSpaceDE w:val="0"/>
                    <w:autoSpaceDN w:val="0"/>
                    <w:adjustRightInd w:val="0"/>
                    <w:jc w:val="both"/>
                    <w:rPr>
                      <w:rFonts w:cs="Arial"/>
                      <w:b/>
                      <w:szCs w:val="20"/>
                    </w:rPr>
                  </w:pPr>
                  <w:r w:rsidRPr="006A26B2">
                    <w:rPr>
                      <w:rFonts w:cs="Arial"/>
                      <w:b/>
                      <w:szCs w:val="20"/>
                    </w:rPr>
                    <w:t>H</w:t>
                  </w:r>
                </w:p>
              </w:tc>
              <w:tc>
                <w:tcPr>
                  <w:tcW w:w="394" w:type="dxa"/>
                </w:tcPr>
                <w:p w:rsidR="00234207" w:rsidRPr="006A26B2" w:rsidRDefault="00234207" w:rsidP="00234207">
                  <w:pPr>
                    <w:autoSpaceDE w:val="0"/>
                    <w:autoSpaceDN w:val="0"/>
                    <w:adjustRightInd w:val="0"/>
                    <w:jc w:val="both"/>
                    <w:rPr>
                      <w:rFonts w:cs="Arial"/>
                      <w:b/>
                      <w:szCs w:val="20"/>
                    </w:rPr>
                  </w:pPr>
                  <w:r w:rsidRPr="006A26B2">
                    <w:rPr>
                      <w:rFonts w:cs="Arial"/>
                      <w:b/>
                      <w:szCs w:val="20"/>
                    </w:rPr>
                    <w:t>I</w:t>
                  </w:r>
                </w:p>
              </w:tc>
              <w:tc>
                <w:tcPr>
                  <w:tcW w:w="443" w:type="dxa"/>
                </w:tcPr>
                <w:p w:rsidR="00234207" w:rsidRPr="006A26B2" w:rsidRDefault="00234207" w:rsidP="00234207">
                  <w:pPr>
                    <w:autoSpaceDE w:val="0"/>
                    <w:autoSpaceDN w:val="0"/>
                    <w:adjustRightInd w:val="0"/>
                    <w:jc w:val="both"/>
                    <w:rPr>
                      <w:rFonts w:cs="Arial"/>
                      <w:b/>
                      <w:szCs w:val="20"/>
                    </w:rPr>
                  </w:pPr>
                  <w:r w:rsidRPr="006A26B2">
                    <w:rPr>
                      <w:rFonts w:cs="Arial"/>
                      <w:b/>
                      <w:szCs w:val="20"/>
                    </w:rPr>
                    <w:t>L</w:t>
                  </w:r>
                </w:p>
              </w:tc>
            </w:tr>
            <w:tr w:rsidR="00234207" w:rsidRPr="006A26B2" w:rsidTr="006D203C">
              <w:tc>
                <w:tcPr>
                  <w:tcW w:w="472" w:type="dxa"/>
                </w:tcPr>
                <w:p w:rsidR="00234207" w:rsidRPr="006A26B2" w:rsidRDefault="00234207" w:rsidP="00234207">
                  <w:pPr>
                    <w:autoSpaceDE w:val="0"/>
                    <w:autoSpaceDN w:val="0"/>
                    <w:adjustRightInd w:val="0"/>
                    <w:jc w:val="both"/>
                    <w:rPr>
                      <w:rFonts w:cs="Arial"/>
                      <w:b/>
                      <w:szCs w:val="20"/>
                    </w:rPr>
                  </w:pPr>
                  <w:r>
                    <w:rPr>
                      <w:rFonts w:cs="Arial"/>
                      <w:b/>
                      <w:szCs w:val="20"/>
                    </w:rPr>
                    <w:t>4</w:t>
                  </w:r>
                </w:p>
              </w:tc>
              <w:tc>
                <w:tcPr>
                  <w:tcW w:w="394" w:type="dxa"/>
                </w:tcPr>
                <w:p w:rsidR="00234207" w:rsidRPr="006A26B2" w:rsidRDefault="00234207" w:rsidP="00234207">
                  <w:pPr>
                    <w:autoSpaceDE w:val="0"/>
                    <w:autoSpaceDN w:val="0"/>
                    <w:adjustRightInd w:val="0"/>
                    <w:jc w:val="both"/>
                    <w:rPr>
                      <w:rFonts w:cs="Arial"/>
                      <w:b/>
                      <w:szCs w:val="20"/>
                    </w:rPr>
                  </w:pPr>
                  <w:r w:rsidRPr="006A26B2">
                    <w:rPr>
                      <w:rFonts w:cs="Arial"/>
                      <w:b/>
                      <w:szCs w:val="20"/>
                    </w:rPr>
                    <w:t>-</w:t>
                  </w:r>
                </w:p>
              </w:tc>
              <w:tc>
                <w:tcPr>
                  <w:tcW w:w="443" w:type="dxa"/>
                </w:tcPr>
                <w:p w:rsidR="00234207" w:rsidRPr="006A26B2" w:rsidRDefault="00234207" w:rsidP="00234207">
                  <w:pPr>
                    <w:autoSpaceDE w:val="0"/>
                    <w:autoSpaceDN w:val="0"/>
                    <w:adjustRightInd w:val="0"/>
                    <w:jc w:val="both"/>
                    <w:rPr>
                      <w:rFonts w:cs="Arial"/>
                      <w:b/>
                      <w:szCs w:val="20"/>
                    </w:rPr>
                  </w:pPr>
                  <w:r>
                    <w:rPr>
                      <w:rFonts w:cs="Arial"/>
                      <w:b/>
                      <w:szCs w:val="20"/>
                    </w:rPr>
                    <w:t>4</w:t>
                  </w:r>
                </w:p>
              </w:tc>
            </w:tr>
          </w:tbl>
          <w:p w:rsidR="00234207" w:rsidRPr="00DC7421" w:rsidRDefault="00234207" w:rsidP="00824C10">
            <w:pPr>
              <w:autoSpaceDE w:val="0"/>
              <w:autoSpaceDN w:val="0"/>
              <w:adjustRightInd w:val="0"/>
              <w:rPr>
                <w:rFonts w:cs="Arial"/>
                <w:b/>
                <w:bCs/>
                <w:color w:val="5F497A"/>
                <w:szCs w:val="20"/>
              </w:rPr>
            </w:pPr>
          </w:p>
          <w:p w:rsidR="00234207" w:rsidRDefault="00234207" w:rsidP="00824C10">
            <w:pPr>
              <w:autoSpaceDE w:val="0"/>
              <w:autoSpaceDN w:val="0"/>
              <w:adjustRightInd w:val="0"/>
              <w:rPr>
                <w:rFonts w:eastAsia="HelenPro-Regular" w:cs="Arial"/>
                <w:szCs w:val="20"/>
              </w:rPr>
            </w:pPr>
            <w:r>
              <w:rPr>
                <w:rFonts w:eastAsia="HelenPro-Regular" w:cs="Arial"/>
                <w:szCs w:val="20"/>
              </w:rPr>
              <w:t xml:space="preserve">At HIL levels at or above the specified cutoff value, append the appropriate comment AFTER visually confirming presence of interferent: </w:t>
            </w:r>
          </w:p>
          <w:p w:rsidR="00234207" w:rsidRDefault="00234207" w:rsidP="00824C10">
            <w:pPr>
              <w:autoSpaceDE w:val="0"/>
              <w:autoSpaceDN w:val="0"/>
              <w:adjustRightInd w:val="0"/>
              <w:rPr>
                <w:rFonts w:eastAsia="HelenPro-Regular" w:cs="Arial"/>
                <w:szCs w:val="20"/>
              </w:rPr>
            </w:pPr>
            <w:r>
              <w:rPr>
                <w:rFonts w:eastAsia="HelenPro-Regular" w:cs="Arial"/>
                <w:szCs w:val="20"/>
              </w:rPr>
              <w:t xml:space="preserve">-HP for “Hemolysis present, may affect results.” </w:t>
            </w:r>
          </w:p>
          <w:p w:rsidR="00234207" w:rsidRDefault="00234207" w:rsidP="00824C10">
            <w:pPr>
              <w:autoSpaceDE w:val="0"/>
              <w:autoSpaceDN w:val="0"/>
              <w:adjustRightInd w:val="0"/>
              <w:rPr>
                <w:rFonts w:eastAsia="HelenPro-Regular" w:cs="Arial"/>
                <w:szCs w:val="20"/>
              </w:rPr>
            </w:pPr>
            <w:r>
              <w:rPr>
                <w:rFonts w:eastAsia="HelenPro-Regular" w:cs="Arial"/>
                <w:szCs w:val="20"/>
              </w:rPr>
              <w:t>-BIN for “Bilirubin Interference”</w:t>
            </w:r>
          </w:p>
          <w:p w:rsidR="00234207" w:rsidRDefault="00234207" w:rsidP="00824C10">
            <w:pPr>
              <w:autoSpaceDE w:val="0"/>
              <w:autoSpaceDN w:val="0"/>
              <w:adjustRightInd w:val="0"/>
              <w:rPr>
                <w:rFonts w:eastAsia="HelenPro-Regular" w:cs="Arial"/>
                <w:szCs w:val="20"/>
              </w:rPr>
            </w:pPr>
            <w:r>
              <w:rPr>
                <w:rFonts w:eastAsia="HelenPro-Regular" w:cs="Arial"/>
                <w:szCs w:val="20"/>
              </w:rPr>
              <w:t>-LINT for “Lipid Interference”</w:t>
            </w:r>
          </w:p>
          <w:p w:rsidR="00234207" w:rsidRDefault="00234207" w:rsidP="00824C10">
            <w:pPr>
              <w:autoSpaceDE w:val="0"/>
              <w:autoSpaceDN w:val="0"/>
              <w:adjustRightInd w:val="0"/>
              <w:rPr>
                <w:rFonts w:eastAsia="HelenPro-Regular" w:cs="Arial"/>
                <w:szCs w:val="20"/>
              </w:rPr>
            </w:pPr>
          </w:p>
          <w:p w:rsidR="002E718D" w:rsidRPr="00DC7421" w:rsidRDefault="00824C10" w:rsidP="00824C10">
            <w:pPr>
              <w:autoSpaceDE w:val="0"/>
              <w:autoSpaceDN w:val="0"/>
              <w:adjustRightInd w:val="0"/>
              <w:rPr>
                <w:rFonts w:cs="Arial"/>
                <w:szCs w:val="20"/>
              </w:rPr>
            </w:pPr>
            <w:r w:rsidRPr="00DC7421">
              <w:rPr>
                <w:rFonts w:eastAsia="HelenPro-Regular" w:cs="Arial"/>
                <w:szCs w:val="20"/>
              </w:rPr>
              <w:t xml:space="preserve">Interference studies were conducted </w:t>
            </w:r>
            <w:r w:rsidR="0030640D" w:rsidRPr="00DC7421">
              <w:rPr>
                <w:rFonts w:eastAsia="HelenPro-Regular" w:cs="Arial"/>
                <w:szCs w:val="20"/>
              </w:rPr>
              <w:t xml:space="preserve">by Abbott Diagnostics Division </w:t>
            </w:r>
            <w:r w:rsidRPr="00DC7421">
              <w:rPr>
                <w:rFonts w:eastAsia="HelenPro-Regular" w:cs="Arial"/>
                <w:szCs w:val="20"/>
              </w:rPr>
              <w:t>using NCCLS EP7-P.  Interference effects were assessed by Dose Response and Paired Difference methods, at the medical decision level of the analyte.</w:t>
            </w:r>
            <w:r w:rsidR="00250A09" w:rsidRPr="00DC7421">
              <w:rPr>
                <w:rFonts w:eastAsia="HelenPro-Regular" w:cs="Arial"/>
                <w:szCs w:val="20"/>
              </w:rPr>
              <w:t xml:space="preserve"> </w:t>
            </w:r>
            <w:r w:rsidRPr="00DC7421">
              <w:rPr>
                <w:rFonts w:cs="Arial"/>
                <w:szCs w:val="20"/>
              </w:rPr>
              <w:t xml:space="preserve"> </w:t>
            </w:r>
            <w:r w:rsidR="002E718D" w:rsidRPr="00DC7421">
              <w:rPr>
                <w:rFonts w:cs="Arial"/>
                <w:szCs w:val="20"/>
              </w:rPr>
              <w:t>Interference is less than 10% at an Albumin concentration level of 4 g/dL for:</w:t>
            </w:r>
          </w:p>
          <w:p w:rsidR="002E718D" w:rsidRPr="00DC7421" w:rsidRDefault="00824C10" w:rsidP="00655B61">
            <w:pPr>
              <w:numPr>
                <w:ilvl w:val="0"/>
                <w:numId w:val="20"/>
              </w:numPr>
              <w:jc w:val="both"/>
              <w:rPr>
                <w:rFonts w:cs="Arial"/>
                <w:szCs w:val="20"/>
              </w:rPr>
            </w:pPr>
            <w:r w:rsidRPr="00DC7421">
              <w:rPr>
                <w:rFonts w:cs="Arial"/>
                <w:szCs w:val="20"/>
              </w:rPr>
              <w:t>Hemoglobin: up to 750</w:t>
            </w:r>
            <w:r w:rsidR="002E718D" w:rsidRPr="00DC7421">
              <w:rPr>
                <w:rFonts w:cs="Arial"/>
                <w:szCs w:val="20"/>
              </w:rPr>
              <w:t xml:space="preserve"> mg/dL</w:t>
            </w:r>
          </w:p>
          <w:p w:rsidR="002E718D" w:rsidRPr="00DC7421" w:rsidRDefault="002E718D" w:rsidP="00655B61">
            <w:pPr>
              <w:numPr>
                <w:ilvl w:val="0"/>
                <w:numId w:val="20"/>
              </w:numPr>
              <w:jc w:val="both"/>
              <w:rPr>
                <w:rFonts w:cs="Arial"/>
                <w:szCs w:val="20"/>
              </w:rPr>
            </w:pPr>
            <w:r w:rsidRPr="00DC7421">
              <w:rPr>
                <w:rFonts w:cs="Arial"/>
                <w:szCs w:val="20"/>
              </w:rPr>
              <w:t>Bilir</w:t>
            </w:r>
            <w:r w:rsidR="00824C10" w:rsidRPr="00DC7421">
              <w:rPr>
                <w:rFonts w:cs="Arial"/>
                <w:szCs w:val="20"/>
              </w:rPr>
              <w:t>ubin</w:t>
            </w:r>
            <w:r w:rsidRPr="00DC7421">
              <w:rPr>
                <w:rFonts w:cs="Arial"/>
                <w:szCs w:val="20"/>
              </w:rPr>
              <w:t>: up to 60 mg/dL</w:t>
            </w:r>
          </w:p>
          <w:p w:rsidR="002E718D" w:rsidRPr="00DC7421" w:rsidRDefault="00824C10" w:rsidP="00655B61">
            <w:pPr>
              <w:numPr>
                <w:ilvl w:val="0"/>
                <w:numId w:val="20"/>
              </w:numPr>
              <w:jc w:val="both"/>
              <w:rPr>
                <w:rFonts w:cs="Arial"/>
                <w:szCs w:val="20"/>
              </w:rPr>
            </w:pPr>
            <w:r w:rsidRPr="00DC7421">
              <w:rPr>
                <w:rFonts w:cs="Arial"/>
                <w:szCs w:val="20"/>
              </w:rPr>
              <w:t>Lipemia (Intralipid®): up to 1</w:t>
            </w:r>
            <w:r w:rsidR="002E718D" w:rsidRPr="00DC7421">
              <w:rPr>
                <w:rFonts w:cs="Arial"/>
                <w:szCs w:val="20"/>
              </w:rPr>
              <w:t>000 mg/dL</w:t>
            </w:r>
          </w:p>
          <w:p w:rsidR="00E3253B" w:rsidRPr="00DC7421" w:rsidRDefault="00E3253B" w:rsidP="00CE16FB">
            <w:pPr>
              <w:jc w:val="both"/>
              <w:rPr>
                <w:rFonts w:cs="Arial"/>
                <w:szCs w:val="20"/>
              </w:rPr>
            </w:pPr>
          </w:p>
          <w:p w:rsidR="00D63C07" w:rsidRDefault="00D63C07" w:rsidP="00D63C07">
            <w:pPr>
              <w:autoSpaceDE w:val="0"/>
              <w:autoSpaceDN w:val="0"/>
              <w:adjustRightInd w:val="0"/>
              <w:rPr>
                <w:rFonts w:eastAsia="HelenPro-Regular" w:cs="Arial"/>
                <w:szCs w:val="20"/>
              </w:rPr>
            </w:pPr>
            <w:r w:rsidRPr="00DC7421">
              <w:rPr>
                <w:rFonts w:eastAsia="HelenPro-Regular" w:cs="Arial"/>
                <w:szCs w:val="20"/>
              </w:rPr>
              <w:t>Interferences from medication or endogenous substances may affect results.</w:t>
            </w:r>
          </w:p>
          <w:p w:rsidR="00944DFA" w:rsidRDefault="00944DFA" w:rsidP="00D63C07">
            <w:pPr>
              <w:autoSpaceDE w:val="0"/>
              <w:autoSpaceDN w:val="0"/>
              <w:adjustRightInd w:val="0"/>
              <w:rPr>
                <w:rFonts w:eastAsia="HelenPro-Regular" w:cs="Arial"/>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63C07" w:rsidRPr="00DC7421" w:rsidRDefault="00D63C07"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rsidR="00E3253B" w:rsidRPr="00DC7421" w:rsidRDefault="005217B0" w:rsidP="0030640D">
            <w:pPr>
              <w:pStyle w:val="Header"/>
              <w:tabs>
                <w:tab w:val="clear" w:pos="4320"/>
                <w:tab w:val="clear" w:pos="8640"/>
              </w:tabs>
              <w:jc w:val="both"/>
              <w:rPr>
                <w:rFonts w:cs="Arial"/>
                <w:b/>
                <w:bCs/>
                <w:color w:val="5F497A"/>
                <w:szCs w:val="20"/>
              </w:rPr>
            </w:pPr>
            <w:r>
              <w:rPr>
                <w:rFonts w:cs="Arial"/>
                <w:b/>
                <w:bCs/>
                <w:color w:val="7030A0"/>
                <w:szCs w:val="20"/>
              </w:rPr>
              <w:t>All analyzers</w:t>
            </w:r>
            <w:r w:rsidR="0030640D" w:rsidRPr="00DC7421">
              <w:rPr>
                <w:rFonts w:cs="Arial"/>
                <w:b/>
                <w:bCs/>
                <w:szCs w:val="20"/>
              </w:rPr>
              <w:t>:</w:t>
            </w:r>
            <w:r w:rsidR="0030640D" w:rsidRPr="00DC7421">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lastRenderedPageBreak/>
              <w:t>Reference Intervals</w:t>
            </w:r>
          </w:p>
          <w:p w:rsidR="00E3253B" w:rsidRPr="00C00B65" w:rsidRDefault="00E3253B">
            <w:pPr>
              <w:rPr>
                <w:rFonts w:cs="Arial"/>
                <w:b/>
                <w:bCs/>
                <w:color w:val="0000FF"/>
                <w:szCs w:val="20"/>
              </w:rPr>
            </w:pP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700"/>
              <w:gridCol w:w="3978"/>
            </w:tblGrid>
            <w:tr w:rsidR="00646E63" w:rsidRPr="00DC7421" w:rsidTr="00824C10">
              <w:trPr>
                <w:gridAfter w:val="1"/>
                <w:wAfter w:w="3978" w:type="dxa"/>
              </w:trPr>
              <w:tc>
                <w:tcPr>
                  <w:tcW w:w="2389" w:type="dxa"/>
                  <w:shd w:val="clear" w:color="auto" w:fill="D9D9D9" w:themeFill="background1" w:themeFillShade="D9"/>
                </w:tcPr>
                <w:p w:rsidR="00646E63" w:rsidRPr="00DC7421" w:rsidRDefault="00646E63">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646E63" w:rsidRPr="00DC7421" w:rsidRDefault="00646E63">
                  <w:pPr>
                    <w:rPr>
                      <w:rFonts w:cs="Arial"/>
                      <w:szCs w:val="20"/>
                    </w:rPr>
                  </w:pPr>
                  <w:r w:rsidRPr="00DC7421">
                    <w:rPr>
                      <w:rFonts w:cs="Arial"/>
                      <w:szCs w:val="20"/>
                    </w:rPr>
                    <w:t>Albumin</w:t>
                  </w:r>
                </w:p>
              </w:tc>
            </w:tr>
            <w:tr w:rsidR="006A2770" w:rsidRPr="00DC7421" w:rsidTr="00824C10">
              <w:trPr>
                <w:gridAfter w:val="1"/>
                <w:wAfter w:w="3978" w:type="dxa"/>
              </w:trPr>
              <w:tc>
                <w:tcPr>
                  <w:tcW w:w="2389" w:type="dxa"/>
                </w:tcPr>
                <w:p w:rsidR="006A2770" w:rsidRPr="00DC7421" w:rsidRDefault="006A2770">
                  <w:pPr>
                    <w:rPr>
                      <w:rFonts w:cs="Arial"/>
                      <w:szCs w:val="20"/>
                    </w:rPr>
                  </w:pPr>
                  <w:r w:rsidRPr="00DC7421">
                    <w:rPr>
                      <w:rFonts w:cs="Arial"/>
                      <w:szCs w:val="20"/>
                    </w:rPr>
                    <w:t>0</w:t>
                  </w:r>
                  <w:r w:rsidR="00824C10" w:rsidRPr="00DC7421">
                    <w:rPr>
                      <w:rFonts w:cs="Arial"/>
                      <w:szCs w:val="20"/>
                    </w:rPr>
                    <w:t xml:space="preserve"> </w:t>
                  </w:r>
                  <w:r w:rsidRPr="00DC7421">
                    <w:rPr>
                      <w:rFonts w:cs="Arial"/>
                      <w:szCs w:val="20"/>
                    </w:rPr>
                    <w:t>-</w:t>
                  </w:r>
                  <w:r w:rsidR="00824C10" w:rsidRPr="00DC7421">
                    <w:rPr>
                      <w:rFonts w:cs="Arial"/>
                      <w:szCs w:val="20"/>
                    </w:rPr>
                    <w:t xml:space="preserve"> </w:t>
                  </w:r>
                  <w:r w:rsidRPr="00DC7421">
                    <w:rPr>
                      <w:rFonts w:cs="Arial"/>
                      <w:szCs w:val="20"/>
                    </w:rPr>
                    <w:t>14 days</w:t>
                  </w:r>
                </w:p>
              </w:tc>
              <w:tc>
                <w:tcPr>
                  <w:tcW w:w="2700" w:type="dxa"/>
                  <w:tcBorders>
                    <w:left w:val="single" w:sz="4" w:space="0" w:color="auto"/>
                    <w:right w:val="single" w:sz="4" w:space="0" w:color="auto"/>
                  </w:tcBorders>
                </w:tcPr>
                <w:p w:rsidR="006A2770" w:rsidRPr="00DC7421" w:rsidRDefault="006A2770">
                  <w:pPr>
                    <w:rPr>
                      <w:rFonts w:cs="Arial"/>
                      <w:szCs w:val="20"/>
                    </w:rPr>
                  </w:pPr>
                  <w:r w:rsidRPr="00DC7421">
                    <w:rPr>
                      <w:rFonts w:cs="Arial"/>
                      <w:szCs w:val="20"/>
                    </w:rPr>
                    <w:t>3.3 – 4.5</w:t>
                  </w:r>
                  <w:r w:rsidR="00824C10"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824C10" w:rsidP="00824C10">
                  <w:pPr>
                    <w:rPr>
                      <w:rFonts w:cs="Arial"/>
                      <w:szCs w:val="20"/>
                    </w:rPr>
                  </w:pPr>
                  <w:r w:rsidRPr="00DC7421">
                    <w:rPr>
                      <w:rFonts w:cs="Arial"/>
                      <w:szCs w:val="20"/>
                    </w:rPr>
                    <w:t xml:space="preserve">15 days - </w:t>
                  </w:r>
                  <w:r w:rsidR="00646E63" w:rsidRPr="00DC7421">
                    <w:rPr>
                      <w:rFonts w:cs="Arial"/>
                      <w:szCs w:val="20"/>
                    </w:rPr>
                    <w:t>1 year</w:t>
                  </w:r>
                </w:p>
              </w:tc>
              <w:tc>
                <w:tcPr>
                  <w:tcW w:w="2700" w:type="dxa"/>
                  <w:tcBorders>
                    <w:left w:val="single" w:sz="4" w:space="0" w:color="auto"/>
                    <w:right w:val="single" w:sz="4" w:space="0" w:color="auto"/>
                  </w:tcBorders>
                </w:tcPr>
                <w:p w:rsidR="00646E63" w:rsidRPr="00DC7421" w:rsidRDefault="00824C10">
                  <w:pPr>
                    <w:rPr>
                      <w:rFonts w:cs="Arial"/>
                      <w:szCs w:val="20"/>
                    </w:rPr>
                  </w:pPr>
                  <w:r w:rsidRPr="00DC7421">
                    <w:rPr>
                      <w:rFonts w:cs="Arial"/>
                      <w:szCs w:val="20"/>
                    </w:rPr>
                    <w:t>2.8 – 4.7</w:t>
                  </w:r>
                  <w:r w:rsidR="00646E63"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824C10">
                  <w:pPr>
                    <w:rPr>
                      <w:rFonts w:cs="Arial"/>
                      <w:szCs w:val="20"/>
                    </w:rPr>
                  </w:pPr>
                  <w:r w:rsidRPr="00DC7421">
                    <w:rPr>
                      <w:rFonts w:cs="Arial"/>
                      <w:szCs w:val="20"/>
                    </w:rPr>
                    <w:t>1 - 7 years</w:t>
                  </w:r>
                </w:p>
              </w:tc>
              <w:tc>
                <w:tcPr>
                  <w:tcW w:w="2700" w:type="dxa"/>
                  <w:tcBorders>
                    <w:left w:val="single" w:sz="4" w:space="0" w:color="auto"/>
                    <w:right w:val="single" w:sz="4" w:space="0" w:color="auto"/>
                  </w:tcBorders>
                </w:tcPr>
                <w:p w:rsidR="00646E63" w:rsidRPr="00DC7421" w:rsidRDefault="00824C10" w:rsidP="00646E63">
                  <w:pPr>
                    <w:rPr>
                      <w:rFonts w:cs="Arial"/>
                      <w:szCs w:val="20"/>
                    </w:rPr>
                  </w:pPr>
                  <w:r w:rsidRPr="00DC7421">
                    <w:rPr>
                      <w:rFonts w:cs="Arial"/>
                      <w:szCs w:val="20"/>
                    </w:rPr>
                    <w:t>3.8 - 4.7 g/dL</w:t>
                  </w:r>
                </w:p>
              </w:tc>
            </w:tr>
            <w:tr w:rsidR="00646E63" w:rsidRPr="00DC7421" w:rsidTr="00824C10">
              <w:trPr>
                <w:gridAfter w:val="1"/>
                <w:wAfter w:w="3978" w:type="dxa"/>
              </w:trPr>
              <w:tc>
                <w:tcPr>
                  <w:tcW w:w="2389" w:type="dxa"/>
                </w:tcPr>
                <w:p w:rsidR="00646E63" w:rsidRPr="00DC7421" w:rsidRDefault="00824C10">
                  <w:pPr>
                    <w:rPr>
                      <w:rFonts w:cs="Arial"/>
                      <w:szCs w:val="20"/>
                    </w:rPr>
                  </w:pPr>
                  <w:r w:rsidRPr="00DC7421">
                    <w:rPr>
                      <w:rFonts w:cs="Arial"/>
                      <w:szCs w:val="20"/>
                    </w:rPr>
                    <w:t>8 - 14 years</w:t>
                  </w:r>
                </w:p>
              </w:tc>
              <w:tc>
                <w:tcPr>
                  <w:tcW w:w="2700" w:type="dxa"/>
                  <w:tcBorders>
                    <w:left w:val="single" w:sz="4" w:space="0" w:color="auto"/>
                    <w:right w:val="single" w:sz="4" w:space="0" w:color="auto"/>
                  </w:tcBorders>
                </w:tcPr>
                <w:p w:rsidR="00646E63" w:rsidRPr="00DC7421" w:rsidRDefault="00824C10" w:rsidP="00646E63">
                  <w:pPr>
                    <w:rPr>
                      <w:rFonts w:cs="Arial"/>
                      <w:szCs w:val="20"/>
                    </w:rPr>
                  </w:pPr>
                  <w:r w:rsidRPr="00DC7421">
                    <w:rPr>
                      <w:rFonts w:cs="Arial"/>
                      <w:szCs w:val="20"/>
                    </w:rPr>
                    <w:t>4.1 – 4.8</w:t>
                  </w:r>
                  <w:r w:rsidR="00646E63" w:rsidRPr="00DC7421">
                    <w:rPr>
                      <w:rFonts w:cs="Arial"/>
                      <w:szCs w:val="20"/>
                    </w:rPr>
                    <w:t xml:space="preserve"> g/dL</w:t>
                  </w:r>
                </w:p>
              </w:tc>
            </w:tr>
            <w:tr w:rsidR="00646E63" w:rsidRPr="00DC7421" w:rsidTr="00824C10">
              <w:trPr>
                <w:gridAfter w:val="1"/>
                <w:wAfter w:w="3978" w:type="dxa"/>
              </w:trPr>
              <w:tc>
                <w:tcPr>
                  <w:tcW w:w="2389" w:type="dxa"/>
                </w:tcPr>
                <w:p w:rsidR="00646E63" w:rsidRPr="00DC7421" w:rsidRDefault="00824C10">
                  <w:pPr>
                    <w:rPr>
                      <w:rFonts w:cs="Arial"/>
                      <w:szCs w:val="20"/>
                    </w:rPr>
                  </w:pPr>
                  <w:r w:rsidRPr="00DC7421">
                    <w:rPr>
                      <w:rFonts w:cs="Arial"/>
                      <w:szCs w:val="20"/>
                    </w:rPr>
                    <w:t>15 – 18 years female</w:t>
                  </w:r>
                </w:p>
              </w:tc>
              <w:tc>
                <w:tcPr>
                  <w:tcW w:w="2700" w:type="dxa"/>
                  <w:tcBorders>
                    <w:left w:val="single" w:sz="4" w:space="0" w:color="auto"/>
                    <w:right w:val="single" w:sz="4" w:space="0" w:color="auto"/>
                  </w:tcBorders>
                </w:tcPr>
                <w:p w:rsidR="00646E63" w:rsidRPr="00DC7421" w:rsidRDefault="00824C10" w:rsidP="00646E63">
                  <w:pPr>
                    <w:rPr>
                      <w:rFonts w:cs="Arial"/>
                      <w:szCs w:val="20"/>
                    </w:rPr>
                  </w:pPr>
                  <w:r w:rsidRPr="00DC7421">
                    <w:rPr>
                      <w:rFonts w:cs="Arial"/>
                      <w:szCs w:val="20"/>
                    </w:rPr>
                    <w:t>4.0 – 4.9</w:t>
                  </w:r>
                  <w:r w:rsidR="00646E63" w:rsidRPr="00DC7421">
                    <w:rPr>
                      <w:rFonts w:cs="Arial"/>
                      <w:szCs w:val="20"/>
                    </w:rPr>
                    <w:t xml:space="preserve"> g/dL</w:t>
                  </w:r>
                </w:p>
              </w:tc>
            </w:tr>
            <w:tr w:rsidR="00824C10" w:rsidRPr="00DC7421" w:rsidTr="00824C10">
              <w:trPr>
                <w:gridAfter w:val="1"/>
                <w:wAfter w:w="3978" w:type="dxa"/>
              </w:trPr>
              <w:tc>
                <w:tcPr>
                  <w:tcW w:w="2389" w:type="dxa"/>
                </w:tcPr>
                <w:p w:rsidR="00824C10" w:rsidRPr="00DC7421" w:rsidRDefault="00824C10">
                  <w:pPr>
                    <w:rPr>
                      <w:rFonts w:cs="Arial"/>
                      <w:szCs w:val="20"/>
                    </w:rPr>
                  </w:pPr>
                  <w:r w:rsidRPr="00DC7421">
                    <w:rPr>
                      <w:rFonts w:cs="Arial"/>
                      <w:szCs w:val="20"/>
                    </w:rPr>
                    <w:t>15 – 18 years male</w:t>
                  </w:r>
                </w:p>
              </w:tc>
              <w:tc>
                <w:tcPr>
                  <w:tcW w:w="2700" w:type="dxa"/>
                  <w:tcBorders>
                    <w:left w:val="single" w:sz="4" w:space="0" w:color="auto"/>
                    <w:right w:val="single" w:sz="4" w:space="0" w:color="auto"/>
                  </w:tcBorders>
                </w:tcPr>
                <w:p w:rsidR="00824C10" w:rsidRPr="00DC7421" w:rsidRDefault="00824C10" w:rsidP="00646E63">
                  <w:pPr>
                    <w:rPr>
                      <w:rFonts w:cs="Arial"/>
                      <w:szCs w:val="20"/>
                    </w:rPr>
                  </w:pPr>
                  <w:r w:rsidRPr="00DC7421">
                    <w:rPr>
                      <w:rFonts w:cs="Arial"/>
                      <w:szCs w:val="20"/>
                    </w:rPr>
                    <w:t>4.1 – 5.1 g/dL</w:t>
                  </w:r>
                </w:p>
              </w:tc>
            </w:tr>
            <w:tr w:rsidR="00824C10" w:rsidRPr="00DC7421" w:rsidTr="00824C10">
              <w:trPr>
                <w:gridAfter w:val="1"/>
                <w:wAfter w:w="3978" w:type="dxa"/>
              </w:trPr>
              <w:tc>
                <w:tcPr>
                  <w:tcW w:w="2389" w:type="dxa"/>
                </w:tcPr>
                <w:p w:rsidR="00824C10" w:rsidRPr="00DC7421" w:rsidRDefault="00824C10">
                  <w:pPr>
                    <w:rPr>
                      <w:rFonts w:cs="Arial"/>
                      <w:szCs w:val="20"/>
                    </w:rPr>
                  </w:pPr>
                  <w:r w:rsidRPr="00DC7421">
                    <w:rPr>
                      <w:rFonts w:cs="Arial"/>
                      <w:szCs w:val="20"/>
                    </w:rPr>
                    <w:t>Adult</w:t>
                  </w:r>
                </w:p>
              </w:tc>
              <w:tc>
                <w:tcPr>
                  <w:tcW w:w="2700" w:type="dxa"/>
                  <w:tcBorders>
                    <w:left w:val="single" w:sz="4" w:space="0" w:color="auto"/>
                    <w:right w:val="single" w:sz="4" w:space="0" w:color="auto"/>
                  </w:tcBorders>
                </w:tcPr>
                <w:p w:rsidR="00824C10" w:rsidRPr="00DC7421" w:rsidRDefault="00824C10" w:rsidP="00646E63">
                  <w:pPr>
                    <w:rPr>
                      <w:rFonts w:cs="Arial"/>
                      <w:szCs w:val="20"/>
                    </w:rPr>
                  </w:pPr>
                  <w:r w:rsidRPr="00DC7421">
                    <w:rPr>
                      <w:rFonts w:cs="Arial"/>
                      <w:szCs w:val="20"/>
                    </w:rPr>
                    <w:t>3.0 – 5.2 g/dL</w:t>
                  </w:r>
                </w:p>
              </w:tc>
            </w:tr>
            <w:tr w:rsidR="00E3253B" w:rsidRPr="00DC7421" w:rsidTr="00646E63">
              <w:trPr>
                <w:cantSplit/>
              </w:trPr>
              <w:tc>
                <w:tcPr>
                  <w:tcW w:w="9067" w:type="dxa"/>
                  <w:gridSpan w:val="3"/>
                  <w:tcBorders>
                    <w:top w:val="nil"/>
                    <w:left w:val="nil"/>
                    <w:bottom w:val="nil"/>
                    <w:right w:val="nil"/>
                  </w:tcBorders>
                </w:tcPr>
                <w:p w:rsidR="00E3253B" w:rsidRPr="00DC7421" w:rsidRDefault="00E3253B" w:rsidP="00824C10">
                  <w:pPr>
                    <w:rPr>
                      <w:rFonts w:cs="Arial"/>
                      <w:szCs w:val="20"/>
                    </w:rPr>
                  </w:pPr>
                </w:p>
              </w:tc>
            </w:tr>
          </w:tbl>
          <w:p w:rsidR="00E3253B" w:rsidRPr="00DC7421"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None specified.</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color w:val="000000"/>
                <w:szCs w:val="20"/>
              </w:rPr>
            </w:pPr>
            <w:r w:rsidRPr="00DC7421">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DC7421">
              <w:rPr>
                <w:rFonts w:cs="Arial"/>
                <w:color w:val="000000"/>
                <w:szCs w:val="20"/>
              </w:rPr>
              <w:t>n albumin results.</w:t>
            </w:r>
            <w:r w:rsidR="00250A09" w:rsidRPr="00DC7421">
              <w:rPr>
                <w:rFonts w:cs="Arial"/>
                <w:color w:val="000000"/>
                <w:szCs w:val="20"/>
              </w:rPr>
              <w:t xml:space="preserve"> </w:t>
            </w:r>
            <w:r w:rsidR="002F5C68" w:rsidRPr="00DC7421">
              <w:rPr>
                <w:rFonts w:cs="Arial"/>
                <w:color w:val="000000"/>
                <w:szCs w:val="20"/>
              </w:rPr>
              <w:t xml:space="preserve"> Refer to the </w:t>
            </w:r>
            <w:hyperlink r:id="rId11" w:history="1">
              <w:r w:rsidR="002F5C68" w:rsidRPr="00DC7421">
                <w:rPr>
                  <w:rStyle w:val="Hyperlink"/>
                  <w:rFonts w:cs="Arial"/>
                  <w:szCs w:val="20"/>
                </w:rPr>
                <w:t>Abbott Architect</w:t>
              </w:r>
            </w:hyperlink>
            <w:r w:rsidR="002F5C68" w:rsidRPr="00DC7421">
              <w:rPr>
                <w:rFonts w:cs="Arial"/>
                <w:color w:val="000000"/>
                <w:szCs w:val="20"/>
              </w:rPr>
              <w:t xml:space="preserve"> or </w:t>
            </w:r>
            <w:hyperlink r:id="rId12" w:history="1">
              <w:r w:rsidR="002F5C68" w:rsidRPr="00DC7421">
                <w:rPr>
                  <w:rStyle w:val="Hyperlink"/>
                  <w:rFonts w:cs="Arial"/>
                  <w:szCs w:val="20"/>
                </w:rPr>
                <w:t>Alinity</w:t>
              </w:r>
            </w:hyperlink>
            <w:r w:rsidR="002F5C68" w:rsidRPr="00DC7421">
              <w:rPr>
                <w:rFonts w:cs="Arial"/>
                <w:color w:val="000000"/>
                <w:szCs w:val="20"/>
              </w:rPr>
              <w:t xml:space="preserve"> Operator’s Guides</w:t>
            </w:r>
            <w:r w:rsidRPr="00DC7421">
              <w:rPr>
                <w:rFonts w:cs="Arial"/>
                <w:color w:val="000000"/>
                <w:szCs w:val="20"/>
              </w:rPr>
              <w:t xml:space="preserve"> for the meaning of report flags and comments, and instructions for addressing them. </w:t>
            </w:r>
            <w:r w:rsidR="00250A09" w:rsidRPr="00DC7421">
              <w:rPr>
                <w:rFonts w:cs="Arial"/>
                <w:color w:val="000000"/>
                <w:szCs w:val="20"/>
              </w:rPr>
              <w:t xml:space="preserve"> </w:t>
            </w:r>
            <w:r w:rsidRPr="00DC7421">
              <w:rPr>
                <w:rFonts w:cs="Arial"/>
                <w:color w:val="000000"/>
                <w:szCs w:val="20"/>
              </w:rPr>
              <w:t>Do not report results until a report containing flags and/or comments is resolved.</w:t>
            </w:r>
          </w:p>
          <w:p w:rsidR="00250A09" w:rsidRPr="00DC7421" w:rsidRDefault="00250A09">
            <w:pPr>
              <w:pStyle w:val="Header"/>
              <w:tabs>
                <w:tab w:val="clear" w:pos="4320"/>
                <w:tab w:val="clear" w:pos="8640"/>
              </w:tabs>
              <w:rPr>
                <w:rFonts w:cs="Arial"/>
                <w:color w:val="000000"/>
                <w:szCs w:val="20"/>
              </w:rPr>
            </w:pPr>
          </w:p>
          <w:p w:rsidR="00E3253B" w:rsidRDefault="00250A09">
            <w:pPr>
              <w:autoSpaceDE w:val="0"/>
              <w:autoSpaceDN w:val="0"/>
              <w:adjustRightInd w:val="0"/>
              <w:rPr>
                <w:rFonts w:cs="Arial"/>
                <w:bCs/>
                <w:szCs w:val="20"/>
              </w:rPr>
            </w:pPr>
            <w:r w:rsidRPr="00DC7421">
              <w:rPr>
                <w:rFonts w:eastAsia="HelenPro-Regular" w:cs="Arial"/>
                <w:szCs w:val="20"/>
              </w:rPr>
              <w:t>Albumin levels are posture dependent, increasing up to 10% to 15% if the individual is standing.</w:t>
            </w:r>
            <w:r w:rsidRPr="00DC7421">
              <w:rPr>
                <w:rFonts w:cs="Arial"/>
                <w:b/>
                <w:bCs/>
                <w:szCs w:val="20"/>
              </w:rPr>
              <w:t xml:space="preserve">  </w:t>
            </w:r>
            <w:r w:rsidRPr="00DC7421">
              <w:rPr>
                <w:rFonts w:cs="Arial"/>
                <w:bCs/>
                <w:szCs w:val="20"/>
              </w:rPr>
              <w:t>Draw while patient is seated whenever possible.  Suggest a redraw if falsely low results are suspected due to supine draw.</w:t>
            </w:r>
          </w:p>
          <w:p w:rsidR="00944DFA" w:rsidRDefault="00944DFA">
            <w:pPr>
              <w:autoSpaceDE w:val="0"/>
              <w:autoSpaceDN w:val="0"/>
              <w:adjustRightInd w:val="0"/>
              <w:rPr>
                <w:rFonts w:cs="Arial"/>
                <w:bCs/>
                <w:szCs w:val="20"/>
              </w:rPr>
            </w:pPr>
          </w:p>
          <w:p w:rsidR="00944DFA" w:rsidRPr="00DC7421" w:rsidRDefault="00944DFA" w:rsidP="00944DFA">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DC7421" w:rsidRPr="00DC7421" w:rsidRDefault="00DC7421">
            <w:pPr>
              <w:autoSpaceDE w:val="0"/>
              <w:autoSpaceDN w:val="0"/>
              <w:adjustRightInd w:val="0"/>
              <w:rPr>
                <w:rFonts w:cs="Arial"/>
                <w:bCs/>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D271B1">
            <w:pPr>
              <w:pStyle w:val="Bullets"/>
              <w:ind w:left="0" w:firstLine="0"/>
              <w:rPr>
                <w:rFonts w:ascii="Arial" w:hAnsi="Arial" w:cs="Arial"/>
              </w:rPr>
            </w:pPr>
            <w:r w:rsidRPr="00DC7421">
              <w:rPr>
                <w:rFonts w:ascii="Arial" w:hAnsi="Arial" w:cs="Arial"/>
              </w:rPr>
              <w:t>Do not dilute.</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DC7421" w:rsidRDefault="005217B0" w:rsidP="002F5C68">
            <w:pPr>
              <w:pStyle w:val="Header"/>
              <w:tabs>
                <w:tab w:val="clear" w:pos="4320"/>
                <w:tab w:val="clear" w:pos="8640"/>
              </w:tabs>
              <w:rPr>
                <w:rFonts w:cs="Arial"/>
                <w:szCs w:val="20"/>
              </w:rPr>
            </w:pPr>
            <w:r>
              <w:rPr>
                <w:rFonts w:cs="Arial"/>
                <w:b/>
                <w:bCs/>
                <w:color w:val="7030A0"/>
                <w:szCs w:val="20"/>
              </w:rPr>
              <w:t>All analyzers</w:t>
            </w:r>
            <w:r w:rsidR="002F5C68" w:rsidRPr="00DC7421">
              <w:rPr>
                <w:rFonts w:cs="Arial"/>
                <w:b/>
                <w:bCs/>
                <w:szCs w:val="20"/>
              </w:rPr>
              <w:t>:</w:t>
            </w:r>
            <w:r w:rsidR="002F5C68" w:rsidRPr="00DC7421">
              <w:rPr>
                <w:rFonts w:cs="Arial"/>
                <w:b/>
                <w:bCs/>
                <w:color w:val="5F497A"/>
                <w:szCs w:val="20"/>
              </w:rPr>
              <w:t xml:space="preserve"> </w:t>
            </w:r>
          </w:p>
          <w:p w:rsidR="00E3253B" w:rsidRPr="00DC7421" w:rsidRDefault="00E3253B">
            <w:pPr>
              <w:pStyle w:val="Header"/>
              <w:numPr>
                <w:ilvl w:val="0"/>
                <w:numId w:val="5"/>
              </w:numPr>
              <w:tabs>
                <w:tab w:val="clear" w:pos="4320"/>
                <w:tab w:val="clear" w:pos="8640"/>
              </w:tabs>
              <w:rPr>
                <w:rFonts w:cs="Arial"/>
                <w:szCs w:val="20"/>
              </w:rPr>
            </w:pPr>
            <w:r w:rsidRPr="00DC7421">
              <w:rPr>
                <w:rFonts w:cs="Arial"/>
                <w:szCs w:val="20"/>
              </w:rPr>
              <w:t>Results between 0.</w:t>
            </w:r>
            <w:r w:rsidR="005217B0">
              <w:rPr>
                <w:rFonts w:cs="Arial"/>
                <w:szCs w:val="20"/>
              </w:rPr>
              <w:t>6 - 9</w:t>
            </w:r>
            <w:r w:rsidR="00DC24D6" w:rsidRPr="00DC7421">
              <w:rPr>
                <w:rFonts w:cs="Arial"/>
                <w:szCs w:val="20"/>
              </w:rPr>
              <w:t>.5</w:t>
            </w:r>
            <w:r w:rsidRPr="00DC7421">
              <w:rPr>
                <w:rFonts w:cs="Arial"/>
                <w:szCs w:val="20"/>
              </w:rPr>
              <w:t xml:space="preserve"> g/dL without error messages are released</w:t>
            </w:r>
          </w:p>
          <w:p w:rsidR="00E3253B" w:rsidRPr="00DC7421" w:rsidRDefault="00E3253B">
            <w:pPr>
              <w:numPr>
                <w:ilvl w:val="0"/>
                <w:numId w:val="5"/>
              </w:numPr>
              <w:rPr>
                <w:rFonts w:cs="Arial"/>
                <w:szCs w:val="20"/>
              </w:rPr>
            </w:pPr>
            <w:r w:rsidRPr="00DC7421">
              <w:rPr>
                <w:rFonts w:cs="Arial"/>
                <w:szCs w:val="20"/>
              </w:rPr>
              <w:t>Results below 0.</w:t>
            </w:r>
            <w:r w:rsidR="005217B0">
              <w:rPr>
                <w:rFonts w:cs="Arial"/>
                <w:szCs w:val="20"/>
              </w:rPr>
              <w:t>6</w:t>
            </w:r>
            <w:r w:rsidRPr="00DC7421">
              <w:rPr>
                <w:rFonts w:cs="Arial"/>
                <w:szCs w:val="20"/>
              </w:rPr>
              <w:t xml:space="preserve"> g/dL: report as &lt; 0.</w:t>
            </w:r>
            <w:r w:rsidR="005217B0">
              <w:rPr>
                <w:rFonts w:cs="Arial"/>
                <w:szCs w:val="20"/>
              </w:rPr>
              <w:t>6</w:t>
            </w:r>
            <w:r w:rsidRPr="00DC7421">
              <w:rPr>
                <w:rFonts w:cs="Arial"/>
                <w:szCs w:val="20"/>
              </w:rPr>
              <w:t xml:space="preserve"> g/dL instead of the numerical </w:t>
            </w:r>
            <w:r w:rsidR="00387FF5" w:rsidRPr="00DC7421">
              <w:rPr>
                <w:rFonts w:cs="Arial"/>
                <w:szCs w:val="20"/>
              </w:rPr>
              <w:t>value</w:t>
            </w:r>
            <w:r w:rsidRPr="00DC7421">
              <w:rPr>
                <w:rFonts w:cs="Arial"/>
                <w:szCs w:val="20"/>
              </w:rPr>
              <w:t>.</w:t>
            </w:r>
          </w:p>
          <w:p w:rsidR="00E3253B" w:rsidRPr="00DC7421" w:rsidRDefault="005217B0">
            <w:pPr>
              <w:numPr>
                <w:ilvl w:val="0"/>
                <w:numId w:val="5"/>
              </w:numPr>
              <w:rPr>
                <w:rFonts w:cs="Arial"/>
                <w:szCs w:val="20"/>
              </w:rPr>
            </w:pPr>
            <w:r>
              <w:rPr>
                <w:rFonts w:cs="Arial"/>
                <w:szCs w:val="20"/>
              </w:rPr>
              <w:t>Results &gt;9</w:t>
            </w:r>
            <w:r w:rsidR="00DC24D6" w:rsidRPr="00DC7421">
              <w:rPr>
                <w:rFonts w:cs="Arial"/>
                <w:szCs w:val="20"/>
              </w:rPr>
              <w:t>.5</w:t>
            </w:r>
            <w:r w:rsidR="00E3253B" w:rsidRPr="00DC7421">
              <w:rPr>
                <w:rFonts w:cs="Arial"/>
                <w:szCs w:val="20"/>
              </w:rPr>
              <w:t xml:space="preserve"> g/dL without erro</w:t>
            </w:r>
            <w:r>
              <w:rPr>
                <w:rFonts w:cs="Arial"/>
                <w:szCs w:val="20"/>
              </w:rPr>
              <w:t>r messages are reported as &gt; 9</w:t>
            </w:r>
            <w:r w:rsidR="00DC24D6" w:rsidRPr="00DC7421">
              <w:rPr>
                <w:rFonts w:cs="Arial"/>
                <w:szCs w:val="20"/>
              </w:rPr>
              <w:t>.5</w:t>
            </w:r>
            <w:r w:rsidR="00E3253B" w:rsidRPr="00DC7421">
              <w:rPr>
                <w:rFonts w:cs="Arial"/>
                <w:szCs w:val="20"/>
              </w:rPr>
              <w:t xml:space="preserve"> g/dL</w:t>
            </w:r>
          </w:p>
          <w:p w:rsidR="00387FF5" w:rsidRPr="00DC7421" w:rsidRDefault="00387FF5" w:rsidP="00824C10">
            <w:pPr>
              <w:rPr>
                <w:rFonts w:cs="Arial"/>
                <w:szCs w:val="20"/>
              </w:rPr>
            </w:pPr>
          </w:p>
        </w:tc>
      </w:tr>
      <w:tr w:rsidR="00E3253B" w:rsidTr="00DC7421">
        <w:trPr>
          <w:trHeight w:val="70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DC7421"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w:t>
            </w:r>
            <w:r w:rsidR="005217B0">
              <w:rPr>
                <w:rFonts w:cs="Arial"/>
                <w:szCs w:val="20"/>
              </w:rPr>
              <w:t>,</w:t>
            </w:r>
            <w:r w:rsidRPr="00DC7421">
              <w:rPr>
                <w:rFonts w:cs="Arial"/>
                <w:szCs w:val="20"/>
              </w:rPr>
              <w:t xml:space="preserve"> </w:t>
            </w:r>
            <w:r w:rsidR="00D271B1" w:rsidRPr="00DC7421">
              <w:rPr>
                <w:rFonts w:cs="Arial"/>
                <w:szCs w:val="20"/>
              </w:rPr>
              <w:t>remove specimens to refrigerator</w:t>
            </w:r>
            <w:r w:rsidRPr="00DC7421">
              <w:rPr>
                <w:rFonts w:cs="Arial"/>
                <w:szCs w:val="20"/>
              </w:rPr>
              <w:t>/freezer storage.</w:t>
            </w:r>
            <w:r w:rsidR="00250A09" w:rsidRPr="00DC7421">
              <w:rPr>
                <w:rFonts w:cs="Arial"/>
                <w:szCs w:val="20"/>
              </w:rPr>
              <w:t xml:space="preserve"> </w:t>
            </w:r>
            <w:r w:rsidRPr="00DC7421">
              <w:rPr>
                <w:rFonts w:cs="Arial"/>
                <w:szCs w:val="20"/>
              </w:rPr>
              <w:t xml:space="preserve"> Samples are retained 7 d</w:t>
            </w:r>
            <w:r w:rsidR="00DC7421">
              <w:rPr>
                <w:rFonts w:cs="Arial"/>
                <w:szCs w:val="20"/>
              </w:rPr>
              <w:t>ays in specimen storage freezer.</w:t>
            </w: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t>References</w:t>
            </w:r>
          </w:p>
        </w:tc>
        <w:tc>
          <w:tcPr>
            <w:tcW w:w="9360" w:type="dxa"/>
            <w:gridSpan w:val="6"/>
            <w:tcBorders>
              <w:top w:val="single" w:sz="18" w:space="0" w:color="BFBFBF"/>
              <w:left w:val="nil"/>
              <w:bottom w:val="single" w:sz="4" w:space="0" w:color="auto"/>
              <w:right w:val="nil"/>
            </w:tcBorders>
          </w:tcPr>
          <w:p w:rsidR="00E3253B" w:rsidRPr="00DC7421" w:rsidRDefault="00E3253B" w:rsidP="00F63DA5">
            <w:pPr>
              <w:numPr>
                <w:ilvl w:val="0"/>
                <w:numId w:val="33"/>
              </w:numPr>
              <w:rPr>
                <w:rFonts w:cs="Arial"/>
                <w:szCs w:val="20"/>
              </w:rPr>
            </w:pPr>
            <w:r w:rsidRPr="00DC7421">
              <w:rPr>
                <w:rFonts w:cs="Arial"/>
                <w:szCs w:val="20"/>
              </w:rPr>
              <w:t xml:space="preserve">Jacobs &amp; DeMott Laboratory Test Handbook, Lexi-Comp, </w:t>
            </w:r>
            <w:r w:rsidR="00C00B65" w:rsidRPr="00DC7421">
              <w:rPr>
                <w:rFonts w:cs="Arial"/>
                <w:szCs w:val="20"/>
              </w:rPr>
              <w:t>Inc.</w:t>
            </w:r>
            <w:r w:rsidRPr="00DC7421">
              <w:rPr>
                <w:rFonts w:cs="Arial"/>
                <w:szCs w:val="20"/>
              </w:rPr>
              <w:t>, Hudson, OH, 5</w:t>
            </w:r>
            <w:r w:rsidRPr="00DC7421">
              <w:rPr>
                <w:rFonts w:cs="Arial"/>
                <w:szCs w:val="20"/>
                <w:vertAlign w:val="superscript"/>
              </w:rPr>
              <w:t>th</w:t>
            </w:r>
            <w:r w:rsidRPr="00DC7421">
              <w:rPr>
                <w:rFonts w:cs="Arial"/>
                <w:szCs w:val="20"/>
              </w:rPr>
              <w:t xml:space="preserve"> Edition, 2001</w:t>
            </w:r>
          </w:p>
          <w:p w:rsidR="00DC24D6" w:rsidRPr="00DC7421" w:rsidRDefault="00DC24D6" w:rsidP="00F63DA5">
            <w:pPr>
              <w:numPr>
                <w:ilvl w:val="0"/>
                <w:numId w:val="33"/>
              </w:numPr>
              <w:rPr>
                <w:rFonts w:cs="Arial"/>
                <w:szCs w:val="20"/>
              </w:rPr>
            </w:pPr>
            <w:r w:rsidRPr="00DC7421">
              <w:rPr>
                <w:rFonts w:cs="Arial"/>
                <w:szCs w:val="20"/>
              </w:rPr>
              <w:t xml:space="preserve">Architect Albumin BCG Package Insert, Abbott Laboratories Diagnostics Division, Abbott Park, IL 60064, December 2015. </w:t>
            </w:r>
          </w:p>
          <w:p w:rsidR="00693888" w:rsidRPr="00DC7421" w:rsidRDefault="00DC24D6" w:rsidP="00693888">
            <w:pPr>
              <w:numPr>
                <w:ilvl w:val="0"/>
                <w:numId w:val="33"/>
              </w:numPr>
              <w:rPr>
                <w:rFonts w:cs="Arial"/>
                <w:szCs w:val="20"/>
              </w:rPr>
            </w:pPr>
            <w:r w:rsidRPr="00DC7421">
              <w:rPr>
                <w:rFonts w:cs="Arial"/>
                <w:szCs w:val="20"/>
              </w:rPr>
              <w:t xml:space="preserve">Alinity Albumin BCG Package Insert, Abbott Laboratories Diagnostics Division, Abbott Park, IL 60064, December 2017.  </w:t>
            </w:r>
          </w:p>
          <w:p w:rsidR="00824C10" w:rsidRPr="00DC7421" w:rsidRDefault="00693888" w:rsidP="00693888">
            <w:pPr>
              <w:numPr>
                <w:ilvl w:val="0"/>
                <w:numId w:val="33"/>
              </w:numPr>
              <w:rPr>
                <w:rFonts w:cs="Arial"/>
                <w:szCs w:val="20"/>
              </w:rPr>
            </w:pPr>
            <w:r w:rsidRPr="00DC7421">
              <w:rPr>
                <w:rFonts w:cs="Arial"/>
                <w:szCs w:val="20"/>
                <w:lang w:val="en"/>
              </w:rPr>
              <w:t>CALIPER pediatric reference range database. (2019). Retrieved October 3, 2019, from https://caliper.research.sickkids.ca/#/</w:t>
            </w:r>
          </w:p>
          <w:p w:rsidR="00693888" w:rsidRPr="00DC7421" w:rsidRDefault="00693888" w:rsidP="00F63DA5">
            <w:pPr>
              <w:numPr>
                <w:ilvl w:val="0"/>
                <w:numId w:val="33"/>
              </w:numPr>
              <w:rPr>
                <w:rFonts w:cs="Arial"/>
                <w:szCs w:val="20"/>
              </w:rPr>
            </w:pPr>
            <w:r w:rsidRPr="00DC7421">
              <w:rPr>
                <w:rFonts w:cs="Arial"/>
                <w:szCs w:val="20"/>
              </w:rPr>
              <w:t>Alinity c Multiconstituent Calibrator Package Insert, Abbott Laboratories Diagnostics Division, Abbott Park, IL 60064, December 2017.</w:t>
            </w:r>
          </w:p>
          <w:p w:rsidR="00693888" w:rsidRPr="00DC7421" w:rsidRDefault="00693888" w:rsidP="00F63DA5">
            <w:pPr>
              <w:numPr>
                <w:ilvl w:val="0"/>
                <w:numId w:val="33"/>
              </w:numPr>
              <w:rPr>
                <w:rFonts w:cs="Arial"/>
                <w:szCs w:val="20"/>
              </w:rPr>
            </w:pPr>
            <w:r w:rsidRPr="00DC7421">
              <w:rPr>
                <w:rFonts w:cs="Arial"/>
                <w:szCs w:val="20"/>
              </w:rPr>
              <w:t>Architect Multiconstiuent Calibrator Package Insert, Abbott Laboratories Diagnostics Division, Abbott Park, IL 60064, August 2017.</w:t>
            </w:r>
          </w:p>
          <w:p w:rsidR="00E3253B" w:rsidRPr="00DC7421" w:rsidRDefault="003A65AD" w:rsidP="00F63DA5">
            <w:pPr>
              <w:numPr>
                <w:ilvl w:val="0"/>
                <w:numId w:val="33"/>
              </w:numPr>
              <w:rPr>
                <w:rFonts w:cs="Arial"/>
                <w:szCs w:val="20"/>
              </w:rPr>
            </w:pPr>
            <w:r w:rsidRPr="00DC7421">
              <w:rPr>
                <w:rFonts w:cs="Arial"/>
                <w:bCs/>
                <w:szCs w:val="20"/>
              </w:rPr>
              <w:t>Bio-Rad</w:t>
            </w:r>
            <w:r w:rsidR="00BB255B">
              <w:rPr>
                <w:rFonts w:cs="Arial"/>
                <w:bCs/>
                <w:szCs w:val="20"/>
              </w:rPr>
              <w:t xml:space="preserve"> Liquid</w:t>
            </w:r>
            <w:r w:rsidR="00E3253B" w:rsidRPr="00DC7421">
              <w:rPr>
                <w:rFonts w:cs="Arial"/>
                <w:bCs/>
                <w:szCs w:val="20"/>
              </w:rPr>
              <w:t xml:space="preserve"> </w:t>
            </w:r>
            <w:proofErr w:type="spellStart"/>
            <w:r w:rsidR="00BB255B">
              <w:rPr>
                <w:rFonts w:cs="Arial"/>
                <w:bCs/>
                <w:szCs w:val="20"/>
              </w:rPr>
              <w:t>Multiqual</w:t>
            </w:r>
            <w:proofErr w:type="spellEnd"/>
            <w:r w:rsidR="00BB255B">
              <w:rPr>
                <w:rFonts w:cs="Arial"/>
                <w:bCs/>
                <w:szCs w:val="20"/>
              </w:rPr>
              <w:t xml:space="preserve"> 1,2,3</w:t>
            </w:r>
            <w:r w:rsidR="00E3253B" w:rsidRPr="00DC7421">
              <w:rPr>
                <w:rFonts w:cs="Arial"/>
                <w:bCs/>
                <w:szCs w:val="20"/>
              </w:rPr>
              <w:t xml:space="preserve"> Chemistry Control Product Insert, Bio-Rad</w:t>
            </w:r>
            <w:r w:rsidR="009C4BDA" w:rsidRPr="00DC7421">
              <w:rPr>
                <w:rFonts w:cs="Arial"/>
                <w:bCs/>
                <w:szCs w:val="20"/>
              </w:rPr>
              <w:t xml:space="preserve"> Laboratories, Irvine, CA 92618</w:t>
            </w:r>
          </w:p>
          <w:p w:rsidR="00E3253B" w:rsidRPr="00DC7421" w:rsidRDefault="00E3253B" w:rsidP="00F63DA5">
            <w:pPr>
              <w:rPr>
                <w:rFonts w:cs="Arial"/>
                <w:szCs w:val="20"/>
              </w:rPr>
            </w:pPr>
          </w:p>
        </w:tc>
      </w:tr>
      <w:tr w:rsidR="00E3253B" w:rsidTr="00D955F6">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rsidR="00E3253B" w:rsidRPr="0030640D" w:rsidRDefault="00E3253B">
            <w:pPr>
              <w:rPr>
                <w:rFonts w:cs="Arial"/>
                <w:iCs/>
                <w:sz w:val="24"/>
              </w:rPr>
            </w:pPr>
          </w:p>
        </w:tc>
        <w:tc>
          <w:tcPr>
            <w:tcW w:w="4335" w:type="dxa"/>
            <w:gridSpan w:val="3"/>
            <w:tcBorders>
              <w:top w:val="single" w:sz="18" w:space="0" w:color="BFBFBF"/>
              <w:left w:val="nil"/>
              <w:bottom w:val="single" w:sz="4" w:space="0" w:color="auto"/>
              <w:right w:val="nil"/>
            </w:tcBorders>
          </w:tcPr>
          <w:p w:rsidR="00E3253B" w:rsidRPr="00DC7421" w:rsidRDefault="00E3253B">
            <w:pPr>
              <w:rPr>
                <w:rFonts w:cs="Arial"/>
                <w:iCs/>
                <w:szCs w:val="20"/>
              </w:rPr>
            </w:pPr>
          </w:p>
        </w:tc>
        <w:tc>
          <w:tcPr>
            <w:tcW w:w="1785" w:type="dxa"/>
            <w:tcBorders>
              <w:top w:val="single" w:sz="18" w:space="0" w:color="BFBFBF"/>
              <w:left w:val="nil"/>
              <w:bottom w:val="single" w:sz="4" w:space="0" w:color="auto"/>
              <w:right w:val="nil"/>
            </w:tcBorders>
          </w:tcPr>
          <w:p w:rsidR="00E3253B" w:rsidRPr="00DC7421" w:rsidRDefault="00E3253B">
            <w:pPr>
              <w:rPr>
                <w:rFonts w:cs="Arial"/>
                <w:iCs/>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szCs w:val="20"/>
              </w:rPr>
            </w:pPr>
            <w:r w:rsidRPr="00DC7421">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F50200">
            <w:pPr>
              <w:rPr>
                <w:rFonts w:cs="Arial"/>
                <w:b/>
                <w:bCs/>
                <w:iCs/>
                <w:szCs w:val="20"/>
              </w:rPr>
            </w:pPr>
            <w:r w:rsidRPr="00DC7421">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szCs w:val="20"/>
              </w:rPr>
            </w:pPr>
            <w:r w:rsidRPr="00DC7421">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10/15/2019</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DC7421" w:rsidRDefault="00824C10">
            <w:pPr>
              <w:rPr>
                <w:rFonts w:cs="Arial"/>
                <w:iCs/>
                <w:szCs w:val="20"/>
              </w:rPr>
            </w:pPr>
            <w:r w:rsidRPr="00DC7421">
              <w:rPr>
                <w:rFonts w:cs="Arial"/>
                <w:iCs/>
                <w:szCs w:val="20"/>
              </w:rPr>
              <w:t>New Procedure for Abbott analyzers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466D6A" w:rsidRDefault="00466D6A">
            <w:pPr>
              <w:rPr>
                <w:rFonts w:cs="Arial"/>
                <w:iCs/>
                <w:szCs w:val="20"/>
              </w:rPr>
            </w:pPr>
            <w:r w:rsidRPr="00466D6A">
              <w:rPr>
                <w:rFonts w:cs="Arial"/>
                <w:iCs/>
                <w:szCs w:val="20"/>
              </w:rPr>
              <w:t>2</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466D6A" w:rsidRDefault="00466D6A">
            <w:pPr>
              <w:rPr>
                <w:rFonts w:cs="Arial"/>
                <w:iCs/>
                <w:szCs w:val="20"/>
              </w:rPr>
            </w:pPr>
            <w:proofErr w:type="spellStart"/>
            <w:r w:rsidRPr="00466D6A">
              <w:rPr>
                <w:rFonts w:cs="Arial"/>
                <w:iCs/>
                <w:szCs w:val="20"/>
              </w:rPr>
              <w:t>Elauteria</w:t>
            </w:r>
            <w:proofErr w:type="spellEnd"/>
            <w:r w:rsidRPr="00466D6A">
              <w:rPr>
                <w:rFonts w:cs="Arial"/>
                <w:iCs/>
                <w:szCs w:val="20"/>
              </w:rPr>
              <w:t xml:space="preserve"> Earnhardt</w:t>
            </w:r>
            <w:r w:rsidR="005217B0">
              <w:rPr>
                <w:rFonts w:cs="Arial"/>
                <w:iCs/>
                <w:szCs w:val="20"/>
              </w:rPr>
              <w:t>, Erin Bartos</w:t>
            </w:r>
          </w:p>
        </w:tc>
        <w:tc>
          <w:tcPr>
            <w:tcW w:w="1530" w:type="dxa"/>
            <w:tcBorders>
              <w:top w:val="single" w:sz="4" w:space="0" w:color="auto"/>
              <w:left w:val="single" w:sz="4" w:space="0" w:color="auto"/>
              <w:bottom w:val="single" w:sz="4" w:space="0" w:color="auto"/>
              <w:right w:val="single" w:sz="4" w:space="0" w:color="auto"/>
            </w:tcBorders>
          </w:tcPr>
          <w:p w:rsidR="00F50200" w:rsidRPr="00466D6A" w:rsidRDefault="00BB255B" w:rsidP="00BB255B">
            <w:pPr>
              <w:rPr>
                <w:rFonts w:cs="Arial"/>
                <w:iCs/>
                <w:szCs w:val="20"/>
              </w:rPr>
            </w:pPr>
            <w:r>
              <w:rPr>
                <w:rFonts w:cs="Arial"/>
                <w:iCs/>
                <w:szCs w:val="20"/>
              </w:rPr>
              <w:t>10/28/</w:t>
            </w:r>
            <w:r w:rsidR="00466D6A" w:rsidRPr="00466D6A">
              <w:rPr>
                <w:rFonts w:cs="Arial"/>
                <w:iCs/>
                <w:szCs w:val="20"/>
              </w:rPr>
              <w:t xml:space="preserve">2020 </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466D6A" w:rsidRDefault="00466D6A">
            <w:pPr>
              <w:rPr>
                <w:rFonts w:cs="Arial"/>
                <w:iCs/>
                <w:szCs w:val="20"/>
              </w:rPr>
            </w:pPr>
            <w:r w:rsidRPr="00466D6A">
              <w:rPr>
                <w:rFonts w:cs="Arial"/>
                <w:iCs/>
                <w:szCs w:val="20"/>
              </w:rPr>
              <w:t>Added St. Paul Alinity c as an analyzer</w:t>
            </w:r>
          </w:p>
        </w:tc>
      </w:tr>
      <w:tr w:rsidR="00F50200" w:rsidTr="00F5020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rsidR="00F50200" w:rsidRDefault="00F50200">
            <w:pPr>
              <w:rPr>
                <w:rFonts w:cs="Arial"/>
              </w:rPr>
            </w:pPr>
          </w:p>
        </w:tc>
      </w:tr>
    </w:tbl>
    <w:p w:rsidR="00E3253B" w:rsidRDefault="00E3253B">
      <w:pPr>
        <w:jc w:val="center"/>
        <w:rPr>
          <w:rFonts w:cs="Arial"/>
          <w:b/>
          <w:bCs/>
        </w:rPr>
      </w:pPr>
    </w:p>
    <w:sectPr w:rsidR="00E3253B" w:rsidSect="008F2C66">
      <w:headerReference w:type="even" r:id="rId13"/>
      <w:headerReference w:type="default" r:id="rId14"/>
      <w:footerReference w:type="even" r:id="rId15"/>
      <w:footerReference w:type="default" r:id="rId16"/>
      <w:headerReference w:type="first" r:id="rId17"/>
      <w:footerReference w:type="firs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altName w:val="MS Gothic"/>
    <w:panose1 w:val="00000000000000000000"/>
    <w:charset w:val="80"/>
    <w:family w:val="swiss"/>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65" w:rsidRDefault="004A5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4A5F65">
      <w:rPr>
        <w:noProof/>
        <w:sz w:val="18"/>
      </w:rPr>
      <w:t>1</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4A5F65">
      <w:rPr>
        <w:noProof/>
        <w:sz w:val="18"/>
      </w:rPr>
      <w:t>7</w:t>
    </w:r>
    <w:r w:rsidR="008F2C66">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65" w:rsidRDefault="004A5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65" w:rsidRDefault="004A5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B13C1A">
      <w:rPr>
        <w:rFonts w:cs="Arial"/>
      </w:rPr>
      <w:t>CH 6.03</w:t>
    </w:r>
    <w:r w:rsidR="00E55C7B">
      <w:rPr>
        <w:rFonts w:cs="Arial"/>
      </w:rPr>
      <w:t>1</w:t>
    </w:r>
    <w:r w:rsidR="00B13C1A">
      <w:rPr>
        <w:rFonts w:cs="Arial"/>
      </w:rPr>
      <w:t xml:space="preserve"> Albumi</w:t>
    </w:r>
    <w:r w:rsidR="004A5F65">
      <w:rPr>
        <w:rFonts w:cs="Arial"/>
      </w:rPr>
      <w:t xml:space="preserve">n </w:t>
    </w:r>
    <w:r w:rsidR="004A5F65">
      <w:rPr>
        <w:rFonts w:cs="Arial"/>
      </w:rPr>
      <w:t>BCG</w:t>
    </w:r>
    <w:bookmarkStart w:id="0" w:name="_GoBack"/>
    <w:bookmarkEnd w:id="0"/>
  </w:p>
  <w:p w:rsidR="00B13C1A" w:rsidRDefault="00BB255B">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BB255B">
      <w:rPr>
        <w:rFonts w:cs="Arial"/>
      </w:rPr>
      <w:t>October 28, 2020</w:t>
    </w:r>
  </w:p>
  <w:p w:rsidR="00B13C1A" w:rsidRDefault="00B13C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65" w:rsidRDefault="004A5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8"/>
  </w:num>
  <w:num w:numId="4">
    <w:abstractNumId w:val="32"/>
  </w:num>
  <w:num w:numId="5">
    <w:abstractNumId w:val="5"/>
  </w:num>
  <w:num w:numId="6">
    <w:abstractNumId w:val="9"/>
  </w:num>
  <w:num w:numId="7">
    <w:abstractNumId w:val="24"/>
  </w:num>
  <w:num w:numId="8">
    <w:abstractNumId w:val="20"/>
  </w:num>
  <w:num w:numId="9">
    <w:abstractNumId w:val="12"/>
  </w:num>
  <w:num w:numId="10">
    <w:abstractNumId w:val="2"/>
  </w:num>
  <w:num w:numId="11">
    <w:abstractNumId w:val="25"/>
  </w:num>
  <w:num w:numId="12">
    <w:abstractNumId w:val="8"/>
  </w:num>
  <w:num w:numId="13">
    <w:abstractNumId w:val="26"/>
  </w:num>
  <w:num w:numId="14">
    <w:abstractNumId w:val="34"/>
  </w:num>
  <w:num w:numId="15">
    <w:abstractNumId w:val="18"/>
  </w:num>
  <w:num w:numId="16">
    <w:abstractNumId w:val="1"/>
  </w:num>
  <w:num w:numId="17">
    <w:abstractNumId w:val="37"/>
  </w:num>
  <w:num w:numId="18">
    <w:abstractNumId w:val="10"/>
  </w:num>
  <w:num w:numId="19">
    <w:abstractNumId w:val="17"/>
  </w:num>
  <w:num w:numId="20">
    <w:abstractNumId w:val="23"/>
  </w:num>
  <w:num w:numId="21">
    <w:abstractNumId w:val="30"/>
  </w:num>
  <w:num w:numId="22">
    <w:abstractNumId w:val="35"/>
  </w:num>
  <w:num w:numId="23">
    <w:abstractNumId w:val="22"/>
  </w:num>
  <w:num w:numId="24">
    <w:abstractNumId w:val="6"/>
  </w:num>
  <w:num w:numId="25">
    <w:abstractNumId w:val="16"/>
  </w:num>
  <w:num w:numId="26">
    <w:abstractNumId w:val="11"/>
  </w:num>
  <w:num w:numId="27">
    <w:abstractNumId w:val="7"/>
  </w:num>
  <w:num w:numId="28">
    <w:abstractNumId w:val="21"/>
  </w:num>
  <w:num w:numId="29">
    <w:abstractNumId w:val="29"/>
  </w:num>
  <w:num w:numId="30">
    <w:abstractNumId w:val="27"/>
  </w:num>
  <w:num w:numId="31">
    <w:abstractNumId w:val="19"/>
  </w:num>
  <w:num w:numId="32">
    <w:abstractNumId w:val="15"/>
  </w:num>
  <w:num w:numId="33">
    <w:abstractNumId w:val="4"/>
  </w:num>
  <w:num w:numId="34">
    <w:abstractNumId w:val="33"/>
  </w:num>
  <w:num w:numId="35">
    <w:abstractNumId w:val="31"/>
  </w:num>
  <w:num w:numId="36">
    <w:abstractNumId w:val="14"/>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2281F"/>
    <w:rsid w:val="00025B50"/>
    <w:rsid w:val="00064AD2"/>
    <w:rsid w:val="000A3E5A"/>
    <w:rsid w:val="001102B2"/>
    <w:rsid w:val="001241E4"/>
    <w:rsid w:val="001B58ED"/>
    <w:rsid w:val="001C1CFA"/>
    <w:rsid w:val="001D1786"/>
    <w:rsid w:val="00234207"/>
    <w:rsid w:val="00250A09"/>
    <w:rsid w:val="00252F1D"/>
    <w:rsid w:val="002C12BF"/>
    <w:rsid w:val="002C29CB"/>
    <w:rsid w:val="002E718D"/>
    <w:rsid w:val="002F5C68"/>
    <w:rsid w:val="0030640D"/>
    <w:rsid w:val="00387FF5"/>
    <w:rsid w:val="003A3AD6"/>
    <w:rsid w:val="003A65AD"/>
    <w:rsid w:val="003D5BD7"/>
    <w:rsid w:val="003D713F"/>
    <w:rsid w:val="003E0A08"/>
    <w:rsid w:val="00420763"/>
    <w:rsid w:val="00440E37"/>
    <w:rsid w:val="00466D6A"/>
    <w:rsid w:val="004735E9"/>
    <w:rsid w:val="004A5F65"/>
    <w:rsid w:val="004A698D"/>
    <w:rsid w:val="004C14CE"/>
    <w:rsid w:val="005217B0"/>
    <w:rsid w:val="0055710A"/>
    <w:rsid w:val="005665A7"/>
    <w:rsid w:val="005A7373"/>
    <w:rsid w:val="005C4401"/>
    <w:rsid w:val="005C6F36"/>
    <w:rsid w:val="005F694E"/>
    <w:rsid w:val="00643987"/>
    <w:rsid w:val="00646E63"/>
    <w:rsid w:val="00655B61"/>
    <w:rsid w:val="00664C1B"/>
    <w:rsid w:val="00685D61"/>
    <w:rsid w:val="00693888"/>
    <w:rsid w:val="006A26B2"/>
    <w:rsid w:val="006A2770"/>
    <w:rsid w:val="006A5A84"/>
    <w:rsid w:val="00747868"/>
    <w:rsid w:val="007B2A3E"/>
    <w:rsid w:val="008044BA"/>
    <w:rsid w:val="00824C10"/>
    <w:rsid w:val="008A71A5"/>
    <w:rsid w:val="008D3369"/>
    <w:rsid w:val="008F2C66"/>
    <w:rsid w:val="00944DFA"/>
    <w:rsid w:val="00950E15"/>
    <w:rsid w:val="00984816"/>
    <w:rsid w:val="009A1A3D"/>
    <w:rsid w:val="009C08FA"/>
    <w:rsid w:val="009C4BDA"/>
    <w:rsid w:val="009D085B"/>
    <w:rsid w:val="009F5F31"/>
    <w:rsid w:val="00A002D3"/>
    <w:rsid w:val="00A32948"/>
    <w:rsid w:val="00A64AE8"/>
    <w:rsid w:val="00AA5656"/>
    <w:rsid w:val="00AB7F16"/>
    <w:rsid w:val="00AF1198"/>
    <w:rsid w:val="00AF56A8"/>
    <w:rsid w:val="00B01603"/>
    <w:rsid w:val="00B067D8"/>
    <w:rsid w:val="00B109AB"/>
    <w:rsid w:val="00B11633"/>
    <w:rsid w:val="00B13C1A"/>
    <w:rsid w:val="00B2749D"/>
    <w:rsid w:val="00BB255B"/>
    <w:rsid w:val="00BD0E0F"/>
    <w:rsid w:val="00BD3CED"/>
    <w:rsid w:val="00C00B65"/>
    <w:rsid w:val="00CE16FB"/>
    <w:rsid w:val="00CF08A6"/>
    <w:rsid w:val="00D271B1"/>
    <w:rsid w:val="00D63C07"/>
    <w:rsid w:val="00D75850"/>
    <w:rsid w:val="00D955F6"/>
    <w:rsid w:val="00DC24D6"/>
    <w:rsid w:val="00DC7421"/>
    <w:rsid w:val="00E049CF"/>
    <w:rsid w:val="00E246BA"/>
    <w:rsid w:val="00E3253B"/>
    <w:rsid w:val="00E55C7B"/>
    <w:rsid w:val="00E93074"/>
    <w:rsid w:val="00EB4B6C"/>
    <w:rsid w:val="00EE145B"/>
    <w:rsid w:val="00EF1741"/>
    <w:rsid w:val="00F0405E"/>
    <w:rsid w:val="00F50200"/>
    <w:rsid w:val="00F6060A"/>
    <w:rsid w:val="00F63DA5"/>
    <w:rsid w:val="00FC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character" w:styleId="FollowedHyperlink">
    <w:name w:val="FollowedHyperlink"/>
    <w:basedOn w:val="DefaultParagraphFont"/>
    <w:uiPriority w:val="99"/>
    <w:semiHidden/>
    <w:unhideWhenUsed/>
    <w:rsid w:val="005217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linity-ci-series-operations-manual.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bbott-architect-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quality/ch-2.17-unity-real-time-qc-review-general-use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rnet.childrenshc.org/References/labsop/chem/quality/ch-2.18-westgard-rules-in-chemistry.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D1D1-19FF-4BFC-8723-CBAC661B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1955</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13658</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5</cp:revision>
  <cp:lastPrinted>2011-06-16T20:29:00Z</cp:lastPrinted>
  <dcterms:created xsi:type="dcterms:W3CDTF">2020-04-23T13:07:00Z</dcterms:created>
  <dcterms:modified xsi:type="dcterms:W3CDTF">2020-10-18T17:08:00Z</dcterms:modified>
</cp:coreProperties>
</file>