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Layout w:type="fixed"/>
        <w:tblLook w:val="0000" w:firstRow="0" w:lastRow="0" w:firstColumn="0" w:lastColumn="0" w:noHBand="0" w:noVBand="0"/>
      </w:tblPr>
      <w:tblGrid>
        <w:gridCol w:w="1800"/>
        <w:gridCol w:w="900"/>
        <w:gridCol w:w="540"/>
        <w:gridCol w:w="2340"/>
        <w:gridCol w:w="1800"/>
        <w:gridCol w:w="3600"/>
        <w:gridCol w:w="180"/>
      </w:tblGrid>
      <w:tr w:rsidR="00C23349" w:rsidTr="00262974">
        <w:trPr>
          <w:cantSplit/>
          <w:tblHeader/>
        </w:trPr>
        <w:tc>
          <w:tcPr>
            <w:tcW w:w="11160" w:type="dxa"/>
            <w:gridSpan w:val="7"/>
          </w:tcPr>
          <w:p w:rsidR="00C23349" w:rsidRDefault="00642B19" w:rsidP="008635DD">
            <w:pPr>
              <w:pStyle w:val="Header"/>
              <w:tabs>
                <w:tab w:val="clear" w:pos="4320"/>
                <w:tab w:val="clear" w:pos="8640"/>
                <w:tab w:val="left" w:pos="11520"/>
              </w:tabs>
              <w:jc w:val="both"/>
              <w:rPr>
                <w:rFonts w:cs="Arial"/>
                <w:color w:val="0000FF"/>
              </w:rPr>
            </w:pPr>
            <w:r>
              <w:rPr>
                <w:rFonts w:cs="Arial"/>
                <w:b/>
                <w:bCs/>
                <w:color w:val="0000FF"/>
                <w:sz w:val="36"/>
              </w:rPr>
              <w:t>IgE</w:t>
            </w:r>
          </w:p>
        </w:tc>
      </w:tr>
      <w:tr w:rsidR="00C23349" w:rsidTr="00262974">
        <w:trPr>
          <w:tblHeader/>
        </w:trPr>
        <w:tc>
          <w:tcPr>
            <w:tcW w:w="1800" w:type="dxa"/>
          </w:tcPr>
          <w:p w:rsidR="00C23349" w:rsidRDefault="00C23349">
            <w:pPr>
              <w:rPr>
                <w:rFonts w:cs="Arial"/>
                <w:b/>
                <w:bCs/>
                <w:color w:val="0000FF"/>
              </w:rPr>
            </w:pPr>
            <w:r>
              <w:rPr>
                <w:rFonts w:cs="Arial"/>
                <w:b/>
                <w:bCs/>
                <w:color w:val="0000FF"/>
              </w:rPr>
              <w:t>Purpose</w:t>
            </w:r>
          </w:p>
        </w:tc>
        <w:tc>
          <w:tcPr>
            <w:tcW w:w="9360" w:type="dxa"/>
            <w:gridSpan w:val="6"/>
            <w:tcBorders>
              <w:top w:val="single" w:sz="4" w:space="0" w:color="auto"/>
              <w:bottom w:val="single" w:sz="4" w:space="0" w:color="auto"/>
            </w:tcBorders>
          </w:tcPr>
          <w:p w:rsidR="00C23349" w:rsidRPr="00DA080C" w:rsidRDefault="00C23349">
            <w:pPr>
              <w:rPr>
                <w:rFonts w:cs="Arial"/>
                <w:szCs w:val="20"/>
              </w:rPr>
            </w:pPr>
            <w:r w:rsidRPr="00DA080C">
              <w:rPr>
                <w:rFonts w:cs="Arial"/>
                <w:szCs w:val="20"/>
              </w:rPr>
              <w:t>This procedure prov</w:t>
            </w:r>
            <w:r w:rsidR="00DA080C" w:rsidRPr="00DA080C">
              <w:rPr>
                <w:rFonts w:cs="Arial"/>
                <w:szCs w:val="20"/>
              </w:rPr>
              <w:t>ides instructions for performing</w:t>
            </w:r>
            <w:r w:rsidRPr="00DA080C">
              <w:rPr>
                <w:rFonts w:cs="Arial"/>
                <w:szCs w:val="20"/>
              </w:rPr>
              <w:t xml:space="preserve"> </w:t>
            </w:r>
            <w:r w:rsidR="00642B19">
              <w:rPr>
                <w:rFonts w:cs="Arial"/>
                <w:szCs w:val="20"/>
              </w:rPr>
              <w:t>IMMUNOGLOBULIN E (IgE)</w:t>
            </w:r>
            <w:r w:rsidRPr="00DA080C">
              <w:rPr>
                <w:rFonts w:cs="Arial"/>
                <w:szCs w:val="20"/>
              </w:rPr>
              <w:t xml:space="preserve"> in Children’s</w:t>
            </w:r>
            <w:r w:rsidR="00262974">
              <w:rPr>
                <w:rFonts w:cs="Arial"/>
                <w:szCs w:val="20"/>
              </w:rPr>
              <w:t xml:space="preserve"> Minnesota</w:t>
            </w:r>
            <w:r w:rsidRPr="00DA080C">
              <w:rPr>
                <w:rFonts w:cs="Arial"/>
                <w:szCs w:val="20"/>
              </w:rPr>
              <w:t xml:space="preserve"> Laboratory.</w:t>
            </w:r>
          </w:p>
          <w:p w:rsidR="00C23349" w:rsidRPr="00DA080C" w:rsidRDefault="00C23349">
            <w:pPr>
              <w:rPr>
                <w:rFonts w:cs="Arial"/>
                <w:szCs w:val="20"/>
              </w:rPr>
            </w:pPr>
          </w:p>
          <w:p w:rsidR="00C23349" w:rsidRDefault="00F37C77" w:rsidP="005D658A">
            <w:pPr>
              <w:rPr>
                <w:rFonts w:cs="Arial"/>
                <w:szCs w:val="20"/>
              </w:rPr>
            </w:pPr>
            <w:r>
              <w:rPr>
                <w:rFonts w:cs="Arial"/>
                <w:szCs w:val="20"/>
              </w:rPr>
              <w:t xml:space="preserve">The QUANTIA IgE Assay, distributed </w:t>
            </w:r>
            <w:r w:rsidR="005D658A">
              <w:rPr>
                <w:rFonts w:cs="Arial"/>
                <w:szCs w:val="20"/>
              </w:rPr>
              <w:t>by Abbott Diagnostics</w:t>
            </w:r>
            <w:r>
              <w:rPr>
                <w:rFonts w:cs="Arial"/>
                <w:szCs w:val="20"/>
              </w:rPr>
              <w:t>, is an a</w:t>
            </w:r>
            <w:r w:rsidRPr="00F37C77">
              <w:rPr>
                <w:rFonts w:cs="Arial"/>
                <w:szCs w:val="20"/>
              </w:rPr>
              <w:t>utomated latex enhanced immunoassay for the quantitative in vitro</w:t>
            </w:r>
            <w:r>
              <w:rPr>
                <w:rFonts w:cs="Arial"/>
                <w:szCs w:val="20"/>
              </w:rPr>
              <w:t xml:space="preserve"> </w:t>
            </w:r>
            <w:r w:rsidR="005D658A">
              <w:rPr>
                <w:rFonts w:cs="Arial"/>
                <w:szCs w:val="20"/>
              </w:rPr>
              <w:t>determination of I</w:t>
            </w:r>
            <w:r w:rsidRPr="00F37C77">
              <w:rPr>
                <w:rFonts w:cs="Arial"/>
                <w:szCs w:val="20"/>
              </w:rPr>
              <w:t>mmunoglobulin E (IgE) in human serum or plasma</w:t>
            </w:r>
            <w:r w:rsidR="005D658A">
              <w:rPr>
                <w:rFonts w:cs="Arial"/>
                <w:szCs w:val="20"/>
              </w:rPr>
              <w:t xml:space="preserve"> </w:t>
            </w:r>
            <w:r w:rsidRPr="00F37C77">
              <w:rPr>
                <w:rFonts w:cs="Arial"/>
                <w:szCs w:val="20"/>
              </w:rPr>
              <w:t>(EDTA, heparin, citrate) using the ARCHITECT c Systems. The</w:t>
            </w:r>
            <w:r w:rsidR="005D658A">
              <w:rPr>
                <w:rFonts w:cs="Arial"/>
                <w:szCs w:val="20"/>
              </w:rPr>
              <w:t xml:space="preserve"> </w:t>
            </w:r>
            <w:r w:rsidRPr="00F37C77">
              <w:rPr>
                <w:rFonts w:cs="Arial"/>
                <w:szCs w:val="20"/>
              </w:rPr>
              <w:t>measurement of IgE is useful in the clinical diagnosis of IgE-mediated</w:t>
            </w:r>
            <w:r w:rsidR="005D658A">
              <w:rPr>
                <w:rFonts w:cs="Arial"/>
                <w:szCs w:val="20"/>
              </w:rPr>
              <w:t xml:space="preserve"> </w:t>
            </w:r>
            <w:r w:rsidRPr="00F37C77">
              <w:rPr>
                <w:rFonts w:cs="Arial"/>
                <w:szCs w:val="20"/>
              </w:rPr>
              <w:t>allergies, if used in conjunction with other clinical studies.</w:t>
            </w:r>
          </w:p>
          <w:p w:rsidR="005D658A" w:rsidRPr="00DA080C" w:rsidRDefault="005D658A" w:rsidP="005D658A">
            <w:pPr>
              <w:rPr>
                <w:rFonts w:cs="Arial"/>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Policy Statements</w:t>
            </w:r>
          </w:p>
        </w:tc>
        <w:tc>
          <w:tcPr>
            <w:tcW w:w="9360" w:type="dxa"/>
            <w:gridSpan w:val="6"/>
            <w:tcBorders>
              <w:top w:val="single" w:sz="4" w:space="0" w:color="auto"/>
              <w:bottom w:val="single" w:sz="4" w:space="0" w:color="auto"/>
            </w:tcBorders>
            <w:vAlign w:val="center"/>
          </w:tcPr>
          <w:p w:rsidR="00C23349" w:rsidRPr="00DA080C"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 xml:space="preserve">This procedure </w:t>
            </w:r>
            <w:r w:rsidR="005D658A">
              <w:rPr>
                <w:rFonts w:cs="Arial"/>
                <w:szCs w:val="20"/>
              </w:rPr>
              <w:t>applies to all personnel who perform patient testing on</w:t>
            </w:r>
            <w:r w:rsidRPr="00DA080C">
              <w:rPr>
                <w:rFonts w:cs="Arial"/>
                <w:szCs w:val="20"/>
              </w:rPr>
              <w:t xml:space="preserve"> the </w:t>
            </w:r>
            <w:r w:rsidR="00A6644E" w:rsidRPr="00DA080C">
              <w:rPr>
                <w:rFonts w:cs="Arial"/>
                <w:szCs w:val="20"/>
              </w:rPr>
              <w:t>Abbott Architect c4000</w:t>
            </w:r>
            <w:r w:rsidRPr="00DA080C">
              <w:rPr>
                <w:rFonts w:cs="Arial"/>
                <w:szCs w:val="20"/>
              </w:rPr>
              <w:t>.</w:t>
            </w:r>
          </w:p>
          <w:p w:rsidR="00C23349" w:rsidRDefault="00C23349" w:rsidP="00C23349">
            <w:pPr>
              <w:pStyle w:val="Header"/>
              <w:numPr>
                <w:ilvl w:val="0"/>
                <w:numId w:val="16"/>
              </w:numPr>
              <w:tabs>
                <w:tab w:val="clear" w:pos="4320"/>
                <w:tab w:val="clear" w:pos="8640"/>
              </w:tabs>
              <w:autoSpaceDE w:val="0"/>
              <w:autoSpaceDN w:val="0"/>
              <w:adjustRightInd w:val="0"/>
              <w:rPr>
                <w:rFonts w:cs="Arial"/>
                <w:szCs w:val="20"/>
              </w:rPr>
            </w:pPr>
            <w:r w:rsidRPr="00DA080C">
              <w:rPr>
                <w:rFonts w:cs="Arial"/>
                <w:szCs w:val="20"/>
              </w:rPr>
              <w:t xml:space="preserve">All components </w:t>
            </w:r>
            <w:r w:rsidR="005D658A">
              <w:rPr>
                <w:rFonts w:cs="Arial"/>
                <w:szCs w:val="20"/>
              </w:rPr>
              <w:t xml:space="preserve">of individual QUANTIA IgE </w:t>
            </w:r>
            <w:r w:rsidRPr="00DA080C">
              <w:rPr>
                <w:rFonts w:cs="Arial"/>
                <w:szCs w:val="20"/>
              </w:rPr>
              <w:t xml:space="preserve">Assay reagent </w:t>
            </w:r>
            <w:r w:rsidR="00F37C77">
              <w:rPr>
                <w:rFonts w:cs="Arial"/>
                <w:szCs w:val="20"/>
              </w:rPr>
              <w:t xml:space="preserve">kits must </w:t>
            </w:r>
            <w:r w:rsidRPr="00DA080C">
              <w:rPr>
                <w:rFonts w:cs="Arial"/>
                <w:szCs w:val="20"/>
              </w:rPr>
              <w:t xml:space="preserve">not </w:t>
            </w:r>
            <w:r w:rsidR="00F37C77">
              <w:rPr>
                <w:rFonts w:cs="Arial"/>
                <w:szCs w:val="20"/>
              </w:rPr>
              <w:t xml:space="preserve">be </w:t>
            </w:r>
            <w:r w:rsidRPr="00DA080C">
              <w:rPr>
                <w:rFonts w:cs="Arial"/>
                <w:szCs w:val="20"/>
              </w:rPr>
              <w:t>shared between kits.</w:t>
            </w:r>
          </w:p>
          <w:p w:rsidR="008635DD" w:rsidRPr="00DA080C" w:rsidRDefault="008635DD" w:rsidP="008635DD">
            <w:pPr>
              <w:pStyle w:val="Header"/>
              <w:tabs>
                <w:tab w:val="clear" w:pos="4320"/>
                <w:tab w:val="clear" w:pos="8640"/>
              </w:tabs>
              <w:autoSpaceDE w:val="0"/>
              <w:autoSpaceDN w:val="0"/>
              <w:adjustRightInd w:val="0"/>
              <w:ind w:left="360"/>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Principle</w:t>
            </w:r>
          </w:p>
        </w:tc>
        <w:tc>
          <w:tcPr>
            <w:tcW w:w="9360" w:type="dxa"/>
            <w:gridSpan w:val="6"/>
            <w:tcBorders>
              <w:top w:val="single" w:sz="4" w:space="0" w:color="auto"/>
              <w:bottom w:val="single" w:sz="4" w:space="0" w:color="auto"/>
            </w:tcBorders>
          </w:tcPr>
          <w:p w:rsidR="00642B19" w:rsidRDefault="00642B19" w:rsidP="00642B19">
            <w:pPr>
              <w:autoSpaceDE w:val="0"/>
              <w:autoSpaceDN w:val="0"/>
              <w:adjustRightInd w:val="0"/>
              <w:rPr>
                <w:rFonts w:cs="Arial"/>
                <w:szCs w:val="20"/>
              </w:rPr>
            </w:pPr>
            <w:r w:rsidRPr="00642B19">
              <w:rPr>
                <w:rFonts w:cs="Arial"/>
                <w:szCs w:val="20"/>
              </w:rPr>
              <w:t>The Quantia IgE reagent is a suspension of polystyrene latex particles</w:t>
            </w:r>
            <w:r>
              <w:rPr>
                <w:rFonts w:cs="Arial"/>
                <w:szCs w:val="20"/>
              </w:rPr>
              <w:t xml:space="preserve"> </w:t>
            </w:r>
            <w:r w:rsidRPr="00642B19">
              <w:rPr>
                <w:rFonts w:cs="Arial"/>
                <w:szCs w:val="20"/>
              </w:rPr>
              <w:t>of uniform size coated with mouse anti-human IgE. When a sample</w:t>
            </w:r>
            <w:r>
              <w:rPr>
                <w:rFonts w:cs="Arial"/>
                <w:szCs w:val="20"/>
              </w:rPr>
              <w:t xml:space="preserve"> </w:t>
            </w:r>
            <w:r w:rsidRPr="00642B19">
              <w:rPr>
                <w:rFonts w:cs="Arial"/>
                <w:szCs w:val="20"/>
              </w:rPr>
              <w:t>containing IgE is mixed with the latex reagent and the reaction buffer</w:t>
            </w:r>
            <w:r>
              <w:rPr>
                <w:rFonts w:cs="Arial"/>
                <w:szCs w:val="20"/>
              </w:rPr>
              <w:t xml:space="preserve"> </w:t>
            </w:r>
            <w:r w:rsidRPr="00642B19">
              <w:rPr>
                <w:rFonts w:cs="Arial"/>
                <w:szCs w:val="20"/>
              </w:rPr>
              <w:t>included in the kit, agglutination occurs. The degree of agglutination is</w:t>
            </w:r>
            <w:r>
              <w:rPr>
                <w:rFonts w:cs="Arial"/>
                <w:szCs w:val="20"/>
              </w:rPr>
              <w:t xml:space="preserve"> </w:t>
            </w:r>
            <w:r w:rsidRPr="00642B19">
              <w:rPr>
                <w:rFonts w:cs="Arial"/>
                <w:szCs w:val="20"/>
              </w:rPr>
              <w:t>directly proportional to the concentration of IgE in the sample and is</w:t>
            </w:r>
            <w:r>
              <w:rPr>
                <w:rFonts w:cs="Arial"/>
                <w:szCs w:val="20"/>
              </w:rPr>
              <w:t xml:space="preserve"> </w:t>
            </w:r>
            <w:r w:rsidRPr="00642B19">
              <w:rPr>
                <w:rFonts w:cs="Arial"/>
                <w:szCs w:val="20"/>
              </w:rPr>
              <w:t>determined by measuring the decrease of transmitted light caused by</w:t>
            </w:r>
            <w:r>
              <w:rPr>
                <w:rFonts w:cs="Arial"/>
                <w:szCs w:val="20"/>
              </w:rPr>
              <w:t xml:space="preserve"> the aggregates.</w:t>
            </w:r>
          </w:p>
          <w:p w:rsidR="00642B19" w:rsidRPr="00642B19" w:rsidRDefault="00642B19" w:rsidP="00642B19">
            <w:pPr>
              <w:autoSpaceDE w:val="0"/>
              <w:autoSpaceDN w:val="0"/>
              <w:adjustRightInd w:val="0"/>
              <w:rPr>
                <w:rFonts w:cs="Arial"/>
                <w:szCs w:val="20"/>
              </w:rPr>
            </w:pPr>
          </w:p>
          <w:p w:rsidR="00C23349" w:rsidRDefault="00642B19" w:rsidP="00642B19">
            <w:pPr>
              <w:autoSpaceDE w:val="0"/>
              <w:autoSpaceDN w:val="0"/>
              <w:adjustRightInd w:val="0"/>
              <w:rPr>
                <w:rFonts w:cs="Arial"/>
                <w:szCs w:val="20"/>
              </w:rPr>
            </w:pPr>
            <w:r w:rsidRPr="00642B19">
              <w:rPr>
                <w:rFonts w:cs="Arial"/>
                <w:b/>
                <w:szCs w:val="20"/>
              </w:rPr>
              <w:t>Methodology</w:t>
            </w:r>
            <w:r w:rsidRPr="00642B19">
              <w:rPr>
                <w:rFonts w:cs="Arial"/>
                <w:szCs w:val="20"/>
              </w:rPr>
              <w:t>: Turbidimetric/Immunoturbidimetric</w:t>
            </w:r>
            <w:r w:rsidR="00C23349" w:rsidRPr="00DA080C">
              <w:rPr>
                <w:rFonts w:cs="Arial"/>
                <w:szCs w:val="20"/>
              </w:rPr>
              <w:t xml:space="preserve"> </w:t>
            </w:r>
          </w:p>
          <w:p w:rsidR="005D658A" w:rsidRPr="00DA080C" w:rsidRDefault="005D658A" w:rsidP="00642B19">
            <w:pPr>
              <w:autoSpaceDE w:val="0"/>
              <w:autoSpaceDN w:val="0"/>
              <w:adjustRightInd w:val="0"/>
              <w:rPr>
                <w:rFonts w:cs="Arial"/>
                <w:szCs w:val="20"/>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Clinical Significance</w:t>
            </w:r>
          </w:p>
        </w:tc>
        <w:tc>
          <w:tcPr>
            <w:tcW w:w="9360" w:type="dxa"/>
            <w:gridSpan w:val="6"/>
            <w:tcBorders>
              <w:top w:val="single" w:sz="4" w:space="0" w:color="auto"/>
              <w:bottom w:val="single" w:sz="4" w:space="0" w:color="auto"/>
            </w:tcBorders>
          </w:tcPr>
          <w:p w:rsidR="00C23349" w:rsidRDefault="00F37C77" w:rsidP="005D658A">
            <w:pPr>
              <w:pStyle w:val="BodyText2"/>
              <w:rPr>
                <w:szCs w:val="20"/>
              </w:rPr>
            </w:pPr>
            <w:r w:rsidRPr="00F37C77">
              <w:rPr>
                <w:szCs w:val="20"/>
              </w:rPr>
              <w:t>The highest IgE values are found in atopic dermatitis. There is a certain</w:t>
            </w:r>
            <w:r w:rsidR="005D658A">
              <w:rPr>
                <w:szCs w:val="20"/>
              </w:rPr>
              <w:t xml:space="preserve"> </w:t>
            </w:r>
            <w:r w:rsidRPr="00F37C77">
              <w:rPr>
                <w:szCs w:val="20"/>
              </w:rPr>
              <w:t>correlation between chronic allergen exposure and the level of total IgE.</w:t>
            </w:r>
            <w:r w:rsidR="005D658A">
              <w:rPr>
                <w:szCs w:val="20"/>
              </w:rPr>
              <w:t xml:space="preserve"> </w:t>
            </w:r>
            <w:r w:rsidRPr="00F37C77">
              <w:rPr>
                <w:szCs w:val="20"/>
              </w:rPr>
              <w:t>However, verification of diagnosis can only be performed by appropriate</w:t>
            </w:r>
            <w:r w:rsidR="005D658A">
              <w:rPr>
                <w:szCs w:val="20"/>
              </w:rPr>
              <w:t xml:space="preserve"> </w:t>
            </w:r>
            <w:r w:rsidRPr="00F37C77">
              <w:rPr>
                <w:szCs w:val="20"/>
              </w:rPr>
              <w:t>in vitro and in vivo diagnostic tests.</w:t>
            </w:r>
            <w:r w:rsidR="005D658A">
              <w:rPr>
                <w:szCs w:val="20"/>
              </w:rPr>
              <w:t xml:space="preserve"> </w:t>
            </w:r>
            <w:r w:rsidRPr="00F37C77">
              <w:rPr>
                <w:szCs w:val="20"/>
              </w:rPr>
              <w:t>The measurement of IgE is indicated in diagnosing allergies, extended</w:t>
            </w:r>
            <w:r w:rsidR="005D658A">
              <w:rPr>
                <w:szCs w:val="20"/>
              </w:rPr>
              <w:t xml:space="preserve"> </w:t>
            </w:r>
            <w:r w:rsidRPr="00F37C77">
              <w:rPr>
                <w:szCs w:val="20"/>
              </w:rPr>
              <w:t>investigation of allergies, illnesses associated with eosinophilia or</w:t>
            </w:r>
            <w:r w:rsidR="005D658A">
              <w:rPr>
                <w:szCs w:val="20"/>
              </w:rPr>
              <w:t xml:space="preserve"> </w:t>
            </w:r>
            <w:r w:rsidRPr="00F37C77">
              <w:rPr>
                <w:szCs w:val="20"/>
              </w:rPr>
              <w:t>fever of unknown origin, congenital immunodeficiency syndromes, and</w:t>
            </w:r>
            <w:r w:rsidR="005D658A">
              <w:rPr>
                <w:szCs w:val="20"/>
              </w:rPr>
              <w:t xml:space="preserve"> </w:t>
            </w:r>
            <w:r w:rsidRPr="00F37C77">
              <w:rPr>
                <w:szCs w:val="20"/>
              </w:rPr>
              <w:t>acqui</w:t>
            </w:r>
            <w:r w:rsidR="005D658A">
              <w:rPr>
                <w:szCs w:val="20"/>
              </w:rPr>
              <w:t>red immunodeficiency syndromes.</w:t>
            </w:r>
          </w:p>
          <w:p w:rsidR="009C0FA2" w:rsidRDefault="009C0FA2" w:rsidP="005D658A">
            <w:pPr>
              <w:pStyle w:val="BodyText2"/>
              <w:rPr>
                <w:szCs w:val="20"/>
              </w:rPr>
            </w:pPr>
          </w:p>
          <w:p w:rsidR="009C0FA2" w:rsidRDefault="009C0FA2" w:rsidP="009C0FA2">
            <w:pPr>
              <w:pStyle w:val="BodyText2"/>
              <w:rPr>
                <w:szCs w:val="20"/>
              </w:rPr>
            </w:pPr>
            <w:r w:rsidRPr="009C0FA2">
              <w:rPr>
                <w:szCs w:val="20"/>
              </w:rPr>
              <w:t>In clinically healthy subjects, serum IgE levels exhibit a wide distribution</w:t>
            </w:r>
            <w:r>
              <w:rPr>
                <w:szCs w:val="20"/>
              </w:rPr>
              <w:t xml:space="preserve"> </w:t>
            </w:r>
            <w:r w:rsidRPr="009C0FA2">
              <w:rPr>
                <w:szCs w:val="20"/>
              </w:rPr>
              <w:t>range and do not follow a normal distribution. Age related concentrations</w:t>
            </w:r>
            <w:r>
              <w:rPr>
                <w:szCs w:val="20"/>
              </w:rPr>
              <w:t xml:space="preserve"> </w:t>
            </w:r>
            <w:r w:rsidRPr="009C0FA2">
              <w:rPr>
                <w:szCs w:val="20"/>
              </w:rPr>
              <w:t>must be taken into account when interpreting IgE values in children. IgE</w:t>
            </w:r>
            <w:r>
              <w:rPr>
                <w:szCs w:val="20"/>
              </w:rPr>
              <w:t xml:space="preserve"> </w:t>
            </w:r>
            <w:r w:rsidRPr="009C0FA2">
              <w:rPr>
                <w:szCs w:val="20"/>
              </w:rPr>
              <w:t>does not cross the placental barrier so IgE is not detectable in neonates.</w:t>
            </w:r>
            <w:r>
              <w:rPr>
                <w:szCs w:val="20"/>
              </w:rPr>
              <w:t xml:space="preserve"> </w:t>
            </w:r>
            <w:r w:rsidRPr="009C0FA2">
              <w:rPr>
                <w:szCs w:val="20"/>
              </w:rPr>
              <w:t>The IgE concentration increases during the first years of life, reaching a</w:t>
            </w:r>
            <w:r>
              <w:rPr>
                <w:szCs w:val="20"/>
              </w:rPr>
              <w:t xml:space="preserve"> </w:t>
            </w:r>
            <w:r w:rsidRPr="009C0FA2">
              <w:rPr>
                <w:szCs w:val="20"/>
              </w:rPr>
              <w:t>peak at 10 to 15 years and dropping</w:t>
            </w:r>
            <w:r>
              <w:rPr>
                <w:szCs w:val="20"/>
              </w:rPr>
              <w:t xml:space="preserve"> subsequently to adult values.</w:t>
            </w:r>
          </w:p>
          <w:p w:rsidR="005D658A" w:rsidRPr="00DA080C" w:rsidRDefault="005D658A" w:rsidP="005D658A">
            <w:pPr>
              <w:pStyle w:val="BodyText2"/>
              <w:rPr>
                <w:szCs w:val="20"/>
              </w:rPr>
            </w:pPr>
          </w:p>
        </w:tc>
      </w:tr>
      <w:tr w:rsidR="00C23349" w:rsidTr="00262974">
        <w:trPr>
          <w:tblHeader/>
        </w:trPr>
        <w:tc>
          <w:tcPr>
            <w:tcW w:w="1800" w:type="dxa"/>
          </w:tcPr>
          <w:p w:rsidR="00C23349" w:rsidRDefault="00C23349">
            <w:pPr>
              <w:rPr>
                <w:rFonts w:cs="Arial"/>
                <w:b/>
                <w:bCs/>
                <w:color w:val="0000FF"/>
              </w:rPr>
            </w:pPr>
            <w:r>
              <w:rPr>
                <w:rFonts w:cs="Arial"/>
                <w:b/>
                <w:bCs/>
                <w:color w:val="0000FF"/>
              </w:rPr>
              <w:t>Analyzer</w:t>
            </w:r>
          </w:p>
        </w:tc>
        <w:tc>
          <w:tcPr>
            <w:tcW w:w="9360" w:type="dxa"/>
            <w:gridSpan w:val="6"/>
            <w:tcBorders>
              <w:top w:val="single" w:sz="4" w:space="0" w:color="auto"/>
              <w:bottom w:val="single" w:sz="4" w:space="0" w:color="auto"/>
            </w:tcBorders>
          </w:tcPr>
          <w:p w:rsidR="00DA080C" w:rsidRDefault="00A6644E">
            <w:pPr>
              <w:autoSpaceDE w:val="0"/>
              <w:autoSpaceDN w:val="0"/>
              <w:adjustRightInd w:val="0"/>
              <w:rPr>
                <w:rFonts w:cs="Arial"/>
                <w:szCs w:val="20"/>
              </w:rPr>
            </w:pPr>
            <w:r w:rsidRPr="00F37C77">
              <w:rPr>
                <w:rFonts w:cs="Arial"/>
                <w:b/>
                <w:szCs w:val="20"/>
                <w:lang w:eastAsia="ja-JP"/>
              </w:rPr>
              <w:t>Abbott Architect c4000</w:t>
            </w:r>
            <w:r w:rsidR="00F37C77">
              <w:rPr>
                <w:rFonts w:cs="Arial"/>
                <w:szCs w:val="20"/>
                <w:lang w:eastAsia="ja-JP"/>
              </w:rPr>
              <w:t>, St. Paul: SN c461801</w:t>
            </w:r>
          </w:p>
          <w:p w:rsidR="00F37C77" w:rsidRDefault="00F37C77">
            <w:pPr>
              <w:autoSpaceDE w:val="0"/>
              <w:autoSpaceDN w:val="0"/>
              <w:adjustRightInd w:val="0"/>
              <w:rPr>
                <w:rFonts w:cs="Arial"/>
                <w:szCs w:val="20"/>
              </w:rPr>
            </w:pPr>
          </w:p>
          <w:p w:rsidR="00C23349" w:rsidRPr="00DA080C" w:rsidRDefault="00F37C77">
            <w:pPr>
              <w:autoSpaceDE w:val="0"/>
              <w:autoSpaceDN w:val="0"/>
              <w:adjustRightInd w:val="0"/>
              <w:rPr>
                <w:rFonts w:cs="Arial"/>
                <w:szCs w:val="20"/>
              </w:rPr>
            </w:pPr>
            <w:r w:rsidRPr="00F37C77">
              <w:rPr>
                <w:rFonts w:cs="Arial"/>
                <w:b/>
                <w:szCs w:val="20"/>
              </w:rPr>
              <w:t>Backup method</w:t>
            </w:r>
            <w:r>
              <w:rPr>
                <w:rFonts w:cs="Arial"/>
                <w:szCs w:val="20"/>
              </w:rPr>
              <w:t>: Mayo Medical Laboratories</w:t>
            </w:r>
          </w:p>
          <w:p w:rsidR="00C23349" w:rsidRPr="00DA080C" w:rsidRDefault="00C23349">
            <w:pPr>
              <w:autoSpaceDE w:val="0"/>
              <w:autoSpaceDN w:val="0"/>
              <w:adjustRightInd w:val="0"/>
              <w:rPr>
                <w:rFonts w:cs="Arial"/>
                <w:szCs w:val="20"/>
              </w:rPr>
            </w:pPr>
          </w:p>
        </w:tc>
      </w:tr>
      <w:tr w:rsidR="00C23349" w:rsidTr="001E67AA">
        <w:trPr>
          <w:tblHeader/>
        </w:trPr>
        <w:tc>
          <w:tcPr>
            <w:tcW w:w="1800" w:type="dxa"/>
            <w:vAlign w:val="center"/>
          </w:tcPr>
          <w:p w:rsidR="00C23349" w:rsidRDefault="00C23349">
            <w:pPr>
              <w:rPr>
                <w:rFonts w:cs="Arial"/>
                <w:b/>
                <w:bCs/>
                <w:color w:val="0000FF"/>
              </w:rPr>
            </w:pPr>
            <w:r>
              <w:rPr>
                <w:rFonts w:cs="Arial"/>
                <w:b/>
                <w:bCs/>
                <w:color w:val="0000FF"/>
              </w:rPr>
              <w:t>Sunquest Test Codes</w:t>
            </w:r>
          </w:p>
        </w:tc>
        <w:tc>
          <w:tcPr>
            <w:tcW w:w="9360" w:type="dxa"/>
            <w:gridSpan w:val="6"/>
            <w:tcBorders>
              <w:top w:val="single" w:sz="4" w:space="0" w:color="auto"/>
              <w:bottom w:val="single" w:sz="4" w:space="0" w:color="auto"/>
            </w:tcBorders>
            <w:vAlign w:val="center"/>
          </w:tcPr>
          <w:p w:rsidR="00C23349" w:rsidRPr="00F37C77" w:rsidRDefault="00F37C77">
            <w:pPr>
              <w:pStyle w:val="Header"/>
              <w:tabs>
                <w:tab w:val="clear" w:pos="4320"/>
                <w:tab w:val="clear" w:pos="8640"/>
              </w:tabs>
              <w:rPr>
                <w:rFonts w:cs="Arial"/>
                <w:b/>
                <w:szCs w:val="20"/>
              </w:rPr>
            </w:pPr>
            <w:r w:rsidRPr="00F37C77">
              <w:rPr>
                <w:rFonts w:cs="Arial"/>
                <w:b/>
                <w:iCs/>
                <w:szCs w:val="20"/>
              </w:rPr>
              <w:t>IGE</w:t>
            </w:r>
          </w:p>
          <w:p w:rsidR="008635DD" w:rsidRPr="00DA080C" w:rsidRDefault="008635DD">
            <w:pPr>
              <w:pStyle w:val="Header"/>
              <w:tabs>
                <w:tab w:val="clear" w:pos="4320"/>
                <w:tab w:val="clear" w:pos="8640"/>
              </w:tabs>
              <w:rPr>
                <w:rFonts w:cs="Arial"/>
                <w:szCs w:val="20"/>
              </w:rPr>
            </w:pPr>
          </w:p>
        </w:tc>
      </w:tr>
      <w:tr w:rsidR="00C23349" w:rsidTr="001E67AA">
        <w:trPr>
          <w:tblHeader/>
        </w:trPr>
        <w:tc>
          <w:tcPr>
            <w:tcW w:w="1800" w:type="dxa"/>
            <w:tcBorders>
              <w:bottom w:val="nil"/>
            </w:tcBorders>
          </w:tcPr>
          <w:p w:rsidR="00C23349" w:rsidRDefault="00C23349">
            <w:pPr>
              <w:rPr>
                <w:rFonts w:cs="Arial"/>
                <w:b/>
                <w:bCs/>
                <w:color w:val="0000FF"/>
              </w:rPr>
            </w:pPr>
            <w:r>
              <w:rPr>
                <w:rFonts w:cs="Arial"/>
                <w:b/>
                <w:bCs/>
                <w:color w:val="0000FF"/>
              </w:rPr>
              <w:lastRenderedPageBreak/>
              <w:t>Specimen</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Serum</w:t>
            </w:r>
            <w:r w:rsidR="001E67AA">
              <w:rPr>
                <w:rFonts w:cs="Arial"/>
                <w:szCs w:val="20"/>
              </w:rPr>
              <w:t xml:space="preserve"> or plasma- no gel.</w:t>
            </w:r>
            <w:r w:rsidR="00DA080C" w:rsidRPr="00DA080C">
              <w:rPr>
                <w:rFonts w:cs="Arial"/>
                <w:szCs w:val="20"/>
              </w:rPr>
              <w:t xml:space="preserve"> </w:t>
            </w:r>
            <w:r w:rsidR="00DA080C">
              <w:rPr>
                <w:rFonts w:cs="Arial"/>
                <w:szCs w:val="20"/>
              </w:rPr>
              <w:t xml:space="preserve"> </w:t>
            </w:r>
            <w:r w:rsidRPr="00DA080C">
              <w:rPr>
                <w:rFonts w:cs="Arial"/>
                <w:szCs w:val="20"/>
              </w:rPr>
              <w:t>Refer to specimen collection procedures</w:t>
            </w:r>
            <w:r w:rsidRPr="00DA080C">
              <w:rPr>
                <w:rFonts w:eastAsia="HelenPro-Cond" w:cs="Arial"/>
                <w:szCs w:val="20"/>
              </w:rPr>
              <w:t xml:space="preserve"> for collection of diagnostic blood specimens</w:t>
            </w:r>
            <w:r w:rsidRPr="00DA080C">
              <w:rPr>
                <w:rFonts w:cs="Arial"/>
                <w:szCs w:val="20"/>
              </w:rPr>
              <w:t xml:space="preserve">. </w:t>
            </w:r>
            <w:r w:rsidR="00BE6ADA" w:rsidRPr="00DA080C">
              <w:rPr>
                <w:rFonts w:cs="Arial"/>
                <w:szCs w:val="20"/>
              </w:rPr>
              <w:t>Lithium heparin, sodium heparin,</w:t>
            </w:r>
            <w:r w:rsidR="001E67AA">
              <w:rPr>
                <w:rFonts w:cs="Arial"/>
                <w:szCs w:val="20"/>
              </w:rPr>
              <w:t xml:space="preserve"> citrate,</w:t>
            </w:r>
            <w:r w:rsidR="00BE6ADA" w:rsidRPr="00DA080C">
              <w:rPr>
                <w:rFonts w:cs="Arial"/>
                <w:szCs w:val="20"/>
              </w:rPr>
              <w:t xml:space="preserve"> and Potassium EDTA plasma</w:t>
            </w:r>
            <w:r w:rsidRPr="00DA080C">
              <w:rPr>
                <w:rFonts w:cs="Arial"/>
                <w:szCs w:val="20"/>
              </w:rPr>
              <w:t xml:space="preserve"> </w:t>
            </w:r>
            <w:r w:rsidR="00BE6ADA" w:rsidRPr="00DA080C">
              <w:rPr>
                <w:rFonts w:cs="Arial"/>
                <w:szCs w:val="20"/>
              </w:rPr>
              <w:t>are</w:t>
            </w:r>
            <w:r w:rsidRPr="00DA080C">
              <w:rPr>
                <w:rFonts w:cs="Arial"/>
                <w:szCs w:val="20"/>
              </w:rPr>
              <w:t xml:space="preserve"> acceptable specimen type</w:t>
            </w:r>
            <w:r w:rsidR="00BE6ADA" w:rsidRPr="00DA080C">
              <w:rPr>
                <w:rFonts w:cs="Arial"/>
                <w:szCs w:val="20"/>
              </w:rPr>
              <w:t>s</w:t>
            </w:r>
            <w:r w:rsidR="001E67AA">
              <w:rPr>
                <w:rFonts w:cs="Arial"/>
                <w:szCs w:val="20"/>
              </w:rPr>
              <w:t>.</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Patient</w:t>
            </w:r>
            <w:r w:rsidRPr="00DA080C">
              <w:rPr>
                <w:rFonts w:cs="Arial"/>
                <w:szCs w:val="20"/>
              </w:rPr>
              <w:t xml:space="preserve"> </w:t>
            </w:r>
            <w:r w:rsidRPr="00DA080C">
              <w:rPr>
                <w:rFonts w:cs="Arial"/>
                <w:b/>
                <w:bCs/>
                <w:szCs w:val="20"/>
              </w:rPr>
              <w:t>Preparation:</w:t>
            </w:r>
            <w:r w:rsidR="001E67AA">
              <w:rPr>
                <w:rFonts w:cs="Arial"/>
                <w:szCs w:val="20"/>
              </w:rPr>
              <w:t xml:space="preserve"> None</w:t>
            </w:r>
          </w:p>
          <w:p w:rsidR="00C23349" w:rsidRPr="00DA080C" w:rsidRDefault="00C23349">
            <w:pPr>
              <w:pStyle w:val="BodyText"/>
              <w:rPr>
                <w:rFonts w:cs="Arial"/>
                <w:b/>
                <w:bCs/>
                <w:szCs w:val="20"/>
              </w:rPr>
            </w:pPr>
          </w:p>
          <w:p w:rsidR="00C23349" w:rsidRPr="00DA080C" w:rsidRDefault="00C23349">
            <w:pPr>
              <w:pStyle w:val="BodyText"/>
              <w:rPr>
                <w:rFonts w:cs="Arial"/>
                <w:szCs w:val="20"/>
              </w:rPr>
            </w:pPr>
            <w:r w:rsidRPr="00DA080C">
              <w:rPr>
                <w:rFonts w:cs="Arial"/>
                <w:b/>
                <w:bCs/>
                <w:szCs w:val="20"/>
              </w:rPr>
              <w:t xml:space="preserve">Minimum </w:t>
            </w:r>
            <w:r w:rsidR="001E67AA">
              <w:rPr>
                <w:rFonts w:cs="Arial"/>
                <w:b/>
                <w:bCs/>
                <w:szCs w:val="20"/>
              </w:rPr>
              <w:t xml:space="preserve">draw </w:t>
            </w:r>
            <w:r w:rsidRPr="00DA080C">
              <w:rPr>
                <w:rFonts w:cs="Arial"/>
                <w:b/>
                <w:bCs/>
                <w:szCs w:val="20"/>
              </w:rPr>
              <w:t>volume:</w:t>
            </w:r>
            <w:r w:rsidR="001E67AA">
              <w:rPr>
                <w:rFonts w:cs="Arial"/>
                <w:szCs w:val="20"/>
              </w:rPr>
              <w:t xml:space="preserve"> 0.4</w:t>
            </w:r>
            <w:r w:rsidRPr="00DA080C">
              <w:rPr>
                <w:rFonts w:cs="Arial"/>
                <w:szCs w:val="20"/>
              </w:rPr>
              <w:t xml:space="preserve"> mL</w:t>
            </w:r>
          </w:p>
          <w:p w:rsidR="00C23349" w:rsidRPr="00DA080C" w:rsidRDefault="00C23349">
            <w:pPr>
              <w:pStyle w:val="BodyText"/>
              <w:rPr>
                <w:rFonts w:cs="Arial"/>
                <w:b/>
                <w:bCs/>
                <w:szCs w:val="20"/>
              </w:rPr>
            </w:pPr>
          </w:p>
          <w:p w:rsidR="00C23349" w:rsidRPr="00DA080C" w:rsidRDefault="00C23349">
            <w:pPr>
              <w:pStyle w:val="BodyText"/>
              <w:rPr>
                <w:rFonts w:eastAsia="HelenPro-Cond" w:cs="Arial"/>
                <w:szCs w:val="20"/>
              </w:rPr>
            </w:pPr>
            <w:r w:rsidRPr="00DA080C">
              <w:rPr>
                <w:rFonts w:cs="Arial"/>
                <w:b/>
                <w:bCs/>
                <w:szCs w:val="20"/>
              </w:rPr>
              <w:t>Stability:</w:t>
            </w:r>
            <w:r w:rsidRPr="00DA080C">
              <w:rPr>
                <w:rFonts w:cs="Arial"/>
                <w:szCs w:val="20"/>
              </w:rPr>
              <w:t xml:space="preserve"> </w:t>
            </w:r>
            <w:r w:rsidR="001E67AA">
              <w:rPr>
                <w:rFonts w:cs="Arial"/>
                <w:szCs w:val="20"/>
              </w:rPr>
              <w:t xml:space="preserve">RT or </w:t>
            </w:r>
            <w:r w:rsidRPr="00DA080C">
              <w:rPr>
                <w:rFonts w:cs="Arial"/>
                <w:szCs w:val="20"/>
              </w:rPr>
              <w:t xml:space="preserve">2-8 </w:t>
            </w:r>
            <w:r w:rsidRPr="00DA080C">
              <w:rPr>
                <w:rFonts w:cs="Arial"/>
                <w:szCs w:val="20"/>
              </w:rPr>
              <w:sym w:font="Symbol" w:char="F0B0"/>
            </w:r>
            <w:r w:rsidRPr="00DA080C">
              <w:rPr>
                <w:rFonts w:cs="Arial"/>
                <w:szCs w:val="20"/>
              </w:rPr>
              <w:t xml:space="preserve">C / 7 days, </w:t>
            </w:r>
            <w:r w:rsidR="00DA080C">
              <w:rPr>
                <w:rFonts w:cs="Arial"/>
                <w:szCs w:val="20"/>
              </w:rPr>
              <w:t>&lt;</w:t>
            </w:r>
            <w:r w:rsidR="001E67AA">
              <w:rPr>
                <w:rFonts w:eastAsia="HelenPro-Cond" w:cs="Arial"/>
                <w:szCs w:val="20"/>
              </w:rPr>
              <w:t>-10 °C / 6</w:t>
            </w:r>
            <w:r w:rsidRPr="00DA080C">
              <w:rPr>
                <w:rFonts w:eastAsia="HelenPro-Cond" w:cs="Arial"/>
                <w:szCs w:val="20"/>
              </w:rPr>
              <w:t xml:space="preserve"> month.</w:t>
            </w:r>
            <w:r w:rsidRPr="00DA080C">
              <w:rPr>
                <w:rFonts w:cs="Arial"/>
                <w:szCs w:val="20"/>
              </w:rPr>
              <w:t xml:space="preserve"> </w:t>
            </w:r>
          </w:p>
          <w:p w:rsidR="00C23349" w:rsidRPr="00DA080C" w:rsidRDefault="00C23349">
            <w:pPr>
              <w:pStyle w:val="BodyText"/>
              <w:rPr>
                <w:rFonts w:eastAsia="HelenPro-Cond" w:cs="Arial"/>
                <w:szCs w:val="20"/>
              </w:rPr>
            </w:pPr>
          </w:p>
          <w:p w:rsidR="00C23349" w:rsidRPr="00DA080C" w:rsidRDefault="00C23349">
            <w:pPr>
              <w:pStyle w:val="BodyText"/>
              <w:rPr>
                <w:rFonts w:cs="Arial"/>
                <w:szCs w:val="20"/>
              </w:rPr>
            </w:pPr>
            <w:r w:rsidRPr="00DA080C">
              <w:rPr>
                <w:rFonts w:cs="Arial"/>
                <w:b/>
                <w:bCs/>
                <w:szCs w:val="20"/>
              </w:rPr>
              <w:t>Rejection criteria</w:t>
            </w:r>
            <w:r w:rsidRPr="00DA080C">
              <w:rPr>
                <w:rFonts w:cs="Arial"/>
                <w:szCs w:val="20"/>
              </w:rPr>
              <w:t xml:space="preserve">: </w:t>
            </w:r>
            <w:r w:rsidR="00DA080C" w:rsidRPr="00DA080C">
              <w:rPr>
                <w:rFonts w:cs="Arial"/>
                <w:szCs w:val="20"/>
              </w:rPr>
              <w:t>Unlabeled</w:t>
            </w:r>
            <w:r w:rsidRPr="00DA080C">
              <w:rPr>
                <w:rFonts w:cs="Arial"/>
                <w:szCs w:val="20"/>
              </w:rPr>
              <w:t xml:space="preserve"> specimens, other than serum or heparinized plasma. Specimens collected using gel separators.</w:t>
            </w:r>
          </w:p>
          <w:p w:rsidR="00C23349" w:rsidRPr="00DA080C" w:rsidRDefault="00C23349">
            <w:pPr>
              <w:pStyle w:val="BodyText"/>
              <w:rPr>
                <w:rFonts w:cs="Arial"/>
                <w:b/>
                <w:bCs/>
                <w:szCs w:val="20"/>
              </w:rPr>
            </w:pPr>
          </w:p>
          <w:p w:rsidR="00DA080C" w:rsidRPr="00DA080C" w:rsidRDefault="00C23349">
            <w:pPr>
              <w:pStyle w:val="BodyText"/>
              <w:rPr>
                <w:rFonts w:cs="Arial"/>
                <w:b/>
                <w:bCs/>
                <w:szCs w:val="20"/>
              </w:rPr>
            </w:pPr>
            <w:r w:rsidRPr="00DA080C">
              <w:rPr>
                <w:rFonts w:cs="Arial"/>
                <w:b/>
                <w:bCs/>
                <w:szCs w:val="20"/>
              </w:rPr>
              <w:t>Preparation:</w:t>
            </w:r>
            <w:r w:rsidRPr="00DA080C">
              <w:rPr>
                <w:rFonts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Complete clot formation should take place before centrifugation.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Serum or plasma should be physically separated from cells as soon as possible with a maximum limit of </w:t>
            </w:r>
            <w:r w:rsidRPr="00DA080C">
              <w:rPr>
                <w:rFonts w:eastAsia="HelenPro-Cond" w:cs="Arial"/>
                <w:b/>
                <w:bCs/>
                <w:szCs w:val="20"/>
              </w:rPr>
              <w:t>two hours</w:t>
            </w:r>
            <w:r w:rsidRPr="00DA080C">
              <w:rPr>
                <w:rFonts w:eastAsia="HelenPro-Cond" w:cs="Arial"/>
                <w:szCs w:val="20"/>
              </w:rPr>
              <w:t xml:space="preserve"> from the time of collection.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eastAsia="HelenPro-Cond" w:cs="Arial"/>
                <w:szCs w:val="20"/>
              </w:rPr>
              <w:t xml:space="preserve">Specimens should be free of particulate matter. </w:t>
            </w:r>
            <w:r w:rsidR="00DA080C" w:rsidRPr="00DA080C">
              <w:rPr>
                <w:rFonts w:eastAsia="HelenPro-Cond" w:cs="Arial"/>
                <w:szCs w:val="20"/>
              </w:rPr>
              <w:t xml:space="preserve"> </w:t>
            </w:r>
          </w:p>
          <w:p w:rsidR="00DA080C" w:rsidRPr="00DA080C" w:rsidRDefault="00C23349" w:rsidP="00DA080C">
            <w:pPr>
              <w:pStyle w:val="BodyText"/>
              <w:numPr>
                <w:ilvl w:val="0"/>
                <w:numId w:val="23"/>
              </w:numPr>
              <w:rPr>
                <w:rFonts w:cs="Arial"/>
                <w:szCs w:val="20"/>
              </w:rPr>
            </w:pPr>
            <w:r w:rsidRPr="00DA080C">
              <w:rPr>
                <w:rFonts w:cs="Arial"/>
                <w:szCs w:val="20"/>
              </w:rPr>
              <w:t>Whole blood specimens should be centrifuged according to Specimen Processing procedures prior to analysis. See Processing Procedure Manual.</w:t>
            </w:r>
          </w:p>
          <w:p w:rsidR="00C23349" w:rsidRPr="00DA080C" w:rsidRDefault="00C23349" w:rsidP="00DA080C">
            <w:pPr>
              <w:pStyle w:val="BodyText"/>
              <w:numPr>
                <w:ilvl w:val="0"/>
                <w:numId w:val="23"/>
              </w:numPr>
              <w:rPr>
                <w:rFonts w:cs="Arial"/>
                <w:szCs w:val="20"/>
              </w:rPr>
            </w:pPr>
            <w:r w:rsidRPr="00DA080C">
              <w:rPr>
                <w:rFonts w:cs="Arial"/>
                <w:szCs w:val="20"/>
              </w:rPr>
              <w:t xml:space="preserve">Transfer serum or </w:t>
            </w:r>
            <w:r w:rsidR="00DA080C" w:rsidRPr="00DA080C">
              <w:rPr>
                <w:rFonts w:cs="Arial"/>
                <w:szCs w:val="20"/>
              </w:rPr>
              <w:t>plasma to a properly labeled</w:t>
            </w:r>
            <w:r w:rsidRPr="00DA080C">
              <w:rPr>
                <w:rFonts w:cs="Arial"/>
                <w:szCs w:val="20"/>
              </w:rPr>
              <w:t xml:space="preserve"> </w:t>
            </w:r>
            <w:r w:rsidR="001E67AA">
              <w:rPr>
                <w:rFonts w:cs="Arial"/>
                <w:szCs w:val="20"/>
              </w:rPr>
              <w:t xml:space="preserve">Abbott </w:t>
            </w:r>
            <w:r w:rsidRPr="00DA080C">
              <w:rPr>
                <w:rFonts w:cs="Arial"/>
                <w:szCs w:val="20"/>
              </w:rPr>
              <w:t xml:space="preserve">sample cup or </w:t>
            </w:r>
            <w:r w:rsidR="001E67AA">
              <w:rPr>
                <w:rFonts w:cs="Arial"/>
                <w:szCs w:val="20"/>
              </w:rPr>
              <w:t xml:space="preserve">sendout </w:t>
            </w:r>
            <w:r w:rsidRPr="00DA080C">
              <w:rPr>
                <w:rFonts w:cs="Arial"/>
                <w:szCs w:val="20"/>
              </w:rPr>
              <w:t>tube. Minimum labeling includes sample accession ID, and/ or patient name, medical record number, collection date and time.</w:t>
            </w:r>
          </w:p>
          <w:p w:rsidR="00C23349" w:rsidRPr="00DA080C" w:rsidRDefault="00C23349">
            <w:pPr>
              <w:pStyle w:val="BodyText"/>
              <w:rPr>
                <w:rFonts w:cs="Arial"/>
                <w:szCs w:val="20"/>
              </w:rPr>
            </w:pPr>
          </w:p>
          <w:p w:rsidR="00C23349" w:rsidRPr="00DA080C" w:rsidRDefault="00C23349">
            <w:pPr>
              <w:pStyle w:val="BodyText"/>
              <w:rPr>
                <w:rFonts w:cs="Arial"/>
                <w:szCs w:val="20"/>
              </w:rPr>
            </w:pPr>
            <w:r w:rsidRPr="00DA080C">
              <w:rPr>
                <w:rFonts w:cs="Arial"/>
                <w:szCs w:val="20"/>
              </w:rPr>
              <w:t>Do not use gel separators</w:t>
            </w:r>
            <w:r w:rsidR="00A57A7C">
              <w:rPr>
                <w:rFonts w:cs="Arial"/>
                <w:szCs w:val="20"/>
              </w:rPr>
              <w:t xml:space="preserve"> as these samples have not been tested for acceptability</w:t>
            </w:r>
            <w:bookmarkStart w:id="0" w:name="_GoBack"/>
            <w:bookmarkEnd w:id="0"/>
            <w:r w:rsidRPr="00DA080C">
              <w:rPr>
                <w:rFonts w:cs="Arial"/>
                <w:szCs w:val="20"/>
              </w:rPr>
              <w:t>.</w:t>
            </w:r>
          </w:p>
          <w:p w:rsidR="00C23349" w:rsidRPr="00DA080C" w:rsidRDefault="00C23349">
            <w:pPr>
              <w:pStyle w:val="BodyText"/>
              <w:rPr>
                <w:rFonts w:cs="Arial"/>
                <w:szCs w:val="20"/>
              </w:rPr>
            </w:pPr>
            <w:r w:rsidRPr="00DA080C">
              <w:rPr>
                <w:rFonts w:cs="Arial"/>
                <w:szCs w:val="20"/>
              </w:rPr>
              <w:t>Do not induce foaming and avoid repeated freezing and thawing to preserve the integrity of the specimen from the time it is collected until the time it is assayed.</w:t>
            </w:r>
          </w:p>
          <w:p w:rsidR="00C23349" w:rsidRPr="00DA080C" w:rsidRDefault="00C23349">
            <w:pPr>
              <w:autoSpaceDE w:val="0"/>
              <w:autoSpaceDN w:val="0"/>
              <w:adjustRightInd w:val="0"/>
              <w:rPr>
                <w:rFonts w:cs="Arial"/>
                <w:szCs w:val="20"/>
              </w:rPr>
            </w:pPr>
          </w:p>
        </w:tc>
      </w:tr>
      <w:tr w:rsidR="00C23349" w:rsidTr="001E67AA">
        <w:trPr>
          <w:cantSplit/>
          <w:tblHeader/>
        </w:trPr>
        <w:tc>
          <w:tcPr>
            <w:tcW w:w="1800" w:type="dxa"/>
            <w:tcBorders>
              <w:bottom w:val="nil"/>
            </w:tcBorders>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rPr>
                <w:rFonts w:cs="Arial"/>
                <w:szCs w:val="20"/>
              </w:rPr>
            </w:pPr>
          </w:p>
        </w:tc>
      </w:tr>
      <w:tr w:rsidR="00C23349" w:rsidTr="001E67AA">
        <w:trPr>
          <w:tblHeader/>
        </w:trPr>
        <w:tc>
          <w:tcPr>
            <w:tcW w:w="1800" w:type="dxa"/>
            <w:vMerge w:val="restart"/>
            <w:tcBorders>
              <w:right w:val="single" w:sz="4" w:space="0" w:color="auto"/>
            </w:tcBorders>
          </w:tcPr>
          <w:p w:rsidR="00C23349" w:rsidRDefault="00C23349">
            <w:pPr>
              <w:rPr>
                <w:rFonts w:cs="Arial"/>
                <w:b/>
                <w:bCs/>
                <w:color w:val="0000FF"/>
              </w:rPr>
            </w:pPr>
            <w:r>
              <w:rPr>
                <w:rFonts w:cs="Arial"/>
                <w:b/>
                <w:bCs/>
                <w:color w:val="0000FF"/>
              </w:rPr>
              <w:t>Materials</w:t>
            </w:r>
          </w:p>
        </w:tc>
        <w:tc>
          <w:tcPr>
            <w:tcW w:w="9360" w:type="dxa"/>
            <w:gridSpan w:val="6"/>
            <w:tcBorders>
              <w:top w:val="single" w:sz="4" w:space="0" w:color="auto"/>
              <w:left w:val="single" w:sz="4" w:space="0" w:color="auto"/>
              <w:bottom w:val="single" w:sz="4" w:space="0" w:color="auto"/>
              <w:right w:val="single" w:sz="4" w:space="0" w:color="auto"/>
            </w:tcBorders>
          </w:tcPr>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1E67AA" w:rsidRPr="00DC7421" w:rsidTr="001E67AA">
              <w:tc>
                <w:tcPr>
                  <w:tcW w:w="2857" w:type="dxa"/>
                </w:tcPr>
                <w:p w:rsidR="001E67AA" w:rsidRPr="00DC7421" w:rsidRDefault="001E67AA" w:rsidP="00C27F49">
                  <w:pPr>
                    <w:pStyle w:val="Reagents"/>
                    <w:rPr>
                      <w:rFonts w:ascii="Arial" w:hAnsi="Arial" w:cs="Arial"/>
                      <w:b/>
                      <w:bCs/>
                    </w:rPr>
                  </w:pPr>
                  <w:r w:rsidRPr="00DC7421">
                    <w:rPr>
                      <w:rFonts w:ascii="Arial" w:hAnsi="Arial" w:cs="Arial"/>
                      <w:b/>
                      <w:bCs/>
                      <w:i/>
                      <w:iCs/>
                    </w:rPr>
                    <w:t>Product Description</w:t>
                  </w:r>
                </w:p>
              </w:tc>
              <w:tc>
                <w:tcPr>
                  <w:tcW w:w="1710" w:type="dxa"/>
                </w:tcPr>
                <w:p w:rsidR="001E67AA" w:rsidRPr="00DC7421" w:rsidRDefault="001E67AA" w:rsidP="00C27F49">
                  <w:pPr>
                    <w:pStyle w:val="Reagents"/>
                    <w:rPr>
                      <w:rFonts w:ascii="Arial" w:hAnsi="Arial" w:cs="Arial"/>
                      <w:b/>
                      <w:bCs/>
                    </w:rPr>
                  </w:pPr>
                  <w:r w:rsidRPr="00DC7421">
                    <w:rPr>
                      <w:rFonts w:ascii="Arial" w:hAnsi="Arial" w:cs="Arial"/>
                      <w:b/>
                      <w:bCs/>
                      <w:i/>
                      <w:iCs/>
                    </w:rPr>
                    <w:t>Product Code</w:t>
                  </w:r>
                </w:p>
              </w:tc>
              <w:tc>
                <w:tcPr>
                  <w:tcW w:w="4533" w:type="dxa"/>
                </w:tcPr>
                <w:p w:rsidR="001E67AA" w:rsidRPr="00DC7421" w:rsidRDefault="001E67AA" w:rsidP="00C27F49">
                  <w:pPr>
                    <w:pStyle w:val="Reagents"/>
                    <w:rPr>
                      <w:rFonts w:ascii="Arial" w:hAnsi="Arial" w:cs="Arial"/>
                      <w:b/>
                      <w:bCs/>
                    </w:rPr>
                  </w:pPr>
                  <w:r w:rsidRPr="00DC7421">
                    <w:rPr>
                      <w:rFonts w:ascii="Arial" w:hAnsi="Arial" w:cs="Arial"/>
                      <w:b/>
                      <w:bCs/>
                      <w:i/>
                      <w:iCs/>
                    </w:rPr>
                    <w:t>Stability</w:t>
                  </w:r>
                </w:p>
              </w:tc>
            </w:tr>
            <w:tr w:rsidR="001E67AA" w:rsidRPr="00DC7421" w:rsidTr="001E67AA">
              <w:tc>
                <w:tcPr>
                  <w:tcW w:w="2857" w:type="dxa"/>
                  <w:vAlign w:val="center"/>
                </w:tcPr>
                <w:p w:rsidR="001E67AA" w:rsidRPr="00DC7421" w:rsidRDefault="008A2E76" w:rsidP="00C27F49">
                  <w:pPr>
                    <w:autoSpaceDE w:val="0"/>
                    <w:autoSpaceDN w:val="0"/>
                    <w:adjustRightInd w:val="0"/>
                    <w:rPr>
                      <w:rFonts w:cs="Arial"/>
                      <w:szCs w:val="20"/>
                    </w:rPr>
                  </w:pPr>
                  <w:r>
                    <w:rPr>
                      <w:rFonts w:cs="Arial"/>
                      <w:szCs w:val="20"/>
                    </w:rPr>
                    <w:t>QUANTIA IgE Reagent</w:t>
                  </w:r>
                </w:p>
              </w:tc>
              <w:tc>
                <w:tcPr>
                  <w:tcW w:w="1710" w:type="dxa"/>
                  <w:vAlign w:val="center"/>
                </w:tcPr>
                <w:p w:rsidR="001E67AA" w:rsidRPr="00DC7421" w:rsidRDefault="00AD1920" w:rsidP="00C27F49">
                  <w:pPr>
                    <w:pStyle w:val="BodyText"/>
                    <w:tabs>
                      <w:tab w:val="left" w:pos="3240"/>
                    </w:tabs>
                    <w:rPr>
                      <w:rFonts w:cs="Arial"/>
                      <w:szCs w:val="20"/>
                    </w:rPr>
                  </w:pPr>
                  <w:r>
                    <w:rPr>
                      <w:rFonts w:cs="Arial"/>
                      <w:szCs w:val="20"/>
                    </w:rPr>
                    <w:t>0</w:t>
                  </w:r>
                  <w:r w:rsidR="008A2E76" w:rsidRPr="008A2E76">
                    <w:rPr>
                      <w:rFonts w:cs="Arial"/>
                      <w:szCs w:val="20"/>
                    </w:rPr>
                    <w:t>6K42-40</w:t>
                  </w:r>
                </w:p>
              </w:tc>
              <w:tc>
                <w:tcPr>
                  <w:tcW w:w="4533" w:type="dxa"/>
                  <w:vAlign w:val="center"/>
                </w:tcPr>
                <w:p w:rsidR="001E67AA" w:rsidRPr="00DC7421" w:rsidRDefault="001E67AA" w:rsidP="00C27F49">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1E67AA" w:rsidRPr="00DC7421" w:rsidRDefault="001E67AA" w:rsidP="00C27F49">
                  <w:pPr>
                    <w:pStyle w:val="Reagents"/>
                    <w:spacing w:after="80"/>
                    <w:rPr>
                      <w:rFonts w:ascii="Arial" w:hAnsi="Arial" w:cs="Arial"/>
                      <w:bCs/>
                    </w:rPr>
                  </w:pPr>
                  <w:r w:rsidRPr="00DC7421">
                    <w:rPr>
                      <w:rFonts w:ascii="Arial" w:hAnsi="Arial" w:cs="Arial"/>
                      <w:b/>
                      <w:bCs/>
                    </w:rPr>
                    <w:t xml:space="preserve">Unopened: </w:t>
                  </w:r>
                  <w:r w:rsidRPr="00DC7421">
                    <w:rPr>
                      <w:rFonts w:ascii="Arial" w:hAnsi="Arial" w:cs="Arial"/>
                      <w:bCs/>
                    </w:rPr>
                    <w:t>Manufacturer’s printed expiration date</w:t>
                  </w:r>
                </w:p>
                <w:p w:rsidR="001E67AA" w:rsidRPr="00AD1920" w:rsidRDefault="001E67AA" w:rsidP="00C27F49">
                  <w:pPr>
                    <w:autoSpaceDE w:val="0"/>
                    <w:autoSpaceDN w:val="0"/>
                    <w:adjustRightInd w:val="0"/>
                    <w:spacing w:after="80"/>
                    <w:rPr>
                      <w:rFonts w:cs="Arial"/>
                      <w:b/>
                      <w:bCs/>
                      <w:szCs w:val="20"/>
                    </w:rPr>
                  </w:pPr>
                  <w:r w:rsidRPr="00DC7421">
                    <w:rPr>
                      <w:rFonts w:cs="Arial"/>
                      <w:b/>
                      <w:bCs/>
                      <w:szCs w:val="20"/>
                    </w:rPr>
                    <w:t xml:space="preserve">On-board: </w:t>
                  </w:r>
                  <w:r w:rsidR="00AD1920">
                    <w:rPr>
                      <w:rFonts w:cs="Arial"/>
                      <w:b/>
                      <w:bCs/>
                      <w:szCs w:val="20"/>
                    </w:rPr>
                    <w:t>2</w:t>
                  </w:r>
                  <w:r>
                    <w:rPr>
                      <w:rFonts w:cs="Arial"/>
                      <w:b/>
                      <w:bCs/>
                      <w:szCs w:val="20"/>
                    </w:rPr>
                    <w:t>0</w:t>
                  </w:r>
                  <w:r w:rsidRPr="00DC7421">
                    <w:rPr>
                      <w:rFonts w:cs="Arial"/>
                      <w:b/>
                      <w:bCs/>
                      <w:szCs w:val="20"/>
                    </w:rPr>
                    <w:t xml:space="preserve"> days</w:t>
                  </w:r>
                </w:p>
              </w:tc>
            </w:tr>
            <w:tr w:rsidR="001E67AA" w:rsidRPr="00DC7421" w:rsidTr="001E67AA">
              <w:tc>
                <w:tcPr>
                  <w:tcW w:w="2857" w:type="dxa"/>
                  <w:vAlign w:val="center"/>
                </w:tcPr>
                <w:p w:rsidR="001E67AA" w:rsidRPr="00DC7421" w:rsidRDefault="00AD1920" w:rsidP="00C27F49">
                  <w:pPr>
                    <w:pStyle w:val="BodyText"/>
                    <w:rPr>
                      <w:rFonts w:cs="Arial"/>
                      <w:szCs w:val="20"/>
                    </w:rPr>
                  </w:pPr>
                  <w:r>
                    <w:rPr>
                      <w:rFonts w:cs="Arial"/>
                      <w:szCs w:val="20"/>
                    </w:rPr>
                    <w:t>QUANTIA IgE Calibrator</w:t>
                  </w:r>
                </w:p>
              </w:tc>
              <w:tc>
                <w:tcPr>
                  <w:tcW w:w="1710" w:type="dxa"/>
                  <w:vAlign w:val="center"/>
                </w:tcPr>
                <w:p w:rsidR="001E67AA" w:rsidRPr="00DC7421" w:rsidRDefault="00AD1920" w:rsidP="00C27F49">
                  <w:pPr>
                    <w:pStyle w:val="BodyText"/>
                    <w:rPr>
                      <w:rFonts w:cs="Arial"/>
                      <w:szCs w:val="20"/>
                    </w:rPr>
                  </w:pPr>
                  <w:r>
                    <w:rPr>
                      <w:rFonts w:eastAsia="Arial Unicode MS" w:cs="Arial"/>
                      <w:szCs w:val="20"/>
                    </w:rPr>
                    <w:t>0</w:t>
                  </w:r>
                  <w:r w:rsidRPr="00AD1920">
                    <w:rPr>
                      <w:rFonts w:eastAsia="Arial Unicode MS" w:cs="Arial"/>
                      <w:szCs w:val="20"/>
                    </w:rPr>
                    <w:t>6K50-02</w:t>
                  </w:r>
                </w:p>
              </w:tc>
              <w:tc>
                <w:tcPr>
                  <w:tcW w:w="4533" w:type="dxa"/>
                  <w:vAlign w:val="center"/>
                </w:tcPr>
                <w:p w:rsidR="001E67AA" w:rsidRPr="00DC7421" w:rsidRDefault="001E67AA" w:rsidP="00C27F49">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2 – 8 °C</w:t>
                  </w:r>
                </w:p>
                <w:p w:rsidR="001E67AA" w:rsidRPr="00DC7421" w:rsidRDefault="001E67AA" w:rsidP="00C27F49">
                  <w:pPr>
                    <w:pStyle w:val="Reagents"/>
                    <w:spacing w:after="80"/>
                    <w:rPr>
                      <w:rFonts w:ascii="Arial" w:hAnsi="Arial" w:cs="Arial"/>
                      <w:bCs/>
                    </w:rPr>
                  </w:pPr>
                  <w:r w:rsidRPr="00DC7421">
                    <w:rPr>
                      <w:rFonts w:ascii="Arial" w:hAnsi="Arial" w:cs="Arial"/>
                      <w:b/>
                      <w:bCs/>
                    </w:rPr>
                    <w:t>Unopened</w:t>
                  </w:r>
                  <w:r w:rsidR="00AD1920">
                    <w:rPr>
                      <w:rFonts w:ascii="Arial" w:hAnsi="Arial" w:cs="Arial"/>
                      <w:b/>
                      <w:bCs/>
                    </w:rPr>
                    <w:t xml:space="preserve"> and Opened and Stored Tightly capped</w:t>
                  </w:r>
                  <w:r w:rsidRPr="00DC7421">
                    <w:rPr>
                      <w:rFonts w:ascii="Arial" w:hAnsi="Arial" w:cs="Arial"/>
                      <w:b/>
                      <w:bCs/>
                    </w:rPr>
                    <w:t xml:space="preserve">: </w:t>
                  </w:r>
                  <w:r w:rsidRPr="00DC7421">
                    <w:rPr>
                      <w:rFonts w:ascii="Arial" w:hAnsi="Arial" w:cs="Arial"/>
                      <w:bCs/>
                    </w:rPr>
                    <w:t>Manufacturer’s printed expiration date</w:t>
                  </w:r>
                  <w:r w:rsidR="00C07F7E">
                    <w:rPr>
                      <w:rFonts w:ascii="Arial" w:hAnsi="Arial" w:cs="Arial"/>
                      <w:bCs/>
                    </w:rPr>
                    <w:t>.  Allow to reach room temperature prior to pipetting aliquots.</w:t>
                  </w:r>
                </w:p>
                <w:p w:rsidR="001E67AA" w:rsidRPr="00DC7421" w:rsidRDefault="001E67AA" w:rsidP="00C27F49">
                  <w:pPr>
                    <w:pStyle w:val="BodyText"/>
                    <w:spacing w:after="80"/>
                    <w:rPr>
                      <w:rFonts w:cs="Arial"/>
                      <w:szCs w:val="20"/>
                    </w:rPr>
                  </w:pPr>
                  <w:r w:rsidRPr="007A4234">
                    <w:rPr>
                      <w:rFonts w:cs="Arial"/>
                      <w:b/>
                      <w:bCs/>
                      <w:szCs w:val="20"/>
                    </w:rPr>
                    <w:t>Calibration Stability</w:t>
                  </w:r>
                  <w:r>
                    <w:rPr>
                      <w:rFonts w:cs="Arial"/>
                      <w:bCs/>
                      <w:szCs w:val="20"/>
                    </w:rPr>
                    <w:t>: 30 days</w:t>
                  </w:r>
                </w:p>
              </w:tc>
            </w:tr>
          </w:tbl>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Improper storage of reagents can affect assay performance</w:t>
            </w:r>
          </w:p>
          <w:p w:rsidR="00C23349" w:rsidRPr="00DA080C" w:rsidRDefault="00C23349" w:rsidP="00C23349">
            <w:pPr>
              <w:pStyle w:val="Reagents"/>
              <w:numPr>
                <w:ilvl w:val="0"/>
                <w:numId w:val="17"/>
              </w:numPr>
              <w:jc w:val="both"/>
              <w:rPr>
                <w:rFonts w:ascii="Arial" w:hAnsi="Arial" w:cs="Arial"/>
              </w:rPr>
            </w:pPr>
            <w:r w:rsidRPr="00DA080C">
              <w:rPr>
                <w:rFonts w:ascii="Arial" w:hAnsi="Arial" w:cs="Arial"/>
              </w:rPr>
              <w:t>Do not mi</w:t>
            </w:r>
            <w:r w:rsidR="001E67AA">
              <w:rPr>
                <w:rFonts w:ascii="Arial" w:hAnsi="Arial" w:cs="Arial"/>
              </w:rPr>
              <w:t>x reagents for QUANTIA IgE</w:t>
            </w:r>
            <w:r w:rsidRPr="00DA080C">
              <w:rPr>
                <w:rFonts w:ascii="Arial" w:hAnsi="Arial" w:cs="Arial"/>
              </w:rPr>
              <w:t xml:space="preserve"> between different kits. Use all reagents within the same kit lot together, or discard.</w:t>
            </w:r>
          </w:p>
        </w:tc>
      </w:tr>
      <w:tr w:rsidR="00C23349" w:rsidTr="00262974">
        <w:trPr>
          <w:cantSplit/>
          <w:tblHeader/>
        </w:trPr>
        <w:tc>
          <w:tcPr>
            <w:tcW w:w="1800" w:type="dxa"/>
            <w:vMerge/>
          </w:tcPr>
          <w:p w:rsidR="00C23349" w:rsidRDefault="00C23349">
            <w:pPr>
              <w:rPr>
                <w:rFonts w:cs="Arial"/>
                <w:b/>
                <w:bCs/>
                <w:color w:val="0000FF"/>
              </w:rPr>
            </w:pPr>
          </w:p>
        </w:tc>
        <w:tc>
          <w:tcPr>
            <w:tcW w:w="9360" w:type="dxa"/>
            <w:gridSpan w:val="6"/>
            <w:tcBorders>
              <w:top w:val="single" w:sz="4" w:space="0" w:color="auto"/>
              <w:bottom w:val="single" w:sz="4" w:space="0" w:color="auto"/>
            </w:tcBorders>
          </w:tcPr>
          <w:p w:rsidR="00C23349" w:rsidRPr="00DA080C" w:rsidRDefault="00C23349">
            <w:pPr>
              <w:pStyle w:val="Reagents"/>
              <w:rPr>
                <w:rFonts w:ascii="Arial" w:hAnsi="Arial" w:cs="Arial"/>
              </w:rPr>
            </w:pPr>
          </w:p>
        </w:tc>
      </w:tr>
      <w:tr w:rsidR="00C23349" w:rsidTr="00262974">
        <w:trPr>
          <w:tblHeader/>
        </w:trPr>
        <w:tc>
          <w:tcPr>
            <w:tcW w:w="1800" w:type="dxa"/>
          </w:tcPr>
          <w:p w:rsidR="00C23349" w:rsidRDefault="00C23349" w:rsidP="008635DD">
            <w:pPr>
              <w:rPr>
                <w:rFonts w:cs="Arial"/>
                <w:b/>
                <w:bCs/>
                <w:color w:val="0000FF"/>
              </w:rPr>
            </w:pPr>
            <w:r>
              <w:rPr>
                <w:rFonts w:cs="Arial"/>
                <w:b/>
                <w:bCs/>
                <w:color w:val="0000FF"/>
              </w:rPr>
              <w:t>Risk and Safety</w:t>
            </w:r>
          </w:p>
        </w:tc>
        <w:tc>
          <w:tcPr>
            <w:tcW w:w="9360" w:type="dxa"/>
            <w:gridSpan w:val="6"/>
            <w:tcBorders>
              <w:top w:val="single" w:sz="4" w:space="0" w:color="auto"/>
              <w:bottom w:val="single" w:sz="4" w:space="0" w:color="auto"/>
            </w:tcBorders>
          </w:tcPr>
          <w:p w:rsidR="00C23349" w:rsidRPr="00DA080C" w:rsidRDefault="00C23349">
            <w:pPr>
              <w:pStyle w:val="BodyText"/>
              <w:rPr>
                <w:rFonts w:cs="Arial"/>
                <w:szCs w:val="20"/>
              </w:rPr>
            </w:pPr>
            <w:r w:rsidRPr="00DA080C">
              <w:rPr>
                <w:rFonts w:cs="Arial"/>
                <w:szCs w:val="20"/>
              </w:rPr>
              <w:t xml:space="preserve">For </w:t>
            </w:r>
            <w:r w:rsidRPr="00DA080C">
              <w:rPr>
                <w:rFonts w:cs="Arial"/>
                <w:i/>
                <w:iCs/>
                <w:szCs w:val="20"/>
              </w:rPr>
              <w:t xml:space="preserve">In Vitro Diagnostic </w:t>
            </w:r>
            <w:r w:rsidRPr="00DA080C">
              <w:rPr>
                <w:rFonts w:cs="Arial"/>
                <w:szCs w:val="20"/>
              </w:rPr>
              <w:t xml:space="preserve">Use. </w:t>
            </w:r>
            <w:r w:rsidR="00DA080C">
              <w:rPr>
                <w:rFonts w:cs="Arial"/>
                <w:szCs w:val="20"/>
              </w:rPr>
              <w:t xml:space="preserve"> </w:t>
            </w:r>
            <w:r w:rsidRPr="00DA080C">
              <w:rPr>
                <w:rFonts w:cs="Arial"/>
                <w:szCs w:val="20"/>
              </w:rPr>
              <w:t>For prescription use only.</w:t>
            </w:r>
          </w:p>
          <w:p w:rsidR="00C23349" w:rsidRPr="00DA080C" w:rsidRDefault="00C23349">
            <w:pPr>
              <w:pStyle w:val="BodyText"/>
              <w:rPr>
                <w:rFonts w:cs="Arial"/>
                <w:szCs w:val="20"/>
              </w:rPr>
            </w:pPr>
            <w:r w:rsidRPr="00DA080C">
              <w:rPr>
                <w:rFonts w:cs="Arial"/>
                <w:szCs w:val="20"/>
              </w:rPr>
              <w:t>Reagents and are provided as a matched set and should not be interchanged with reagents from different lot numbers.</w:t>
            </w:r>
            <w:r w:rsidR="00DA080C">
              <w:rPr>
                <w:rFonts w:cs="Arial"/>
                <w:szCs w:val="20"/>
              </w:rPr>
              <w:t xml:space="preserve">  </w:t>
            </w:r>
            <w:r w:rsidRPr="00DA080C">
              <w:rPr>
                <w:rFonts w:cs="Arial"/>
                <w:szCs w:val="20"/>
              </w:rPr>
              <w:t>Handle all patient specimens as if they were potentially infectious.</w:t>
            </w:r>
          </w:p>
          <w:p w:rsidR="00C23349" w:rsidRPr="00DA080C" w:rsidRDefault="00C23349">
            <w:pPr>
              <w:pStyle w:val="BodyText"/>
              <w:rPr>
                <w:rFonts w:cs="Arial"/>
                <w:szCs w:val="20"/>
              </w:rPr>
            </w:pPr>
          </w:p>
        </w:tc>
      </w:tr>
      <w:tr w:rsidR="00C23349" w:rsidTr="00262974">
        <w:trPr>
          <w:tblHeader/>
        </w:trPr>
        <w:tc>
          <w:tcPr>
            <w:tcW w:w="1800" w:type="dxa"/>
          </w:tcPr>
          <w:p w:rsidR="00C23349" w:rsidRDefault="00C23349">
            <w:pPr>
              <w:ind w:right="-108"/>
              <w:rPr>
                <w:rFonts w:cs="Arial"/>
                <w:b/>
                <w:bCs/>
                <w:color w:val="0000FF"/>
              </w:rPr>
            </w:pPr>
          </w:p>
        </w:tc>
        <w:tc>
          <w:tcPr>
            <w:tcW w:w="9360" w:type="dxa"/>
            <w:gridSpan w:val="6"/>
            <w:tcBorders>
              <w:top w:val="single" w:sz="4" w:space="0" w:color="auto"/>
            </w:tcBorders>
          </w:tcPr>
          <w:p w:rsidR="00C23349" w:rsidRPr="00DA080C" w:rsidRDefault="00C23349">
            <w:pPr>
              <w:rPr>
                <w:rFonts w:cs="Arial"/>
                <w:szCs w:val="20"/>
              </w:rPr>
            </w:pPr>
          </w:p>
        </w:tc>
      </w:tr>
      <w:tr w:rsidR="00C23349" w:rsidTr="008A2E76">
        <w:trPr>
          <w:trHeight w:val="539"/>
          <w:tblHeader/>
        </w:trPr>
        <w:tc>
          <w:tcPr>
            <w:tcW w:w="1800" w:type="dxa"/>
            <w:tcBorders>
              <w:right w:val="single" w:sz="4" w:space="0" w:color="auto"/>
            </w:tcBorders>
          </w:tcPr>
          <w:p w:rsidR="00C23349" w:rsidRDefault="00C23349" w:rsidP="00EB0635">
            <w:pPr>
              <w:ind w:right="-108"/>
              <w:rPr>
                <w:rFonts w:cs="Arial"/>
                <w:b/>
                <w:bCs/>
                <w:color w:val="0000FF"/>
              </w:rPr>
            </w:pPr>
            <w:r>
              <w:rPr>
                <w:rFonts w:cs="Arial"/>
                <w:b/>
                <w:bCs/>
                <w:color w:val="0000FF"/>
              </w:rPr>
              <w:t xml:space="preserve">Preparing </w:t>
            </w:r>
            <w:r w:rsidR="00DA080C">
              <w:rPr>
                <w:rFonts w:cs="Arial"/>
                <w:b/>
                <w:bCs/>
                <w:color w:val="0000FF"/>
              </w:rPr>
              <w:t>/L</w:t>
            </w:r>
            <w:r w:rsidR="00D50F5C">
              <w:rPr>
                <w:rFonts w:cs="Arial"/>
                <w:b/>
                <w:bCs/>
                <w:color w:val="0000FF"/>
              </w:rPr>
              <w:t xml:space="preserve">oading </w:t>
            </w:r>
            <w:r>
              <w:rPr>
                <w:rFonts w:cs="Arial"/>
                <w:b/>
                <w:bCs/>
                <w:color w:val="0000FF"/>
              </w:rPr>
              <w:t xml:space="preserve">the Reagent </w:t>
            </w:r>
            <w:r w:rsidR="00EB0635">
              <w:rPr>
                <w:rFonts w:cs="Arial"/>
                <w:b/>
                <w:bCs/>
                <w:color w:val="0000FF"/>
              </w:rPr>
              <w:t>Cartridges</w:t>
            </w:r>
          </w:p>
        </w:tc>
        <w:tc>
          <w:tcPr>
            <w:tcW w:w="900" w:type="dxa"/>
            <w:tcBorders>
              <w:top w:val="single" w:sz="4" w:space="0" w:color="auto"/>
              <w:left w:val="single" w:sz="4" w:space="0" w:color="auto"/>
              <w:bottom w:val="single" w:sz="4" w:space="0" w:color="auto"/>
              <w:right w:val="single" w:sz="4" w:space="0" w:color="auto"/>
            </w:tcBorders>
          </w:tcPr>
          <w:p w:rsidR="00C23349" w:rsidRDefault="00C23349">
            <w:pPr>
              <w:pStyle w:val="Default"/>
              <w:rPr>
                <w:rFonts w:ascii="Arial" w:hAnsi="Arial" w:cs="Arial"/>
                <w:color w:val="0000FF"/>
                <w:sz w:val="20"/>
                <w:szCs w:val="23"/>
              </w:rPr>
            </w:pPr>
            <w:r>
              <w:rPr>
                <w:rFonts w:ascii="Arial" w:hAnsi="Arial" w:cs="Arial"/>
                <w:b/>
                <w:bCs/>
                <w:color w:val="0000FF"/>
                <w:sz w:val="20"/>
                <w:szCs w:val="23"/>
              </w:rPr>
              <w:t xml:space="preserve">STEP </w:t>
            </w:r>
          </w:p>
        </w:tc>
        <w:tc>
          <w:tcPr>
            <w:tcW w:w="8460" w:type="dxa"/>
            <w:gridSpan w:val="5"/>
            <w:tcBorders>
              <w:top w:val="single" w:sz="4" w:space="0" w:color="auto"/>
              <w:left w:val="single" w:sz="4" w:space="0" w:color="auto"/>
              <w:bottom w:val="single" w:sz="4" w:space="0" w:color="auto"/>
              <w:right w:val="single" w:sz="4" w:space="0" w:color="auto"/>
            </w:tcBorders>
          </w:tcPr>
          <w:p w:rsidR="00C23349" w:rsidRPr="00DA080C" w:rsidRDefault="00C23349">
            <w:pPr>
              <w:pStyle w:val="Default"/>
              <w:rPr>
                <w:rFonts w:ascii="Arial" w:hAnsi="Arial" w:cs="Arial"/>
                <w:color w:val="0000FF"/>
                <w:sz w:val="20"/>
                <w:szCs w:val="20"/>
              </w:rPr>
            </w:pPr>
            <w:r w:rsidRPr="00DA080C">
              <w:rPr>
                <w:rFonts w:ascii="Arial" w:hAnsi="Arial" w:cs="Arial"/>
                <w:b/>
                <w:bCs/>
                <w:color w:val="0000FF"/>
                <w:sz w:val="20"/>
                <w:szCs w:val="20"/>
              </w:rPr>
              <w:t xml:space="preserve">ACTION </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C23349">
            <w:pPr>
              <w:pStyle w:val="Default"/>
              <w:numPr>
                <w:ilvl w:val="0"/>
                <w:numId w:val="15"/>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tcPr>
          <w:p w:rsidR="00EB0635" w:rsidRPr="00DA080C" w:rsidRDefault="00EB0635" w:rsidP="00EB0635">
            <w:pPr>
              <w:pStyle w:val="Default"/>
              <w:rPr>
                <w:rFonts w:ascii="Arial" w:hAnsi="Arial" w:cs="Arial"/>
                <w:sz w:val="20"/>
                <w:szCs w:val="20"/>
              </w:rPr>
            </w:pPr>
            <w:r w:rsidRPr="00DA080C">
              <w:rPr>
                <w:rFonts w:ascii="Arial" w:hAnsi="Arial" w:cs="Arial"/>
                <w:sz w:val="20"/>
                <w:szCs w:val="20"/>
              </w:rPr>
              <w:t>Preparing Reagent R1:</w:t>
            </w:r>
          </w:p>
          <w:p w:rsidR="00EB0635" w:rsidRPr="00DA080C" w:rsidRDefault="008A2E76" w:rsidP="00EB0635">
            <w:pPr>
              <w:pStyle w:val="Default"/>
              <w:numPr>
                <w:ilvl w:val="0"/>
                <w:numId w:val="20"/>
              </w:numPr>
              <w:rPr>
                <w:rFonts w:ascii="Arial" w:hAnsi="Arial" w:cs="Arial"/>
                <w:sz w:val="20"/>
                <w:szCs w:val="20"/>
              </w:rPr>
            </w:pPr>
            <w:r>
              <w:rPr>
                <w:rFonts w:ascii="Arial" w:hAnsi="Arial" w:cs="Arial"/>
                <w:sz w:val="20"/>
                <w:szCs w:val="20"/>
              </w:rPr>
              <w:t xml:space="preserve">Obtain a small 20 </w:t>
            </w:r>
            <w:r w:rsidR="00EB0635" w:rsidRPr="00DA080C">
              <w:rPr>
                <w:rFonts w:ascii="Arial" w:hAnsi="Arial" w:cs="Arial"/>
                <w:sz w:val="20"/>
                <w:szCs w:val="20"/>
              </w:rPr>
              <w:t>mL cartridge</w:t>
            </w:r>
          </w:p>
          <w:p w:rsidR="00EB0635" w:rsidRPr="00DA080C" w:rsidRDefault="00EB0635" w:rsidP="00EB0635">
            <w:pPr>
              <w:pStyle w:val="Default"/>
              <w:numPr>
                <w:ilvl w:val="0"/>
                <w:numId w:val="20"/>
              </w:numPr>
              <w:rPr>
                <w:rFonts w:ascii="Arial" w:hAnsi="Arial" w:cs="Arial"/>
                <w:sz w:val="20"/>
                <w:szCs w:val="20"/>
              </w:rPr>
            </w:pPr>
            <w:r w:rsidRPr="00DA080C">
              <w:rPr>
                <w:rFonts w:ascii="Arial" w:hAnsi="Arial" w:cs="Arial"/>
                <w:sz w:val="20"/>
                <w:szCs w:val="20"/>
              </w:rPr>
              <w:t>Label cartridge with Assay name, Lot number, R1 and date made</w:t>
            </w:r>
          </w:p>
          <w:p w:rsidR="00EB0635" w:rsidRPr="00DA080C" w:rsidRDefault="008A2E76" w:rsidP="008A2E76">
            <w:pPr>
              <w:pStyle w:val="Default"/>
              <w:numPr>
                <w:ilvl w:val="0"/>
                <w:numId w:val="20"/>
              </w:numPr>
              <w:rPr>
                <w:rFonts w:ascii="Arial" w:hAnsi="Arial" w:cs="Arial"/>
                <w:sz w:val="20"/>
                <w:szCs w:val="20"/>
              </w:rPr>
            </w:pPr>
            <w:r>
              <w:rPr>
                <w:rFonts w:ascii="Arial" w:hAnsi="Arial" w:cs="Arial"/>
                <w:sz w:val="20"/>
                <w:szCs w:val="20"/>
              </w:rPr>
              <w:t xml:space="preserve">Pour one full 13 </w:t>
            </w:r>
            <w:r w:rsidR="00EB0635" w:rsidRPr="00DA080C">
              <w:rPr>
                <w:rFonts w:ascii="Arial" w:hAnsi="Arial" w:cs="Arial"/>
                <w:sz w:val="20"/>
                <w:szCs w:val="20"/>
              </w:rPr>
              <w:t xml:space="preserve">mL </w:t>
            </w:r>
            <w:r>
              <w:rPr>
                <w:rFonts w:ascii="Arial" w:hAnsi="Arial" w:cs="Arial"/>
                <w:sz w:val="20"/>
                <w:szCs w:val="20"/>
              </w:rPr>
              <w:t xml:space="preserve">bottle of R1 into the small 20 </w:t>
            </w:r>
            <w:r w:rsidR="00EB0635" w:rsidRPr="00DA080C">
              <w:rPr>
                <w:rFonts w:ascii="Arial" w:hAnsi="Arial" w:cs="Arial"/>
                <w:sz w:val="20"/>
                <w:szCs w:val="20"/>
              </w:rPr>
              <w:t>mL cartridge</w:t>
            </w:r>
          </w:p>
        </w:tc>
      </w:tr>
      <w:tr w:rsidR="00C23349" w:rsidTr="00262974">
        <w:trPr>
          <w:cantSplit/>
          <w:trHeight w:val="49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Default="00EB0635" w:rsidP="00EB0635">
            <w:pPr>
              <w:pStyle w:val="Default"/>
              <w:rPr>
                <w:rFonts w:ascii="Arial" w:hAnsi="Arial" w:cs="Arial"/>
                <w:sz w:val="20"/>
                <w:szCs w:val="20"/>
              </w:rPr>
            </w:pPr>
            <w:r w:rsidRPr="00DA080C">
              <w:rPr>
                <w:rFonts w:ascii="Arial" w:hAnsi="Arial" w:cs="Arial"/>
                <w:sz w:val="20"/>
                <w:szCs w:val="20"/>
              </w:rPr>
              <w:t>Preparing Reagent R2</w:t>
            </w:r>
          </w:p>
          <w:p w:rsidR="008A2E76" w:rsidRPr="00DA080C" w:rsidRDefault="008A2E76" w:rsidP="008A2E76">
            <w:pPr>
              <w:pStyle w:val="Default"/>
              <w:numPr>
                <w:ilvl w:val="0"/>
                <w:numId w:val="21"/>
              </w:numPr>
              <w:rPr>
                <w:rFonts w:ascii="Arial" w:hAnsi="Arial" w:cs="Arial"/>
                <w:sz w:val="20"/>
                <w:szCs w:val="20"/>
              </w:rPr>
            </w:pPr>
            <w:r>
              <w:rPr>
                <w:rFonts w:ascii="Arial" w:hAnsi="Arial" w:cs="Arial"/>
                <w:sz w:val="20"/>
                <w:szCs w:val="20"/>
              </w:rPr>
              <w:t>Mix by inversion gently and completely, avoiding bubbles and foam</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Obtain a 20mL cartridge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Label cartridge with Assay name, Lot number, R2 and date made</w:t>
            </w:r>
          </w:p>
          <w:p w:rsidR="00EB0635" w:rsidRPr="00DA080C" w:rsidRDefault="00EB0635" w:rsidP="00EB0635">
            <w:pPr>
              <w:pStyle w:val="Default"/>
              <w:numPr>
                <w:ilvl w:val="0"/>
                <w:numId w:val="21"/>
              </w:numPr>
              <w:rPr>
                <w:rFonts w:ascii="Arial" w:hAnsi="Arial" w:cs="Arial"/>
                <w:sz w:val="20"/>
                <w:szCs w:val="20"/>
              </w:rPr>
            </w:pPr>
            <w:r w:rsidRPr="00DA080C">
              <w:rPr>
                <w:rFonts w:ascii="Arial" w:hAnsi="Arial" w:cs="Arial"/>
                <w:sz w:val="20"/>
                <w:szCs w:val="20"/>
              </w:rPr>
              <w:t>Pour 7mL of R2 into the 20mL Cartridge</w:t>
            </w:r>
          </w:p>
        </w:tc>
      </w:tr>
      <w:tr w:rsidR="00C23349" w:rsidTr="00262974">
        <w:trPr>
          <w:cantSplit/>
          <w:trHeight w:val="764"/>
          <w:tblHeader/>
        </w:trPr>
        <w:tc>
          <w:tcPr>
            <w:tcW w:w="1800" w:type="dxa"/>
            <w:tcBorders>
              <w:right w:val="single" w:sz="4" w:space="0" w:color="auto"/>
            </w:tcBorders>
          </w:tcPr>
          <w:p w:rsidR="00C23349" w:rsidRDefault="00C23349">
            <w:pPr>
              <w:ind w:right="-108"/>
              <w:rPr>
                <w:rFonts w:cs="Arial"/>
                <w:b/>
                <w:bCs/>
                <w:color w:val="0000FF"/>
              </w:rPr>
            </w:pPr>
          </w:p>
        </w:tc>
        <w:tc>
          <w:tcPr>
            <w:tcW w:w="900" w:type="dxa"/>
            <w:tcBorders>
              <w:top w:val="single" w:sz="4" w:space="0" w:color="auto"/>
              <w:left w:val="single" w:sz="4" w:space="0" w:color="auto"/>
              <w:bottom w:val="single" w:sz="4" w:space="0" w:color="auto"/>
              <w:right w:val="single" w:sz="4" w:space="0" w:color="auto"/>
            </w:tcBorders>
          </w:tcPr>
          <w:p w:rsidR="00C23349" w:rsidRDefault="00C23349" w:rsidP="00EB0635">
            <w:pPr>
              <w:pStyle w:val="Default"/>
              <w:numPr>
                <w:ilvl w:val="0"/>
                <w:numId w:val="20"/>
              </w:numPr>
              <w:rPr>
                <w:rFonts w:ascii="Arial" w:hAnsi="Arial" w:cs="Arial"/>
                <w:sz w:val="20"/>
                <w:szCs w:val="23"/>
              </w:rPr>
            </w:pPr>
          </w:p>
        </w:tc>
        <w:tc>
          <w:tcPr>
            <w:tcW w:w="8460" w:type="dxa"/>
            <w:gridSpan w:val="5"/>
            <w:tcBorders>
              <w:top w:val="single" w:sz="4" w:space="0" w:color="auto"/>
              <w:left w:val="single" w:sz="4" w:space="0" w:color="auto"/>
              <w:bottom w:val="single" w:sz="4" w:space="0" w:color="auto"/>
              <w:right w:val="single" w:sz="4" w:space="0" w:color="auto"/>
            </w:tcBorders>
            <w:vAlign w:val="center"/>
          </w:tcPr>
          <w:p w:rsidR="00C23349" w:rsidRPr="00DA080C" w:rsidRDefault="00825626">
            <w:pPr>
              <w:pStyle w:val="Default"/>
              <w:rPr>
                <w:rFonts w:ascii="Arial" w:hAnsi="Arial" w:cs="Arial"/>
                <w:sz w:val="20"/>
                <w:szCs w:val="20"/>
              </w:rPr>
            </w:pPr>
            <w:r w:rsidRPr="00DA080C">
              <w:rPr>
                <w:rFonts w:ascii="Arial" w:hAnsi="Arial" w:cs="Arial"/>
                <w:sz w:val="20"/>
                <w:szCs w:val="20"/>
              </w:rPr>
              <w:t>Refer to the operating procedure for instructions on how to Configure and load the reagent in the following sections</w:t>
            </w:r>
            <w:r w:rsidR="00EB0635" w:rsidRPr="00DA080C">
              <w:rPr>
                <w:rFonts w:ascii="Arial" w:hAnsi="Arial" w:cs="Arial"/>
                <w:sz w:val="20"/>
                <w:szCs w:val="20"/>
              </w:rPr>
              <w:t xml:space="preserve"> </w:t>
            </w:r>
            <w:bookmarkStart w:id="1" w:name="Configurationnonbarcodedreagent"/>
            <w:r w:rsidR="00EB0635" w:rsidRPr="00DA080C">
              <w:rPr>
                <w:rFonts w:ascii="Arial" w:hAnsi="Arial" w:cs="Arial"/>
                <w:b/>
                <w:bCs/>
                <w:color w:val="0000FF"/>
                <w:sz w:val="20"/>
                <w:szCs w:val="20"/>
              </w:rPr>
              <w:t xml:space="preserve">Configuration </w:t>
            </w:r>
            <w:bookmarkEnd w:id="1"/>
            <w:r w:rsidR="00EB0635" w:rsidRPr="00DA080C">
              <w:rPr>
                <w:rFonts w:ascii="Arial" w:hAnsi="Arial" w:cs="Arial"/>
                <w:b/>
                <w:bCs/>
                <w:color w:val="0000FF"/>
                <w:sz w:val="20"/>
                <w:szCs w:val="20"/>
              </w:rPr>
              <w:t xml:space="preserve">of Non-barcoded Reagents and Diluents and </w:t>
            </w:r>
            <w:bookmarkStart w:id="2" w:name="Loadingnonbarcodedreagent"/>
            <w:r w:rsidRPr="00DA080C">
              <w:rPr>
                <w:rFonts w:ascii="Arial" w:hAnsi="Arial" w:cs="Arial"/>
                <w:b/>
                <w:bCs/>
                <w:color w:val="0000FF"/>
                <w:sz w:val="20"/>
                <w:szCs w:val="20"/>
              </w:rPr>
              <w:t xml:space="preserve">Loading </w:t>
            </w:r>
            <w:bookmarkEnd w:id="2"/>
            <w:r w:rsidRPr="00DA080C">
              <w:rPr>
                <w:rFonts w:ascii="Arial" w:hAnsi="Arial" w:cs="Arial"/>
                <w:b/>
                <w:bCs/>
                <w:color w:val="0000FF"/>
                <w:sz w:val="20"/>
                <w:szCs w:val="20"/>
              </w:rPr>
              <w:t>Non-barcoded Reagent</w:t>
            </w:r>
          </w:p>
        </w:tc>
      </w:tr>
      <w:tr w:rsidR="00C23349" w:rsidTr="00262974">
        <w:trPr>
          <w:tblHeader/>
        </w:trPr>
        <w:tc>
          <w:tcPr>
            <w:tcW w:w="1800" w:type="dxa"/>
          </w:tcPr>
          <w:p w:rsidR="00C23349" w:rsidRDefault="00C23349" w:rsidP="008635DD">
            <w:pPr>
              <w:ind w:right="-108"/>
              <w:rPr>
                <w:rFonts w:cs="Arial"/>
                <w:b/>
                <w:bCs/>
                <w:color w:val="0000FF"/>
              </w:rPr>
            </w:pPr>
            <w:r>
              <w:rPr>
                <w:rFonts w:cs="Arial"/>
                <w:b/>
                <w:bCs/>
                <w:color w:val="0000FF"/>
              </w:rPr>
              <w:t>Calibration</w:t>
            </w:r>
          </w:p>
        </w:tc>
        <w:tc>
          <w:tcPr>
            <w:tcW w:w="9360" w:type="dxa"/>
            <w:gridSpan w:val="6"/>
            <w:tcBorders>
              <w:top w:val="single" w:sz="4" w:space="0" w:color="auto"/>
              <w:bottom w:val="single" w:sz="4" w:space="0" w:color="auto"/>
            </w:tcBorders>
          </w:tcPr>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163"/>
              <w:gridCol w:w="6120"/>
              <w:gridCol w:w="152"/>
            </w:tblGrid>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Assay Range:</w:t>
                  </w:r>
                </w:p>
              </w:tc>
              <w:tc>
                <w:tcPr>
                  <w:tcW w:w="6272" w:type="dxa"/>
                  <w:gridSpan w:val="2"/>
                </w:tcPr>
                <w:p w:rsidR="00C23349" w:rsidRPr="00DA080C" w:rsidRDefault="008A2E76">
                  <w:pPr>
                    <w:pStyle w:val="CalVerTable"/>
                    <w:ind w:left="0" w:firstLine="0"/>
                    <w:rPr>
                      <w:rFonts w:ascii="Arial" w:hAnsi="Arial" w:cs="Arial"/>
                    </w:rPr>
                  </w:pPr>
                  <w:r>
                    <w:rPr>
                      <w:rFonts w:ascii="Arial" w:hAnsi="Arial" w:cs="Arial"/>
                    </w:rPr>
                    <w:t>25 to 1000 IU</w:t>
                  </w:r>
                  <w:r w:rsidR="00C23349" w:rsidRPr="00DA080C">
                    <w:rPr>
                      <w:rFonts w:ascii="Arial" w:hAnsi="Arial" w:cs="Arial"/>
                    </w:rPr>
                    <w:t>/mL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Reference Material:</w:t>
                  </w:r>
                </w:p>
              </w:tc>
              <w:tc>
                <w:tcPr>
                  <w:tcW w:w="6272" w:type="dxa"/>
                  <w:gridSpan w:val="2"/>
                </w:tcPr>
                <w:p w:rsidR="00C23349" w:rsidRPr="00DA080C" w:rsidRDefault="008A2E76">
                  <w:pPr>
                    <w:pStyle w:val="Header"/>
                    <w:tabs>
                      <w:tab w:val="clear" w:pos="4320"/>
                      <w:tab w:val="clear" w:pos="8640"/>
                    </w:tabs>
                    <w:autoSpaceDE w:val="0"/>
                    <w:autoSpaceDN w:val="0"/>
                    <w:adjustRightInd w:val="0"/>
                    <w:rPr>
                      <w:rFonts w:cs="Arial"/>
                      <w:szCs w:val="20"/>
                    </w:rPr>
                  </w:pPr>
                  <w:r>
                    <w:rPr>
                      <w:rFonts w:cs="Arial"/>
                      <w:szCs w:val="20"/>
                    </w:rPr>
                    <w:t>QUANTIA IgE Calibrators</w:t>
                  </w:r>
                </w:p>
                <w:p w:rsidR="00C23349" w:rsidRPr="00DA080C" w:rsidRDefault="00C23349">
                  <w:pPr>
                    <w:pStyle w:val="Header"/>
                    <w:tabs>
                      <w:tab w:val="clear" w:pos="4320"/>
                      <w:tab w:val="clear" w:pos="8640"/>
                    </w:tabs>
                    <w:autoSpaceDE w:val="0"/>
                    <w:autoSpaceDN w:val="0"/>
                    <w:adjustRightInd w:val="0"/>
                    <w:rPr>
                      <w:rFonts w:cs="Arial"/>
                      <w:szCs w:val="20"/>
                    </w:rPr>
                  </w:pP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Suggested Calibration Levels:</w:t>
                  </w:r>
                </w:p>
              </w:tc>
              <w:tc>
                <w:tcPr>
                  <w:tcW w:w="6272" w:type="dxa"/>
                  <w:gridSpan w:val="2"/>
                </w:tcPr>
                <w:p w:rsidR="00D50F5C" w:rsidRPr="00DA080C" w:rsidRDefault="00D50F5C">
                  <w:pPr>
                    <w:autoSpaceDE w:val="0"/>
                    <w:autoSpaceDN w:val="0"/>
                    <w:adjustRightInd w:val="0"/>
                    <w:spacing w:after="120"/>
                    <w:rPr>
                      <w:rFonts w:cs="Arial"/>
                      <w:b/>
                      <w:bCs/>
                      <w:szCs w:val="20"/>
                    </w:rPr>
                  </w:pPr>
                  <w:r w:rsidRPr="00DA080C">
                    <w:rPr>
                      <w:rFonts w:cs="Arial"/>
                      <w:b/>
                      <w:bCs/>
                      <w:szCs w:val="20"/>
                    </w:rPr>
                    <w:t>A</w:t>
                  </w:r>
                  <w:r w:rsidRPr="00DA080C">
                    <w:rPr>
                      <w:rFonts w:cs="Arial"/>
                      <w:b/>
                      <w:bCs/>
                      <w:szCs w:val="20"/>
                    </w:rPr>
                    <w:tab/>
                  </w:r>
                  <w:r w:rsidR="00AD1920">
                    <w:rPr>
                      <w:rFonts w:cs="Arial"/>
                      <w:bCs/>
                      <w:szCs w:val="20"/>
                    </w:rPr>
                    <w:t>50</w:t>
                  </w:r>
                  <w:r w:rsidRPr="00DA080C">
                    <w:rPr>
                      <w:rFonts w:cs="Arial"/>
                      <w:b/>
                      <w:bCs/>
                      <w:szCs w:val="20"/>
                    </w:rPr>
                    <w:t xml:space="preserve"> </w:t>
                  </w:r>
                  <w:r w:rsidR="00AD1920">
                    <w:rPr>
                      <w:rFonts w:cs="Arial"/>
                      <w:szCs w:val="20"/>
                    </w:rPr>
                    <w:t>IU/mL 1 X 1</w:t>
                  </w:r>
                  <w:r w:rsidRPr="00DA080C">
                    <w:rPr>
                      <w:rFonts w:cs="Arial"/>
                      <w:szCs w:val="20"/>
                    </w:rPr>
                    <w:t xml:space="preserve">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B </w:t>
                  </w:r>
                  <w:r w:rsidRPr="00DA080C">
                    <w:rPr>
                      <w:rFonts w:cs="Arial"/>
                      <w:b/>
                      <w:bCs/>
                      <w:szCs w:val="20"/>
                    </w:rPr>
                    <w:tab/>
                  </w:r>
                  <w:r w:rsidR="00AD1920">
                    <w:rPr>
                      <w:rFonts w:cs="Arial"/>
                      <w:szCs w:val="20"/>
                    </w:rPr>
                    <w:t>100 IU/mL 1 X 1</w:t>
                  </w:r>
                  <w:r w:rsidRPr="00DA080C">
                    <w:rPr>
                      <w:rFonts w:cs="Arial"/>
                      <w:szCs w:val="20"/>
                    </w:rPr>
                    <w:t xml:space="preserve">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C </w:t>
                  </w:r>
                  <w:r w:rsidRPr="00DA080C">
                    <w:rPr>
                      <w:rFonts w:cs="Arial"/>
                      <w:b/>
                      <w:bCs/>
                      <w:szCs w:val="20"/>
                    </w:rPr>
                    <w:tab/>
                  </w:r>
                  <w:r w:rsidR="00AD1920">
                    <w:rPr>
                      <w:rFonts w:cs="Arial"/>
                      <w:szCs w:val="20"/>
                    </w:rPr>
                    <w:t>200 IU/mL 1 X 1</w:t>
                  </w:r>
                  <w:r w:rsidRPr="00DA080C">
                    <w:rPr>
                      <w:rFonts w:cs="Arial"/>
                      <w:szCs w:val="20"/>
                    </w:rPr>
                    <w:t xml:space="preserve"> mL</w:t>
                  </w:r>
                </w:p>
                <w:p w:rsidR="00C23349" w:rsidRPr="00DA080C" w:rsidRDefault="00C23349">
                  <w:pPr>
                    <w:autoSpaceDE w:val="0"/>
                    <w:autoSpaceDN w:val="0"/>
                    <w:adjustRightInd w:val="0"/>
                    <w:spacing w:after="120"/>
                    <w:rPr>
                      <w:rFonts w:cs="Arial"/>
                      <w:szCs w:val="20"/>
                    </w:rPr>
                  </w:pPr>
                  <w:r w:rsidRPr="00DA080C">
                    <w:rPr>
                      <w:rFonts w:cs="Arial"/>
                      <w:b/>
                      <w:bCs/>
                      <w:szCs w:val="20"/>
                    </w:rPr>
                    <w:t xml:space="preserve">D </w:t>
                  </w:r>
                  <w:r w:rsidRPr="00DA080C">
                    <w:rPr>
                      <w:rFonts w:cs="Arial"/>
                      <w:b/>
                      <w:bCs/>
                      <w:szCs w:val="20"/>
                    </w:rPr>
                    <w:tab/>
                  </w:r>
                  <w:r w:rsidR="00AD1920">
                    <w:rPr>
                      <w:rFonts w:cs="Arial"/>
                      <w:szCs w:val="20"/>
                    </w:rPr>
                    <w:t>500 IU/mL 1 X 1</w:t>
                  </w:r>
                  <w:r w:rsidRPr="00DA080C">
                    <w:rPr>
                      <w:rFonts w:cs="Arial"/>
                      <w:szCs w:val="20"/>
                    </w:rPr>
                    <w:t xml:space="preserve"> mL</w:t>
                  </w:r>
                </w:p>
                <w:p w:rsidR="00C23349" w:rsidRPr="00AD1920" w:rsidRDefault="00C23349" w:rsidP="00AD1920">
                  <w:pPr>
                    <w:autoSpaceDE w:val="0"/>
                    <w:autoSpaceDN w:val="0"/>
                    <w:adjustRightInd w:val="0"/>
                    <w:spacing w:after="120"/>
                    <w:rPr>
                      <w:rFonts w:cs="Arial"/>
                      <w:szCs w:val="20"/>
                    </w:rPr>
                  </w:pPr>
                  <w:r w:rsidRPr="00DA080C">
                    <w:rPr>
                      <w:rFonts w:cs="Arial"/>
                      <w:b/>
                      <w:bCs/>
                      <w:szCs w:val="20"/>
                    </w:rPr>
                    <w:t xml:space="preserve">E </w:t>
                  </w:r>
                  <w:r w:rsidRPr="00DA080C">
                    <w:rPr>
                      <w:rFonts w:cs="Arial"/>
                      <w:b/>
                      <w:bCs/>
                      <w:szCs w:val="20"/>
                    </w:rPr>
                    <w:tab/>
                  </w:r>
                  <w:r w:rsidR="00AD1920">
                    <w:rPr>
                      <w:rFonts w:cs="Arial"/>
                      <w:szCs w:val="20"/>
                    </w:rPr>
                    <w:t>1000 IU/mL 1 X 1</w:t>
                  </w:r>
                  <w:r w:rsidRPr="00DA080C">
                    <w:rPr>
                      <w:rFonts w:cs="Arial"/>
                      <w:szCs w:val="20"/>
                    </w:rPr>
                    <w:t xml:space="preserve"> mL</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Scheme:</w:t>
                  </w:r>
                </w:p>
              </w:tc>
              <w:tc>
                <w:tcPr>
                  <w:tcW w:w="6272" w:type="dxa"/>
                  <w:gridSpan w:val="2"/>
                </w:tcPr>
                <w:p w:rsidR="00C23349" w:rsidRPr="00DA080C" w:rsidRDefault="00AD1920">
                  <w:pPr>
                    <w:pStyle w:val="CalVerTable"/>
                    <w:ind w:left="0" w:firstLine="0"/>
                    <w:rPr>
                      <w:rFonts w:ascii="Arial" w:hAnsi="Arial" w:cs="Arial"/>
                    </w:rPr>
                  </w:pPr>
                  <w:r>
                    <w:rPr>
                      <w:rFonts w:ascii="Arial" w:hAnsi="Arial" w:cs="Arial"/>
                    </w:rPr>
                    <w:t>Five</w:t>
                  </w:r>
                  <w:r w:rsidR="00C23349" w:rsidRPr="00DA080C">
                    <w:rPr>
                      <w:rFonts w:ascii="Arial" w:hAnsi="Arial" w:cs="Arial"/>
                    </w:rPr>
                    <w:t xml:space="preserve"> levels in duplicate</w:t>
                  </w:r>
                </w:p>
              </w:tc>
            </w:tr>
            <w:tr w:rsidR="00C23349" w:rsidRPr="00DA080C">
              <w:tc>
                <w:tcPr>
                  <w:tcW w:w="2947" w:type="dxa"/>
                  <w:gridSpan w:val="2"/>
                </w:tcPr>
                <w:p w:rsidR="00C23349" w:rsidRPr="00DA080C" w:rsidRDefault="00C23349">
                  <w:pPr>
                    <w:pStyle w:val="CalVerTable"/>
                    <w:ind w:left="0" w:firstLine="0"/>
                    <w:rPr>
                      <w:rFonts w:ascii="Arial" w:hAnsi="Arial" w:cs="Arial"/>
                    </w:rPr>
                  </w:pPr>
                  <w:r w:rsidRPr="00DA080C">
                    <w:rPr>
                      <w:rFonts w:ascii="Arial" w:hAnsi="Arial" w:cs="Arial"/>
                    </w:rPr>
                    <w:t>Calibration Frequency:</w:t>
                  </w:r>
                </w:p>
              </w:tc>
              <w:tc>
                <w:tcPr>
                  <w:tcW w:w="6272" w:type="dxa"/>
                  <w:gridSpan w:val="2"/>
                </w:tcPr>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a new lot number of reagents is used</w:t>
                  </w:r>
                </w:p>
                <w:p w:rsidR="00C23349" w:rsidRPr="00DA080C" w:rsidRDefault="00C23349" w:rsidP="00C23349">
                  <w:pPr>
                    <w:numPr>
                      <w:ilvl w:val="0"/>
                      <w:numId w:val="8"/>
                    </w:numPr>
                    <w:autoSpaceDE w:val="0"/>
                    <w:autoSpaceDN w:val="0"/>
                    <w:adjustRightInd w:val="0"/>
                    <w:rPr>
                      <w:rFonts w:cs="Arial"/>
                      <w:szCs w:val="20"/>
                    </w:rPr>
                  </w:pPr>
                  <w:r w:rsidRPr="00DA080C">
                    <w:rPr>
                      <w:rFonts w:cs="Arial"/>
                      <w:szCs w:val="20"/>
                    </w:rPr>
                    <w:t>Whenever indicated by quality control results</w:t>
                  </w:r>
                </w:p>
                <w:p w:rsidR="00C23349" w:rsidRPr="00DA080C" w:rsidRDefault="00C23349" w:rsidP="00C23349">
                  <w:pPr>
                    <w:pStyle w:val="Pa20"/>
                    <w:numPr>
                      <w:ilvl w:val="0"/>
                      <w:numId w:val="8"/>
                    </w:numPr>
                    <w:rPr>
                      <w:rFonts w:ascii="Arial" w:hAnsi="Arial" w:cs="Arial"/>
                      <w:sz w:val="20"/>
                      <w:szCs w:val="20"/>
                    </w:rPr>
                  </w:pPr>
                  <w:r w:rsidRPr="00DA080C">
                    <w:rPr>
                      <w:rFonts w:ascii="Arial" w:hAnsi="Arial" w:cs="Arial"/>
                      <w:sz w:val="20"/>
                      <w:szCs w:val="20"/>
                    </w:rPr>
                    <w:t>Whenever required by standard laboratory protocols</w:t>
                  </w:r>
                </w:p>
                <w:p w:rsidR="00C23349" w:rsidRPr="00DA080C" w:rsidRDefault="00C23349" w:rsidP="00C23349">
                  <w:pPr>
                    <w:numPr>
                      <w:ilvl w:val="0"/>
                      <w:numId w:val="8"/>
                    </w:numPr>
                    <w:rPr>
                      <w:rFonts w:cs="Arial"/>
                      <w:szCs w:val="20"/>
                    </w:rPr>
                  </w:pPr>
                  <w:r w:rsidRPr="00DA080C">
                    <w:rPr>
                      <w:rFonts w:cs="Arial"/>
                      <w:szCs w:val="20"/>
                    </w:rPr>
                    <w:t xml:space="preserve">Once every </w:t>
                  </w:r>
                  <w:r w:rsidR="00D50F5C" w:rsidRPr="00DA080C">
                    <w:rPr>
                      <w:rFonts w:cs="Arial"/>
                      <w:szCs w:val="20"/>
                    </w:rPr>
                    <w:t>960</w:t>
                  </w:r>
                  <w:r w:rsidRPr="00DA080C">
                    <w:rPr>
                      <w:rFonts w:cs="Arial"/>
                      <w:szCs w:val="20"/>
                    </w:rPr>
                    <w:t xml:space="preserve"> </w:t>
                  </w:r>
                  <w:r w:rsidR="00D50F5C" w:rsidRPr="00DA080C">
                    <w:rPr>
                      <w:rFonts w:cs="Arial"/>
                      <w:szCs w:val="20"/>
                    </w:rPr>
                    <w:t>hours</w:t>
                  </w:r>
                </w:p>
                <w:p w:rsidR="00C23349" w:rsidRPr="00DA080C" w:rsidRDefault="00C23349">
                  <w:pPr>
                    <w:autoSpaceDE w:val="0"/>
                    <w:autoSpaceDN w:val="0"/>
                    <w:adjustRightInd w:val="0"/>
                    <w:rPr>
                      <w:rFonts w:cs="Arial"/>
                      <w:szCs w:val="20"/>
                    </w:rPr>
                  </w:pPr>
                </w:p>
              </w:tc>
            </w:tr>
            <w:tr w:rsidR="00C23349" w:rsidRPr="00DA080C">
              <w:trPr>
                <w:trHeight w:val="1196"/>
              </w:trPr>
              <w:tc>
                <w:tcPr>
                  <w:tcW w:w="2947" w:type="dxa"/>
                  <w:gridSpan w:val="2"/>
                </w:tcPr>
                <w:p w:rsidR="00C23349" w:rsidRPr="00DA080C" w:rsidRDefault="00C23349">
                  <w:pPr>
                    <w:rPr>
                      <w:rFonts w:cs="Arial"/>
                      <w:szCs w:val="20"/>
                    </w:rPr>
                  </w:pPr>
                  <w:r w:rsidRPr="00DA080C">
                    <w:rPr>
                      <w:rFonts w:cs="Arial"/>
                      <w:szCs w:val="20"/>
                    </w:rPr>
                    <w:t>Analytical Measuring Range</w:t>
                  </w:r>
                </w:p>
              </w:tc>
              <w:tc>
                <w:tcPr>
                  <w:tcW w:w="6272" w:type="dxa"/>
                  <w:gridSpan w:val="2"/>
                </w:tcPr>
                <w:p w:rsidR="00C23349" w:rsidRPr="00DA080C" w:rsidRDefault="00AD1920">
                  <w:pPr>
                    <w:rPr>
                      <w:rFonts w:eastAsia="HelenPro-Cond" w:cs="Arial"/>
                      <w:szCs w:val="20"/>
                    </w:rPr>
                  </w:pPr>
                  <w:r>
                    <w:rPr>
                      <w:rFonts w:cs="Arial"/>
                      <w:szCs w:val="20"/>
                    </w:rPr>
                    <w:t>25 to 1000 IU</w:t>
                  </w:r>
                  <w:r w:rsidR="00C23349" w:rsidRPr="00DA080C">
                    <w:rPr>
                      <w:rFonts w:cs="Arial"/>
                      <w:szCs w:val="20"/>
                    </w:rPr>
                    <w:t>/mL</w:t>
                  </w:r>
                </w:p>
                <w:p w:rsidR="00C23349" w:rsidRPr="00DA080C" w:rsidRDefault="00C23349">
                  <w:pPr>
                    <w:rPr>
                      <w:rFonts w:eastAsia="HelenPro-Cond" w:cs="Arial"/>
                      <w:szCs w:val="20"/>
                    </w:rPr>
                  </w:pPr>
                  <w:r w:rsidRPr="00DA080C">
                    <w:rPr>
                      <w:rFonts w:eastAsia="HelenPro-Cond" w:cs="Arial"/>
                      <w:szCs w:val="20"/>
                    </w:rPr>
                    <w:t>The AMR is verifi</w:t>
                  </w:r>
                  <w:r w:rsidR="00D50F5C" w:rsidRPr="00DA080C">
                    <w:rPr>
                      <w:rFonts w:eastAsia="HelenPro-Cond" w:cs="Arial"/>
                      <w:szCs w:val="20"/>
                    </w:rPr>
                    <w:t>ed with each calibration using 6</w:t>
                  </w:r>
                  <w:r w:rsidRPr="00DA080C">
                    <w:rPr>
                      <w:rFonts w:eastAsia="HelenPro-Cond" w:cs="Arial"/>
                      <w:szCs w:val="20"/>
                    </w:rPr>
                    <w:t xml:space="preserve"> levels of calibrator that</w:t>
                  </w:r>
                  <w:r w:rsidR="00A659DE">
                    <w:rPr>
                      <w:rFonts w:eastAsia="HelenPro-Cond" w:cs="Arial"/>
                      <w:szCs w:val="20"/>
                    </w:rPr>
                    <w:t xml:space="preserve"> span the full reportable range. </w:t>
                  </w:r>
                  <w:r w:rsidRPr="00DA080C">
                    <w:rPr>
                      <w:rFonts w:eastAsia="HelenPro-Cond" w:cs="Arial"/>
                      <w:szCs w:val="20"/>
                    </w:rPr>
                    <w:t xml:space="preserve"> Further studies are not necessary.</w:t>
                  </w:r>
                </w:p>
                <w:p w:rsidR="00C23349" w:rsidRPr="00DA080C" w:rsidRDefault="00C23349">
                  <w:pPr>
                    <w:rPr>
                      <w:rFonts w:cs="Arial"/>
                      <w:szCs w:val="20"/>
                    </w:rPr>
                  </w:pPr>
                  <w:r w:rsidRPr="00DA080C">
                    <w:rPr>
                      <w:rFonts w:eastAsia="HelenPro-Cond" w:cs="Arial"/>
                      <w:szCs w:val="20"/>
                    </w:rPr>
                    <w:t xml:space="preserve"> </w:t>
                  </w:r>
                </w:p>
              </w:tc>
            </w:tr>
            <w:tr w:rsidR="00C23349" w:rsidRPr="00DA080C">
              <w:tblPrEx>
                <w:tblCellMar>
                  <w:left w:w="115" w:type="dxa"/>
                  <w:right w:w="115" w:type="dxa"/>
                </w:tblCellMar>
              </w:tblPrEx>
              <w:trPr>
                <w:gridAfter w:val="1"/>
                <w:wAfter w:w="152" w:type="dxa"/>
                <w:trHeight w:val="159"/>
              </w:trPr>
              <w:tc>
                <w:tcPr>
                  <w:tcW w:w="784" w:type="dxa"/>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c>
                <w:tcPr>
                  <w:tcW w:w="8283" w:type="dxa"/>
                  <w:gridSpan w:val="2"/>
                  <w:tcBorders>
                    <w:top w:val="nil"/>
                    <w:left w:val="nil"/>
                    <w:bottom w:val="single" w:sz="4" w:space="0" w:color="auto"/>
                    <w:right w:val="nil"/>
                  </w:tcBorders>
                </w:tcPr>
                <w:p w:rsidR="00C23349" w:rsidRPr="00DA080C" w:rsidRDefault="00C23349">
                  <w:pPr>
                    <w:pStyle w:val="Default"/>
                    <w:rPr>
                      <w:rFonts w:ascii="Arial" w:hAnsi="Arial" w:cs="Arial"/>
                      <w:b/>
                      <w:bCs/>
                      <w:sz w:val="20"/>
                      <w:szCs w:val="20"/>
                    </w:rPr>
                  </w:pPr>
                </w:p>
              </w:tc>
            </w:tr>
            <w:tr w:rsidR="00C23349" w:rsidRPr="00DA080C">
              <w:tblPrEx>
                <w:tblCellMar>
                  <w:left w:w="115" w:type="dxa"/>
                  <w:right w:w="115" w:type="dxa"/>
                </w:tblCellMar>
              </w:tblPrEx>
              <w:trPr>
                <w:gridAfter w:val="1"/>
                <w:wAfter w:w="152" w:type="dxa"/>
                <w:trHeight w:val="159"/>
              </w:trPr>
              <w:tc>
                <w:tcPr>
                  <w:tcW w:w="784" w:type="dxa"/>
                </w:tcPr>
                <w:p w:rsidR="00C23349" w:rsidRPr="00DA080C" w:rsidRDefault="00C23349" w:rsidP="00C23349">
                  <w:pPr>
                    <w:pStyle w:val="Default"/>
                    <w:numPr>
                      <w:ilvl w:val="0"/>
                      <w:numId w:val="4"/>
                    </w:numPr>
                    <w:rPr>
                      <w:rFonts w:ascii="Arial" w:hAnsi="Arial" w:cs="Arial"/>
                      <w:sz w:val="20"/>
                      <w:szCs w:val="20"/>
                    </w:rPr>
                  </w:pPr>
                </w:p>
              </w:tc>
              <w:tc>
                <w:tcPr>
                  <w:tcW w:w="8283" w:type="dxa"/>
                  <w:gridSpan w:val="2"/>
                </w:tcPr>
                <w:p w:rsidR="00C23349" w:rsidRPr="00DA080C" w:rsidRDefault="001C146E">
                  <w:pPr>
                    <w:pStyle w:val="Default"/>
                    <w:rPr>
                      <w:rFonts w:ascii="Arial" w:hAnsi="Arial" w:cs="Arial"/>
                      <w:sz w:val="20"/>
                      <w:szCs w:val="20"/>
                    </w:rPr>
                  </w:pPr>
                  <w:r w:rsidRPr="00DA080C">
                    <w:rPr>
                      <w:rFonts w:ascii="Arial" w:hAnsi="Arial" w:cs="Arial"/>
                      <w:sz w:val="20"/>
                      <w:szCs w:val="20"/>
                    </w:rPr>
                    <w:t xml:space="preserve">Refer to the calibration section of the CH 5.107 Abbott Architect c4000 Operating Procedure for programming </w:t>
                  </w:r>
                  <w:r w:rsidR="005C7C66" w:rsidRPr="00DA080C">
                    <w:rPr>
                      <w:rFonts w:ascii="Arial" w:hAnsi="Arial" w:cs="Arial"/>
                      <w:sz w:val="20"/>
                      <w:szCs w:val="20"/>
                    </w:rPr>
                    <w:t xml:space="preserve">and accepting </w:t>
                  </w:r>
                  <w:r w:rsidRPr="00DA080C">
                    <w:rPr>
                      <w:rFonts w:ascii="Arial" w:hAnsi="Arial" w:cs="Arial"/>
                      <w:sz w:val="20"/>
                      <w:szCs w:val="20"/>
                    </w:rPr>
                    <w:t>calibrations.</w:t>
                  </w:r>
                </w:p>
                <w:p w:rsidR="001C146E" w:rsidRPr="00DA080C" w:rsidRDefault="001C146E">
                  <w:pPr>
                    <w:pStyle w:val="Default"/>
                    <w:rPr>
                      <w:rFonts w:ascii="Arial" w:hAnsi="Arial" w:cs="Arial"/>
                      <w:sz w:val="20"/>
                      <w:szCs w:val="20"/>
                    </w:rPr>
                  </w:pPr>
                </w:p>
              </w:tc>
            </w:tr>
          </w:tbl>
          <w:p w:rsidR="00C23349" w:rsidRPr="00DA080C" w:rsidRDefault="00C23349">
            <w:pPr>
              <w:rPr>
                <w:rFonts w:cs="Arial"/>
                <w:szCs w:val="20"/>
              </w:rPr>
            </w:pPr>
          </w:p>
        </w:tc>
      </w:tr>
      <w:tr w:rsidR="00C23349" w:rsidTr="00AD1920">
        <w:trPr>
          <w:trHeight w:val="1860"/>
          <w:tblHeader/>
        </w:trPr>
        <w:tc>
          <w:tcPr>
            <w:tcW w:w="1800" w:type="dxa"/>
          </w:tcPr>
          <w:p w:rsidR="00C23349" w:rsidRDefault="00C23349">
            <w:pPr>
              <w:ind w:right="-108"/>
              <w:rPr>
                <w:rFonts w:cs="Arial"/>
                <w:b/>
                <w:bCs/>
                <w:color w:val="0000FF"/>
              </w:rPr>
            </w:pPr>
            <w:r>
              <w:rPr>
                <w:rFonts w:cs="Arial"/>
                <w:b/>
                <w:bCs/>
                <w:color w:val="0000FF"/>
              </w:rPr>
              <w:lastRenderedPageBreak/>
              <w:t>Quality Control</w:t>
            </w:r>
          </w:p>
        </w:tc>
        <w:tc>
          <w:tcPr>
            <w:tcW w:w="9360" w:type="dxa"/>
            <w:gridSpan w:val="6"/>
            <w:tcBorders>
              <w:top w:val="single" w:sz="4" w:space="0" w:color="auto"/>
              <w:bottom w:val="single" w:sz="4" w:space="0" w:color="auto"/>
            </w:tcBorders>
          </w:tcPr>
          <w:p w:rsidR="00C23349" w:rsidRDefault="00AD1920">
            <w:pPr>
              <w:pStyle w:val="BodyText"/>
              <w:rPr>
                <w:rFonts w:cs="Arial"/>
              </w:rPr>
            </w:pPr>
            <w:r>
              <w:rPr>
                <w:rFonts w:cs="Arial"/>
              </w:rPr>
              <w:t>BioRad Immunology Controls Levels 1 and 3</w:t>
            </w:r>
          </w:p>
          <w:p w:rsidR="00C23349" w:rsidRDefault="00C23349">
            <w:pPr>
              <w:pStyle w:val="BodyText"/>
              <w:rPr>
                <w:rFonts w:cs="Arial"/>
                <w:szCs w:val="23"/>
              </w:rPr>
            </w:pPr>
          </w:p>
          <w:p w:rsidR="00C23349" w:rsidRDefault="00C23349">
            <w:pPr>
              <w:pStyle w:val="BodyText"/>
              <w:rPr>
                <w:rFonts w:cs="Arial"/>
                <w:b/>
                <w:bCs/>
                <w:szCs w:val="23"/>
              </w:rPr>
            </w:pPr>
            <w:r>
              <w:rPr>
                <w:rFonts w:cs="Arial"/>
                <w:b/>
                <w:bCs/>
                <w:szCs w:val="23"/>
              </w:rPr>
              <w:t xml:space="preserve">Frequency: </w:t>
            </w:r>
          </w:p>
          <w:p w:rsidR="00C23349" w:rsidRDefault="00C23349" w:rsidP="00C23349">
            <w:pPr>
              <w:pStyle w:val="BodyText"/>
              <w:numPr>
                <w:ilvl w:val="0"/>
                <w:numId w:val="12"/>
              </w:numPr>
              <w:rPr>
                <w:rFonts w:cs="Arial"/>
                <w:szCs w:val="23"/>
              </w:rPr>
            </w:pPr>
            <w:r>
              <w:rPr>
                <w:rFonts w:cs="Arial"/>
                <w:szCs w:val="23"/>
              </w:rPr>
              <w:t xml:space="preserve">Two levels of controls must be run every 24 hours </w:t>
            </w:r>
          </w:p>
          <w:p w:rsidR="00C23349" w:rsidRDefault="00C23349" w:rsidP="00C23349">
            <w:pPr>
              <w:pStyle w:val="BodyText"/>
              <w:numPr>
                <w:ilvl w:val="0"/>
                <w:numId w:val="12"/>
              </w:numPr>
              <w:rPr>
                <w:rFonts w:cs="Arial"/>
                <w:szCs w:val="23"/>
              </w:rPr>
            </w:pPr>
            <w:r>
              <w:rPr>
                <w:rFonts w:cs="Arial"/>
                <w:szCs w:val="23"/>
              </w:rPr>
              <w:t xml:space="preserve">After loading a new </w:t>
            </w:r>
            <w:r w:rsidR="00D70981">
              <w:rPr>
                <w:rFonts w:cs="Arial"/>
                <w:szCs w:val="23"/>
              </w:rPr>
              <w:t>set of reagents</w:t>
            </w:r>
            <w:r>
              <w:rPr>
                <w:rFonts w:cs="Arial"/>
                <w:szCs w:val="23"/>
              </w:rPr>
              <w:t xml:space="preserve"> </w:t>
            </w:r>
          </w:p>
          <w:p w:rsidR="00C23349" w:rsidRDefault="00C23349" w:rsidP="00C23349">
            <w:pPr>
              <w:pStyle w:val="BodyText"/>
              <w:numPr>
                <w:ilvl w:val="0"/>
                <w:numId w:val="12"/>
              </w:numPr>
              <w:rPr>
                <w:rFonts w:cs="Arial"/>
                <w:szCs w:val="23"/>
              </w:rPr>
            </w:pPr>
            <w:r>
              <w:rPr>
                <w:rFonts w:cs="Arial"/>
                <w:szCs w:val="23"/>
              </w:rPr>
              <w:t xml:space="preserve">After calibration </w:t>
            </w:r>
          </w:p>
          <w:p w:rsidR="00C23349" w:rsidRDefault="00C23349" w:rsidP="00C23349">
            <w:pPr>
              <w:pStyle w:val="BodyText"/>
              <w:numPr>
                <w:ilvl w:val="0"/>
                <w:numId w:val="12"/>
              </w:numPr>
              <w:rPr>
                <w:rFonts w:cs="Arial"/>
                <w:szCs w:val="23"/>
              </w:rPr>
            </w:pPr>
            <w:r>
              <w:rPr>
                <w:rFonts w:cs="Arial"/>
                <w:szCs w:val="23"/>
              </w:rPr>
              <w:t xml:space="preserve">After any major maintenance/ repairs have been performed on the analyzer </w:t>
            </w:r>
          </w:p>
          <w:p w:rsidR="00C23349" w:rsidRDefault="00C23349" w:rsidP="00C23349">
            <w:pPr>
              <w:pStyle w:val="BodyText"/>
              <w:numPr>
                <w:ilvl w:val="0"/>
                <w:numId w:val="12"/>
              </w:numPr>
              <w:rPr>
                <w:rFonts w:cs="Arial"/>
                <w:szCs w:val="23"/>
              </w:rPr>
            </w:pPr>
            <w:r>
              <w:rPr>
                <w:rFonts w:cs="Arial"/>
                <w:szCs w:val="23"/>
              </w:rPr>
              <w:t>When indicated by QC results</w:t>
            </w:r>
          </w:p>
          <w:p w:rsidR="00C23349" w:rsidRDefault="00C23349">
            <w:pPr>
              <w:pStyle w:val="BodyText"/>
              <w:rPr>
                <w:rFonts w:cs="Arial"/>
                <w:szCs w:val="23"/>
              </w:rPr>
            </w:pPr>
          </w:p>
          <w:p w:rsidR="00C23349" w:rsidRDefault="00C23349">
            <w:pPr>
              <w:pStyle w:val="BodyText"/>
              <w:rPr>
                <w:rFonts w:cs="Arial"/>
                <w:szCs w:val="18"/>
              </w:rPr>
            </w:pPr>
            <w:r>
              <w:rPr>
                <w:rFonts w:cs="Arial"/>
                <w:b/>
                <w:bCs/>
                <w:szCs w:val="18"/>
              </w:rPr>
              <w:t>Storage and Stability</w:t>
            </w:r>
            <w:r>
              <w:rPr>
                <w:rFonts w:cs="Arial"/>
                <w:szCs w:val="18"/>
              </w:rPr>
              <w:t xml:space="preserve">: </w:t>
            </w:r>
          </w:p>
          <w:p w:rsidR="00C23349" w:rsidRDefault="00AD1920">
            <w:pPr>
              <w:pStyle w:val="BodyText"/>
              <w:rPr>
                <w:rFonts w:cs="Arial"/>
                <w:szCs w:val="18"/>
              </w:rPr>
            </w:pPr>
            <w:r>
              <w:rPr>
                <w:rFonts w:cs="Arial"/>
                <w:szCs w:val="18"/>
              </w:rPr>
              <w:t>Unopened: 2°- 8°C until manufacturer’s printed expiration date</w:t>
            </w:r>
          </w:p>
          <w:p w:rsidR="00C23349" w:rsidRDefault="00C23349">
            <w:pPr>
              <w:pStyle w:val="BodyText"/>
              <w:rPr>
                <w:rFonts w:cs="Arial"/>
                <w:szCs w:val="18"/>
              </w:rPr>
            </w:pPr>
            <w:r>
              <w:rPr>
                <w:rFonts w:cs="Arial"/>
                <w:szCs w:val="18"/>
              </w:rPr>
              <w:t>Open</w:t>
            </w:r>
            <w:r w:rsidR="00AD1920">
              <w:rPr>
                <w:rFonts w:cs="Arial"/>
                <w:szCs w:val="18"/>
              </w:rPr>
              <w:t>: 30 days</w:t>
            </w:r>
            <w:r>
              <w:rPr>
                <w:rFonts w:cs="Arial"/>
                <w:szCs w:val="18"/>
              </w:rPr>
              <w:t xml:space="preserve"> when stored tightly capped at 2°- 8°C</w:t>
            </w:r>
          </w:p>
          <w:p w:rsidR="00C23349" w:rsidRDefault="00C23349">
            <w:pPr>
              <w:pStyle w:val="BodyText"/>
              <w:rPr>
                <w:rFonts w:cs="Arial"/>
                <w:szCs w:val="18"/>
              </w:rPr>
            </w:pPr>
          </w:p>
          <w:p w:rsidR="00C23349" w:rsidRDefault="00C23349">
            <w:pPr>
              <w:pStyle w:val="BodyText"/>
              <w:rPr>
                <w:rFonts w:cs="Arial"/>
                <w:b/>
                <w:bCs/>
                <w:szCs w:val="18"/>
              </w:rPr>
            </w:pPr>
            <w:r>
              <w:rPr>
                <w:rFonts w:cs="Arial"/>
                <w:b/>
                <w:bCs/>
                <w:szCs w:val="18"/>
              </w:rPr>
              <w:t>Procedure</w:t>
            </w:r>
          </w:p>
          <w:p w:rsidR="00C23349" w:rsidRDefault="00C23349">
            <w:pPr>
              <w:pStyle w:val="BodyText"/>
              <w:rPr>
                <w:rFonts w:cs="Arial"/>
              </w:rPr>
            </w:pPr>
            <w:r>
              <w:rPr>
                <w:rFonts w:cs="Arial"/>
              </w:rPr>
              <w:t xml:space="preserve">Controls are ready to use. </w:t>
            </w:r>
            <w:r w:rsidR="00D70981">
              <w:rPr>
                <w:rFonts w:cs="Arial"/>
              </w:rPr>
              <w:t xml:space="preserve"> </w:t>
            </w:r>
            <w:r w:rsidR="00AD1920">
              <w:rPr>
                <w:rFonts w:cs="Arial"/>
              </w:rPr>
              <w:t xml:space="preserve">Allow to reach room temperature prior to testing.  </w:t>
            </w:r>
            <w:r>
              <w:rPr>
                <w:rFonts w:cs="Arial"/>
              </w:rPr>
              <w:t>Mix each level by gen</w:t>
            </w:r>
            <w:r w:rsidR="00AD1920">
              <w:rPr>
                <w:rFonts w:cs="Arial"/>
              </w:rPr>
              <w:t>tle inversion before dispensing</w:t>
            </w:r>
            <w:r>
              <w:rPr>
                <w:rFonts w:cs="Arial"/>
              </w:rPr>
              <w:t xml:space="preserve"> into individual sample cups for each level.</w:t>
            </w:r>
          </w:p>
          <w:p w:rsidR="00C23349" w:rsidRDefault="00C23349">
            <w:pPr>
              <w:pStyle w:val="BodyText"/>
              <w:rPr>
                <w:rFonts w:cs="Arial"/>
              </w:rPr>
            </w:pPr>
          </w:p>
          <w:p w:rsidR="00D50F5C" w:rsidRDefault="00D50F5C" w:rsidP="00D50F5C">
            <w:pPr>
              <w:jc w:val="both"/>
              <w:rPr>
                <w:rFonts w:cs="Arial"/>
              </w:rPr>
            </w:pPr>
            <w:r>
              <w:rPr>
                <w:rFonts w:cs="Arial"/>
                <w:b/>
                <w:bCs/>
              </w:rPr>
              <w:t>Acceptable ranges:</w:t>
            </w:r>
            <w:r>
              <w:rPr>
                <w:rFonts w:cs="Arial"/>
              </w:rPr>
              <w:t xml:space="preserve"> </w:t>
            </w:r>
          </w:p>
          <w:p w:rsidR="00D50F5C" w:rsidRDefault="00D50F5C" w:rsidP="00D50F5C">
            <w:pPr>
              <w:pStyle w:val="ListParagraph"/>
              <w:numPr>
                <w:ilvl w:val="0"/>
                <w:numId w:val="22"/>
              </w:numPr>
              <w:jc w:val="both"/>
              <w:rPr>
                <w:rFonts w:cs="Arial"/>
              </w:rPr>
            </w:pPr>
            <w:r>
              <w:rPr>
                <w:rFonts w:cs="Arial"/>
              </w:rPr>
              <w:t xml:space="preserve">Non-Bio-Rad controls will utilize manufacturer ranges and 2 SD Westgard rules.  </w:t>
            </w:r>
          </w:p>
          <w:p w:rsidR="00D50F5C" w:rsidRDefault="00D50F5C" w:rsidP="00D50F5C">
            <w:pPr>
              <w:pStyle w:val="ListParagraph"/>
              <w:numPr>
                <w:ilvl w:val="0"/>
                <w:numId w:val="22"/>
              </w:numPr>
              <w:jc w:val="both"/>
              <w:rPr>
                <w:rFonts w:cs="Arial"/>
              </w:rPr>
            </w:pPr>
            <w:r>
              <w:rPr>
                <w:rFonts w:cs="Arial"/>
              </w:rPr>
              <w:t xml:space="preserve">New lots of Bio-Rad controls should be run for 20 days in parallel with the current lot whenever possible prior to switching to the new lot.  </w:t>
            </w:r>
          </w:p>
          <w:p w:rsidR="00D50F5C" w:rsidRPr="00AD2383" w:rsidRDefault="00D50F5C" w:rsidP="00D50F5C">
            <w:pPr>
              <w:pStyle w:val="ListParagraph"/>
              <w:numPr>
                <w:ilvl w:val="0"/>
                <w:numId w:val="22"/>
              </w:numPr>
              <w:jc w:val="both"/>
              <w:rPr>
                <w:rFonts w:cs="Arial"/>
              </w:rPr>
            </w:pPr>
            <w:r>
              <w:rPr>
                <w:rFonts w:cs="Arial"/>
              </w:rPr>
              <w:t xml:space="preserve">Refer to the </w:t>
            </w:r>
            <w:hyperlink r:id="rId7" w:history="1">
              <w:r w:rsidRPr="008D768B">
                <w:rPr>
                  <w:rStyle w:val="Hyperlink"/>
                  <w:rFonts w:cs="Arial"/>
                </w:rPr>
                <w:t>Westgard Rules in Chemistry procedure</w:t>
              </w:r>
            </w:hyperlink>
            <w:r>
              <w:rPr>
                <w:rFonts w:cs="Arial"/>
              </w:rPr>
              <w:t xml:space="preserve"> for current Westgard rules in place for each analyte.  </w:t>
            </w:r>
          </w:p>
          <w:p w:rsidR="00D50F5C" w:rsidRDefault="00D50F5C" w:rsidP="00D50F5C">
            <w:pPr>
              <w:numPr>
                <w:ilvl w:val="0"/>
                <w:numId w:val="22"/>
              </w:numPr>
              <w:autoSpaceDE w:val="0"/>
              <w:autoSpaceDN w:val="0"/>
              <w:adjustRightInd w:val="0"/>
              <w:jc w:val="both"/>
              <w:rPr>
                <w:rFonts w:cs="Arial"/>
                <w:szCs w:val="20"/>
              </w:rPr>
            </w:pPr>
            <w:r>
              <w:rPr>
                <w:rFonts w:cs="Arial"/>
                <w:b/>
                <w:szCs w:val="20"/>
              </w:rPr>
              <w:t>Acceptable r</w:t>
            </w:r>
            <w:r w:rsidRPr="004501C9">
              <w:rPr>
                <w:rFonts w:cs="Arial"/>
                <w:b/>
                <w:szCs w:val="20"/>
              </w:rPr>
              <w:t>anges are current in Unity Real Time only.</w:t>
            </w:r>
            <w:r>
              <w:rPr>
                <w:rFonts w:cs="Arial"/>
                <w:szCs w:val="20"/>
              </w:rPr>
              <w:t xml:space="preserve">  Quality Control results must be rejected in Sunquest when the results cross the interface.  </w:t>
            </w:r>
          </w:p>
          <w:p w:rsidR="00D50F5C" w:rsidRDefault="00D50F5C" w:rsidP="00D50F5C">
            <w:pPr>
              <w:numPr>
                <w:ilvl w:val="0"/>
                <w:numId w:val="22"/>
              </w:numPr>
              <w:autoSpaceDE w:val="0"/>
              <w:autoSpaceDN w:val="0"/>
              <w:adjustRightInd w:val="0"/>
              <w:jc w:val="both"/>
              <w:rPr>
                <w:rFonts w:cs="Arial"/>
                <w:color w:val="000000"/>
                <w:szCs w:val="20"/>
              </w:rPr>
            </w:pPr>
            <w:r>
              <w:rPr>
                <w:rFonts w:cs="Arial"/>
                <w:szCs w:val="20"/>
              </w:rPr>
              <w:t xml:space="preserve">In the event of a QC failure, refer to the </w:t>
            </w:r>
            <w:hyperlink r:id="rId8" w:history="1">
              <w:r w:rsidRPr="00AD2383">
                <w:rPr>
                  <w:rStyle w:val="Hyperlink"/>
                  <w:rFonts w:cs="Arial"/>
                  <w:szCs w:val="20"/>
                </w:rPr>
                <w:t>Unity Real Time QC Review, General User</w:t>
              </w:r>
            </w:hyperlink>
            <w:r>
              <w:rPr>
                <w:rFonts w:cs="Arial"/>
                <w:szCs w:val="20"/>
              </w:rPr>
              <w:t xml:space="preserve"> and navigate to the QC Troubleshooting section.</w:t>
            </w:r>
          </w:p>
          <w:p w:rsidR="00C23349" w:rsidRDefault="00D50F5C" w:rsidP="00D50F5C">
            <w:pPr>
              <w:rPr>
                <w:rFonts w:cs="Arial"/>
                <w:szCs w:val="20"/>
              </w:rPr>
            </w:pPr>
            <w:r>
              <w:rPr>
                <w:rFonts w:cs="Arial"/>
                <w:szCs w:val="20"/>
              </w:rPr>
              <w:t>Do not load or release patients until QC is acceptable in Unity Real Time.</w:t>
            </w:r>
          </w:p>
          <w:p w:rsidR="00AD1920" w:rsidRDefault="00AD1920" w:rsidP="00D50F5C">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Interferences</w:t>
            </w:r>
          </w:p>
        </w:tc>
        <w:tc>
          <w:tcPr>
            <w:tcW w:w="9180" w:type="dxa"/>
            <w:gridSpan w:val="5"/>
            <w:tcBorders>
              <w:top w:val="single" w:sz="4" w:space="0" w:color="auto"/>
              <w:bottom w:val="single" w:sz="4" w:space="0" w:color="auto"/>
            </w:tcBorders>
          </w:tcPr>
          <w:p w:rsidR="00C07F7E" w:rsidRPr="00234207" w:rsidRDefault="00C07F7E" w:rsidP="00C07F7E">
            <w:pPr>
              <w:autoSpaceDE w:val="0"/>
              <w:autoSpaceDN w:val="0"/>
              <w:adjustRightInd w:val="0"/>
              <w:rPr>
                <w:rFonts w:cs="Arial"/>
                <w:b/>
                <w:bCs/>
                <w:szCs w:val="20"/>
              </w:rPr>
            </w:pPr>
            <w:r w:rsidRPr="00234207">
              <w:rPr>
                <w:rFonts w:cs="Arial"/>
                <w:b/>
                <w:bCs/>
                <w:szCs w:val="20"/>
              </w:rPr>
              <w:t>Hemolysis, Icterus &amp; Lipemia (HIL) Index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394"/>
              <w:gridCol w:w="443"/>
            </w:tblGrid>
            <w:tr w:rsidR="00C07F7E" w:rsidRPr="006A26B2" w:rsidTr="00C27F49">
              <w:tc>
                <w:tcPr>
                  <w:tcW w:w="472" w:type="dxa"/>
                </w:tcPr>
                <w:p w:rsidR="00C07F7E" w:rsidRPr="006A26B2" w:rsidRDefault="00C07F7E" w:rsidP="00C07F7E">
                  <w:pPr>
                    <w:autoSpaceDE w:val="0"/>
                    <w:autoSpaceDN w:val="0"/>
                    <w:adjustRightInd w:val="0"/>
                    <w:jc w:val="both"/>
                    <w:rPr>
                      <w:rFonts w:cs="Arial"/>
                      <w:b/>
                      <w:szCs w:val="20"/>
                    </w:rPr>
                  </w:pPr>
                  <w:r w:rsidRPr="006A26B2">
                    <w:rPr>
                      <w:rFonts w:cs="Arial"/>
                      <w:b/>
                      <w:szCs w:val="20"/>
                    </w:rPr>
                    <w:t>H</w:t>
                  </w:r>
                </w:p>
              </w:tc>
              <w:tc>
                <w:tcPr>
                  <w:tcW w:w="394" w:type="dxa"/>
                </w:tcPr>
                <w:p w:rsidR="00C07F7E" w:rsidRPr="006A26B2" w:rsidRDefault="00C07F7E" w:rsidP="00C07F7E">
                  <w:pPr>
                    <w:autoSpaceDE w:val="0"/>
                    <w:autoSpaceDN w:val="0"/>
                    <w:adjustRightInd w:val="0"/>
                    <w:jc w:val="both"/>
                    <w:rPr>
                      <w:rFonts w:cs="Arial"/>
                      <w:b/>
                      <w:szCs w:val="20"/>
                    </w:rPr>
                  </w:pPr>
                  <w:r w:rsidRPr="006A26B2">
                    <w:rPr>
                      <w:rFonts w:cs="Arial"/>
                      <w:b/>
                      <w:szCs w:val="20"/>
                    </w:rPr>
                    <w:t>I</w:t>
                  </w:r>
                </w:p>
              </w:tc>
              <w:tc>
                <w:tcPr>
                  <w:tcW w:w="443" w:type="dxa"/>
                </w:tcPr>
                <w:p w:rsidR="00C07F7E" w:rsidRPr="006A26B2" w:rsidRDefault="00C07F7E" w:rsidP="00C07F7E">
                  <w:pPr>
                    <w:autoSpaceDE w:val="0"/>
                    <w:autoSpaceDN w:val="0"/>
                    <w:adjustRightInd w:val="0"/>
                    <w:jc w:val="both"/>
                    <w:rPr>
                      <w:rFonts w:cs="Arial"/>
                      <w:b/>
                      <w:szCs w:val="20"/>
                    </w:rPr>
                  </w:pPr>
                  <w:r w:rsidRPr="006A26B2">
                    <w:rPr>
                      <w:rFonts w:cs="Arial"/>
                      <w:b/>
                      <w:szCs w:val="20"/>
                    </w:rPr>
                    <w:t>L</w:t>
                  </w:r>
                </w:p>
              </w:tc>
            </w:tr>
            <w:tr w:rsidR="00C07F7E" w:rsidRPr="006A26B2" w:rsidTr="00C27F49">
              <w:tc>
                <w:tcPr>
                  <w:tcW w:w="472" w:type="dxa"/>
                </w:tcPr>
                <w:p w:rsidR="00C07F7E" w:rsidRPr="006A26B2" w:rsidRDefault="00C07F7E" w:rsidP="00C07F7E">
                  <w:pPr>
                    <w:autoSpaceDE w:val="0"/>
                    <w:autoSpaceDN w:val="0"/>
                    <w:adjustRightInd w:val="0"/>
                    <w:jc w:val="both"/>
                    <w:rPr>
                      <w:rFonts w:cs="Arial"/>
                      <w:b/>
                      <w:szCs w:val="20"/>
                    </w:rPr>
                  </w:pPr>
                  <w:r>
                    <w:rPr>
                      <w:rFonts w:cs="Arial"/>
                      <w:b/>
                      <w:szCs w:val="20"/>
                    </w:rPr>
                    <w:t>-</w:t>
                  </w:r>
                </w:p>
              </w:tc>
              <w:tc>
                <w:tcPr>
                  <w:tcW w:w="394" w:type="dxa"/>
                </w:tcPr>
                <w:p w:rsidR="00C07F7E" w:rsidRPr="006A26B2" w:rsidRDefault="00C07F7E" w:rsidP="00C07F7E">
                  <w:pPr>
                    <w:autoSpaceDE w:val="0"/>
                    <w:autoSpaceDN w:val="0"/>
                    <w:adjustRightInd w:val="0"/>
                    <w:jc w:val="both"/>
                    <w:rPr>
                      <w:rFonts w:cs="Arial"/>
                      <w:b/>
                      <w:szCs w:val="20"/>
                    </w:rPr>
                  </w:pPr>
                  <w:r>
                    <w:rPr>
                      <w:rFonts w:cs="Arial"/>
                      <w:b/>
                      <w:szCs w:val="20"/>
                    </w:rPr>
                    <w:t>-</w:t>
                  </w:r>
                </w:p>
              </w:tc>
              <w:tc>
                <w:tcPr>
                  <w:tcW w:w="443" w:type="dxa"/>
                </w:tcPr>
                <w:p w:rsidR="00C07F7E" w:rsidRPr="006A26B2" w:rsidRDefault="00C07F7E" w:rsidP="00C07F7E">
                  <w:pPr>
                    <w:autoSpaceDE w:val="0"/>
                    <w:autoSpaceDN w:val="0"/>
                    <w:adjustRightInd w:val="0"/>
                    <w:jc w:val="both"/>
                    <w:rPr>
                      <w:rFonts w:cs="Arial"/>
                      <w:b/>
                      <w:szCs w:val="20"/>
                    </w:rPr>
                  </w:pPr>
                  <w:r>
                    <w:rPr>
                      <w:rFonts w:cs="Arial"/>
                      <w:b/>
                      <w:szCs w:val="20"/>
                    </w:rPr>
                    <w:t>-</w:t>
                  </w:r>
                </w:p>
              </w:tc>
            </w:tr>
          </w:tbl>
          <w:p w:rsidR="00C23349" w:rsidRDefault="00C23349">
            <w:pPr>
              <w:rPr>
                <w:rFonts w:cs="Arial"/>
              </w:rPr>
            </w:pPr>
          </w:p>
          <w:p w:rsidR="00C23349" w:rsidRDefault="00C23349">
            <w:pPr>
              <w:pStyle w:val="BodyText2"/>
              <w:autoSpaceDE/>
              <w:autoSpaceDN/>
              <w:adjustRightInd/>
            </w:pPr>
            <w:r>
              <w:t>See the product insert for a list of substances for which no significant interference was noted.</w:t>
            </w:r>
          </w:p>
          <w:p w:rsidR="00C23349" w:rsidRDefault="00C23349">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Reference Range</w:t>
            </w:r>
          </w:p>
        </w:tc>
        <w:tc>
          <w:tcPr>
            <w:tcW w:w="9180" w:type="dxa"/>
            <w:gridSpan w:val="5"/>
            <w:tcBorders>
              <w:top w:val="single" w:sz="4" w:space="0" w:color="auto"/>
              <w:bottom w:val="single" w:sz="4" w:space="0" w:color="auto"/>
            </w:tcBorders>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4811"/>
            </w:tblGrid>
            <w:tr w:rsidR="00C07F7E" w:rsidRPr="00DC7421" w:rsidTr="00C27F49">
              <w:tc>
                <w:tcPr>
                  <w:tcW w:w="2389" w:type="dxa"/>
                  <w:shd w:val="clear" w:color="auto" w:fill="D9D9D9" w:themeFill="background1" w:themeFillShade="D9"/>
                </w:tcPr>
                <w:p w:rsidR="00C07F7E" w:rsidRPr="00DC7421" w:rsidRDefault="00C07F7E" w:rsidP="00C07F7E">
                  <w:pPr>
                    <w:rPr>
                      <w:rFonts w:cs="Arial"/>
                      <w:szCs w:val="20"/>
                    </w:rPr>
                  </w:pPr>
                  <w:r w:rsidRPr="00DC7421">
                    <w:rPr>
                      <w:rFonts w:cs="Arial"/>
                      <w:szCs w:val="20"/>
                    </w:rPr>
                    <w:t>Age</w:t>
                  </w:r>
                </w:p>
              </w:tc>
              <w:tc>
                <w:tcPr>
                  <w:tcW w:w="2700" w:type="dxa"/>
                  <w:tcBorders>
                    <w:top w:val="single" w:sz="4" w:space="0" w:color="auto"/>
                    <w:left w:val="single" w:sz="4" w:space="0" w:color="auto"/>
                    <w:right w:val="single" w:sz="4" w:space="0" w:color="auto"/>
                  </w:tcBorders>
                  <w:shd w:val="clear" w:color="auto" w:fill="D9D9D9" w:themeFill="background1" w:themeFillShade="D9"/>
                </w:tcPr>
                <w:p w:rsidR="00C07F7E" w:rsidRPr="00DC7421" w:rsidRDefault="00C07F7E" w:rsidP="00C07F7E">
                  <w:pPr>
                    <w:rPr>
                      <w:rFonts w:cs="Arial"/>
                      <w:szCs w:val="20"/>
                    </w:rPr>
                  </w:pPr>
                  <w:r>
                    <w:rPr>
                      <w:rFonts w:cs="Arial"/>
                      <w:szCs w:val="20"/>
                    </w:rPr>
                    <w:t>IgE</w:t>
                  </w:r>
                  <w:r>
                    <w:rPr>
                      <w:rFonts w:cs="Arial"/>
                      <w:szCs w:val="20"/>
                    </w:rPr>
                    <w:t xml:space="preserve"> </w:t>
                  </w:r>
                  <w:r>
                    <w:rPr>
                      <w:rFonts w:cs="Arial"/>
                      <w:szCs w:val="20"/>
                    </w:rPr>
                    <w:t>I</w:t>
                  </w:r>
                  <w:r>
                    <w:rPr>
                      <w:rFonts w:cs="Arial"/>
                      <w:szCs w:val="20"/>
                    </w:rPr>
                    <w:t>U/</w:t>
                  </w:r>
                  <w:r>
                    <w:rPr>
                      <w:rFonts w:cs="Arial"/>
                      <w:szCs w:val="20"/>
                    </w:rPr>
                    <w:t>m</w:t>
                  </w:r>
                  <w:r>
                    <w:rPr>
                      <w:rFonts w:cs="Arial"/>
                      <w:szCs w:val="20"/>
                    </w:rPr>
                    <w:t>L</w:t>
                  </w:r>
                </w:p>
              </w:tc>
            </w:tr>
            <w:tr w:rsidR="00C07F7E" w:rsidRPr="00DC7421" w:rsidTr="00C27F49">
              <w:tc>
                <w:tcPr>
                  <w:tcW w:w="2389" w:type="dxa"/>
                </w:tcPr>
                <w:p w:rsidR="00C07F7E" w:rsidRPr="00DC7421" w:rsidRDefault="00C07F7E" w:rsidP="00C07F7E">
                  <w:pPr>
                    <w:rPr>
                      <w:rFonts w:cs="Arial"/>
                      <w:szCs w:val="20"/>
                    </w:rPr>
                  </w:pPr>
                  <w:r>
                    <w:rPr>
                      <w:rFonts w:cs="Arial"/>
                      <w:szCs w:val="20"/>
                    </w:rPr>
                    <w:t>&lt;1 year</w:t>
                  </w:r>
                </w:p>
              </w:tc>
              <w:tc>
                <w:tcPr>
                  <w:tcW w:w="2700" w:type="dxa"/>
                  <w:tcBorders>
                    <w:left w:val="single" w:sz="4" w:space="0" w:color="auto"/>
                    <w:right w:val="single" w:sz="4" w:space="0" w:color="auto"/>
                  </w:tcBorders>
                </w:tcPr>
                <w:p w:rsidR="00C07F7E" w:rsidRPr="00BC1183" w:rsidRDefault="00C07F7E" w:rsidP="00C07F7E">
                  <w:pPr>
                    <w:rPr>
                      <w:rFonts w:cs="Arial"/>
                      <w:szCs w:val="20"/>
                    </w:rPr>
                  </w:pPr>
                  <w:r>
                    <w:rPr>
                      <w:rFonts w:cs="Arial"/>
                      <w:szCs w:val="20"/>
                    </w:rPr>
                    <w:t>&lt;15</w:t>
                  </w:r>
                </w:p>
                <w:p w:rsidR="00C07F7E" w:rsidRPr="00DC7421" w:rsidRDefault="00C07F7E" w:rsidP="00C07F7E">
                  <w:pPr>
                    <w:rPr>
                      <w:rFonts w:cs="Arial"/>
                      <w:szCs w:val="20"/>
                    </w:rPr>
                  </w:pPr>
                </w:p>
              </w:tc>
            </w:tr>
            <w:tr w:rsidR="00C07F7E" w:rsidRPr="00DC7421" w:rsidTr="00C27F49">
              <w:tc>
                <w:tcPr>
                  <w:tcW w:w="2389" w:type="dxa"/>
                </w:tcPr>
                <w:p w:rsidR="00C07F7E" w:rsidRDefault="00C07F7E" w:rsidP="00C07F7E">
                  <w:pPr>
                    <w:rPr>
                      <w:rFonts w:cs="Arial"/>
                      <w:szCs w:val="20"/>
                    </w:rPr>
                  </w:pPr>
                  <w:r>
                    <w:rPr>
                      <w:rFonts w:cs="Arial"/>
                      <w:szCs w:val="20"/>
                    </w:rPr>
                    <w:t>1-5 years</w:t>
                  </w:r>
                </w:p>
              </w:tc>
              <w:tc>
                <w:tcPr>
                  <w:tcW w:w="2700" w:type="dxa"/>
                  <w:tcBorders>
                    <w:left w:val="single" w:sz="4" w:space="0" w:color="auto"/>
                    <w:right w:val="single" w:sz="4" w:space="0" w:color="auto"/>
                  </w:tcBorders>
                </w:tcPr>
                <w:p w:rsidR="00C07F7E" w:rsidRDefault="00C07F7E" w:rsidP="00C07F7E">
                  <w:pPr>
                    <w:rPr>
                      <w:rFonts w:cs="Arial"/>
                      <w:szCs w:val="20"/>
                    </w:rPr>
                  </w:pPr>
                  <w:r>
                    <w:rPr>
                      <w:rFonts w:cs="Arial"/>
                      <w:szCs w:val="20"/>
                    </w:rPr>
                    <w:t>&lt;60</w:t>
                  </w:r>
                </w:p>
              </w:tc>
            </w:tr>
            <w:tr w:rsidR="00C07F7E" w:rsidRPr="00DC7421" w:rsidTr="00C27F49">
              <w:tc>
                <w:tcPr>
                  <w:tcW w:w="2389" w:type="dxa"/>
                </w:tcPr>
                <w:p w:rsidR="00C07F7E" w:rsidRDefault="00C07F7E" w:rsidP="00C07F7E">
                  <w:pPr>
                    <w:rPr>
                      <w:rFonts w:cs="Arial"/>
                      <w:szCs w:val="20"/>
                    </w:rPr>
                  </w:pPr>
                  <w:r>
                    <w:rPr>
                      <w:rFonts w:cs="Arial"/>
                      <w:szCs w:val="20"/>
                    </w:rPr>
                    <w:t>6 to 9 years</w:t>
                  </w:r>
                </w:p>
              </w:tc>
              <w:tc>
                <w:tcPr>
                  <w:tcW w:w="2700" w:type="dxa"/>
                  <w:tcBorders>
                    <w:left w:val="single" w:sz="4" w:space="0" w:color="auto"/>
                    <w:right w:val="single" w:sz="4" w:space="0" w:color="auto"/>
                  </w:tcBorders>
                </w:tcPr>
                <w:p w:rsidR="00C07F7E" w:rsidRDefault="00C07F7E" w:rsidP="00C07F7E">
                  <w:pPr>
                    <w:rPr>
                      <w:rFonts w:cs="Arial"/>
                      <w:szCs w:val="20"/>
                    </w:rPr>
                  </w:pPr>
                  <w:r>
                    <w:rPr>
                      <w:rFonts w:cs="Arial"/>
                      <w:szCs w:val="20"/>
                    </w:rPr>
                    <w:t>&lt;90</w:t>
                  </w:r>
                </w:p>
              </w:tc>
            </w:tr>
            <w:tr w:rsidR="00C07F7E" w:rsidRPr="00DC7421" w:rsidTr="00C27F49">
              <w:tc>
                <w:tcPr>
                  <w:tcW w:w="2389" w:type="dxa"/>
                </w:tcPr>
                <w:p w:rsidR="00C07F7E" w:rsidRDefault="00C07F7E" w:rsidP="00C07F7E">
                  <w:pPr>
                    <w:rPr>
                      <w:rFonts w:cs="Arial"/>
                      <w:szCs w:val="20"/>
                    </w:rPr>
                  </w:pPr>
                  <w:r>
                    <w:rPr>
                      <w:rFonts w:cs="Arial"/>
                      <w:szCs w:val="20"/>
                    </w:rPr>
                    <w:t>10 to 15 years</w:t>
                  </w:r>
                </w:p>
              </w:tc>
              <w:tc>
                <w:tcPr>
                  <w:tcW w:w="2700" w:type="dxa"/>
                  <w:tcBorders>
                    <w:left w:val="single" w:sz="4" w:space="0" w:color="auto"/>
                    <w:right w:val="single" w:sz="4" w:space="0" w:color="auto"/>
                  </w:tcBorders>
                </w:tcPr>
                <w:p w:rsidR="00C07F7E" w:rsidRDefault="00C07F7E" w:rsidP="00C07F7E">
                  <w:pPr>
                    <w:rPr>
                      <w:rFonts w:cs="Arial"/>
                      <w:szCs w:val="20"/>
                    </w:rPr>
                  </w:pPr>
                  <w:r>
                    <w:rPr>
                      <w:rFonts w:cs="Arial"/>
                      <w:szCs w:val="20"/>
                    </w:rPr>
                    <w:t>&lt;200</w:t>
                  </w:r>
                </w:p>
              </w:tc>
            </w:tr>
            <w:tr w:rsidR="00C07F7E" w:rsidRPr="00DC7421" w:rsidTr="00C27F49">
              <w:tc>
                <w:tcPr>
                  <w:tcW w:w="2389" w:type="dxa"/>
                </w:tcPr>
                <w:p w:rsidR="00C07F7E" w:rsidRPr="00DC7421" w:rsidRDefault="00C07F7E" w:rsidP="00C07F7E">
                  <w:pPr>
                    <w:rPr>
                      <w:rFonts w:cs="Arial"/>
                      <w:szCs w:val="20"/>
                    </w:rPr>
                  </w:pPr>
                  <w:r>
                    <w:rPr>
                      <w:rFonts w:cs="Arial"/>
                      <w:szCs w:val="20"/>
                    </w:rPr>
                    <w:t>16+ years</w:t>
                  </w:r>
                </w:p>
              </w:tc>
              <w:tc>
                <w:tcPr>
                  <w:tcW w:w="2700" w:type="dxa"/>
                  <w:tcBorders>
                    <w:left w:val="single" w:sz="4" w:space="0" w:color="auto"/>
                    <w:right w:val="single" w:sz="4" w:space="0" w:color="auto"/>
                  </w:tcBorders>
                </w:tcPr>
                <w:p w:rsidR="00C07F7E" w:rsidRPr="00DC7421" w:rsidRDefault="00C07F7E" w:rsidP="00C07F7E">
                  <w:pPr>
                    <w:rPr>
                      <w:rFonts w:cs="Arial"/>
                      <w:szCs w:val="20"/>
                    </w:rPr>
                  </w:pPr>
                  <w:r>
                    <w:rPr>
                      <w:rFonts w:cs="Arial"/>
                      <w:szCs w:val="20"/>
                    </w:rPr>
                    <w:t>&lt;100</w:t>
                  </w:r>
                </w:p>
              </w:tc>
            </w:tr>
          </w:tbl>
          <w:p w:rsidR="00C23349" w:rsidRDefault="00C23349">
            <w:pPr>
              <w:rPr>
                <w:rFonts w:cs="Arial"/>
                <w:szCs w:val="16"/>
              </w:rPr>
            </w:pPr>
          </w:p>
          <w:p w:rsidR="00C23349" w:rsidRDefault="00C23349">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Critical Values</w:t>
            </w:r>
          </w:p>
        </w:tc>
        <w:tc>
          <w:tcPr>
            <w:tcW w:w="9180" w:type="dxa"/>
            <w:gridSpan w:val="5"/>
            <w:tcBorders>
              <w:top w:val="single" w:sz="4" w:space="0" w:color="auto"/>
              <w:bottom w:val="single" w:sz="4" w:space="0" w:color="auto"/>
            </w:tcBorders>
          </w:tcPr>
          <w:p w:rsidR="00C23349" w:rsidRDefault="00C23349">
            <w:pPr>
              <w:rPr>
                <w:rFonts w:cs="Arial"/>
              </w:rPr>
            </w:pPr>
            <w:r>
              <w:rPr>
                <w:rFonts w:cs="Arial"/>
              </w:rPr>
              <w:t>None defined.</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lastRenderedPageBreak/>
              <w:t>Limitations</w:t>
            </w:r>
          </w:p>
        </w:tc>
        <w:tc>
          <w:tcPr>
            <w:tcW w:w="9180" w:type="dxa"/>
            <w:gridSpan w:val="5"/>
            <w:tcBorders>
              <w:top w:val="single" w:sz="4" w:space="0" w:color="auto"/>
              <w:bottom w:val="single" w:sz="4" w:space="0" w:color="auto"/>
            </w:tcBorders>
          </w:tcPr>
          <w:p w:rsidR="00C23349" w:rsidRDefault="00C23349">
            <w:pPr>
              <w:spacing w:after="100" w:afterAutospacing="1"/>
              <w:rPr>
                <w:rFonts w:cs="Arial"/>
              </w:rPr>
            </w:pPr>
            <w:r>
              <w:rPr>
                <w:rFonts w:cs="Arial"/>
                <w:szCs w:val="12"/>
              </w:rPr>
              <w:t xml:space="preserve">Linear range of detection: </w:t>
            </w:r>
            <w:r w:rsidR="00C07F7E">
              <w:rPr>
                <w:rFonts w:cs="Arial"/>
                <w:b/>
                <w:bCs/>
                <w:szCs w:val="16"/>
              </w:rPr>
              <w:t>25 to 1000 IU</w:t>
            </w:r>
            <w:r>
              <w:rPr>
                <w:rFonts w:cs="Arial"/>
                <w:b/>
                <w:bCs/>
                <w:szCs w:val="16"/>
              </w:rPr>
              <w:t>/mL</w:t>
            </w:r>
          </w:p>
          <w:p w:rsidR="00C23349" w:rsidRDefault="00C23349">
            <w:pPr>
              <w:rPr>
                <w:rFonts w:cs="Arial"/>
              </w:rPr>
            </w:pPr>
            <w:r>
              <w:rPr>
                <w:rFonts w:eastAsia="HelenPro-Cond" w:cs="Arial"/>
                <w:szCs w:val="15"/>
              </w:rPr>
              <w:t xml:space="preserve">The instrument reporting system contains flags and comments to provide the user with information regarding instrument processing errors, instrument status information and potential errors in open channel method results. Refer to your </w:t>
            </w:r>
            <w:r w:rsidR="00C07F7E">
              <w:rPr>
                <w:rFonts w:eastAsia="HelenPro-Cond" w:cs="Arial"/>
                <w:szCs w:val="15"/>
              </w:rPr>
              <w:t>Abbott Architect</w:t>
            </w:r>
            <w:r>
              <w:rPr>
                <w:rFonts w:eastAsia="HelenPro-Cond" w:cs="Arial"/>
                <w:szCs w:val="15"/>
              </w:rPr>
              <w:sym w:font="Symbol" w:char="F0D2"/>
            </w:r>
            <w:r>
              <w:rPr>
                <w:rFonts w:eastAsia="HelenPro-Cond" w:cs="Arial"/>
                <w:szCs w:val="15"/>
              </w:rPr>
              <w:t xml:space="preserve"> Operator</w:t>
            </w:r>
            <w:r w:rsidR="00DA080C">
              <w:rPr>
                <w:rFonts w:eastAsia="HelenPro-Cond" w:cs="Arial"/>
                <w:szCs w:val="15"/>
              </w:rPr>
              <w:t>’</w:t>
            </w:r>
            <w:r>
              <w:rPr>
                <w:rFonts w:eastAsia="HelenPro-Cond" w:cs="Arial"/>
                <w:szCs w:val="15"/>
              </w:rPr>
              <w:t>s Guide for the meaning of report flags and comments. Any report containing flags and/or comments must be resolved prior to reporting.</w:t>
            </w:r>
            <w:r>
              <w:rPr>
                <w:rFonts w:cs="Arial"/>
              </w:rPr>
              <w:t xml:space="preserve"> </w:t>
            </w:r>
          </w:p>
          <w:p w:rsidR="00C07F7E" w:rsidRDefault="00C07F7E">
            <w:pPr>
              <w:rPr>
                <w:rFonts w:cs="Arial"/>
              </w:rPr>
            </w:pPr>
          </w:p>
          <w:p w:rsidR="00C07F7E" w:rsidRDefault="00C07F7E" w:rsidP="00C07F7E">
            <w:pPr>
              <w:rPr>
                <w:rFonts w:cs="Arial"/>
              </w:rPr>
            </w:pPr>
            <w:r w:rsidRPr="00C07F7E">
              <w:rPr>
                <w:rFonts w:cs="Arial"/>
              </w:rPr>
              <w:t>There is no prozone interference for undiluted samples containing up to</w:t>
            </w:r>
            <w:r>
              <w:rPr>
                <w:rFonts w:cs="Arial"/>
              </w:rPr>
              <w:t xml:space="preserve"> </w:t>
            </w:r>
            <w:r w:rsidRPr="00C07F7E">
              <w:rPr>
                <w:rFonts w:cs="Arial"/>
              </w:rPr>
              <w:t>26,000.0 IU/mL of IgE. Sample concentrations higher than</w:t>
            </w:r>
            <w:r>
              <w:rPr>
                <w:rFonts w:cs="Arial"/>
              </w:rPr>
              <w:t xml:space="preserve"> </w:t>
            </w:r>
            <w:r w:rsidRPr="00C07F7E">
              <w:rPr>
                <w:rFonts w:cs="Arial"/>
              </w:rPr>
              <w:t>26,000.0 IU/mL have not been tested.</w:t>
            </w:r>
          </w:p>
          <w:p w:rsidR="00C07F7E" w:rsidRPr="00C07F7E" w:rsidRDefault="00C07F7E" w:rsidP="00C07F7E">
            <w:pPr>
              <w:rPr>
                <w:rFonts w:cs="Arial"/>
              </w:rPr>
            </w:pPr>
          </w:p>
          <w:p w:rsidR="00C07F7E" w:rsidRDefault="00C07F7E" w:rsidP="00C07F7E">
            <w:pPr>
              <w:rPr>
                <w:rFonts w:cs="Arial"/>
              </w:rPr>
            </w:pPr>
            <w:r w:rsidRPr="00C07F7E">
              <w:rPr>
                <w:rFonts w:cs="Arial"/>
              </w:rPr>
              <w:t>As the limit of quantification of Quantia IgE is 25.0 IU/mL, it is not</w:t>
            </w:r>
            <w:r>
              <w:rPr>
                <w:rFonts w:cs="Arial"/>
              </w:rPr>
              <w:t xml:space="preserve"> </w:t>
            </w:r>
            <w:r w:rsidRPr="00C07F7E">
              <w:rPr>
                <w:rFonts w:cs="Arial"/>
              </w:rPr>
              <w:t>recommended to use this test for children less than 12 months of age.</w:t>
            </w:r>
          </w:p>
          <w:p w:rsidR="008635DD" w:rsidRDefault="008635DD">
            <w:pPr>
              <w:rPr>
                <w:rFonts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Dilutions</w:t>
            </w:r>
          </w:p>
        </w:tc>
        <w:tc>
          <w:tcPr>
            <w:tcW w:w="9180" w:type="dxa"/>
            <w:gridSpan w:val="5"/>
            <w:tcBorders>
              <w:top w:val="single" w:sz="4" w:space="0" w:color="auto"/>
              <w:bottom w:val="single" w:sz="4" w:space="0" w:color="auto"/>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C07F7E" w:rsidRPr="00A23086" w:rsidTr="00C27F49">
              <w:tc>
                <w:tcPr>
                  <w:tcW w:w="1867" w:type="dxa"/>
                </w:tcPr>
                <w:p w:rsidR="00C07F7E" w:rsidRPr="00EC40A2" w:rsidRDefault="00C07F7E" w:rsidP="00C07F7E">
                  <w:pPr>
                    <w:rPr>
                      <w:rFonts w:cs="Arial"/>
                      <w:szCs w:val="20"/>
                    </w:rPr>
                  </w:pPr>
                  <w:r>
                    <w:rPr>
                      <w:rFonts w:cs="Arial"/>
                      <w:szCs w:val="20"/>
                    </w:rPr>
                    <w:t xml:space="preserve">Max </w:t>
                  </w:r>
                  <w:r w:rsidRPr="00EC40A2">
                    <w:rPr>
                      <w:rFonts w:cs="Arial"/>
                      <w:szCs w:val="20"/>
                    </w:rPr>
                    <w:t>Auto Dilution:</w:t>
                  </w:r>
                </w:p>
              </w:tc>
              <w:tc>
                <w:tcPr>
                  <w:tcW w:w="7200" w:type="dxa"/>
                </w:tcPr>
                <w:p w:rsidR="00C07F7E" w:rsidRPr="00A23086" w:rsidRDefault="00C07F7E" w:rsidP="00C07F7E">
                  <w:pPr>
                    <w:autoSpaceDE w:val="0"/>
                    <w:autoSpaceDN w:val="0"/>
                    <w:adjustRightInd w:val="0"/>
                    <w:rPr>
                      <w:rFonts w:cs="Arial"/>
                      <w:szCs w:val="20"/>
                      <w:highlight w:val="yellow"/>
                    </w:rPr>
                  </w:pPr>
                  <w:r>
                    <w:rPr>
                      <w:rFonts w:cs="Arial"/>
                      <w:szCs w:val="20"/>
                    </w:rPr>
                    <w:t>1:10</w:t>
                  </w:r>
                </w:p>
              </w:tc>
            </w:tr>
            <w:tr w:rsidR="00C07F7E" w:rsidRPr="00A23086" w:rsidTr="00C27F49">
              <w:trPr>
                <w:trHeight w:val="485"/>
              </w:trPr>
              <w:tc>
                <w:tcPr>
                  <w:tcW w:w="1867" w:type="dxa"/>
                </w:tcPr>
                <w:p w:rsidR="00C07F7E" w:rsidRPr="00EC40A2" w:rsidRDefault="00C07F7E" w:rsidP="00C07F7E">
                  <w:pPr>
                    <w:rPr>
                      <w:rFonts w:cs="Arial"/>
                      <w:szCs w:val="20"/>
                    </w:rPr>
                  </w:pPr>
                  <w:r w:rsidRPr="00EC40A2">
                    <w:rPr>
                      <w:rFonts w:cs="Arial"/>
                      <w:szCs w:val="20"/>
                    </w:rPr>
                    <w:t>Maximum Manual Dilution:</w:t>
                  </w:r>
                </w:p>
              </w:tc>
              <w:tc>
                <w:tcPr>
                  <w:tcW w:w="7200" w:type="dxa"/>
                </w:tcPr>
                <w:p w:rsidR="00C07F7E" w:rsidRPr="00A23086" w:rsidRDefault="00C07F7E" w:rsidP="00C07F7E">
                  <w:pPr>
                    <w:autoSpaceDE w:val="0"/>
                    <w:autoSpaceDN w:val="0"/>
                    <w:adjustRightInd w:val="0"/>
                    <w:rPr>
                      <w:rFonts w:cs="Arial"/>
                      <w:szCs w:val="20"/>
                      <w:highlight w:val="yellow"/>
                    </w:rPr>
                  </w:pPr>
                  <w:r>
                    <w:rPr>
                      <w:rFonts w:cs="Arial"/>
                      <w:szCs w:val="20"/>
                    </w:rPr>
                    <w:t>1:50</w:t>
                  </w:r>
                </w:p>
              </w:tc>
            </w:tr>
            <w:tr w:rsidR="00C07F7E" w:rsidRPr="00EC40A2" w:rsidTr="00C27F49">
              <w:tc>
                <w:tcPr>
                  <w:tcW w:w="1867" w:type="dxa"/>
                </w:tcPr>
                <w:p w:rsidR="00C07F7E" w:rsidRPr="00EC40A2" w:rsidRDefault="00C07F7E" w:rsidP="00C07F7E">
                  <w:pPr>
                    <w:rPr>
                      <w:rFonts w:cs="Arial"/>
                      <w:szCs w:val="20"/>
                    </w:rPr>
                  </w:pPr>
                  <w:r w:rsidRPr="00EC40A2">
                    <w:rPr>
                      <w:rFonts w:cs="Arial"/>
                      <w:szCs w:val="20"/>
                    </w:rPr>
                    <w:t>Diluent:</w:t>
                  </w:r>
                </w:p>
              </w:tc>
              <w:tc>
                <w:tcPr>
                  <w:tcW w:w="7200" w:type="dxa"/>
                </w:tcPr>
                <w:p w:rsidR="00C07F7E" w:rsidRPr="00EC40A2" w:rsidRDefault="00C07F7E" w:rsidP="00C07F7E">
                  <w:pPr>
                    <w:autoSpaceDE w:val="0"/>
                    <w:autoSpaceDN w:val="0"/>
                    <w:adjustRightInd w:val="0"/>
                    <w:rPr>
                      <w:rFonts w:cs="Arial"/>
                      <w:szCs w:val="20"/>
                    </w:rPr>
                  </w:pPr>
                  <w:r>
                    <w:rPr>
                      <w:rFonts w:cs="Arial"/>
                      <w:szCs w:val="20"/>
                    </w:rPr>
                    <w:t>Saline</w:t>
                  </w:r>
                </w:p>
              </w:tc>
            </w:tr>
            <w:tr w:rsidR="00C07F7E" w:rsidRPr="00EC40A2" w:rsidTr="00C27F49">
              <w:tc>
                <w:tcPr>
                  <w:tcW w:w="1867" w:type="dxa"/>
                </w:tcPr>
                <w:p w:rsidR="00C07F7E" w:rsidRPr="00EC40A2" w:rsidRDefault="00C07F7E" w:rsidP="00C07F7E">
                  <w:pPr>
                    <w:rPr>
                      <w:rFonts w:cs="Arial"/>
                      <w:szCs w:val="20"/>
                    </w:rPr>
                  </w:pPr>
                  <w:r w:rsidRPr="00EC40A2">
                    <w:rPr>
                      <w:rFonts w:cs="Arial"/>
                      <w:szCs w:val="20"/>
                    </w:rPr>
                    <w:t>Manual Dilution:</w:t>
                  </w:r>
                </w:p>
              </w:tc>
              <w:tc>
                <w:tcPr>
                  <w:tcW w:w="7200" w:type="dxa"/>
                </w:tcPr>
                <w:p w:rsidR="00C07F7E" w:rsidRPr="00EC40A2" w:rsidRDefault="00C07F7E" w:rsidP="00C07F7E">
                  <w:pPr>
                    <w:autoSpaceDE w:val="0"/>
                    <w:autoSpaceDN w:val="0"/>
                    <w:adjustRightInd w:val="0"/>
                    <w:rPr>
                      <w:rFonts w:eastAsia="HelenPro-Regular" w:cs="Arial"/>
                      <w:szCs w:val="20"/>
                    </w:rPr>
                  </w:pPr>
                  <w:r>
                    <w:rPr>
                      <w:rFonts w:cs="Arial"/>
                      <w:szCs w:val="20"/>
                    </w:rPr>
                    <w:t>Follow Abbott</w:t>
                  </w:r>
                  <w:r w:rsidRPr="00EC40A2">
                    <w:rPr>
                      <w:rFonts w:cs="Arial"/>
                      <w:szCs w:val="20"/>
                    </w:rPr>
                    <w:t xml:space="preserve"> </w:t>
                  </w:r>
                  <w:hyperlink r:id="rId9" w:history="1">
                    <w:r>
                      <w:rPr>
                        <w:rStyle w:val="Hyperlink"/>
                        <w:rFonts w:cs="Arial"/>
                        <w:szCs w:val="20"/>
                      </w:rPr>
                      <w:t>Architect</w:t>
                    </w:r>
                    <w:r w:rsidRPr="00EC40A2">
                      <w:rPr>
                        <w:rStyle w:val="Hyperlink"/>
                        <w:rFonts w:cs="Arial"/>
                        <w:szCs w:val="20"/>
                      </w:rPr>
                      <w:t xml:space="preserve"> Operator’s Manual</w:t>
                    </w:r>
                  </w:hyperlink>
                  <w:r w:rsidRPr="00EC40A2">
                    <w:rPr>
                      <w:rFonts w:cs="Arial"/>
                      <w:szCs w:val="20"/>
                    </w:rPr>
                    <w:t xml:space="preserve"> inst</w:t>
                  </w:r>
                  <w:r>
                    <w:rPr>
                      <w:rFonts w:cs="Arial"/>
                      <w:szCs w:val="20"/>
                    </w:rPr>
                    <w:t xml:space="preserve">ructions for programming automated </w:t>
                  </w:r>
                  <w:r w:rsidR="009C0FA2">
                    <w:rPr>
                      <w:rFonts w:cs="Arial"/>
                      <w:szCs w:val="20"/>
                    </w:rPr>
                    <w:t xml:space="preserve">and manual </w:t>
                  </w:r>
                  <w:r>
                    <w:rPr>
                      <w:rFonts w:cs="Arial"/>
                      <w:szCs w:val="20"/>
                    </w:rPr>
                    <w:t xml:space="preserve">dilutions.  </w:t>
                  </w:r>
                  <w:r w:rsidRPr="00EC40A2">
                    <w:rPr>
                      <w:rFonts w:eastAsia="HelenPro-Regular" w:cs="Arial"/>
                      <w:szCs w:val="20"/>
                    </w:rPr>
                    <w:t xml:space="preserve">The system </w:t>
                  </w:r>
                  <w:r>
                    <w:rPr>
                      <w:rFonts w:eastAsia="HelenPro-Regular" w:cs="Arial"/>
                      <w:szCs w:val="20"/>
                    </w:rPr>
                    <w:t>will</w:t>
                  </w:r>
                  <w:r w:rsidRPr="00EC40A2">
                    <w:rPr>
                      <w:rFonts w:eastAsia="HelenPro-Regular" w:cs="Arial"/>
                      <w:szCs w:val="20"/>
                    </w:rPr>
                    <w:t xml:space="preserve"> automatically calculate the concentration of the sample and report the r</w:t>
                  </w:r>
                  <w:r>
                    <w:rPr>
                      <w:rFonts w:eastAsia="HelenPro-Regular" w:cs="Arial"/>
                      <w:szCs w:val="20"/>
                    </w:rPr>
                    <w:t xml:space="preserve">esult.  </w:t>
                  </w:r>
                </w:p>
              </w:tc>
            </w:tr>
          </w:tbl>
          <w:p w:rsidR="00C23349" w:rsidRDefault="00C23349" w:rsidP="009C0FA2">
            <w:pPr>
              <w:pStyle w:val="CalVerTable"/>
              <w:ind w:left="1080" w:firstLine="0"/>
              <w:rPr>
                <w:rFonts w:ascii="Arial" w:hAnsi="Arial" w:cs="Arial"/>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Result Reporting</w:t>
            </w:r>
          </w:p>
        </w:tc>
        <w:tc>
          <w:tcPr>
            <w:tcW w:w="9180" w:type="dxa"/>
            <w:gridSpan w:val="5"/>
            <w:tcBorders>
              <w:top w:val="single" w:sz="4" w:space="0" w:color="auto"/>
              <w:bottom w:val="single" w:sz="4" w:space="0" w:color="auto"/>
            </w:tcBorders>
          </w:tcPr>
          <w:p w:rsidR="00C23349" w:rsidRDefault="00C23349" w:rsidP="00C23349">
            <w:pPr>
              <w:pStyle w:val="BodyText"/>
              <w:numPr>
                <w:ilvl w:val="0"/>
                <w:numId w:val="14"/>
              </w:numPr>
              <w:rPr>
                <w:rFonts w:cs="Arial"/>
              </w:rPr>
            </w:pPr>
            <w:r>
              <w:rPr>
                <w:rFonts w:cs="Arial"/>
              </w:rPr>
              <w:t xml:space="preserve">Results between </w:t>
            </w:r>
            <w:r w:rsidR="009C0FA2">
              <w:rPr>
                <w:rFonts w:cs="Arial"/>
                <w:b/>
                <w:bCs/>
                <w:szCs w:val="16"/>
              </w:rPr>
              <w:t>25 to 1000 IU</w:t>
            </w:r>
            <w:r>
              <w:rPr>
                <w:rFonts w:cs="Arial"/>
                <w:b/>
                <w:bCs/>
                <w:szCs w:val="16"/>
              </w:rPr>
              <w:t>/mL</w:t>
            </w:r>
            <w:r>
              <w:rPr>
                <w:rFonts w:cs="Arial"/>
              </w:rPr>
              <w:t xml:space="preserve"> without error messages are released</w:t>
            </w:r>
          </w:p>
          <w:p w:rsidR="00C23349" w:rsidRDefault="00C23349" w:rsidP="00C23349">
            <w:pPr>
              <w:pStyle w:val="BodyText"/>
              <w:numPr>
                <w:ilvl w:val="0"/>
                <w:numId w:val="14"/>
              </w:numPr>
              <w:rPr>
                <w:rFonts w:cs="Arial"/>
              </w:rPr>
            </w:pPr>
            <w:r>
              <w:rPr>
                <w:rFonts w:cs="Arial"/>
              </w:rPr>
              <w:t xml:space="preserve">Results below </w:t>
            </w:r>
            <w:r w:rsidR="009C0FA2">
              <w:rPr>
                <w:rFonts w:cs="Arial"/>
                <w:b/>
                <w:bCs/>
                <w:szCs w:val="16"/>
              </w:rPr>
              <w:t>25 IU</w:t>
            </w:r>
            <w:r>
              <w:rPr>
                <w:rFonts w:cs="Arial"/>
                <w:b/>
                <w:bCs/>
                <w:szCs w:val="16"/>
              </w:rPr>
              <w:t>/mL</w:t>
            </w:r>
            <w:r>
              <w:rPr>
                <w:rFonts w:cs="Arial"/>
              </w:rPr>
              <w:t xml:space="preserve">: report as &lt; </w:t>
            </w:r>
            <w:r w:rsidR="009C0FA2">
              <w:rPr>
                <w:rFonts w:cs="Arial"/>
                <w:b/>
                <w:bCs/>
                <w:szCs w:val="16"/>
              </w:rPr>
              <w:t>25 IU</w:t>
            </w:r>
            <w:r>
              <w:rPr>
                <w:rFonts w:cs="Arial"/>
                <w:b/>
                <w:bCs/>
                <w:szCs w:val="16"/>
              </w:rPr>
              <w:t>/mL</w:t>
            </w:r>
            <w:r>
              <w:rPr>
                <w:rFonts w:cs="Arial"/>
              </w:rPr>
              <w:t xml:space="preserve"> instead of the numerical value.</w:t>
            </w:r>
          </w:p>
          <w:p w:rsidR="00C23349" w:rsidRPr="00AB6A5C" w:rsidRDefault="00C23349" w:rsidP="00C23349">
            <w:pPr>
              <w:pStyle w:val="BodyText"/>
              <w:numPr>
                <w:ilvl w:val="0"/>
                <w:numId w:val="14"/>
              </w:numPr>
              <w:rPr>
                <w:rFonts w:cs="Arial"/>
              </w:rPr>
            </w:pPr>
            <w:r w:rsidRPr="00AB6A5C">
              <w:rPr>
                <w:rFonts w:cs="Arial"/>
              </w:rPr>
              <w:t>Results &gt;</w:t>
            </w:r>
            <w:r w:rsidR="009C0FA2">
              <w:rPr>
                <w:rFonts w:cs="Arial"/>
                <w:b/>
                <w:bCs/>
                <w:szCs w:val="16"/>
              </w:rPr>
              <w:t>1000</w:t>
            </w:r>
            <w:r w:rsidRPr="00AB6A5C">
              <w:rPr>
                <w:rFonts w:cs="Arial"/>
                <w:b/>
                <w:bCs/>
                <w:szCs w:val="16"/>
              </w:rPr>
              <w:t xml:space="preserve"> mcg/mL</w:t>
            </w:r>
            <w:r w:rsidRPr="00AB6A5C">
              <w:rPr>
                <w:rFonts w:cs="Arial"/>
              </w:rPr>
              <w:t xml:space="preserve"> are reported as the numerical result following a maximum </w:t>
            </w:r>
            <w:r w:rsidR="009C0FA2">
              <w:rPr>
                <w:rFonts w:cs="Arial"/>
              </w:rPr>
              <w:t>autodilution of 1:10 or maximum manual dilution of 1:50</w:t>
            </w:r>
          </w:p>
          <w:p w:rsidR="00C23349" w:rsidRDefault="00C23349" w:rsidP="009C0FA2">
            <w:pPr>
              <w:pStyle w:val="BodyText"/>
              <w:numPr>
                <w:ilvl w:val="0"/>
                <w:numId w:val="14"/>
              </w:numPr>
              <w:rPr>
                <w:rFonts w:cs="Arial"/>
                <w:szCs w:val="16"/>
              </w:rPr>
            </w:pPr>
            <w:r w:rsidRPr="00AB6A5C">
              <w:rPr>
                <w:rFonts w:cs="Arial"/>
              </w:rPr>
              <w:t>Results that exceed the assay range following the ma</w:t>
            </w:r>
            <w:r w:rsidR="009C0FA2">
              <w:rPr>
                <w:rFonts w:cs="Arial"/>
              </w:rPr>
              <w:t>ximum dilution are reported as &gt;</w:t>
            </w:r>
            <w:r w:rsidR="009C0FA2">
              <w:rPr>
                <w:rFonts w:cs="Arial"/>
                <w:b/>
                <w:bCs/>
                <w:szCs w:val="16"/>
              </w:rPr>
              <w:t>500</w:t>
            </w:r>
            <w:r w:rsidRPr="00AB6A5C">
              <w:rPr>
                <w:rFonts w:cs="Arial"/>
                <w:b/>
                <w:bCs/>
                <w:szCs w:val="16"/>
              </w:rPr>
              <w:t xml:space="preserve">00 </w:t>
            </w:r>
            <w:r w:rsidR="009C0FA2">
              <w:rPr>
                <w:rFonts w:cs="Arial"/>
                <w:b/>
                <w:bCs/>
                <w:szCs w:val="16"/>
              </w:rPr>
              <w:t>IU</w:t>
            </w:r>
            <w:r w:rsidRPr="00AB6A5C">
              <w:rPr>
                <w:rFonts w:cs="Arial"/>
                <w:b/>
                <w:bCs/>
                <w:szCs w:val="16"/>
              </w:rPr>
              <w:t>/mL</w:t>
            </w:r>
            <w:r w:rsidRPr="00AB6A5C">
              <w:rPr>
                <w:rFonts w:cs="Arial"/>
              </w:rPr>
              <w:t>.</w:t>
            </w:r>
            <w:r w:rsidRPr="00AB6A5C">
              <w:rPr>
                <w:rFonts w:cs="Arial"/>
                <w:szCs w:val="16"/>
              </w:rPr>
              <w:t xml:space="preserve"> </w:t>
            </w:r>
          </w:p>
          <w:p w:rsidR="009C0FA2" w:rsidRPr="009C0FA2" w:rsidRDefault="009C0FA2" w:rsidP="009C0FA2">
            <w:pPr>
              <w:pStyle w:val="BodyText"/>
              <w:numPr>
                <w:ilvl w:val="0"/>
                <w:numId w:val="14"/>
              </w:numPr>
              <w:rPr>
                <w:rFonts w:cs="Arial"/>
                <w:szCs w:val="16"/>
              </w:rPr>
            </w:pPr>
          </w:p>
        </w:tc>
      </w:tr>
      <w:tr w:rsidR="00C23349" w:rsidTr="00262974">
        <w:trPr>
          <w:gridAfter w:val="1"/>
          <w:wAfter w:w="180" w:type="dxa"/>
          <w:tblHeader/>
        </w:trPr>
        <w:tc>
          <w:tcPr>
            <w:tcW w:w="1800" w:type="dxa"/>
          </w:tcPr>
          <w:p w:rsidR="00C23349" w:rsidRDefault="00C23349" w:rsidP="008635DD">
            <w:pPr>
              <w:rPr>
                <w:rFonts w:cs="Arial"/>
                <w:b/>
                <w:bCs/>
                <w:color w:val="0000FF"/>
              </w:rPr>
            </w:pPr>
            <w:r>
              <w:rPr>
                <w:rFonts w:cs="Arial"/>
                <w:b/>
                <w:bCs/>
                <w:color w:val="0000FF"/>
              </w:rPr>
              <w:t>Specimen Storage</w:t>
            </w:r>
          </w:p>
        </w:tc>
        <w:tc>
          <w:tcPr>
            <w:tcW w:w="9180" w:type="dxa"/>
            <w:gridSpan w:val="5"/>
            <w:tcBorders>
              <w:top w:val="single" w:sz="4" w:space="0" w:color="auto"/>
              <w:bottom w:val="single" w:sz="4" w:space="0" w:color="auto"/>
            </w:tcBorders>
          </w:tcPr>
          <w:p w:rsidR="00C23349" w:rsidRDefault="00C23349">
            <w:pPr>
              <w:pStyle w:val="Header"/>
              <w:tabs>
                <w:tab w:val="clear" w:pos="4320"/>
                <w:tab w:val="clear" w:pos="8640"/>
              </w:tabs>
              <w:rPr>
                <w:rFonts w:cs="Arial"/>
              </w:rPr>
            </w:pPr>
            <w:r>
              <w:rPr>
                <w:rFonts w:cs="Arial"/>
              </w:rPr>
              <w:t xml:space="preserve">Promptly stopper tested specimen and store upright in specimen rack. Every 8 hours </w:t>
            </w:r>
            <w:r w:rsidR="00DA080C">
              <w:rPr>
                <w:rFonts w:cs="Arial"/>
              </w:rPr>
              <w:t>remove specimens to refrigerator</w:t>
            </w:r>
            <w:r>
              <w:rPr>
                <w:rFonts w:cs="Arial"/>
              </w:rPr>
              <w:t>/freezer storage. Samples are retained 7 days in specimen storage freezer.</w:t>
            </w:r>
          </w:p>
          <w:p w:rsidR="008635DD" w:rsidRDefault="008635DD">
            <w:pPr>
              <w:pStyle w:val="Header"/>
              <w:tabs>
                <w:tab w:val="clear" w:pos="4320"/>
                <w:tab w:val="clear" w:pos="8640"/>
              </w:tabs>
              <w:rPr>
                <w:rFonts w:cs="Arial"/>
              </w:rPr>
            </w:pPr>
          </w:p>
        </w:tc>
      </w:tr>
      <w:tr w:rsidR="00C23349" w:rsidTr="00262974">
        <w:trPr>
          <w:gridAfter w:val="1"/>
          <w:wAfter w:w="180" w:type="dxa"/>
          <w:tblHeader/>
        </w:trPr>
        <w:tc>
          <w:tcPr>
            <w:tcW w:w="1800" w:type="dxa"/>
          </w:tcPr>
          <w:p w:rsidR="00C23349" w:rsidRDefault="00C23349">
            <w:pPr>
              <w:ind w:right="-108"/>
              <w:rPr>
                <w:rFonts w:cs="Arial"/>
                <w:b/>
                <w:bCs/>
                <w:color w:val="0000FF"/>
              </w:rPr>
            </w:pPr>
            <w:r>
              <w:rPr>
                <w:rFonts w:cs="Arial"/>
                <w:b/>
                <w:bCs/>
                <w:color w:val="0000FF"/>
              </w:rPr>
              <w:t>References</w:t>
            </w:r>
          </w:p>
        </w:tc>
        <w:tc>
          <w:tcPr>
            <w:tcW w:w="9180" w:type="dxa"/>
            <w:gridSpan w:val="5"/>
            <w:tcBorders>
              <w:top w:val="single" w:sz="4" w:space="0" w:color="auto"/>
              <w:bottom w:val="single" w:sz="4" w:space="0" w:color="auto"/>
            </w:tcBorders>
          </w:tcPr>
          <w:p w:rsidR="008635DD" w:rsidRDefault="009C0FA2" w:rsidP="00484AF7">
            <w:pPr>
              <w:numPr>
                <w:ilvl w:val="0"/>
                <w:numId w:val="10"/>
              </w:numPr>
              <w:spacing w:after="120"/>
            </w:pPr>
            <w:r>
              <w:t>QUANTIA IgE Calibrator Instructions for Use, Distributed by Abbott Diagnostics, Abbott Park, IL, 60064 USA.  February 2013.</w:t>
            </w:r>
          </w:p>
          <w:p w:rsidR="009C0FA2" w:rsidRDefault="009C0FA2" w:rsidP="00484AF7">
            <w:pPr>
              <w:numPr>
                <w:ilvl w:val="0"/>
                <w:numId w:val="10"/>
              </w:numPr>
              <w:spacing w:after="120"/>
            </w:pPr>
            <w:r>
              <w:t>QUANTIA IgE Reagent Instructions for Use, Distributed by Abbott Diagnostics, Abbott Park, IL, 60064 USA.  February 2013.</w:t>
            </w:r>
          </w:p>
        </w:tc>
      </w:tr>
      <w:tr w:rsidR="00C23349" w:rsidTr="00262974">
        <w:tblPrEx>
          <w:tblBorders>
            <w:bottom w:val="single" w:sz="4" w:space="0" w:color="auto"/>
          </w:tblBorders>
        </w:tblPrEx>
        <w:trPr>
          <w:gridAfter w:val="1"/>
          <w:wAfter w:w="180" w:type="dxa"/>
          <w:cantSplit/>
          <w:trHeight w:val="225"/>
        </w:trPr>
        <w:tc>
          <w:tcPr>
            <w:tcW w:w="1800" w:type="dxa"/>
            <w:vMerge w:val="restart"/>
            <w:tcBorders>
              <w:left w:val="nil"/>
              <w:right w:val="single" w:sz="4" w:space="0" w:color="auto"/>
            </w:tcBorders>
          </w:tcPr>
          <w:p w:rsidR="00C23349" w:rsidRDefault="00C23349">
            <w:pPr>
              <w:rPr>
                <w:rFonts w:cs="Arial"/>
                <w:b/>
                <w:bCs/>
                <w:color w:val="3366FF"/>
              </w:rPr>
            </w:pPr>
            <w:r>
              <w:rPr>
                <w:rFonts w:cs="Arial"/>
                <w:b/>
                <w:bCs/>
                <w:color w:val="0000FF"/>
              </w:rPr>
              <w:t>Historical Record</w:t>
            </w: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pPr>
              <w:rPr>
                <w:rFonts w:cs="Arial"/>
                <w:b/>
                <w:bCs/>
              </w:rPr>
            </w:pPr>
            <w:r>
              <w:rPr>
                <w:rFonts w:cs="Arial"/>
                <w:b/>
                <w:bCs/>
              </w:rPr>
              <w:t>Version</w:t>
            </w: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Written/Revised by:</w:t>
            </w: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Effective Date:</w:t>
            </w: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b/>
                <w:bCs/>
                <w:iCs/>
              </w:rPr>
            </w:pPr>
            <w:r>
              <w:rPr>
                <w:rFonts w:cs="Arial"/>
                <w:b/>
                <w:bCs/>
                <w:iCs/>
              </w:rPr>
              <w:t>Summary of Revisions</w:t>
            </w:r>
          </w:p>
        </w:tc>
      </w:tr>
      <w:tr w:rsidR="00C23349" w:rsidTr="00262974">
        <w:tblPrEx>
          <w:tblBorders>
            <w:bottom w:val="single" w:sz="4" w:space="0" w:color="auto"/>
          </w:tblBorders>
        </w:tblPrEx>
        <w:trPr>
          <w:gridAfter w:val="1"/>
          <w:wAfter w:w="180" w:type="dxa"/>
          <w:cantSplit/>
          <w:trHeight w:val="13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numPr>
                <w:ilvl w:val="0"/>
                <w:numId w:val="18"/>
              </w:numPr>
              <w:rPr>
                <w:rFonts w:cs="Arial"/>
              </w:rPr>
            </w:pPr>
          </w:p>
        </w:tc>
        <w:tc>
          <w:tcPr>
            <w:tcW w:w="2340" w:type="dxa"/>
            <w:tcBorders>
              <w:top w:val="single" w:sz="4" w:space="0" w:color="auto"/>
              <w:left w:val="single" w:sz="4" w:space="0" w:color="auto"/>
              <w:bottom w:val="single" w:sz="4" w:space="0" w:color="auto"/>
              <w:right w:val="single" w:sz="4" w:space="0" w:color="auto"/>
            </w:tcBorders>
          </w:tcPr>
          <w:p w:rsidR="00C23349" w:rsidRDefault="00484AF7">
            <w:pPr>
              <w:rPr>
                <w:rFonts w:cs="Arial"/>
                <w:iCs/>
              </w:rPr>
            </w:pPr>
            <w:r>
              <w:rPr>
                <w:rFonts w:cs="Arial"/>
                <w:iCs/>
              </w:rPr>
              <w:t>Erin Bartos</w:t>
            </w:r>
          </w:p>
        </w:tc>
        <w:tc>
          <w:tcPr>
            <w:tcW w:w="1800" w:type="dxa"/>
            <w:tcBorders>
              <w:top w:val="single" w:sz="4" w:space="0" w:color="auto"/>
              <w:left w:val="single" w:sz="4" w:space="0" w:color="auto"/>
              <w:bottom w:val="single" w:sz="4" w:space="0" w:color="auto"/>
              <w:right w:val="single" w:sz="4" w:space="0" w:color="auto"/>
            </w:tcBorders>
          </w:tcPr>
          <w:p w:rsidR="00C23349" w:rsidRDefault="00484AF7">
            <w:pPr>
              <w:rPr>
                <w:rFonts w:cs="Arial"/>
                <w:iCs/>
              </w:rPr>
            </w:pPr>
            <w:r>
              <w:rPr>
                <w:rFonts w:cs="Arial"/>
                <w:iCs/>
              </w:rPr>
              <w:t>10/28/2020</w:t>
            </w:r>
          </w:p>
        </w:tc>
        <w:tc>
          <w:tcPr>
            <w:tcW w:w="3600" w:type="dxa"/>
            <w:tcBorders>
              <w:top w:val="single" w:sz="4" w:space="0" w:color="auto"/>
              <w:left w:val="single" w:sz="4" w:space="0" w:color="auto"/>
              <w:bottom w:val="single" w:sz="4" w:space="0" w:color="auto"/>
              <w:right w:val="single" w:sz="4" w:space="0" w:color="auto"/>
            </w:tcBorders>
          </w:tcPr>
          <w:p w:rsidR="00C23349" w:rsidRDefault="00484AF7">
            <w:pPr>
              <w:rPr>
                <w:rFonts w:cs="Arial"/>
                <w:iCs/>
              </w:rPr>
            </w:pPr>
            <w:r>
              <w:rPr>
                <w:rFonts w:cs="Arial"/>
                <w:iCs/>
              </w:rPr>
              <w:t>New Procedure on Abbott Architect</w:t>
            </w: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p>
        </w:tc>
      </w:tr>
      <w:tr w:rsidR="00C23349" w:rsidTr="00262974">
        <w:tblPrEx>
          <w:tblBorders>
            <w:bottom w:val="single" w:sz="4" w:space="0" w:color="auto"/>
          </w:tblBorders>
        </w:tblPrEx>
        <w:trPr>
          <w:gridAfter w:val="1"/>
          <w:wAfter w:w="180" w:type="dxa"/>
          <w:cantSplit/>
          <w:trHeight w:val="255"/>
        </w:trPr>
        <w:tc>
          <w:tcPr>
            <w:tcW w:w="1800" w:type="dxa"/>
            <w:vMerge/>
            <w:tcBorders>
              <w:left w:val="nil"/>
              <w:right w:val="single" w:sz="4" w:space="0" w:color="auto"/>
            </w:tcBorders>
          </w:tcPr>
          <w:p w:rsidR="00C23349" w:rsidRDefault="00C23349">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C23349" w:rsidRDefault="00C23349"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p>
        </w:tc>
        <w:tc>
          <w:tcPr>
            <w:tcW w:w="1800" w:type="dxa"/>
            <w:tcBorders>
              <w:top w:val="single" w:sz="4" w:space="0" w:color="auto"/>
              <w:left w:val="single" w:sz="4" w:space="0" w:color="auto"/>
              <w:bottom w:val="single" w:sz="4" w:space="0" w:color="auto"/>
              <w:right w:val="single" w:sz="4" w:space="0" w:color="auto"/>
            </w:tcBorders>
          </w:tcPr>
          <w:p w:rsidR="00C23349" w:rsidRDefault="00C23349">
            <w:pPr>
              <w:pStyle w:val="Header"/>
              <w:tabs>
                <w:tab w:val="clear" w:pos="4320"/>
                <w:tab w:val="clear" w:pos="8640"/>
              </w:tabs>
              <w:rPr>
                <w:rFonts w:cs="Arial"/>
                <w:iCs/>
              </w:rPr>
            </w:pPr>
          </w:p>
        </w:tc>
        <w:tc>
          <w:tcPr>
            <w:tcW w:w="3600" w:type="dxa"/>
            <w:tcBorders>
              <w:top w:val="single" w:sz="4" w:space="0" w:color="auto"/>
              <w:left w:val="single" w:sz="4" w:space="0" w:color="auto"/>
              <w:bottom w:val="single" w:sz="4" w:space="0" w:color="auto"/>
              <w:right w:val="single" w:sz="4" w:space="0" w:color="auto"/>
            </w:tcBorders>
          </w:tcPr>
          <w:p w:rsidR="00C23349" w:rsidRDefault="00C23349">
            <w:pPr>
              <w:rPr>
                <w:rFonts w:cs="Arial"/>
                <w:iCs/>
              </w:rPr>
            </w:pPr>
          </w:p>
        </w:tc>
      </w:tr>
      <w:tr w:rsidR="002773BF" w:rsidTr="00262974">
        <w:tblPrEx>
          <w:tblBorders>
            <w:bottom w:val="single" w:sz="4" w:space="0" w:color="auto"/>
          </w:tblBorders>
        </w:tblPrEx>
        <w:trPr>
          <w:gridAfter w:val="1"/>
          <w:wAfter w:w="180" w:type="dxa"/>
          <w:cantSplit/>
          <w:trHeight w:val="255"/>
        </w:trPr>
        <w:tc>
          <w:tcPr>
            <w:tcW w:w="1800" w:type="dxa"/>
            <w:tcBorders>
              <w:left w:val="nil"/>
              <w:right w:val="single" w:sz="4" w:space="0" w:color="auto"/>
            </w:tcBorders>
          </w:tcPr>
          <w:p w:rsidR="002773BF" w:rsidRDefault="002773BF">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2773BF" w:rsidRDefault="002773BF"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p>
        </w:tc>
        <w:tc>
          <w:tcPr>
            <w:tcW w:w="1800" w:type="dxa"/>
            <w:tcBorders>
              <w:top w:val="single" w:sz="4" w:space="0" w:color="auto"/>
              <w:left w:val="single" w:sz="4" w:space="0" w:color="auto"/>
              <w:bottom w:val="single" w:sz="4" w:space="0" w:color="auto"/>
              <w:right w:val="single" w:sz="4" w:space="0" w:color="auto"/>
            </w:tcBorders>
          </w:tcPr>
          <w:p w:rsidR="002773BF" w:rsidRDefault="002773BF">
            <w:pPr>
              <w:pStyle w:val="Header"/>
              <w:tabs>
                <w:tab w:val="clear" w:pos="4320"/>
                <w:tab w:val="clear" w:pos="8640"/>
              </w:tabs>
              <w:rPr>
                <w:rFonts w:cs="Arial"/>
                <w:iCs/>
              </w:rPr>
            </w:pPr>
          </w:p>
        </w:tc>
        <w:tc>
          <w:tcPr>
            <w:tcW w:w="3600" w:type="dxa"/>
            <w:tcBorders>
              <w:top w:val="single" w:sz="4" w:space="0" w:color="auto"/>
              <w:left w:val="single" w:sz="4" w:space="0" w:color="auto"/>
              <w:bottom w:val="single" w:sz="4" w:space="0" w:color="auto"/>
              <w:right w:val="single" w:sz="4" w:space="0" w:color="auto"/>
            </w:tcBorders>
          </w:tcPr>
          <w:p w:rsidR="002773BF" w:rsidRDefault="002773BF">
            <w:pPr>
              <w:rPr>
                <w:rFonts w:cs="Arial"/>
                <w:iCs/>
              </w:rPr>
            </w:pPr>
          </w:p>
        </w:tc>
      </w:tr>
      <w:tr w:rsidR="003C07FC" w:rsidTr="00262974">
        <w:tblPrEx>
          <w:tblBorders>
            <w:bottom w:val="single" w:sz="4" w:space="0" w:color="auto"/>
          </w:tblBorders>
        </w:tblPrEx>
        <w:trPr>
          <w:gridAfter w:val="1"/>
          <w:wAfter w:w="180" w:type="dxa"/>
          <w:cantSplit/>
          <w:trHeight w:val="255"/>
        </w:trPr>
        <w:tc>
          <w:tcPr>
            <w:tcW w:w="1800" w:type="dxa"/>
            <w:tcBorders>
              <w:left w:val="nil"/>
              <w:bottom w:val="nil"/>
              <w:right w:val="single" w:sz="4" w:space="0" w:color="auto"/>
            </w:tcBorders>
          </w:tcPr>
          <w:p w:rsidR="003C07FC" w:rsidRDefault="003C07FC">
            <w:pPr>
              <w:rPr>
                <w:rFonts w:cs="Arial"/>
                <w:b/>
                <w:bCs/>
                <w:color w:val="3366FF"/>
              </w:rPr>
            </w:pPr>
          </w:p>
        </w:tc>
        <w:tc>
          <w:tcPr>
            <w:tcW w:w="1440" w:type="dxa"/>
            <w:gridSpan w:val="2"/>
            <w:tcBorders>
              <w:top w:val="single" w:sz="4" w:space="0" w:color="auto"/>
              <w:left w:val="single" w:sz="4" w:space="0" w:color="auto"/>
              <w:bottom w:val="single" w:sz="4" w:space="0" w:color="auto"/>
              <w:right w:val="single" w:sz="4" w:space="0" w:color="auto"/>
            </w:tcBorders>
          </w:tcPr>
          <w:p w:rsidR="003C07FC" w:rsidRDefault="003C07FC" w:rsidP="00C23349">
            <w:pPr>
              <w:pStyle w:val="Header"/>
              <w:numPr>
                <w:ilvl w:val="0"/>
                <w:numId w:val="18"/>
              </w:numPr>
              <w:tabs>
                <w:tab w:val="clear" w:pos="4320"/>
                <w:tab w:val="clear" w:pos="8640"/>
              </w:tabs>
              <w:rPr>
                <w:rFonts w:cs="Arial"/>
                <w:iCs/>
              </w:rPr>
            </w:pPr>
          </w:p>
        </w:tc>
        <w:tc>
          <w:tcPr>
            <w:tcW w:w="234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p>
        </w:tc>
        <w:tc>
          <w:tcPr>
            <w:tcW w:w="1800" w:type="dxa"/>
            <w:tcBorders>
              <w:top w:val="single" w:sz="4" w:space="0" w:color="auto"/>
              <w:left w:val="single" w:sz="4" w:space="0" w:color="auto"/>
              <w:bottom w:val="single" w:sz="4" w:space="0" w:color="auto"/>
              <w:right w:val="single" w:sz="4" w:space="0" w:color="auto"/>
            </w:tcBorders>
          </w:tcPr>
          <w:p w:rsidR="003C07FC" w:rsidRDefault="003C07FC">
            <w:pPr>
              <w:pStyle w:val="Header"/>
              <w:tabs>
                <w:tab w:val="clear" w:pos="4320"/>
                <w:tab w:val="clear" w:pos="8640"/>
              </w:tabs>
              <w:rPr>
                <w:rFonts w:cs="Arial"/>
                <w:iCs/>
              </w:rPr>
            </w:pPr>
          </w:p>
        </w:tc>
        <w:tc>
          <w:tcPr>
            <w:tcW w:w="3600" w:type="dxa"/>
            <w:tcBorders>
              <w:top w:val="single" w:sz="4" w:space="0" w:color="auto"/>
              <w:left w:val="single" w:sz="4" w:space="0" w:color="auto"/>
              <w:bottom w:val="single" w:sz="4" w:space="0" w:color="auto"/>
              <w:right w:val="single" w:sz="4" w:space="0" w:color="auto"/>
            </w:tcBorders>
          </w:tcPr>
          <w:p w:rsidR="003C07FC" w:rsidRDefault="003C07FC" w:rsidP="003C07FC">
            <w:pPr>
              <w:rPr>
                <w:rFonts w:cs="Arial"/>
                <w:iCs/>
              </w:rPr>
            </w:pPr>
          </w:p>
        </w:tc>
      </w:tr>
    </w:tbl>
    <w:p w:rsidR="00C23349" w:rsidRDefault="00C23349" w:rsidP="00262974">
      <w:pPr>
        <w:rPr>
          <w:rFonts w:cs="Arial"/>
          <w:b/>
          <w:bCs/>
        </w:rPr>
      </w:pPr>
    </w:p>
    <w:sectPr w:rsidR="00C23349">
      <w:headerReference w:type="default" r:id="rId10"/>
      <w:footerReference w:type="default" r:id="rId11"/>
      <w:pgSz w:w="12240" w:h="15840" w:code="1"/>
      <w:pgMar w:top="576" w:right="1800" w:bottom="576"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44E" w:rsidRDefault="00A6644E">
      <w:r>
        <w:separator/>
      </w:r>
    </w:p>
  </w:endnote>
  <w:endnote w:type="continuationSeparator" w:id="0">
    <w:p w:rsidR="00A6644E" w:rsidRDefault="00A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A6644E">
    <w:pPr>
      <w:ind w:left="-1260" w:right="-1260"/>
      <w:rPr>
        <w:rFonts w:cs="Arial"/>
        <w:sz w:val="16"/>
      </w:rPr>
    </w:pPr>
    <w:r>
      <w:rPr>
        <w:rFonts w:cs="Arial"/>
        <w:sz w:val="16"/>
      </w:rPr>
      <w:t>Laboratory, Children’s Hospitals and Clinics of Minnesota, Minneapolis/St. Paul, MN</w:t>
    </w:r>
  </w:p>
  <w:p w:rsidR="00A6644E" w:rsidRDefault="00A6644E">
    <w:pPr>
      <w:pStyle w:val="Footer"/>
      <w:ind w:left="-1260"/>
      <w:rPr>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sidR="00A57A7C">
      <w:rPr>
        <w:rFonts w:cs="Arial"/>
        <w:noProof/>
        <w:sz w:val="16"/>
      </w:rPr>
      <w:t>5</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A57A7C">
      <w:rPr>
        <w:rFonts w:cs="Arial"/>
        <w:noProof/>
        <w:sz w:val="16"/>
      </w:rPr>
      <w:t>5</w:t>
    </w:r>
    <w:r>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44E" w:rsidRDefault="00A6644E">
      <w:r>
        <w:separator/>
      </w:r>
    </w:p>
  </w:footnote>
  <w:footnote w:type="continuationSeparator" w:id="0">
    <w:p w:rsidR="00A6644E" w:rsidRDefault="00A6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4E" w:rsidRDefault="00B47D63">
    <w:pPr>
      <w:ind w:left="-1260" w:right="-1260"/>
      <w:rPr>
        <w:rFonts w:cs="Arial"/>
        <w:sz w:val="18"/>
      </w:rPr>
    </w:pPr>
    <w:r>
      <w:rPr>
        <w:rFonts w:cs="Arial"/>
        <w:noProof/>
        <w:szCs w:val="20"/>
      </w:rPr>
      <w:drawing>
        <wp:anchor distT="0" distB="0" distL="114300" distR="114300" simplePos="0" relativeHeight="251659264" behindDoc="1" locked="0" layoutInCell="1" allowOverlap="1" wp14:anchorId="5A4417AA" wp14:editId="014CC022">
          <wp:simplePos x="0" y="0"/>
          <wp:positionH relativeFrom="column">
            <wp:posOffset>4772025</wp:posOffset>
          </wp:positionH>
          <wp:positionV relativeFrom="paragraph">
            <wp:posOffset>-133350</wp:posOffset>
          </wp:positionV>
          <wp:extent cx="1697990" cy="544195"/>
          <wp:effectExtent l="0" t="0" r="0" b="8255"/>
          <wp:wrapTight wrapText="bothSides">
            <wp:wrapPolygon edited="0">
              <wp:start x="0" y="0"/>
              <wp:lineTo x="0" y="21172"/>
              <wp:lineTo x="21325" y="21172"/>
              <wp:lineTo x="21325" y="0"/>
              <wp:lineTo x="0" y="0"/>
            </wp:wrapPolygon>
          </wp:wrapTight>
          <wp:docPr id="4" name="Picture 4"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ldrens_MN_2015_logo_2c_RGB_800x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44195"/>
                  </a:xfrm>
                  <a:prstGeom prst="rect">
                    <a:avLst/>
                  </a:prstGeom>
                  <a:noFill/>
                </pic:spPr>
              </pic:pic>
            </a:graphicData>
          </a:graphic>
          <wp14:sizeRelH relativeFrom="page">
            <wp14:pctWidth>0</wp14:pctWidth>
          </wp14:sizeRelH>
          <wp14:sizeRelV relativeFrom="page">
            <wp14:pctHeight>0</wp14:pctHeight>
          </wp14:sizeRelV>
        </wp:anchor>
      </w:drawing>
    </w:r>
    <w:r w:rsidR="00642B19">
      <w:rPr>
        <w:rFonts w:cs="Arial"/>
        <w:sz w:val="18"/>
      </w:rPr>
      <w:t>CH 6.461</w:t>
    </w:r>
    <w:r w:rsidR="00A6644E">
      <w:rPr>
        <w:rFonts w:cs="Arial"/>
        <w:sz w:val="18"/>
      </w:rPr>
      <w:t xml:space="preserve"> </w:t>
    </w:r>
    <w:r w:rsidR="00642B19">
      <w:rPr>
        <w:rFonts w:cs="Arial"/>
        <w:sz w:val="18"/>
      </w:rPr>
      <w:t>IgE</w:t>
    </w:r>
  </w:p>
  <w:p w:rsidR="00A6644E" w:rsidRDefault="00642B19">
    <w:pPr>
      <w:ind w:left="-1260" w:right="-1260"/>
      <w:rPr>
        <w:rFonts w:cs="Arial"/>
        <w:sz w:val="18"/>
      </w:rPr>
    </w:pPr>
    <w:r>
      <w:rPr>
        <w:rFonts w:cs="Arial"/>
        <w:sz w:val="18"/>
      </w:rPr>
      <w:t>Version 1</w:t>
    </w:r>
    <w:r w:rsidR="00A6644E">
      <w:rPr>
        <w:rFonts w:cs="Arial"/>
        <w:sz w:val="18"/>
      </w:rPr>
      <w:tab/>
    </w:r>
  </w:p>
  <w:p w:rsidR="00A6644E" w:rsidRDefault="00642B19">
    <w:pPr>
      <w:ind w:left="-1260" w:right="-1260"/>
      <w:rPr>
        <w:rFonts w:cs="Arial"/>
        <w:sz w:val="18"/>
      </w:rPr>
    </w:pPr>
    <w:r>
      <w:rPr>
        <w:rFonts w:cs="Arial"/>
        <w:sz w:val="18"/>
      </w:rPr>
      <w:t>Effective Date: October 28</w:t>
    </w:r>
    <w:r w:rsidR="00A6644E">
      <w:rPr>
        <w:rFonts w:cs="Arial"/>
        <w:sz w:val="18"/>
      </w:rPr>
      <w:t xml:space="preserve">, </w:t>
    </w:r>
    <w:r>
      <w:rPr>
        <w:rFonts w:cs="Arial"/>
        <w:sz w:val="18"/>
      </w:rPr>
      <w:t>2020</w:t>
    </w:r>
  </w:p>
  <w:p w:rsidR="00A6644E" w:rsidRDefault="00A6644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036"/>
    <w:multiLevelType w:val="multilevel"/>
    <w:tmpl w:val="4DFE68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2805D49"/>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33149"/>
    <w:multiLevelType w:val="hybridMultilevel"/>
    <w:tmpl w:val="0F78C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4331B9"/>
    <w:multiLevelType w:val="hybridMultilevel"/>
    <w:tmpl w:val="96968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24585"/>
    <w:multiLevelType w:val="hybridMultilevel"/>
    <w:tmpl w:val="A134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90622"/>
    <w:multiLevelType w:val="hybridMultilevel"/>
    <w:tmpl w:val="16E263A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231715"/>
    <w:multiLevelType w:val="hybridMultilevel"/>
    <w:tmpl w:val="86E81352"/>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52448"/>
    <w:multiLevelType w:val="hybridMultilevel"/>
    <w:tmpl w:val="29EA6A76"/>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D38B5"/>
    <w:multiLevelType w:val="hybridMultilevel"/>
    <w:tmpl w:val="4F8043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254655"/>
    <w:multiLevelType w:val="hybridMultilevel"/>
    <w:tmpl w:val="FFE484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FC647B"/>
    <w:multiLevelType w:val="hybridMultilevel"/>
    <w:tmpl w:val="400C9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A460C0"/>
    <w:multiLevelType w:val="hybridMultilevel"/>
    <w:tmpl w:val="DAEE9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2A4D03"/>
    <w:multiLevelType w:val="hybridMultilevel"/>
    <w:tmpl w:val="3F9EE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F0613"/>
    <w:multiLevelType w:val="hybridMultilevel"/>
    <w:tmpl w:val="1D3ABFD6"/>
    <w:lvl w:ilvl="0" w:tplc="B9E652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8048E"/>
    <w:multiLevelType w:val="hybridMultilevel"/>
    <w:tmpl w:val="B300B7C4"/>
    <w:lvl w:ilvl="0" w:tplc="629C7B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70F28"/>
    <w:multiLevelType w:val="hybridMultilevel"/>
    <w:tmpl w:val="2F7E6278"/>
    <w:lvl w:ilvl="0" w:tplc="9938A3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845A7B"/>
    <w:multiLevelType w:val="hybridMultilevel"/>
    <w:tmpl w:val="D1623A52"/>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F5272"/>
    <w:multiLevelType w:val="hybridMultilevel"/>
    <w:tmpl w:val="43F22F08"/>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352416"/>
    <w:multiLevelType w:val="hybridMultilevel"/>
    <w:tmpl w:val="47F87594"/>
    <w:lvl w:ilvl="0" w:tplc="D89444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D5AED"/>
    <w:multiLevelType w:val="hybridMultilevel"/>
    <w:tmpl w:val="F89E5B04"/>
    <w:lvl w:ilvl="0" w:tplc="168C60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76F5765F"/>
    <w:multiLevelType w:val="hybridMultilevel"/>
    <w:tmpl w:val="C64A819C"/>
    <w:lvl w:ilvl="0" w:tplc="629C7B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EA27DA"/>
    <w:multiLevelType w:val="hybridMultilevel"/>
    <w:tmpl w:val="0170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7"/>
  </w:num>
  <w:num w:numId="4">
    <w:abstractNumId w:val="16"/>
  </w:num>
  <w:num w:numId="5">
    <w:abstractNumId w:val="18"/>
  </w:num>
  <w:num w:numId="6">
    <w:abstractNumId w:val="15"/>
  </w:num>
  <w:num w:numId="7">
    <w:abstractNumId w:val="7"/>
  </w:num>
  <w:num w:numId="8">
    <w:abstractNumId w:val="10"/>
  </w:num>
  <w:num w:numId="9">
    <w:abstractNumId w:val="0"/>
  </w:num>
  <w:num w:numId="10">
    <w:abstractNumId w:val="20"/>
  </w:num>
  <w:num w:numId="11">
    <w:abstractNumId w:val="4"/>
  </w:num>
  <w:num w:numId="12">
    <w:abstractNumId w:val="13"/>
  </w:num>
  <w:num w:numId="13">
    <w:abstractNumId w:val="2"/>
  </w:num>
  <w:num w:numId="14">
    <w:abstractNumId w:val="9"/>
  </w:num>
  <w:num w:numId="15">
    <w:abstractNumId w:val="11"/>
  </w:num>
  <w:num w:numId="16">
    <w:abstractNumId w:val="19"/>
  </w:num>
  <w:num w:numId="17">
    <w:abstractNumId w:val="8"/>
  </w:num>
  <w:num w:numId="18">
    <w:abstractNumId w:val="12"/>
  </w:num>
  <w:num w:numId="19">
    <w:abstractNumId w:val="5"/>
  </w:num>
  <w:num w:numId="20">
    <w:abstractNumId w:val="1"/>
  </w:num>
  <w:num w:numId="21">
    <w:abstractNumId w:val="22"/>
  </w:num>
  <w:num w:numId="22">
    <w:abstractNumId w:val="6"/>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1D"/>
    <w:rsid w:val="0012646F"/>
    <w:rsid w:val="00182225"/>
    <w:rsid w:val="001B34B3"/>
    <w:rsid w:val="001C146E"/>
    <w:rsid w:val="001E43C6"/>
    <w:rsid w:val="001E67AA"/>
    <w:rsid w:val="00262974"/>
    <w:rsid w:val="002755F0"/>
    <w:rsid w:val="002773BF"/>
    <w:rsid w:val="002B381E"/>
    <w:rsid w:val="003C07FC"/>
    <w:rsid w:val="003C37B2"/>
    <w:rsid w:val="00484AF7"/>
    <w:rsid w:val="004D4F58"/>
    <w:rsid w:val="005C7C66"/>
    <w:rsid w:val="005D658A"/>
    <w:rsid w:val="00642B19"/>
    <w:rsid w:val="006F50E3"/>
    <w:rsid w:val="00825626"/>
    <w:rsid w:val="008635DD"/>
    <w:rsid w:val="008A2E76"/>
    <w:rsid w:val="00904CA9"/>
    <w:rsid w:val="0093272C"/>
    <w:rsid w:val="009C0FA2"/>
    <w:rsid w:val="00A57A7C"/>
    <w:rsid w:val="00A659DE"/>
    <w:rsid w:val="00A6644E"/>
    <w:rsid w:val="00AB6A5C"/>
    <w:rsid w:val="00AD0C1D"/>
    <w:rsid w:val="00AD1920"/>
    <w:rsid w:val="00B47D63"/>
    <w:rsid w:val="00BE6ADA"/>
    <w:rsid w:val="00C07F7E"/>
    <w:rsid w:val="00C23349"/>
    <w:rsid w:val="00D50F5C"/>
    <w:rsid w:val="00D70981"/>
    <w:rsid w:val="00DA080C"/>
    <w:rsid w:val="00EB0635"/>
    <w:rsid w:val="00F37C77"/>
    <w:rsid w:val="00F8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79E03E5-87D6-4487-98D3-833F46DD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numPr>
        <w:numId w:val="9"/>
      </w:numPr>
      <w:jc w:val="both"/>
      <w:outlineLvl w:val="0"/>
    </w:pPr>
    <w:rPr>
      <w:rFonts w:ascii="Times New Roman" w:hAnsi="Times New Roman" w:cs="Arial"/>
      <w:b/>
      <w:bCs/>
      <w:kern w:val="32"/>
      <w:sz w:val="26"/>
      <w:szCs w:val="32"/>
    </w:rPr>
  </w:style>
  <w:style w:type="paragraph" w:styleId="Heading2">
    <w:name w:val="heading 2"/>
    <w:basedOn w:val="Normal"/>
    <w:next w:val="Normal"/>
    <w:qFormat/>
    <w:pPr>
      <w:keepNext/>
      <w:numPr>
        <w:ilvl w:val="1"/>
        <w:numId w:val="9"/>
      </w:numPr>
      <w:jc w:val="both"/>
      <w:outlineLvl w:val="1"/>
    </w:pPr>
    <w:rPr>
      <w:rFonts w:ascii="Times New Roman" w:hAnsi="Times New Roman" w:cs="Arial"/>
      <w:b/>
      <w:bCs/>
      <w:iCs/>
      <w:sz w:val="24"/>
      <w:szCs w:val="28"/>
    </w:rPr>
  </w:style>
  <w:style w:type="paragraph" w:styleId="Heading3">
    <w:name w:val="heading 3"/>
    <w:basedOn w:val="Normal"/>
    <w:next w:val="Normal"/>
    <w:qFormat/>
    <w:pPr>
      <w:keepNext/>
      <w:numPr>
        <w:ilvl w:val="2"/>
        <w:numId w:val="9"/>
      </w:numPr>
      <w:jc w:val="both"/>
      <w:outlineLvl w:val="2"/>
    </w:pPr>
    <w:rPr>
      <w:rFonts w:ascii="Times New Roman" w:hAnsi="Times New Roman" w:cs="Arial"/>
      <w:b/>
      <w:bCs/>
      <w:sz w:val="22"/>
      <w:szCs w:val="26"/>
    </w:rPr>
  </w:style>
  <w:style w:type="paragraph" w:styleId="Heading4">
    <w:name w:val="heading 4"/>
    <w:aliases w:val="Map Title"/>
    <w:basedOn w:val="Normal"/>
    <w:next w:val="Normal"/>
    <w:qFormat/>
    <w:pPr>
      <w:keepNext/>
      <w:numPr>
        <w:ilvl w:val="3"/>
        <w:numId w:val="9"/>
      </w:numPr>
      <w:jc w:val="both"/>
      <w:outlineLvl w:val="3"/>
    </w:pPr>
    <w:rPr>
      <w:rFonts w:ascii="Times New Roman" w:hAnsi="Times New Roman"/>
      <w:bCs/>
      <w:sz w:val="22"/>
      <w:szCs w:val="28"/>
    </w:rPr>
  </w:style>
  <w:style w:type="paragraph" w:styleId="Heading5">
    <w:name w:val="heading 5"/>
    <w:aliases w:val="Block Label"/>
    <w:basedOn w:val="Normal"/>
    <w:next w:val="Normal"/>
    <w:qFormat/>
    <w:pPr>
      <w:keepNext/>
      <w:numPr>
        <w:ilvl w:val="4"/>
        <w:numId w:val="9"/>
      </w:numPr>
      <w:spacing w:before="20"/>
      <w:jc w:val="both"/>
      <w:outlineLvl w:val="4"/>
    </w:pPr>
    <w:rPr>
      <w:rFonts w:ascii="Times New Roman" w:hAnsi="Times New Roman"/>
      <w:sz w:val="22"/>
    </w:rPr>
  </w:style>
  <w:style w:type="paragraph" w:styleId="Heading6">
    <w:name w:val="heading 6"/>
    <w:basedOn w:val="Normal"/>
    <w:next w:val="Normal"/>
    <w:qFormat/>
    <w:pPr>
      <w:keepNext/>
      <w:numPr>
        <w:ilvl w:val="5"/>
        <w:numId w:val="9"/>
      </w:numPr>
      <w:jc w:val="both"/>
      <w:outlineLvl w:val="5"/>
    </w:pPr>
    <w:rPr>
      <w:rFonts w:ascii="Times New Roman" w:hAnsi="Times New Roman"/>
      <w:b/>
      <w:bCs/>
      <w:sz w:val="18"/>
    </w:rPr>
  </w:style>
  <w:style w:type="paragraph" w:styleId="Heading7">
    <w:name w:val="heading 7"/>
    <w:basedOn w:val="Normal"/>
    <w:next w:val="Normal"/>
    <w:qFormat/>
    <w:pPr>
      <w:keepNext/>
      <w:numPr>
        <w:ilvl w:val="6"/>
        <w:numId w:val="9"/>
      </w:numPr>
      <w:jc w:val="both"/>
      <w:outlineLvl w:val="6"/>
    </w:pPr>
    <w:rPr>
      <w:rFonts w:ascii="Times New Roman" w:hAnsi="Times New Roman"/>
      <w:sz w:val="28"/>
    </w:rPr>
  </w:style>
  <w:style w:type="paragraph" w:styleId="Heading8">
    <w:name w:val="heading 8"/>
    <w:basedOn w:val="Normal"/>
    <w:next w:val="Normal"/>
    <w:qFormat/>
    <w:pPr>
      <w:keepNext/>
      <w:numPr>
        <w:ilvl w:val="7"/>
        <w:numId w:val="9"/>
      </w:numPr>
      <w:jc w:val="center"/>
      <w:outlineLvl w:val="7"/>
    </w:pPr>
    <w:rPr>
      <w:rFonts w:ascii="Times New Roman" w:hAnsi="Times New Roman"/>
      <w:b/>
      <w:bCs/>
      <w:sz w:val="22"/>
    </w:rPr>
  </w:style>
  <w:style w:type="paragraph" w:styleId="Heading9">
    <w:name w:val="heading 9"/>
    <w:basedOn w:val="Normal"/>
    <w:next w:val="Normal"/>
    <w:qFormat/>
    <w:pPr>
      <w:keepNext/>
      <w:numPr>
        <w:ilvl w:val="8"/>
        <w:numId w:val="9"/>
      </w:numPr>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alVerTable">
    <w:name w:val="CalVerTable"/>
    <w:basedOn w:val="BodyText"/>
    <w:pPr>
      <w:spacing w:after="40" w:line="160" w:lineRule="atLeast"/>
      <w:ind w:left="3240" w:hanging="3240"/>
    </w:pPr>
    <w:rPr>
      <w:rFonts w:ascii="Times New Roman" w:hAnsi="Times New Roman"/>
      <w:szCs w:val="20"/>
    </w:rPr>
  </w:style>
  <w:style w:type="paragraph" w:styleId="BodyText">
    <w:name w:val="Body Text"/>
    <w:basedOn w:val="Normal"/>
    <w:semiHidden/>
  </w:style>
  <w:style w:type="paragraph" w:customStyle="1" w:styleId="Bullets">
    <w:name w:val="Bullets"/>
    <w:basedOn w:val="Normal"/>
    <w:pPr>
      <w:spacing w:after="40" w:line="160" w:lineRule="atLeast"/>
      <w:ind w:left="274" w:hanging="274"/>
    </w:pPr>
    <w:rPr>
      <w:rFonts w:ascii="Times New Roman" w:hAnsi="Times New Roman"/>
      <w:szCs w:val="20"/>
    </w:rPr>
  </w:style>
  <w:style w:type="paragraph" w:customStyle="1" w:styleId="Reagents">
    <w:name w:val="Reagents"/>
    <w:basedOn w:val="Normal"/>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customStyle="1" w:styleId="Footnotes">
    <w:name w:val="Footnotes"/>
    <w:basedOn w:val="Normal"/>
    <w:pPr>
      <w:spacing w:after="40" w:line="140" w:lineRule="atLeast"/>
      <w:ind w:left="274" w:hanging="274"/>
    </w:pPr>
    <w:rPr>
      <w:rFonts w:ascii="Times New Roman" w:hAnsi="Times New Roman"/>
      <w:sz w:val="18"/>
      <w:szCs w:val="20"/>
    </w:rPr>
  </w:style>
  <w:style w:type="paragraph" w:customStyle="1" w:styleId="Pa4">
    <w:name w:val="Pa4"/>
    <w:basedOn w:val="Normal"/>
    <w:next w:val="Normal"/>
    <w:pPr>
      <w:autoSpaceDE w:val="0"/>
      <w:autoSpaceDN w:val="0"/>
      <w:adjustRightInd w:val="0"/>
      <w:spacing w:line="151" w:lineRule="atLeast"/>
    </w:pPr>
    <w:rPr>
      <w:rFonts w:ascii="Helen Pro Cond" w:hAnsi="Helen Pro Cond"/>
      <w:sz w:val="24"/>
    </w:rPr>
  </w:style>
  <w:style w:type="character" w:customStyle="1" w:styleId="A8">
    <w:name w:val="A8"/>
    <w:rPr>
      <w:color w:val="000000"/>
      <w:sz w:val="8"/>
      <w:szCs w:val="8"/>
    </w:rPr>
  </w:style>
  <w:style w:type="paragraph" w:customStyle="1" w:styleId="Pa8">
    <w:name w:val="Pa8"/>
    <w:basedOn w:val="Normal"/>
    <w:next w:val="Normal"/>
    <w:pPr>
      <w:autoSpaceDE w:val="0"/>
      <w:autoSpaceDN w:val="0"/>
      <w:adjustRightInd w:val="0"/>
      <w:spacing w:line="141" w:lineRule="atLeast"/>
    </w:pPr>
    <w:rPr>
      <w:rFonts w:ascii="Helen Pro Cond" w:hAnsi="Helen Pro Cond"/>
      <w:sz w:val="24"/>
    </w:rPr>
  </w:style>
  <w:style w:type="paragraph" w:customStyle="1" w:styleId="Pa11">
    <w:name w:val="Pa11"/>
    <w:basedOn w:val="Normal"/>
    <w:next w:val="Normal"/>
    <w:pPr>
      <w:autoSpaceDE w:val="0"/>
      <w:autoSpaceDN w:val="0"/>
      <w:adjustRightInd w:val="0"/>
      <w:spacing w:line="141" w:lineRule="atLeast"/>
    </w:pPr>
    <w:rPr>
      <w:rFonts w:ascii="Helen Pro Cond" w:hAnsi="Helen Pro Cond"/>
      <w:sz w:val="24"/>
    </w:rPr>
  </w:style>
  <w:style w:type="paragraph" w:customStyle="1" w:styleId="Pa20">
    <w:name w:val="Pa20"/>
    <w:basedOn w:val="Normal"/>
    <w:next w:val="Normal"/>
    <w:pPr>
      <w:autoSpaceDE w:val="0"/>
      <w:autoSpaceDN w:val="0"/>
      <w:adjustRightInd w:val="0"/>
      <w:spacing w:line="141" w:lineRule="atLeast"/>
    </w:pPr>
    <w:rPr>
      <w:rFonts w:ascii="Helen Pro Cond" w:hAnsi="Helen Pro Cond"/>
      <w:sz w:val="24"/>
    </w:rPr>
  </w:style>
  <w:style w:type="paragraph" w:customStyle="1" w:styleId="Pa26">
    <w:name w:val="Pa26"/>
    <w:basedOn w:val="Normal"/>
    <w:next w:val="Normal"/>
    <w:pPr>
      <w:autoSpaceDE w:val="0"/>
      <w:autoSpaceDN w:val="0"/>
      <w:adjustRightInd w:val="0"/>
      <w:spacing w:line="151" w:lineRule="atLeast"/>
    </w:pPr>
    <w:rPr>
      <w:rFonts w:ascii="Helen Pro Cond" w:hAnsi="Helen Pro Cond"/>
      <w:sz w:val="24"/>
    </w:rPr>
  </w:style>
  <w:style w:type="character" w:customStyle="1" w:styleId="A7">
    <w:name w:val="A7"/>
    <w:rPr>
      <w:color w:val="000000"/>
      <w:sz w:val="15"/>
      <w:szCs w:val="15"/>
    </w:rPr>
  </w:style>
  <w:style w:type="paragraph" w:customStyle="1" w:styleId="TableText">
    <w:name w:val="Table Text"/>
    <w:basedOn w:val="Normal"/>
    <w:pPr>
      <w:autoSpaceDE w:val="0"/>
      <w:autoSpaceDN w:val="0"/>
    </w:pPr>
    <w:rPr>
      <w:rFonts w:ascii="Times New Roman" w:hAnsi="Times New Roman"/>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semiHidden/>
    <w:pPr>
      <w:autoSpaceDE w:val="0"/>
      <w:autoSpaceDN w:val="0"/>
      <w:adjustRightInd w:val="0"/>
      <w:jc w:val="both"/>
    </w:pPr>
    <w:rPr>
      <w:rFonts w:cs="Arial"/>
    </w:rPr>
  </w:style>
  <w:style w:type="character" w:customStyle="1" w:styleId="maintitle">
    <w:name w:val="maintitle"/>
    <w:basedOn w:val="DefaultParagraphFont"/>
  </w:style>
  <w:style w:type="paragraph" w:styleId="BodyText3">
    <w:name w:val="Body Text 3"/>
    <w:basedOn w:val="Normal"/>
    <w:semiHidden/>
    <w:rPr>
      <w:smallCaps/>
      <w:sz w:val="16"/>
    </w:rPr>
  </w:style>
  <w:style w:type="character" w:styleId="Strong">
    <w:name w:val="Strong"/>
    <w:basedOn w:val="DefaultParagraphFont"/>
    <w:qFormat/>
    <w:rPr>
      <w:b/>
      <w:bCs/>
    </w:rPr>
  </w:style>
  <w:style w:type="paragraph" w:styleId="ListParagraph">
    <w:name w:val="List Paragraph"/>
    <w:basedOn w:val="Normal"/>
    <w:uiPriority w:val="34"/>
    <w:qFormat/>
    <w:rsid w:val="00D50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net.childrenshc.org/References/labsop/chem/quality/ch-2.17-unity-real-time-qc-review-general-us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rnet.childrenshc.org/References/labsop/chem/quality/ch-2.18-westgard-rules-in-chemistr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rnet.childrenshc.org/References/labsop/chem/operator/alinity-ci-series-operations-man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5</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(Name of Analyte) Attributes by Analyzer</vt:lpstr>
    </vt:vector>
  </TitlesOfParts>
  <Company>Metro Intercon, Inc.</Company>
  <LinksUpToDate>false</LinksUpToDate>
  <CharactersWithSpaces>10042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Analyte) Attributes by Analyzer</dc:title>
  <dc:creator>Authorized User</dc:creator>
  <cp:lastModifiedBy>Erin Bartos</cp:lastModifiedBy>
  <cp:revision>5</cp:revision>
  <cp:lastPrinted>2012-07-05T22:56:00Z</cp:lastPrinted>
  <dcterms:created xsi:type="dcterms:W3CDTF">2020-10-23T01:32:00Z</dcterms:created>
  <dcterms:modified xsi:type="dcterms:W3CDTF">2020-10-23T23:41:00Z</dcterms:modified>
</cp:coreProperties>
</file>