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E27D26">
            <w:pPr>
              <w:rPr>
                <w:rFonts w:cs="Arial"/>
                <w:b/>
                <w:bCs/>
                <w:color w:val="0000FF"/>
                <w:sz w:val="36"/>
              </w:rPr>
            </w:pPr>
            <w:r>
              <w:rPr>
                <w:rFonts w:cs="Arial"/>
                <w:b/>
                <w:bCs/>
                <w:color w:val="0000FF"/>
                <w:sz w:val="36"/>
              </w:rPr>
              <w:t>Lipase</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w:t>
            </w:r>
            <w:r w:rsidR="00E27D26">
              <w:rPr>
                <w:rStyle w:val="A7"/>
                <w:rFonts w:cs="Arial"/>
                <w:b w:val="0"/>
                <w:bCs w:val="0"/>
                <w:sz w:val="20"/>
                <w:szCs w:val="20"/>
              </w:rPr>
              <w:t>or LIPASE on</w:t>
            </w:r>
            <w:r w:rsidR="009D085B" w:rsidRPr="00DC7421">
              <w:rPr>
                <w:rStyle w:val="A7"/>
                <w:rFonts w:cs="Arial"/>
                <w:b w:val="0"/>
                <w:bCs w:val="0"/>
                <w:sz w:val="20"/>
                <w:szCs w:val="20"/>
              </w:rPr>
              <w:t xml:space="preserve"> ABBOTT INSTRUMEN</w:t>
            </w:r>
            <w:r w:rsidR="003A3AD6">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E27D26">
              <w:rPr>
                <w:rFonts w:cs="Arial"/>
                <w:szCs w:val="20"/>
              </w:rPr>
              <w:t xml:space="preserve"> The Lipase</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quantitative measurement of albumin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w:t>
            </w:r>
            <w:r w:rsidR="0028136F">
              <w:rPr>
                <w:rFonts w:cs="Arial"/>
                <w:szCs w:val="20"/>
              </w:rPr>
              <w:t>ating the</w:t>
            </w:r>
            <w:r w:rsidR="005C6F36" w:rsidRPr="00DC7421">
              <w:rPr>
                <w:rFonts w:cs="Arial"/>
                <w:szCs w:val="20"/>
              </w:rPr>
              <w:t xml:space="preserve"> Abbott Alinity c</w:t>
            </w:r>
            <w:r w:rsidR="00AC2992">
              <w:rPr>
                <w:rFonts w:cs="Arial"/>
                <w:szCs w:val="20"/>
              </w:rPr>
              <w:t xml:space="preserve"> or Alinity ci integrated system</w:t>
            </w:r>
            <w:r w:rsidR="005C6F36" w:rsidRPr="00DC7421">
              <w:rPr>
                <w:rFonts w:cs="Arial"/>
                <w:szCs w:val="20"/>
              </w:rPr>
              <w:t xml:space="preserve">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DC7421">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C00B65" w:rsidRDefault="0028136F" w:rsidP="005C6F36">
            <w:pPr>
              <w:pStyle w:val="Header"/>
              <w:tabs>
                <w:tab w:val="clear" w:pos="4320"/>
                <w:tab w:val="clear" w:pos="8640"/>
              </w:tabs>
              <w:rPr>
                <w:rFonts w:cs="Arial"/>
                <w:color w:val="000000"/>
                <w:szCs w:val="20"/>
              </w:rPr>
            </w:pPr>
            <w:r>
              <w:rPr>
                <w:rFonts w:cs="Arial"/>
                <w:color w:val="000000"/>
                <w:szCs w:val="20"/>
              </w:rPr>
              <w:t>The method for determination of lipase is based on the cleavage of specific chromogenic lipase substrate 1</w:t>
            </w:r>
            <w:proofErr w:type="gramStart"/>
            <w:r>
              <w:rPr>
                <w:rFonts w:cs="Arial"/>
                <w:color w:val="000000"/>
                <w:szCs w:val="20"/>
              </w:rPr>
              <w:t>,2</w:t>
            </w:r>
            <w:proofErr w:type="gramEnd"/>
            <w:r>
              <w:rPr>
                <w:rFonts w:cs="Arial"/>
                <w:color w:val="000000"/>
                <w:szCs w:val="20"/>
              </w:rPr>
              <w:t xml:space="preserve">-O-dilauryl-rac-glycero-3-glutaric acid-(6’-methylresorufin)-ester emulsified in stabilized micro-particles.  In the presence of specific activators of pancreatic lipase as colipase, calcium ions and bile </w:t>
            </w:r>
            <w:r w:rsidR="00DB3293">
              <w:rPr>
                <w:rFonts w:cs="Arial"/>
                <w:color w:val="000000"/>
                <w:szCs w:val="20"/>
              </w:rPr>
              <w:t>acids</w:t>
            </w:r>
            <w:r>
              <w:rPr>
                <w:rFonts w:cs="Arial"/>
                <w:color w:val="000000"/>
                <w:szCs w:val="20"/>
              </w:rPr>
              <w:t xml:space="preserve">, the substrate is converted in 1,2-Odiauryl-rac-glycerol and </w:t>
            </w:r>
            <w:proofErr w:type="spellStart"/>
            <w:r>
              <w:rPr>
                <w:rFonts w:cs="Arial"/>
                <w:color w:val="000000"/>
                <w:szCs w:val="20"/>
              </w:rPr>
              <w:t>glutaric</w:t>
            </w:r>
            <w:proofErr w:type="spellEnd"/>
            <w:r>
              <w:rPr>
                <w:rFonts w:cs="Arial"/>
                <w:color w:val="000000"/>
                <w:szCs w:val="20"/>
              </w:rPr>
              <w:t xml:space="preserve"> acid-6’-methylresorfin-ester which decomposes spontaneously in </w:t>
            </w:r>
            <w:proofErr w:type="spellStart"/>
            <w:r>
              <w:rPr>
                <w:rFonts w:cs="Arial"/>
                <w:color w:val="000000"/>
                <w:szCs w:val="20"/>
              </w:rPr>
              <w:t>glutaric</w:t>
            </w:r>
            <w:proofErr w:type="spellEnd"/>
            <w:r>
              <w:rPr>
                <w:rFonts w:cs="Arial"/>
                <w:color w:val="000000"/>
                <w:szCs w:val="20"/>
              </w:rPr>
              <w:t xml:space="preserve"> </w:t>
            </w:r>
            <w:proofErr w:type="spellStart"/>
            <w:r>
              <w:rPr>
                <w:rFonts w:cs="Arial"/>
                <w:color w:val="000000"/>
                <w:szCs w:val="20"/>
              </w:rPr>
              <w:t>acide</w:t>
            </w:r>
            <w:proofErr w:type="spellEnd"/>
            <w:r>
              <w:rPr>
                <w:rFonts w:cs="Arial"/>
                <w:color w:val="000000"/>
                <w:szCs w:val="20"/>
              </w:rPr>
              <w:t xml:space="preserve"> and </w:t>
            </w:r>
            <w:proofErr w:type="spellStart"/>
            <w:r>
              <w:rPr>
                <w:rFonts w:cs="Arial"/>
                <w:color w:val="000000"/>
                <w:szCs w:val="20"/>
              </w:rPr>
              <w:t>metylresorufin</w:t>
            </w:r>
            <w:proofErr w:type="spellEnd"/>
            <w:r>
              <w:rPr>
                <w:rFonts w:cs="Arial"/>
                <w:color w:val="000000"/>
                <w:szCs w:val="20"/>
              </w:rPr>
              <w:t xml:space="preserve">.  The increase of absorbance, due to </w:t>
            </w:r>
            <w:proofErr w:type="spellStart"/>
            <w:r>
              <w:rPr>
                <w:rFonts w:cs="Arial"/>
                <w:color w:val="000000"/>
                <w:szCs w:val="20"/>
              </w:rPr>
              <w:t>methylresorufin</w:t>
            </w:r>
            <w:proofErr w:type="spellEnd"/>
            <w:r>
              <w:rPr>
                <w:rFonts w:cs="Arial"/>
                <w:color w:val="000000"/>
                <w:szCs w:val="20"/>
              </w:rPr>
              <w:t xml:space="preserve"> formation, is proportional to the activity of lipase in the sample.</w:t>
            </w:r>
          </w:p>
          <w:p w:rsidR="0028136F" w:rsidRPr="00DC7421" w:rsidRDefault="0028136F" w:rsidP="005C6F36">
            <w:pPr>
              <w:pStyle w:val="Header"/>
              <w:tabs>
                <w:tab w:val="clear" w:pos="4320"/>
                <w:tab w:val="clear" w:pos="8640"/>
              </w:tabs>
              <w:rPr>
                <w:rFonts w:cs="Arial"/>
                <w:color w:val="000000"/>
                <w:szCs w:val="20"/>
              </w:rPr>
            </w:pPr>
          </w:p>
          <w:p w:rsidR="005C6F36" w:rsidRDefault="005C6F36" w:rsidP="005C6F36">
            <w:pPr>
              <w:pStyle w:val="Header"/>
              <w:tabs>
                <w:tab w:val="clear" w:pos="4320"/>
                <w:tab w:val="clear" w:pos="8640"/>
              </w:tabs>
              <w:rPr>
                <w:rFonts w:cs="Arial"/>
                <w:color w:val="000000"/>
                <w:szCs w:val="20"/>
              </w:rPr>
            </w:pPr>
            <w:r w:rsidRPr="00DC7421">
              <w:rPr>
                <w:rFonts w:cs="Arial"/>
                <w:color w:val="000000"/>
                <w:szCs w:val="20"/>
              </w:rPr>
              <w:t xml:space="preserve">Methodology: </w:t>
            </w:r>
            <w:r w:rsidR="0028136F">
              <w:rPr>
                <w:rFonts w:cs="Arial"/>
                <w:color w:val="000000"/>
                <w:szCs w:val="20"/>
              </w:rPr>
              <w:t>Kinetic colorimetric</w:t>
            </w:r>
          </w:p>
          <w:p w:rsidR="005F694E" w:rsidRPr="00DC7421" w:rsidRDefault="005F694E" w:rsidP="005C6F36">
            <w:pPr>
              <w:pStyle w:val="Header"/>
              <w:tabs>
                <w:tab w:val="clear" w:pos="4320"/>
                <w:tab w:val="clear" w:pos="8640"/>
              </w:tabs>
              <w:rPr>
                <w:rFonts w:cs="Arial"/>
                <w:color w:val="000000"/>
                <w:szCs w:val="20"/>
              </w:rPr>
            </w:pPr>
          </w:p>
        </w:tc>
      </w:tr>
      <w:tr w:rsidR="00E3253B" w:rsidTr="0028136F">
        <w:trPr>
          <w:trHeight w:val="1206"/>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DB3293" w:rsidRDefault="00DB3293" w:rsidP="00DB3293">
            <w:pPr>
              <w:rPr>
                <w:rFonts w:cs="Arial"/>
                <w:color w:val="000000"/>
                <w:szCs w:val="20"/>
              </w:rPr>
            </w:pPr>
            <w:r w:rsidRPr="00DB3293">
              <w:rPr>
                <w:rFonts w:cs="Arial"/>
                <w:color w:val="000000"/>
                <w:szCs w:val="20"/>
              </w:rPr>
              <w:t>Pancreatic lipase degrades dietary triglycerides to glycerol and free fatty acids in the presence of bile salts. Lipase measurements are used in the diagnosis of diseases of the pancreas, such as acute pancreatitis and obstruction of the pancreatic duct.</w:t>
            </w:r>
          </w:p>
          <w:p w:rsidR="00DB3293" w:rsidRPr="00DB3293" w:rsidRDefault="00DB3293" w:rsidP="00DB3293">
            <w:pPr>
              <w:rPr>
                <w:rFonts w:cs="Arial"/>
                <w:color w:val="000000"/>
                <w:szCs w:val="20"/>
              </w:rPr>
            </w:pPr>
          </w:p>
          <w:p w:rsidR="005C6F36" w:rsidRDefault="00DB3293" w:rsidP="00DB3293">
            <w:pPr>
              <w:rPr>
                <w:rFonts w:cs="Arial"/>
                <w:color w:val="000000"/>
                <w:szCs w:val="20"/>
              </w:rPr>
            </w:pPr>
            <w:r w:rsidRPr="00DB3293">
              <w:rPr>
                <w:rFonts w:cs="Arial"/>
                <w:b/>
                <w:color w:val="000000"/>
                <w:szCs w:val="20"/>
              </w:rPr>
              <w:t>Acute Pancreatitis</w:t>
            </w:r>
            <w:r w:rsidRPr="00DB3293">
              <w:rPr>
                <w:rFonts w:cs="Arial"/>
                <w:color w:val="000000"/>
                <w:szCs w:val="20"/>
              </w:rPr>
              <w:t>: By far the most important use of the serum amylase and lipase assays is elucidation of the cause of acute abdominal pain. One possible cause is acute pancreatitis, a disease in which the pancreatic enzymes leak out of the cells into the gland itself, causing varying degrees of self-digestion accompanied by inflammation and hemorrhage. There are a number of different causes of acute pancreatitis, including ingestion of large amounts of alcohol and sudden obstruction of the duct through which pancreatic secretions pass on their way to the small intestine. The most common manifestations of this disease are severe abdominal pain and shock (fall in blood pressure). Acute pancreatitis from any cause is a serious disease with a high mortality rate. Treatment, which is often ineffective, is to minimize the secretion of pancreatic juice and maintain the blood pressure. Any kind of stress, including surgery is to be avoided. The physician uses serum lipase and amylase values to help in differentiating this problem from the more common bowel disorders which may produce the same symptoms but which require immediate surgery (example - acute appendicitis). In acute pancreatitis the serum amylase rises within a few hours after the onset of pain. Typically peak activity is reached within twelve hours, and there is a rapid fall to normal levels within two to five days, In general, increases in amylase and lipase run a parallel course in acute pancreatitis, but the elevation of lipase persists for a longer time.</w:t>
            </w:r>
          </w:p>
          <w:p w:rsidR="00DB3293" w:rsidRDefault="00DB3293" w:rsidP="0028136F">
            <w:pPr>
              <w:rPr>
                <w:rFonts w:cs="Arial"/>
                <w:color w:val="000000"/>
                <w:szCs w:val="20"/>
              </w:rPr>
            </w:pPr>
          </w:p>
          <w:p w:rsidR="00DB3293" w:rsidRDefault="00DB3293" w:rsidP="0028136F">
            <w:pPr>
              <w:rPr>
                <w:rFonts w:cs="Arial"/>
                <w:color w:val="000000"/>
                <w:szCs w:val="20"/>
              </w:rPr>
            </w:pPr>
            <w:r w:rsidRPr="00DB3293">
              <w:rPr>
                <w:rFonts w:cs="Arial"/>
                <w:b/>
                <w:color w:val="000000"/>
                <w:szCs w:val="20"/>
              </w:rPr>
              <w:t>Other Diseases Of The Pancreas</w:t>
            </w:r>
            <w:r w:rsidRPr="00DB3293">
              <w:rPr>
                <w:rFonts w:cs="Arial"/>
                <w:color w:val="000000"/>
                <w:szCs w:val="20"/>
              </w:rPr>
              <w:t>: Transient rises in serum amylase may occur during the course of chronic pancreatitis, but lipase is only occasionally elevated. In carcinoma of the pancreas, lipase may be elevated because the tumor obstructs the common bile duct or pancreatic duct.</w:t>
            </w:r>
          </w:p>
          <w:p w:rsidR="00DB3293" w:rsidRDefault="00DB3293" w:rsidP="0028136F">
            <w:pPr>
              <w:rPr>
                <w:rFonts w:cs="Arial"/>
                <w:color w:val="000000"/>
                <w:szCs w:val="20"/>
              </w:rPr>
            </w:pPr>
          </w:p>
          <w:p w:rsidR="00DB3293" w:rsidRPr="00DC7421" w:rsidRDefault="00DB3293" w:rsidP="0028136F">
            <w:pPr>
              <w:rPr>
                <w:rFonts w:cs="Arial"/>
                <w:szCs w:val="20"/>
              </w:rPr>
            </w:pPr>
            <w:r w:rsidRPr="00DB3293">
              <w:rPr>
                <w:rFonts w:cs="Arial"/>
                <w:b/>
                <w:szCs w:val="20"/>
              </w:rPr>
              <w:t>Salivary Gland Disease</w:t>
            </w:r>
            <w:r w:rsidRPr="00DB3293">
              <w:rPr>
                <w:rFonts w:cs="Arial"/>
                <w:szCs w:val="20"/>
              </w:rPr>
              <w:t>: It is of some importance that serum amylase may be substantially elevated in diseases of the salivary glands as well as in pancreatic disease. The two diseases can often be distinguished by the fact that lipase does not rise in diseases of the salivary glands.</w:t>
            </w: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BB255B">
              <w:rPr>
                <w:rFonts w:cs="Arial"/>
                <w:b/>
                <w:bCs/>
                <w:color w:val="7030A0"/>
                <w:szCs w:val="20"/>
              </w:rPr>
              <w:t xml:space="preserve"> and Abbott Alinity ci (Sunquest method code: MALCI; MACC for c-side.)</w:t>
            </w:r>
          </w:p>
          <w:p w:rsidR="00B109AB" w:rsidRPr="00DC7421" w:rsidRDefault="00B109AB" w:rsidP="005C4401">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466D6A">
              <w:rPr>
                <w:rFonts w:cs="Arial"/>
                <w:b/>
                <w:bCs/>
                <w:color w:val="984806" w:themeColor="accent6" w:themeShade="80"/>
                <w:szCs w:val="20"/>
              </w:rPr>
              <w:t xml:space="preserve"> </w:t>
            </w:r>
            <w:r w:rsidR="00BB255B">
              <w:rPr>
                <w:rFonts w:cs="Arial"/>
                <w:b/>
                <w:bCs/>
                <w:color w:val="984806" w:themeColor="accent6" w:themeShade="80"/>
                <w:szCs w:val="20"/>
              </w:rPr>
              <w:t xml:space="preserve">and </w:t>
            </w:r>
            <w:r w:rsidR="00466D6A">
              <w:rPr>
                <w:rFonts w:cs="Arial"/>
                <w:b/>
                <w:bCs/>
                <w:color w:val="984806" w:themeColor="accent6" w:themeShade="80"/>
                <w:szCs w:val="20"/>
              </w:rPr>
              <w:t xml:space="preserve">Abbott Alinity c (Sunquest method code: </w:t>
            </w:r>
            <w:r w:rsidR="005C4401">
              <w:rPr>
                <w:rFonts w:cs="Arial"/>
                <w:b/>
                <w:bCs/>
                <w:color w:val="984806" w:themeColor="accent6" w:themeShade="80"/>
                <w:szCs w:val="20"/>
              </w:rPr>
              <w:t>SALIC</w:t>
            </w:r>
            <w:r w:rsidR="00466D6A">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5F694E" w:rsidRDefault="00DB3293">
            <w:pPr>
              <w:pStyle w:val="Heading2"/>
              <w:jc w:val="left"/>
              <w:rPr>
                <w:b w:val="0"/>
                <w:bCs w:val="0"/>
                <w:sz w:val="20"/>
                <w:szCs w:val="20"/>
              </w:rPr>
            </w:pPr>
            <w:r>
              <w:rPr>
                <w:sz w:val="20"/>
                <w:szCs w:val="20"/>
              </w:rPr>
              <w:t>LIPA</w:t>
            </w:r>
            <w:r w:rsidR="00E3253B" w:rsidRPr="00DC7421">
              <w:rPr>
                <w:sz w:val="20"/>
                <w:szCs w:val="20"/>
              </w:rPr>
              <w:t xml:space="preserve">: </w:t>
            </w:r>
            <w:r>
              <w:rPr>
                <w:b w:val="0"/>
                <w:sz w:val="20"/>
                <w:szCs w:val="20"/>
              </w:rPr>
              <w:t xml:space="preserve">Lipase </w:t>
            </w:r>
            <w:r w:rsidR="00E3253B" w:rsidRPr="00DC7421">
              <w:rPr>
                <w:b w:val="0"/>
                <w:bCs w:val="0"/>
                <w:sz w:val="20"/>
                <w:szCs w:val="20"/>
              </w:rPr>
              <w:t>in serum and plasma</w:t>
            </w:r>
          </w:p>
          <w:p w:rsidR="00E3253B" w:rsidRPr="00DC7421" w:rsidRDefault="00E3253B">
            <w:pPr>
              <w:pStyle w:val="Heading2"/>
              <w:jc w:val="left"/>
              <w:rPr>
                <w:sz w:val="20"/>
                <w:szCs w:val="20"/>
              </w:rPr>
            </w:pPr>
          </w:p>
        </w:tc>
      </w:tr>
      <w:tr w:rsidR="00E3253B" w:rsidTr="00DB3293">
        <w:trPr>
          <w:cantSplit/>
          <w:trHeight w:val="625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DB3293">
              <w:rPr>
                <w:rFonts w:cs="Arial"/>
                <w:szCs w:val="20"/>
              </w:rPr>
              <w:t xml:space="preserve"> RT/ 12 hours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DB3293">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DB3293">
              <w:rPr>
                <w:rFonts w:cs="Arial"/>
                <w:szCs w:val="20"/>
              </w:rPr>
              <w:t>12</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DB3293">
              <w:rPr>
                <w:rFonts w:cs="Arial"/>
                <w:szCs w:val="20"/>
              </w:rPr>
              <w:t>.  EDTA inhibits the LPS activity.</w:t>
            </w:r>
          </w:p>
          <w:p w:rsidR="00E3253B" w:rsidRPr="00DC7421" w:rsidRDefault="00E3253B">
            <w:pPr>
              <w:autoSpaceDE w:val="0"/>
              <w:autoSpaceDN w:val="0"/>
              <w:adjustRightInd w:val="0"/>
              <w:rPr>
                <w:rFonts w:cs="Arial"/>
                <w:szCs w:val="20"/>
              </w:rPr>
            </w:pPr>
          </w:p>
          <w:p w:rsidR="00E93074" w:rsidRPr="00DC7421" w:rsidRDefault="00E93074" w:rsidP="00E93074">
            <w:pPr>
              <w:pStyle w:val="Header"/>
              <w:tabs>
                <w:tab w:val="clear" w:pos="4320"/>
                <w:tab w:val="clear" w:pos="8640"/>
              </w:tabs>
              <w:rPr>
                <w:rFonts w:cs="Arial"/>
                <w:szCs w:val="20"/>
              </w:rPr>
            </w:pPr>
            <w:r w:rsidRPr="00DC7421">
              <w:rPr>
                <w:rFonts w:cs="Arial"/>
                <w:b/>
                <w:bCs/>
                <w:szCs w:val="20"/>
              </w:rPr>
              <w:t xml:space="preserve">Patient </w:t>
            </w:r>
            <w:r w:rsidR="00E3253B" w:rsidRPr="00DC7421">
              <w:rPr>
                <w:rFonts w:cs="Arial"/>
                <w:b/>
                <w:bCs/>
                <w:szCs w:val="20"/>
              </w:rPr>
              <w:t>Preparation:</w:t>
            </w:r>
            <w:r w:rsidRPr="00DC7421">
              <w:rPr>
                <w:rFonts w:cs="Arial"/>
                <w:szCs w:val="20"/>
              </w:rPr>
              <w:t xml:space="preserve"> </w:t>
            </w:r>
          </w:p>
          <w:p w:rsidR="00E3253B" w:rsidRPr="00DC7421" w:rsidRDefault="00DB3293" w:rsidP="00B11633">
            <w:pPr>
              <w:autoSpaceDE w:val="0"/>
              <w:autoSpaceDN w:val="0"/>
              <w:adjustRightInd w:val="0"/>
              <w:rPr>
                <w:rFonts w:cs="Arial"/>
                <w:bCs/>
                <w:szCs w:val="20"/>
              </w:rPr>
            </w:pPr>
            <w:r>
              <w:rPr>
                <w:rFonts w:eastAsia="HelenPro-Regular" w:cs="Arial"/>
                <w:szCs w:val="20"/>
              </w:rPr>
              <w:t>None</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w:t>
            </w:r>
            <w:r w:rsidR="00643987">
              <w:rPr>
                <w:rFonts w:cs="Arial"/>
                <w:szCs w:val="20"/>
              </w:rPr>
              <w:t>abeled pilot tube, sendout tube, or Abbott sample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w:t>
            </w:r>
            <w:r w:rsidR="00643987">
              <w:rPr>
                <w:rFonts w:cs="Arial"/>
                <w:szCs w:val="20"/>
              </w:rPr>
              <w:t xml:space="preserve">  Very low volumes should be pipetted into an Abbott sample cup and placed on top of a pilot or sendout tube.  Both sample cup and carrier tube must be properly labeled.  After testing, if there is any volume left, pipette the remaining amount into the sendout or pilot tube and cap tightly.</w:t>
            </w:r>
            <w:r w:rsidR="00A002D3" w:rsidRPr="00DC7421">
              <w:rPr>
                <w:rFonts w:cs="Arial"/>
                <w:szCs w:val="20"/>
              </w:rPr>
              <w:t xml:space="preserve">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B3293">
        <w:trPr>
          <w:cantSplit/>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34BB2" w:rsidRDefault="00440E37" w:rsidP="00440E37">
            <w:pPr>
              <w:autoSpaceDE w:val="0"/>
              <w:autoSpaceDN w:val="0"/>
              <w:adjustRightInd w:val="0"/>
              <w:rPr>
                <w:rFonts w:cs="Arial"/>
                <w:b/>
                <w:bCs/>
                <w:color w:val="000000"/>
                <w:szCs w:val="20"/>
              </w:rPr>
            </w:pPr>
            <w:r w:rsidRPr="00DC7421">
              <w:rPr>
                <w:rFonts w:cs="Arial"/>
                <w:b/>
                <w:bCs/>
                <w:color w:val="000000"/>
                <w:szCs w:val="20"/>
              </w:rPr>
              <w:t xml:space="preserve">Reagent Handling </w:t>
            </w:r>
          </w:p>
          <w:p w:rsidR="00234BB2" w:rsidRDefault="00234BB2" w:rsidP="00440E37">
            <w:pPr>
              <w:autoSpaceDE w:val="0"/>
              <w:autoSpaceDN w:val="0"/>
              <w:adjustRightInd w:val="0"/>
              <w:rPr>
                <w:rFonts w:cs="Arial"/>
                <w:bCs/>
                <w:color w:val="000000"/>
                <w:szCs w:val="20"/>
              </w:rPr>
            </w:pPr>
            <w:r>
              <w:rPr>
                <w:rFonts w:cs="Arial"/>
                <w:bCs/>
                <w:color w:val="000000"/>
                <w:szCs w:val="20"/>
              </w:rPr>
              <w:t xml:space="preserve">This is a third party assay manufactured by Sentinel Diagnostics and distributed through Abbott Diagnostics for use on the Abbott platform.  Printing a barcode specific to each reagent loaded is required.  See the </w:t>
            </w:r>
            <w:hyperlink r:id="rId8" w:history="1">
              <w:r w:rsidRPr="00234BB2">
                <w:rPr>
                  <w:rStyle w:val="Hyperlink"/>
                  <w:rFonts w:cs="Arial"/>
                  <w:bCs/>
                  <w:szCs w:val="20"/>
                </w:rPr>
                <w:t>Alinity Operating Procedure</w:t>
              </w:r>
            </w:hyperlink>
            <w:r>
              <w:rPr>
                <w:rFonts w:cs="Arial"/>
                <w:bCs/>
                <w:color w:val="000000"/>
                <w:szCs w:val="20"/>
              </w:rPr>
              <w:t xml:space="preserve"> for more information.</w:t>
            </w:r>
          </w:p>
          <w:p w:rsidR="00234BB2" w:rsidRPr="00234BB2" w:rsidRDefault="00234BB2" w:rsidP="00440E37">
            <w:pPr>
              <w:autoSpaceDE w:val="0"/>
              <w:autoSpaceDN w:val="0"/>
              <w:adjustRightInd w:val="0"/>
              <w:rPr>
                <w:rFonts w:cs="Arial"/>
                <w:bCs/>
                <w:color w:val="000000"/>
                <w:szCs w:val="20"/>
              </w:rPr>
            </w:pPr>
          </w:p>
          <w:p w:rsidR="00234BB2" w:rsidRDefault="00234BB2" w:rsidP="00440E37">
            <w:pPr>
              <w:autoSpaceDE w:val="0"/>
              <w:autoSpaceDN w:val="0"/>
              <w:adjustRightInd w:val="0"/>
              <w:spacing w:after="208"/>
              <w:rPr>
                <w:rFonts w:cs="Arial"/>
                <w:color w:val="000000"/>
                <w:szCs w:val="20"/>
              </w:rPr>
            </w:pPr>
            <w:r>
              <w:rPr>
                <w:rFonts w:cs="Arial"/>
                <w:color w:val="000000"/>
                <w:szCs w:val="20"/>
              </w:rPr>
              <w:t>Reagent 1 is in clear liquid form.  Discard if turbid.  Carefully pour the entire 55 mL R1 reagent into the larger side of the black Alinity cartridge.</w:t>
            </w:r>
          </w:p>
          <w:p w:rsidR="00440E37" w:rsidRPr="00DC7421" w:rsidRDefault="00234BB2" w:rsidP="00440E37">
            <w:pPr>
              <w:autoSpaceDE w:val="0"/>
              <w:autoSpaceDN w:val="0"/>
              <w:adjustRightInd w:val="0"/>
              <w:spacing w:after="208"/>
              <w:rPr>
                <w:rFonts w:cs="Arial"/>
                <w:color w:val="000000"/>
                <w:szCs w:val="20"/>
              </w:rPr>
            </w:pPr>
            <w:r>
              <w:rPr>
                <w:rFonts w:cs="Arial"/>
                <w:color w:val="000000"/>
                <w:szCs w:val="20"/>
              </w:rPr>
              <w:t>Reagent 2 is an orange-colored micro-emulsion.  Gently mix to re-suspend the microparticles prior to placing carefully pouring the 20 mL R2 into the smaller black Alinity cartridge bottle.  Avoid bubbles.</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BD3CED" w:rsidRPr="00DC7421" w:rsidRDefault="00BD3CED" w:rsidP="00440E37">
            <w:pPr>
              <w:autoSpaceDE w:val="0"/>
              <w:autoSpaceDN w:val="0"/>
              <w:adjustRightInd w:val="0"/>
              <w:rPr>
                <w:rFonts w:cs="Arial"/>
                <w:bCs/>
                <w:szCs w:val="20"/>
              </w:rPr>
            </w:pP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D955F6" w:rsidRPr="00DC7421" w:rsidRDefault="00D955F6" w:rsidP="00EF1741">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D955F6" w:rsidRPr="00DC7421" w:rsidRDefault="00234BB2" w:rsidP="00234BB2">
                  <w:pPr>
                    <w:autoSpaceDE w:val="0"/>
                    <w:autoSpaceDN w:val="0"/>
                    <w:adjustRightInd w:val="0"/>
                    <w:rPr>
                      <w:rFonts w:cs="Arial"/>
                      <w:szCs w:val="20"/>
                    </w:rPr>
                  </w:pPr>
                  <w:r>
                    <w:rPr>
                      <w:rFonts w:cs="Arial"/>
                      <w:szCs w:val="20"/>
                    </w:rPr>
                    <w:t>Sentinel Diagnostics Lipase NG OC Reagent</w:t>
                  </w:r>
                </w:p>
              </w:tc>
              <w:tc>
                <w:tcPr>
                  <w:tcW w:w="1710" w:type="dxa"/>
                  <w:vAlign w:val="center"/>
                </w:tcPr>
                <w:p w:rsidR="00D955F6" w:rsidRPr="00DC7421" w:rsidRDefault="00234BB2" w:rsidP="00E3253B">
                  <w:pPr>
                    <w:pStyle w:val="BodyText"/>
                    <w:tabs>
                      <w:tab w:val="left" w:pos="3240"/>
                    </w:tabs>
                    <w:rPr>
                      <w:rFonts w:cs="Arial"/>
                      <w:szCs w:val="20"/>
                    </w:rPr>
                  </w:pPr>
                  <w:r>
                    <w:rPr>
                      <w:rFonts w:cs="Arial"/>
                      <w:szCs w:val="20"/>
                    </w:rPr>
                    <w:t>04Y85-20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7A4234">
                    <w:rPr>
                      <w:rFonts w:cs="Arial"/>
                      <w:b/>
                      <w:bCs/>
                      <w:szCs w:val="20"/>
                    </w:rPr>
                    <w:t>30</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234BB2" w:rsidRPr="00DC7421" w:rsidTr="004C14CE">
              <w:tc>
                <w:tcPr>
                  <w:tcW w:w="2857" w:type="dxa"/>
                  <w:vAlign w:val="center"/>
                </w:tcPr>
                <w:p w:rsidR="00234BB2" w:rsidRPr="00DC7421" w:rsidRDefault="00234BB2" w:rsidP="002F5C68">
                  <w:pPr>
                    <w:pStyle w:val="BodyText"/>
                    <w:spacing w:after="0"/>
                    <w:rPr>
                      <w:rFonts w:cs="Arial"/>
                      <w:szCs w:val="20"/>
                    </w:rPr>
                  </w:pPr>
                  <w:r>
                    <w:rPr>
                      <w:rFonts w:cs="Arial"/>
                      <w:szCs w:val="20"/>
                    </w:rPr>
                    <w:t xml:space="preserve">Sentinel Diagnostics </w:t>
                  </w:r>
                  <w:r w:rsidR="00765FE2">
                    <w:rPr>
                      <w:rFonts w:cs="Arial"/>
                      <w:szCs w:val="20"/>
                    </w:rPr>
                    <w:t xml:space="preserve">Lyophilized </w:t>
                  </w:r>
                  <w:r>
                    <w:rPr>
                      <w:rFonts w:cs="Arial"/>
                      <w:szCs w:val="20"/>
                    </w:rPr>
                    <w:t>Lipase NG OC Controls, 1 and 2</w:t>
                  </w:r>
                </w:p>
              </w:tc>
              <w:tc>
                <w:tcPr>
                  <w:tcW w:w="1710" w:type="dxa"/>
                  <w:vAlign w:val="center"/>
                </w:tcPr>
                <w:p w:rsidR="00234BB2" w:rsidRPr="00DC7421" w:rsidRDefault="00765FE2" w:rsidP="009A1A3D">
                  <w:pPr>
                    <w:rPr>
                      <w:rFonts w:eastAsia="Arial Unicode MS" w:cs="Arial"/>
                      <w:szCs w:val="20"/>
                    </w:rPr>
                  </w:pPr>
                  <w:r>
                    <w:rPr>
                      <w:rFonts w:eastAsia="Arial Unicode MS" w:cs="Arial"/>
                      <w:szCs w:val="20"/>
                    </w:rPr>
                    <w:t>Control 1: 04Y85-10 Control 2:</w:t>
                  </w:r>
                  <w:r w:rsidR="00234BB2">
                    <w:rPr>
                      <w:rFonts w:eastAsia="Arial Unicode MS" w:cs="Arial"/>
                      <w:szCs w:val="20"/>
                    </w:rPr>
                    <w:t xml:space="preserve"> 04Y85-11</w:t>
                  </w:r>
                </w:p>
              </w:tc>
              <w:tc>
                <w:tcPr>
                  <w:tcW w:w="4533" w:type="dxa"/>
                  <w:vAlign w:val="center"/>
                </w:tcPr>
                <w:p w:rsidR="00765FE2" w:rsidRDefault="00765FE2" w:rsidP="00765FE2">
                  <w:pPr>
                    <w:pStyle w:val="Reagents"/>
                    <w:spacing w:after="80"/>
                    <w:rPr>
                      <w:rFonts w:ascii="Arial" w:hAnsi="Arial" w:cs="Arial"/>
                      <w:b/>
                      <w:bCs/>
                    </w:rPr>
                  </w:pPr>
                  <w:r>
                    <w:rPr>
                      <w:rFonts w:ascii="Arial" w:hAnsi="Arial" w:cs="Arial"/>
                      <w:b/>
                      <w:bCs/>
                    </w:rPr>
                    <w:t xml:space="preserve">Store at: </w:t>
                  </w:r>
                  <w:r w:rsidRPr="00DC7421">
                    <w:rPr>
                      <w:rFonts w:ascii="Arial" w:hAnsi="Arial" w:cs="Arial"/>
                      <w:bCs/>
                    </w:rPr>
                    <w:t>2 – 8 °C</w:t>
                  </w:r>
                </w:p>
                <w:p w:rsidR="00AC2992" w:rsidRDefault="00765FE2" w:rsidP="00765FE2">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rsidR="00234BB2" w:rsidRPr="00DC7421" w:rsidRDefault="00765FE2" w:rsidP="00CF08A6">
                  <w:pPr>
                    <w:pStyle w:val="Reagents"/>
                    <w:spacing w:after="80"/>
                    <w:rPr>
                      <w:rFonts w:ascii="Arial" w:hAnsi="Arial" w:cs="Arial"/>
                      <w:b/>
                      <w:bCs/>
                    </w:rPr>
                  </w:pPr>
                  <w:r w:rsidRPr="00765FE2">
                    <w:rPr>
                      <w:rFonts w:ascii="Arial" w:hAnsi="Arial" w:cs="Arial"/>
                      <w:b/>
                      <w:bCs/>
                    </w:rPr>
                    <w:t>Reconstituted Expiration:</w:t>
                  </w:r>
                  <w:r w:rsidR="002F1E98">
                    <w:rPr>
                      <w:rFonts w:ascii="Arial" w:hAnsi="Arial" w:cs="Arial"/>
                      <w:b/>
                      <w:bCs/>
                    </w:rPr>
                    <w:t xml:space="preserve"> </w:t>
                  </w:r>
                  <w:r w:rsidR="002F1E98" w:rsidRPr="002F1E98">
                    <w:rPr>
                      <w:rFonts w:ascii="Arial" w:hAnsi="Arial" w:cs="Arial"/>
                      <w:bCs/>
                    </w:rPr>
                    <w:t xml:space="preserve">Refer to the packaging </w:t>
                  </w:r>
                  <w:proofErr w:type="spellStart"/>
                  <w:r w:rsidR="002F1E98" w:rsidRPr="002F1E98">
                    <w:rPr>
                      <w:rFonts w:ascii="Arial" w:hAnsi="Arial" w:cs="Arial"/>
                      <w:bCs/>
                    </w:rPr>
                    <w:t>TcA</w:t>
                  </w:r>
                  <w:proofErr w:type="spellEnd"/>
                  <w:r w:rsidR="002F1E98" w:rsidRPr="002F1E98">
                    <w:rPr>
                      <w:rFonts w:ascii="Arial" w:hAnsi="Arial" w:cs="Arial"/>
                      <w:bCs/>
                    </w:rPr>
                    <w:t xml:space="preserve"> insert for stabili</w:t>
                  </w:r>
                  <w:r w:rsidR="002F1E98">
                    <w:rPr>
                      <w:rFonts w:ascii="Arial" w:hAnsi="Arial" w:cs="Arial"/>
                      <w:bCs/>
                    </w:rPr>
                    <w:t xml:space="preserve">ty of controls </w:t>
                  </w:r>
                  <w:r w:rsidR="002F1E98" w:rsidRPr="002F1E98">
                    <w:rPr>
                      <w:rFonts w:ascii="Arial" w:hAnsi="Arial" w:cs="Arial"/>
                      <w:bCs/>
                    </w:rPr>
                    <w:t xml:space="preserve">when stored at </w:t>
                  </w:r>
                  <w:r w:rsidR="002F1E98" w:rsidRPr="002F1E98">
                    <w:rPr>
                      <w:rFonts w:ascii="Arial" w:hAnsi="Arial" w:cs="Arial"/>
                      <w:bCs/>
                    </w:rPr>
                    <w:t>2 – 8 °C</w:t>
                  </w:r>
                  <w:r w:rsidR="002F1E98" w:rsidRPr="002F1E98">
                    <w:rPr>
                      <w:rFonts w:ascii="Arial" w:hAnsi="Arial" w:cs="Arial"/>
                      <w:bCs/>
                    </w:rPr>
                    <w:t>.  Typically</w:t>
                  </w:r>
                  <w:r w:rsidR="002F1E98">
                    <w:rPr>
                      <w:rFonts w:ascii="Arial" w:hAnsi="Arial" w:cs="Arial"/>
                      <w:b/>
                      <w:bCs/>
                    </w:rPr>
                    <w:t xml:space="preserve"> </w:t>
                  </w:r>
                  <w:r w:rsidR="002F1E98" w:rsidRPr="002F1E98">
                    <w:rPr>
                      <w:rFonts w:ascii="Arial" w:hAnsi="Arial" w:cs="Arial"/>
                      <w:bCs/>
                    </w:rPr>
                    <w:t>5 days @</w:t>
                  </w:r>
                  <w:r w:rsidR="002F1E98">
                    <w:rPr>
                      <w:rFonts w:ascii="Arial" w:hAnsi="Arial" w:cs="Arial"/>
                      <w:b/>
                      <w:bCs/>
                    </w:rPr>
                    <w:t xml:space="preserve"> </w:t>
                  </w:r>
                  <w:r w:rsidR="002F1E98" w:rsidRPr="00DC7421">
                    <w:rPr>
                      <w:rFonts w:ascii="Arial" w:hAnsi="Arial" w:cs="Arial"/>
                      <w:bCs/>
                    </w:rPr>
                    <w:t>2 – 8 °C</w:t>
                  </w:r>
                </w:p>
              </w:tc>
            </w:tr>
            <w:tr w:rsidR="00D955F6" w:rsidRPr="00DC7421" w:rsidTr="004C14CE">
              <w:tc>
                <w:tcPr>
                  <w:tcW w:w="2857" w:type="dxa"/>
                  <w:vAlign w:val="center"/>
                </w:tcPr>
                <w:p w:rsidR="009A1A3D" w:rsidRPr="00DC7421" w:rsidRDefault="00765FE2" w:rsidP="002F5C68">
                  <w:pPr>
                    <w:pStyle w:val="BodyText"/>
                    <w:spacing w:after="0"/>
                    <w:rPr>
                      <w:rFonts w:cs="Arial"/>
                      <w:szCs w:val="20"/>
                    </w:rPr>
                  </w:pPr>
                  <w:r>
                    <w:rPr>
                      <w:rFonts w:cs="Arial"/>
                      <w:szCs w:val="20"/>
                    </w:rPr>
                    <w:t xml:space="preserve">Sentinel Diagnostics Lyophilized Lipase </w:t>
                  </w:r>
                  <w:r w:rsidR="009A1A3D" w:rsidRPr="00DC7421">
                    <w:rPr>
                      <w:rFonts w:cs="Arial"/>
                      <w:szCs w:val="20"/>
                    </w:rPr>
                    <w:t>Calibrator</w:t>
                  </w:r>
                </w:p>
              </w:tc>
              <w:tc>
                <w:tcPr>
                  <w:tcW w:w="1710" w:type="dxa"/>
                  <w:vAlign w:val="center"/>
                </w:tcPr>
                <w:p w:rsidR="009A1A3D" w:rsidRPr="00DC7421" w:rsidRDefault="00765FE2" w:rsidP="009A1A3D">
                  <w:pPr>
                    <w:rPr>
                      <w:rFonts w:eastAsia="Arial Unicode MS" w:cs="Arial"/>
                      <w:szCs w:val="20"/>
                    </w:rPr>
                  </w:pPr>
                  <w:r>
                    <w:rPr>
                      <w:rFonts w:eastAsia="Arial Unicode MS" w:cs="Arial"/>
                      <w:szCs w:val="20"/>
                    </w:rPr>
                    <w:t>04Y85-01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Default="00765FE2" w:rsidP="00A002D3">
                  <w:pPr>
                    <w:pStyle w:val="BodyText"/>
                    <w:spacing w:after="80"/>
                    <w:rPr>
                      <w:rFonts w:cs="Arial"/>
                      <w:bCs/>
                      <w:szCs w:val="20"/>
                    </w:rPr>
                  </w:pPr>
                  <w:r>
                    <w:rPr>
                      <w:rFonts w:cs="Arial"/>
                      <w:b/>
                      <w:bCs/>
                      <w:szCs w:val="20"/>
                    </w:rPr>
                    <w:t>Reconstituted</w:t>
                  </w:r>
                  <w:r w:rsidR="002F5C68" w:rsidRPr="00DC7421">
                    <w:rPr>
                      <w:rFonts w:cs="Arial"/>
                      <w:b/>
                      <w:bCs/>
                      <w:szCs w:val="20"/>
                    </w:rPr>
                    <w:t xml:space="preserve"> expiration</w:t>
                  </w:r>
                  <w:r w:rsidR="00D955F6" w:rsidRPr="00DC7421">
                    <w:rPr>
                      <w:rFonts w:cs="Arial"/>
                      <w:b/>
                      <w:bCs/>
                      <w:szCs w:val="20"/>
                    </w:rPr>
                    <w:t xml:space="preserve">: </w:t>
                  </w:r>
                  <w:r w:rsidR="002F1E98">
                    <w:rPr>
                      <w:rFonts w:cs="Arial"/>
                      <w:bCs/>
                      <w:szCs w:val="20"/>
                    </w:rPr>
                    <w:t xml:space="preserve">Refer to the packaging </w:t>
                  </w:r>
                  <w:proofErr w:type="spellStart"/>
                  <w:r w:rsidR="002F1E98">
                    <w:rPr>
                      <w:rFonts w:cs="Arial"/>
                      <w:bCs/>
                      <w:szCs w:val="20"/>
                    </w:rPr>
                    <w:t>TcA</w:t>
                  </w:r>
                  <w:proofErr w:type="spellEnd"/>
                  <w:r w:rsidR="002F1E98">
                    <w:rPr>
                      <w:rFonts w:cs="Arial"/>
                      <w:bCs/>
                      <w:szCs w:val="20"/>
                    </w:rPr>
                    <w:t xml:space="preserve"> insert for stability of calibrator when stored at </w:t>
                  </w:r>
                  <w:r w:rsidR="002F1E98" w:rsidRPr="00DC7421">
                    <w:rPr>
                      <w:rFonts w:cs="Arial"/>
                      <w:bCs/>
                    </w:rPr>
                    <w:t>2 – 8 °C</w:t>
                  </w:r>
                  <w:r w:rsidR="002F1E98">
                    <w:rPr>
                      <w:rFonts w:cs="Arial"/>
                      <w:bCs/>
                    </w:rPr>
                    <w:t>.  Typically 2 days.  Add exactly 3.0 mL of deionized water, being careful not to lose any of the lyophilized pellet in the process.  Replace the stopper and gently swirl.  Let stand for 30 minutes.</w:t>
                  </w:r>
                </w:p>
                <w:p w:rsidR="007A4234" w:rsidRPr="00DC7421" w:rsidRDefault="007A4234" w:rsidP="00A002D3">
                  <w:pPr>
                    <w:pStyle w:val="BodyText"/>
                    <w:spacing w:after="80"/>
                    <w:rPr>
                      <w:rFonts w:cs="Arial"/>
                      <w:szCs w:val="20"/>
                    </w:rPr>
                  </w:pPr>
                  <w:r w:rsidRPr="007A4234">
                    <w:rPr>
                      <w:rFonts w:cs="Arial"/>
                      <w:b/>
                      <w:bCs/>
                      <w:szCs w:val="20"/>
                    </w:rPr>
                    <w:t>Calibration Stability</w:t>
                  </w:r>
                  <w:r>
                    <w:rPr>
                      <w:rFonts w:cs="Arial"/>
                      <w:bCs/>
                      <w:szCs w:val="20"/>
                    </w:rPr>
                    <w:t>: 30 days</w:t>
                  </w:r>
                </w:p>
              </w:tc>
            </w:tr>
          </w:tbl>
          <w:p w:rsidR="00D955F6" w:rsidRPr="00DC7421" w:rsidRDefault="00D955F6" w:rsidP="00747868">
            <w:pPr>
              <w:pStyle w:val="Header"/>
              <w:tabs>
                <w:tab w:val="clear" w:pos="4320"/>
                <w:tab w:val="clear" w:pos="8640"/>
              </w:tabs>
              <w:rPr>
                <w:rFonts w:cs="Arial"/>
                <w:szCs w:val="20"/>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9" w:history="1">
                    <w:r w:rsidRPr="00DC7421">
                      <w:rPr>
                        <w:rStyle w:val="Hyperlink"/>
                        <w:rFonts w:cs="Arial"/>
                        <w:szCs w:val="20"/>
                      </w:rPr>
                      <w:t>Children’s StarNet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3E0A08" w:rsidRPr="00DC7421" w:rsidRDefault="007A4234" w:rsidP="00B22847">
                  <w:pPr>
                    <w:autoSpaceDE w:val="0"/>
                    <w:autoSpaceDN w:val="0"/>
                    <w:adjustRightInd w:val="0"/>
                    <w:rPr>
                      <w:rFonts w:cs="Arial"/>
                      <w:color w:val="000000"/>
                      <w:szCs w:val="20"/>
                    </w:rPr>
                  </w:pPr>
                  <w:r>
                    <w:rPr>
                      <w:rFonts w:cs="Arial"/>
                      <w:color w:val="000000"/>
                      <w:szCs w:val="20"/>
                    </w:rPr>
                    <w:t>Dispose of unused materials in regular waste.</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7A4234" w:rsidP="005217B0">
                  <w:pPr>
                    <w:pStyle w:val="CalVerTable"/>
                    <w:ind w:left="0" w:firstLine="0"/>
                    <w:rPr>
                      <w:rFonts w:ascii="Arial" w:hAnsi="Arial" w:cs="Arial"/>
                    </w:rPr>
                  </w:pPr>
                  <w:r>
                    <w:rPr>
                      <w:rFonts w:ascii="Arial" w:hAnsi="Arial" w:cs="Arial"/>
                    </w:rPr>
                    <w:t>4.0 U/</w:t>
                  </w:r>
                  <w:r w:rsidR="005217B0">
                    <w:rPr>
                      <w:rFonts w:ascii="Arial" w:hAnsi="Arial" w:cs="Arial"/>
                    </w:rPr>
                    <w:t>L</w:t>
                  </w:r>
                  <w:r>
                    <w:rPr>
                      <w:rFonts w:ascii="Arial" w:hAnsi="Arial" w:cs="Arial"/>
                    </w:rPr>
                    <w:t xml:space="preserve"> – 300.0 U/</w:t>
                  </w:r>
                  <w:r w:rsidR="008D3369" w:rsidRPr="00DC7421">
                    <w:rPr>
                      <w:rFonts w:ascii="Arial" w:hAnsi="Arial" w:cs="Arial"/>
                    </w:rPr>
                    <w:t>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7A4234" w:rsidP="00440E37">
                  <w:pPr>
                    <w:pStyle w:val="BodyText"/>
                    <w:rPr>
                      <w:rFonts w:cs="Arial"/>
                      <w:szCs w:val="20"/>
                    </w:rPr>
                  </w:pPr>
                  <w:r>
                    <w:rPr>
                      <w:rFonts w:cs="Arial"/>
                      <w:szCs w:val="20"/>
                    </w:rPr>
                    <w:t>Sentinel Diagnostics Lipase NG OC Lyophilized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r w:rsidR="00456248">
                    <w:rPr>
                      <w:rFonts w:ascii="Arial" w:hAnsi="Arial" w:cs="Arial"/>
                    </w:rPr>
                    <w:t>.  Typically 96 U/L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337F12" w:rsidP="00A32948">
                  <w:pPr>
                    <w:pStyle w:val="CalVerTable"/>
                    <w:ind w:left="0" w:firstLine="0"/>
                    <w:rPr>
                      <w:rFonts w:ascii="Arial" w:hAnsi="Arial" w:cs="Arial"/>
                    </w:rPr>
                  </w:pPr>
                  <w:r>
                    <w:rPr>
                      <w:rFonts w:ascii="Arial" w:hAnsi="Arial" w:cs="Arial"/>
                    </w:rPr>
                    <w:t>1 Standard, Linear Rate Up Reaction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337F12" w:rsidP="004A698D">
                  <w:pPr>
                    <w:pStyle w:val="Pa10"/>
                    <w:rPr>
                      <w:rFonts w:ascii="Arial" w:hAnsi="Arial" w:cs="Arial"/>
                      <w:sz w:val="20"/>
                      <w:szCs w:val="20"/>
                    </w:rPr>
                  </w:pPr>
                  <w:r>
                    <w:rPr>
                      <w:rFonts w:ascii="Arial" w:hAnsi="Arial" w:cs="Arial"/>
                      <w:sz w:val="20"/>
                      <w:szCs w:val="20"/>
                    </w:rPr>
                    <w:t>30</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7A4234">
                  <w:pPr>
                    <w:autoSpaceDE w:val="0"/>
                    <w:autoSpaceDN w:val="0"/>
                    <w:adjustRightInd w:val="0"/>
                    <w:rPr>
                      <w:rFonts w:cs="Arial"/>
                      <w:szCs w:val="20"/>
                    </w:rPr>
                  </w:pPr>
                  <w:r w:rsidRPr="00DC7421">
                    <w:rPr>
                      <w:rFonts w:cs="Arial"/>
                      <w:szCs w:val="20"/>
                    </w:rPr>
                    <w:t xml:space="preserve">AMR is verified twice annually using the Maine Standards </w:t>
                  </w:r>
                  <w:r w:rsidR="007A4234">
                    <w:rPr>
                      <w:rFonts w:cs="Arial"/>
                      <w:szCs w:val="20"/>
                    </w:rPr>
                    <w:t>GC3 Product # 13</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6"/>
            <w:tcBorders>
              <w:top w:val="single" w:sz="18" w:space="0" w:color="BFBFBF"/>
              <w:left w:val="nil"/>
              <w:bottom w:val="single" w:sz="18" w:space="0" w:color="BFBFBF"/>
              <w:right w:val="nil"/>
            </w:tcBorders>
            <w:vAlign w:val="center"/>
          </w:tcPr>
          <w:p w:rsidR="008D3369" w:rsidRPr="00DC7421" w:rsidRDefault="00337F12" w:rsidP="008D3369">
            <w:pPr>
              <w:pStyle w:val="Header"/>
              <w:tabs>
                <w:tab w:val="clear" w:pos="4320"/>
                <w:tab w:val="clear" w:pos="8640"/>
              </w:tabs>
              <w:jc w:val="both"/>
              <w:rPr>
                <w:rFonts w:cs="Arial"/>
                <w:szCs w:val="20"/>
              </w:rPr>
            </w:pPr>
            <w:r>
              <w:rPr>
                <w:rFonts w:cs="Arial"/>
                <w:szCs w:val="20"/>
              </w:rPr>
              <w:t>Sentinel Diagnostics Lipase NG OC Controls, Level 1 and Level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456248">
              <w:rPr>
                <w:rFonts w:cs="Arial"/>
                <w:bCs/>
                <w:szCs w:val="20"/>
              </w:rPr>
              <w:t>Check current package insert in control box, “</w:t>
            </w:r>
            <w:proofErr w:type="spellStart"/>
            <w:r w:rsidR="00456248">
              <w:rPr>
                <w:rFonts w:cs="Arial"/>
                <w:bCs/>
                <w:szCs w:val="20"/>
              </w:rPr>
              <w:t>TcA</w:t>
            </w:r>
            <w:proofErr w:type="spellEnd"/>
            <w:r w:rsidR="00456248">
              <w:rPr>
                <w:rFonts w:cs="Arial"/>
                <w:bCs/>
                <w:szCs w:val="20"/>
              </w:rPr>
              <w:t>”.  Typically,</w:t>
            </w:r>
            <w:r w:rsidR="00456248">
              <w:rPr>
                <w:rFonts w:eastAsia="HelveticaNeueLTPro-Cn" w:cs="Arial"/>
                <w:szCs w:val="20"/>
              </w:rPr>
              <w:t xml:space="preserve"> 5 days when stored tightly capped at 2 to 8°C.</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337F12"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Each control vial must be</w:t>
            </w:r>
            <w:r w:rsidR="00456248">
              <w:rPr>
                <w:rFonts w:eastAsia="HelveticaNeueLTPro-Cn" w:cs="Arial"/>
                <w:szCs w:val="20"/>
              </w:rPr>
              <w:t xml:space="preserve"> reconstituted using exactly 5.0</w:t>
            </w:r>
            <w:r>
              <w:rPr>
                <w:rFonts w:eastAsia="HelveticaNeueLTPro-Cn" w:cs="Arial"/>
                <w:szCs w:val="20"/>
              </w:rPr>
              <w:t xml:space="preserve"> mL of lab-grade de-ionized water</w:t>
            </w:r>
            <w:r w:rsidR="00DF0074">
              <w:rPr>
                <w:rFonts w:eastAsia="HelveticaNeueLTPro-Cn" w:cs="Arial"/>
                <w:szCs w:val="20"/>
              </w:rPr>
              <w:t xml:space="preserve"> and allow to completely dissolve.  Swirl gently</w:t>
            </w:r>
            <w:r w:rsidR="00456248">
              <w:rPr>
                <w:rFonts w:eastAsia="HelveticaNeueLTPro-Cn" w:cs="Arial"/>
                <w:szCs w:val="20"/>
              </w:rPr>
              <w:t xml:space="preserve"> and let stand for 30 minutes</w:t>
            </w:r>
            <w:r w:rsidR="00DF0074">
              <w:rPr>
                <w:rFonts w:eastAsia="HelveticaNeueLTPro-Cn" w:cs="Arial"/>
                <w:szCs w:val="20"/>
              </w:rPr>
              <w:t>.</w:t>
            </w:r>
            <w:r w:rsidR="00456248">
              <w:rPr>
                <w:rFonts w:eastAsia="HelveticaNeueLTPro-Cn" w:cs="Arial"/>
                <w:szCs w:val="20"/>
              </w:rPr>
              <w:t xml:space="preserve"> Set a timer.</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w:t>
            </w:r>
            <w:r w:rsidR="002D77DC">
              <w:rPr>
                <w:rFonts w:eastAsia="HelveticaNeueLTPro-Cn" w:cs="Arial"/>
                <w:szCs w:val="20"/>
              </w:rPr>
              <w:t xml:space="preserve"> analyte stability in the reconstituted</w:t>
            </w:r>
            <w:bookmarkStart w:id="0" w:name="_GoBack"/>
            <w:bookmarkEnd w:id="0"/>
            <w:r w:rsidRPr="00DC7421">
              <w:rPr>
                <w:rFonts w:eastAsia="HelveticaNeueLTPro-Cn" w:cs="Arial"/>
                <w:szCs w:val="20"/>
              </w:rPr>
              <w:t xml:space="preserve">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xml:space="preserve">, </w:t>
            </w:r>
            <w:r w:rsidR="00234207">
              <w:rPr>
                <w:rFonts w:eastAsia="HelveticaNeueLTPro-Cn" w:cs="Arial"/>
                <w:szCs w:val="20"/>
              </w:rPr>
              <w:t>allow to come to room temperature.  G</w:t>
            </w:r>
            <w:r w:rsidRPr="00DC7421">
              <w:rPr>
                <w:rFonts w:eastAsia="HelveticaNeueLTPro-Cn" w:cs="Arial"/>
                <w:szCs w:val="20"/>
              </w:rPr>
              <w:t>ently swirl the contents until homogeneous with no visib</w:t>
            </w:r>
            <w:r w:rsidR="00250A09" w:rsidRPr="00DC7421">
              <w:rPr>
                <w:rFonts w:eastAsia="HelveticaNeueLTPro-Cn" w:cs="Arial"/>
                <w:szCs w:val="20"/>
              </w:rPr>
              <w:t>le signs of precipitate.</w:t>
            </w:r>
            <w:r w:rsidR="005217B0">
              <w:rPr>
                <w:rFonts w:eastAsia="HelveticaNeueLTPro-Cn" w:cs="Arial"/>
                <w:szCs w:val="20"/>
              </w:rPr>
              <w:t xml:space="preserve">  Avoid bubbles; do not shake.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Non-Bio-Rad controls will utilize manufacturer ranges and 2 SD Westgard rules.</w:t>
            </w:r>
            <w:r w:rsidR="00456248">
              <w:rPr>
                <w:rFonts w:cs="Arial"/>
                <w:szCs w:val="20"/>
              </w:rPr>
              <w:t xml:space="preserve">  See </w:t>
            </w:r>
            <w:proofErr w:type="spellStart"/>
            <w:r w:rsidR="00456248">
              <w:rPr>
                <w:rFonts w:cs="Arial"/>
                <w:szCs w:val="20"/>
              </w:rPr>
              <w:t>TcA</w:t>
            </w:r>
            <w:proofErr w:type="spellEnd"/>
            <w:r w:rsidR="00456248">
              <w:rPr>
                <w:rFonts w:cs="Arial"/>
                <w:szCs w:val="20"/>
              </w:rPr>
              <w:t xml:space="preserve"> package insert for targets.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t>
            </w:r>
            <w:hyperlink r:id="rId10" w:history="1">
              <w:r w:rsidRPr="005217B0">
                <w:rPr>
                  <w:rStyle w:val="Hyperlink"/>
                  <w:rFonts w:cs="Arial"/>
                  <w:szCs w:val="20"/>
                </w:rPr>
                <w:t>Westgard Rules in Chemis</w:t>
              </w:r>
              <w:r w:rsidR="005217B0" w:rsidRPr="005217B0">
                <w:rPr>
                  <w:rStyle w:val="Hyperlink"/>
                  <w:rFonts w:cs="Arial"/>
                  <w:szCs w:val="20"/>
                </w:rPr>
                <w:t>try</w:t>
              </w:r>
            </w:hyperlink>
            <w:r w:rsidR="005217B0">
              <w:rPr>
                <w:rFonts w:cs="Arial"/>
                <w:szCs w:val="20"/>
              </w:rPr>
              <w:t xml:space="preserve"> procedure</w:t>
            </w:r>
            <w:r w:rsidRPr="00DC7421">
              <w:rPr>
                <w:rFonts w:cs="Arial"/>
                <w:szCs w:val="20"/>
              </w:rPr>
              <w:t xml:space="preserve">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1"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w:t>
            </w:r>
            <w:r w:rsidR="005F694E">
              <w:rPr>
                <w:rFonts w:cs="Arial"/>
                <w:szCs w:val="20"/>
              </w:rPr>
              <w:t>acceptable in Unity Real Time.</w:t>
            </w:r>
          </w:p>
          <w:p w:rsidR="00DC7421" w:rsidRPr="00DC7421" w:rsidRDefault="00DC7421" w:rsidP="00DC7421">
            <w:pPr>
              <w:autoSpaceDE w:val="0"/>
              <w:autoSpaceDN w:val="0"/>
              <w:adjustRightInd w:val="0"/>
              <w:ind w:left="360"/>
              <w:jc w:val="both"/>
              <w:rPr>
                <w:rFonts w:cs="Arial"/>
                <w:color w:val="000000"/>
                <w:szCs w:val="20"/>
              </w:rPr>
            </w:pPr>
          </w:p>
        </w:tc>
      </w:tr>
      <w:tr w:rsidR="00E3253B" w:rsidTr="00DC7421">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34207" w:rsidRPr="00234207" w:rsidRDefault="00234207" w:rsidP="00824C10">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234207" w:rsidRPr="006A26B2" w:rsidTr="006D203C">
              <w:tc>
                <w:tcPr>
                  <w:tcW w:w="472" w:type="dxa"/>
                </w:tcPr>
                <w:p w:rsidR="00234207" w:rsidRPr="006A26B2" w:rsidRDefault="00234207" w:rsidP="00234207">
                  <w:pPr>
                    <w:autoSpaceDE w:val="0"/>
                    <w:autoSpaceDN w:val="0"/>
                    <w:adjustRightInd w:val="0"/>
                    <w:jc w:val="both"/>
                    <w:rPr>
                      <w:rFonts w:cs="Arial"/>
                      <w:b/>
                      <w:szCs w:val="20"/>
                    </w:rPr>
                  </w:pPr>
                  <w:r w:rsidRPr="006A26B2">
                    <w:rPr>
                      <w:rFonts w:cs="Arial"/>
                      <w:b/>
                      <w:szCs w:val="20"/>
                    </w:rPr>
                    <w:t>H</w:t>
                  </w:r>
                </w:p>
              </w:tc>
              <w:tc>
                <w:tcPr>
                  <w:tcW w:w="394" w:type="dxa"/>
                </w:tcPr>
                <w:p w:rsidR="00234207" w:rsidRPr="006A26B2" w:rsidRDefault="00234207" w:rsidP="00234207">
                  <w:pPr>
                    <w:autoSpaceDE w:val="0"/>
                    <w:autoSpaceDN w:val="0"/>
                    <w:adjustRightInd w:val="0"/>
                    <w:jc w:val="both"/>
                    <w:rPr>
                      <w:rFonts w:cs="Arial"/>
                      <w:b/>
                      <w:szCs w:val="20"/>
                    </w:rPr>
                  </w:pPr>
                  <w:r w:rsidRPr="006A26B2">
                    <w:rPr>
                      <w:rFonts w:cs="Arial"/>
                      <w:b/>
                      <w:szCs w:val="20"/>
                    </w:rPr>
                    <w:t>I</w:t>
                  </w:r>
                </w:p>
              </w:tc>
              <w:tc>
                <w:tcPr>
                  <w:tcW w:w="443" w:type="dxa"/>
                </w:tcPr>
                <w:p w:rsidR="00234207" w:rsidRPr="006A26B2" w:rsidRDefault="00234207" w:rsidP="00234207">
                  <w:pPr>
                    <w:autoSpaceDE w:val="0"/>
                    <w:autoSpaceDN w:val="0"/>
                    <w:adjustRightInd w:val="0"/>
                    <w:jc w:val="both"/>
                    <w:rPr>
                      <w:rFonts w:cs="Arial"/>
                      <w:b/>
                      <w:szCs w:val="20"/>
                    </w:rPr>
                  </w:pPr>
                  <w:r w:rsidRPr="006A26B2">
                    <w:rPr>
                      <w:rFonts w:cs="Arial"/>
                      <w:b/>
                      <w:szCs w:val="20"/>
                    </w:rPr>
                    <w:t>L</w:t>
                  </w:r>
                </w:p>
              </w:tc>
            </w:tr>
            <w:tr w:rsidR="00234207" w:rsidRPr="006A26B2" w:rsidTr="006D203C">
              <w:tc>
                <w:tcPr>
                  <w:tcW w:w="472" w:type="dxa"/>
                </w:tcPr>
                <w:p w:rsidR="00234207" w:rsidRPr="006A26B2" w:rsidRDefault="00BC1183" w:rsidP="00234207">
                  <w:pPr>
                    <w:autoSpaceDE w:val="0"/>
                    <w:autoSpaceDN w:val="0"/>
                    <w:adjustRightInd w:val="0"/>
                    <w:jc w:val="both"/>
                    <w:rPr>
                      <w:rFonts w:cs="Arial"/>
                      <w:b/>
                      <w:szCs w:val="20"/>
                    </w:rPr>
                  </w:pPr>
                  <w:r>
                    <w:rPr>
                      <w:rFonts w:cs="Arial"/>
                      <w:b/>
                      <w:szCs w:val="20"/>
                    </w:rPr>
                    <w:t>3</w:t>
                  </w:r>
                </w:p>
              </w:tc>
              <w:tc>
                <w:tcPr>
                  <w:tcW w:w="394" w:type="dxa"/>
                </w:tcPr>
                <w:p w:rsidR="00234207" w:rsidRPr="006A26B2" w:rsidRDefault="00BC1183" w:rsidP="00234207">
                  <w:pPr>
                    <w:autoSpaceDE w:val="0"/>
                    <w:autoSpaceDN w:val="0"/>
                    <w:adjustRightInd w:val="0"/>
                    <w:jc w:val="both"/>
                    <w:rPr>
                      <w:rFonts w:cs="Arial"/>
                      <w:b/>
                      <w:szCs w:val="20"/>
                    </w:rPr>
                  </w:pPr>
                  <w:r>
                    <w:rPr>
                      <w:rFonts w:cs="Arial"/>
                      <w:b/>
                      <w:szCs w:val="20"/>
                    </w:rPr>
                    <w:t>-</w:t>
                  </w:r>
                </w:p>
              </w:tc>
              <w:tc>
                <w:tcPr>
                  <w:tcW w:w="443" w:type="dxa"/>
                </w:tcPr>
                <w:p w:rsidR="00234207" w:rsidRPr="006A26B2" w:rsidRDefault="00BC1183" w:rsidP="00234207">
                  <w:pPr>
                    <w:autoSpaceDE w:val="0"/>
                    <w:autoSpaceDN w:val="0"/>
                    <w:adjustRightInd w:val="0"/>
                    <w:jc w:val="both"/>
                    <w:rPr>
                      <w:rFonts w:cs="Arial"/>
                      <w:b/>
                      <w:szCs w:val="20"/>
                    </w:rPr>
                  </w:pPr>
                  <w:r>
                    <w:rPr>
                      <w:rFonts w:cs="Arial"/>
                      <w:b/>
                      <w:szCs w:val="20"/>
                    </w:rPr>
                    <w:t>-</w:t>
                  </w:r>
                </w:p>
              </w:tc>
            </w:tr>
          </w:tbl>
          <w:p w:rsidR="00234207" w:rsidRPr="00DC7421" w:rsidRDefault="00234207" w:rsidP="00824C10">
            <w:pPr>
              <w:autoSpaceDE w:val="0"/>
              <w:autoSpaceDN w:val="0"/>
              <w:adjustRightInd w:val="0"/>
              <w:rPr>
                <w:rFonts w:cs="Arial"/>
                <w:b/>
                <w:bCs/>
                <w:color w:val="5F497A"/>
                <w:szCs w:val="20"/>
              </w:rPr>
            </w:pPr>
          </w:p>
          <w:p w:rsidR="00234207" w:rsidRDefault="00234207" w:rsidP="00824C10">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234207" w:rsidRDefault="00234207" w:rsidP="00824C10">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234207" w:rsidRDefault="00234207" w:rsidP="00824C10">
            <w:pPr>
              <w:autoSpaceDE w:val="0"/>
              <w:autoSpaceDN w:val="0"/>
              <w:adjustRightInd w:val="0"/>
              <w:rPr>
                <w:rFonts w:eastAsia="HelenPro-Regular" w:cs="Arial"/>
                <w:szCs w:val="20"/>
              </w:rPr>
            </w:pPr>
            <w:r>
              <w:rPr>
                <w:rFonts w:eastAsia="HelenPro-Regular" w:cs="Arial"/>
                <w:szCs w:val="20"/>
              </w:rPr>
              <w:t>-BIN for “Bilirubin Interference”</w:t>
            </w:r>
          </w:p>
          <w:p w:rsidR="00234207" w:rsidRDefault="00234207" w:rsidP="00824C10">
            <w:pPr>
              <w:autoSpaceDE w:val="0"/>
              <w:autoSpaceDN w:val="0"/>
              <w:adjustRightInd w:val="0"/>
              <w:rPr>
                <w:rFonts w:eastAsia="HelenPro-Regular" w:cs="Arial"/>
                <w:szCs w:val="20"/>
              </w:rPr>
            </w:pPr>
            <w:r>
              <w:rPr>
                <w:rFonts w:eastAsia="HelenPro-Regular" w:cs="Arial"/>
                <w:szCs w:val="20"/>
              </w:rPr>
              <w:t>-LINT for “Lipid Interference”</w:t>
            </w:r>
          </w:p>
          <w:p w:rsidR="00234207" w:rsidRDefault="00234207" w:rsidP="00824C10">
            <w:pPr>
              <w:autoSpaceDE w:val="0"/>
              <w:autoSpaceDN w:val="0"/>
              <w:adjustRightInd w:val="0"/>
              <w:rPr>
                <w:rFonts w:eastAsia="HelenPro-Regular" w:cs="Arial"/>
                <w:szCs w:val="20"/>
              </w:rPr>
            </w:pP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Pr="00DC7421">
              <w:rPr>
                <w:rFonts w:eastAsia="HelenPro-Regular" w:cs="Arial"/>
                <w:szCs w:val="20"/>
              </w:rPr>
              <w:t>using NCCLS EP7-P.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Interference is less than 10% at an Albumin concentration level of 4 g/dL for:</w:t>
            </w:r>
          </w:p>
          <w:p w:rsidR="002E718D" w:rsidRPr="00DC7421" w:rsidRDefault="00EE656B" w:rsidP="00655B61">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00EE656B">
              <w:rPr>
                <w:rFonts w:cs="Arial"/>
                <w:szCs w:val="20"/>
              </w:rPr>
              <w:t>: up to 66</w:t>
            </w:r>
            <w:r w:rsidRPr="00DC7421">
              <w:rPr>
                <w:rFonts w:cs="Arial"/>
                <w:szCs w:val="20"/>
              </w:rPr>
              <w:t xml:space="preserve"> mg/dL</w:t>
            </w:r>
          </w:p>
          <w:p w:rsidR="002E718D" w:rsidRPr="00DC7421" w:rsidRDefault="00824C10" w:rsidP="00655B61">
            <w:pPr>
              <w:numPr>
                <w:ilvl w:val="0"/>
                <w:numId w:val="20"/>
              </w:numPr>
              <w:jc w:val="both"/>
              <w:rPr>
                <w:rFonts w:cs="Arial"/>
                <w:szCs w:val="20"/>
              </w:rPr>
            </w:pPr>
            <w:r w:rsidRPr="00DC7421">
              <w:rPr>
                <w:rFonts w:cs="Arial"/>
                <w:szCs w:val="20"/>
              </w:rPr>
              <w:t>Lipemia (Intralipid®): up to 1</w:t>
            </w:r>
            <w:r w:rsidR="002E718D" w:rsidRPr="00DC7421">
              <w:rPr>
                <w:rFonts w:cs="Arial"/>
                <w:szCs w:val="20"/>
              </w:rPr>
              <w:t>000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E3253B" w:rsidP="0030640D">
            <w:pPr>
              <w:pStyle w:val="Header"/>
              <w:tabs>
                <w:tab w:val="clear" w:pos="4320"/>
                <w:tab w:val="clear" w:pos="8640"/>
              </w:tabs>
              <w:jc w:val="both"/>
              <w:rPr>
                <w:rFonts w:cs="Arial"/>
                <w:b/>
                <w:bCs/>
                <w:color w:val="5F497A"/>
                <w:szCs w:val="20"/>
              </w:rPr>
            </w:pP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BC1183">
                  <w:pPr>
                    <w:rPr>
                      <w:rFonts w:cs="Arial"/>
                      <w:szCs w:val="20"/>
                    </w:rPr>
                  </w:pPr>
                  <w:r>
                    <w:rPr>
                      <w:rFonts w:cs="Arial"/>
                      <w:szCs w:val="20"/>
                    </w:rPr>
                    <w:t>Lipase U/L</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00BC1183">
                    <w:rPr>
                      <w:rFonts w:cs="Arial"/>
                      <w:szCs w:val="20"/>
                    </w:rPr>
                    <w:t>–</w:t>
                  </w:r>
                  <w:r w:rsidR="00824C10" w:rsidRPr="00DC7421">
                    <w:rPr>
                      <w:rFonts w:cs="Arial"/>
                      <w:szCs w:val="20"/>
                    </w:rPr>
                    <w:t xml:space="preserve"> </w:t>
                  </w:r>
                  <w:r w:rsidR="00BC1183">
                    <w:rPr>
                      <w:rFonts w:cs="Arial"/>
                      <w:szCs w:val="20"/>
                    </w:rPr>
                    <w:t>18 years</w:t>
                  </w:r>
                </w:p>
              </w:tc>
              <w:tc>
                <w:tcPr>
                  <w:tcW w:w="2700" w:type="dxa"/>
                  <w:tcBorders>
                    <w:left w:val="single" w:sz="4" w:space="0" w:color="auto"/>
                    <w:right w:val="single" w:sz="4" w:space="0" w:color="auto"/>
                  </w:tcBorders>
                </w:tcPr>
                <w:p w:rsidR="00BC1183" w:rsidRPr="00BC1183" w:rsidRDefault="00BC1183" w:rsidP="00BC1183">
                  <w:pPr>
                    <w:rPr>
                      <w:rFonts w:cs="Arial"/>
                      <w:szCs w:val="20"/>
                    </w:rPr>
                  </w:pPr>
                  <w:r>
                    <w:rPr>
                      <w:rFonts w:cs="Arial"/>
                      <w:szCs w:val="20"/>
                    </w:rPr>
                    <w:t>4.0 to 40.0</w:t>
                  </w:r>
                </w:p>
                <w:p w:rsidR="006A2770" w:rsidRPr="00DC7421" w:rsidRDefault="006A2770">
                  <w:pPr>
                    <w:rPr>
                      <w:rFonts w:cs="Arial"/>
                      <w:szCs w:val="20"/>
                    </w:rPr>
                  </w:pPr>
                </w:p>
              </w:tc>
            </w:tr>
            <w:tr w:rsidR="00646E63" w:rsidRPr="00DC7421" w:rsidTr="00824C10">
              <w:trPr>
                <w:gridAfter w:val="1"/>
                <w:wAfter w:w="3978" w:type="dxa"/>
              </w:trPr>
              <w:tc>
                <w:tcPr>
                  <w:tcW w:w="2389" w:type="dxa"/>
                </w:tcPr>
                <w:p w:rsidR="00646E63" w:rsidRPr="00DC7421" w:rsidRDefault="00BC1183" w:rsidP="00824C10">
                  <w:pPr>
                    <w:rPr>
                      <w:rFonts w:cs="Arial"/>
                      <w:szCs w:val="20"/>
                    </w:rPr>
                  </w:pPr>
                  <w:r>
                    <w:rPr>
                      <w:rFonts w:cs="Arial"/>
                      <w:szCs w:val="20"/>
                    </w:rPr>
                    <w:t>Adult</w:t>
                  </w:r>
                </w:p>
              </w:tc>
              <w:tc>
                <w:tcPr>
                  <w:tcW w:w="2700" w:type="dxa"/>
                  <w:tcBorders>
                    <w:left w:val="single" w:sz="4" w:space="0" w:color="auto"/>
                    <w:right w:val="single" w:sz="4" w:space="0" w:color="auto"/>
                  </w:tcBorders>
                </w:tcPr>
                <w:p w:rsidR="00646E63" w:rsidRPr="00DC7421" w:rsidRDefault="00BC1183">
                  <w:pPr>
                    <w:rPr>
                      <w:rFonts w:cs="Arial"/>
                      <w:szCs w:val="20"/>
                    </w:rPr>
                  </w:pPr>
                  <w:r>
                    <w:rPr>
                      <w:rFonts w:cs="Arial"/>
                      <w:szCs w:val="20"/>
                    </w:rPr>
                    <w:t>4.0 to 60.0</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n albumin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2"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3"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BC1183" w:rsidRPr="00A23086" w:rsidTr="00431402">
              <w:tc>
                <w:tcPr>
                  <w:tcW w:w="1867" w:type="dxa"/>
                </w:tcPr>
                <w:p w:rsidR="00BC1183" w:rsidRPr="00EC40A2" w:rsidRDefault="00BC1183" w:rsidP="00BC1183">
                  <w:pPr>
                    <w:rPr>
                      <w:rFonts w:cs="Arial"/>
                      <w:szCs w:val="20"/>
                    </w:rPr>
                  </w:pPr>
                  <w:r>
                    <w:rPr>
                      <w:rFonts w:cs="Arial"/>
                      <w:szCs w:val="20"/>
                    </w:rPr>
                    <w:t xml:space="preserve">Max </w:t>
                  </w:r>
                  <w:r w:rsidRPr="00EC40A2">
                    <w:rPr>
                      <w:rFonts w:cs="Arial"/>
                      <w:szCs w:val="20"/>
                    </w:rPr>
                    <w:t>Auto Dilution:</w:t>
                  </w:r>
                </w:p>
              </w:tc>
              <w:tc>
                <w:tcPr>
                  <w:tcW w:w="7200" w:type="dxa"/>
                </w:tcPr>
                <w:p w:rsidR="00BC1183" w:rsidRPr="00A23086" w:rsidRDefault="00F8173F" w:rsidP="00BC1183">
                  <w:pPr>
                    <w:autoSpaceDE w:val="0"/>
                    <w:autoSpaceDN w:val="0"/>
                    <w:adjustRightInd w:val="0"/>
                    <w:rPr>
                      <w:rFonts w:cs="Arial"/>
                      <w:szCs w:val="20"/>
                      <w:highlight w:val="yellow"/>
                    </w:rPr>
                  </w:pPr>
                  <w:r>
                    <w:rPr>
                      <w:rFonts w:cs="Arial"/>
                      <w:szCs w:val="20"/>
                    </w:rPr>
                    <w:t>none</w:t>
                  </w:r>
                </w:p>
              </w:tc>
            </w:tr>
            <w:tr w:rsidR="00BC1183" w:rsidRPr="00A23086" w:rsidTr="00431402">
              <w:trPr>
                <w:trHeight w:val="485"/>
              </w:trPr>
              <w:tc>
                <w:tcPr>
                  <w:tcW w:w="1867" w:type="dxa"/>
                </w:tcPr>
                <w:p w:rsidR="00BC1183" w:rsidRPr="00EC40A2" w:rsidRDefault="00BC1183" w:rsidP="00BC1183">
                  <w:pPr>
                    <w:rPr>
                      <w:rFonts w:cs="Arial"/>
                      <w:szCs w:val="20"/>
                    </w:rPr>
                  </w:pPr>
                  <w:r w:rsidRPr="00EC40A2">
                    <w:rPr>
                      <w:rFonts w:cs="Arial"/>
                      <w:szCs w:val="20"/>
                    </w:rPr>
                    <w:t>Maximum Manual Dilution:</w:t>
                  </w:r>
                </w:p>
              </w:tc>
              <w:tc>
                <w:tcPr>
                  <w:tcW w:w="7200" w:type="dxa"/>
                </w:tcPr>
                <w:p w:rsidR="00BC1183" w:rsidRPr="00A23086" w:rsidRDefault="00BC1183" w:rsidP="00BC1183">
                  <w:pPr>
                    <w:autoSpaceDE w:val="0"/>
                    <w:autoSpaceDN w:val="0"/>
                    <w:adjustRightInd w:val="0"/>
                    <w:rPr>
                      <w:rFonts w:cs="Arial"/>
                      <w:szCs w:val="20"/>
                      <w:highlight w:val="yellow"/>
                    </w:rPr>
                  </w:pPr>
                  <w:r w:rsidRPr="00BC1183">
                    <w:rPr>
                      <w:rFonts w:cs="Arial"/>
                      <w:szCs w:val="20"/>
                    </w:rPr>
                    <w:t>1:10</w:t>
                  </w:r>
                </w:p>
              </w:tc>
            </w:tr>
            <w:tr w:rsidR="00BC1183" w:rsidRPr="00EC40A2" w:rsidTr="00431402">
              <w:tc>
                <w:tcPr>
                  <w:tcW w:w="1867" w:type="dxa"/>
                </w:tcPr>
                <w:p w:rsidR="00BC1183" w:rsidRPr="00EC40A2" w:rsidRDefault="00BC1183" w:rsidP="00BC1183">
                  <w:pPr>
                    <w:rPr>
                      <w:rFonts w:cs="Arial"/>
                      <w:szCs w:val="20"/>
                    </w:rPr>
                  </w:pPr>
                  <w:r w:rsidRPr="00EC40A2">
                    <w:rPr>
                      <w:rFonts w:cs="Arial"/>
                      <w:szCs w:val="20"/>
                    </w:rPr>
                    <w:t>Diluent:</w:t>
                  </w:r>
                </w:p>
              </w:tc>
              <w:tc>
                <w:tcPr>
                  <w:tcW w:w="7200" w:type="dxa"/>
                </w:tcPr>
                <w:p w:rsidR="00BC1183" w:rsidRPr="00EC40A2" w:rsidRDefault="00BC1183" w:rsidP="00BC1183">
                  <w:pPr>
                    <w:autoSpaceDE w:val="0"/>
                    <w:autoSpaceDN w:val="0"/>
                    <w:adjustRightInd w:val="0"/>
                    <w:rPr>
                      <w:rFonts w:cs="Arial"/>
                      <w:szCs w:val="20"/>
                    </w:rPr>
                  </w:pPr>
                  <w:r>
                    <w:rPr>
                      <w:rFonts w:cs="Arial"/>
                      <w:szCs w:val="20"/>
                    </w:rPr>
                    <w:t>Saline</w:t>
                  </w:r>
                </w:p>
              </w:tc>
            </w:tr>
            <w:tr w:rsidR="00BC1183" w:rsidRPr="00EC40A2" w:rsidTr="00431402">
              <w:tc>
                <w:tcPr>
                  <w:tcW w:w="1867" w:type="dxa"/>
                </w:tcPr>
                <w:p w:rsidR="00BC1183" w:rsidRPr="00EC40A2" w:rsidRDefault="00BC1183" w:rsidP="00BC1183">
                  <w:pPr>
                    <w:rPr>
                      <w:rFonts w:cs="Arial"/>
                      <w:szCs w:val="20"/>
                    </w:rPr>
                  </w:pPr>
                  <w:r w:rsidRPr="00EC40A2">
                    <w:rPr>
                      <w:rFonts w:cs="Arial"/>
                      <w:szCs w:val="20"/>
                    </w:rPr>
                    <w:t>Manual Dilution:</w:t>
                  </w:r>
                </w:p>
              </w:tc>
              <w:tc>
                <w:tcPr>
                  <w:tcW w:w="7200" w:type="dxa"/>
                </w:tcPr>
                <w:p w:rsidR="00BC1183" w:rsidRPr="00EC40A2" w:rsidRDefault="00BC1183" w:rsidP="00BC1183">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4"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w:t>
                  </w:r>
                  <w:r>
                    <w:rPr>
                      <w:rFonts w:eastAsia="HelenPro-Regular" w:cs="Arial"/>
                      <w:szCs w:val="20"/>
                    </w:rPr>
                    <w:t xml:space="preserve">esult.  </w:t>
                  </w:r>
                </w:p>
              </w:tc>
            </w:tr>
          </w:tbl>
          <w:p w:rsidR="00E3253B" w:rsidRPr="00DC7421" w:rsidRDefault="00E3253B">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5217B0" w:rsidP="002F5C68">
            <w:pPr>
              <w:pStyle w:val="Header"/>
              <w:tabs>
                <w:tab w:val="clear" w:pos="4320"/>
                <w:tab w:val="clear" w:pos="8640"/>
              </w:tabs>
              <w:rPr>
                <w:rFonts w:cs="Arial"/>
                <w:szCs w:val="20"/>
              </w:rPr>
            </w:pPr>
            <w:r>
              <w:rPr>
                <w:rFonts w:cs="Arial"/>
                <w:b/>
                <w:bCs/>
                <w:color w:val="7030A0"/>
                <w:szCs w:val="20"/>
              </w:rPr>
              <w:t>All analyzers</w:t>
            </w:r>
            <w:r w:rsidR="002F5C68" w:rsidRPr="00DC7421">
              <w:rPr>
                <w:rFonts w:cs="Arial"/>
                <w:b/>
                <w:bCs/>
                <w:szCs w:val="20"/>
              </w:rPr>
              <w:t>:</w:t>
            </w:r>
            <w:r w:rsidR="002F5C68" w:rsidRPr="00DC7421">
              <w:rPr>
                <w:rFonts w:cs="Arial"/>
                <w:b/>
                <w:bCs/>
                <w:color w:val="5F497A"/>
                <w:szCs w:val="20"/>
              </w:rPr>
              <w:t xml:space="preserve"> </w:t>
            </w:r>
          </w:p>
          <w:p w:rsidR="00E3253B" w:rsidRPr="00DC7421" w:rsidRDefault="00BC1183">
            <w:pPr>
              <w:pStyle w:val="Header"/>
              <w:numPr>
                <w:ilvl w:val="0"/>
                <w:numId w:val="5"/>
              </w:numPr>
              <w:tabs>
                <w:tab w:val="clear" w:pos="4320"/>
                <w:tab w:val="clear" w:pos="8640"/>
              </w:tabs>
              <w:rPr>
                <w:rFonts w:cs="Arial"/>
                <w:szCs w:val="20"/>
              </w:rPr>
            </w:pPr>
            <w:r>
              <w:rPr>
                <w:rFonts w:cs="Arial"/>
                <w:szCs w:val="20"/>
              </w:rPr>
              <w:t>Results between 4.0 – 300.0 U/</w:t>
            </w:r>
            <w:r w:rsidR="00E3253B" w:rsidRPr="00DC7421">
              <w:rPr>
                <w:rFonts w:cs="Arial"/>
                <w:szCs w:val="20"/>
              </w:rPr>
              <w:t>L without error messages are released</w:t>
            </w:r>
          </w:p>
          <w:p w:rsidR="00E3253B" w:rsidRDefault="00BC1183">
            <w:pPr>
              <w:numPr>
                <w:ilvl w:val="0"/>
                <w:numId w:val="5"/>
              </w:numPr>
              <w:rPr>
                <w:rFonts w:cs="Arial"/>
                <w:szCs w:val="20"/>
              </w:rPr>
            </w:pPr>
            <w:r>
              <w:rPr>
                <w:rFonts w:cs="Arial"/>
                <w:szCs w:val="20"/>
              </w:rPr>
              <w:t>Results below 4.0 U/L: report as &lt; 4.0 U/</w:t>
            </w:r>
            <w:r w:rsidR="00E3253B" w:rsidRPr="00DC7421">
              <w:rPr>
                <w:rFonts w:cs="Arial"/>
                <w:szCs w:val="20"/>
              </w:rPr>
              <w:t xml:space="preserve">L instead of the numerical </w:t>
            </w:r>
            <w:r w:rsidR="00387FF5" w:rsidRPr="00DC7421">
              <w:rPr>
                <w:rFonts w:cs="Arial"/>
                <w:szCs w:val="20"/>
              </w:rPr>
              <w:t>value</w:t>
            </w:r>
            <w:r w:rsidR="00E3253B" w:rsidRPr="00DC7421">
              <w:rPr>
                <w:rFonts w:cs="Arial"/>
                <w:szCs w:val="20"/>
              </w:rPr>
              <w:t>.</w:t>
            </w:r>
          </w:p>
          <w:p w:rsidR="00BC1183" w:rsidRPr="00DC7421" w:rsidRDefault="00BC1183">
            <w:pPr>
              <w:numPr>
                <w:ilvl w:val="0"/>
                <w:numId w:val="5"/>
              </w:numPr>
              <w:rPr>
                <w:rFonts w:cs="Arial"/>
                <w:szCs w:val="20"/>
              </w:rPr>
            </w:pPr>
            <w:r>
              <w:rPr>
                <w:rFonts w:cs="Arial"/>
                <w:szCs w:val="20"/>
              </w:rPr>
              <w:t>Results &gt;300.0 should be manually diluted 1:10 with saline.  After dilution, results 300.0 to 3000.0 are reported as the numerical value.</w:t>
            </w:r>
          </w:p>
          <w:p w:rsidR="00E3253B" w:rsidRPr="00DC7421" w:rsidRDefault="00BC1183">
            <w:pPr>
              <w:numPr>
                <w:ilvl w:val="0"/>
                <w:numId w:val="5"/>
              </w:numPr>
              <w:rPr>
                <w:rFonts w:cs="Arial"/>
                <w:szCs w:val="20"/>
              </w:rPr>
            </w:pPr>
            <w:r>
              <w:rPr>
                <w:rFonts w:cs="Arial"/>
                <w:szCs w:val="20"/>
              </w:rPr>
              <w:t>Results &gt;3000.0 U/</w:t>
            </w:r>
            <w:r w:rsidR="00E3253B" w:rsidRPr="00DC7421">
              <w:rPr>
                <w:rFonts w:cs="Arial"/>
                <w:szCs w:val="20"/>
              </w:rPr>
              <w:t>L without erro</w:t>
            </w:r>
            <w:r>
              <w:rPr>
                <w:rFonts w:cs="Arial"/>
                <w:szCs w:val="20"/>
              </w:rPr>
              <w:t>r messages are reported as &gt; 3000.0 U/</w:t>
            </w:r>
            <w:r w:rsidR="00E3253B" w:rsidRPr="00DC7421">
              <w:rPr>
                <w:rFonts w:cs="Arial"/>
                <w:szCs w:val="20"/>
              </w:rPr>
              <w:t>L</w:t>
            </w:r>
          </w:p>
          <w:p w:rsidR="00387FF5" w:rsidRPr="00DC7421" w:rsidRDefault="00387FF5" w:rsidP="00824C10">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w:t>
            </w:r>
            <w:r w:rsidR="005217B0">
              <w:rPr>
                <w:rFonts w:cs="Arial"/>
                <w:szCs w:val="20"/>
              </w:rPr>
              <w:t>,</w:t>
            </w:r>
            <w:r w:rsidRPr="00DC7421">
              <w:rPr>
                <w:rFonts w:cs="Arial"/>
                <w:szCs w:val="20"/>
              </w:rPr>
              <w:t xml:space="preserve">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E656B" w:rsidRDefault="00EE656B" w:rsidP="00693888">
            <w:pPr>
              <w:numPr>
                <w:ilvl w:val="0"/>
                <w:numId w:val="33"/>
              </w:numPr>
              <w:rPr>
                <w:rFonts w:cs="Arial"/>
                <w:szCs w:val="20"/>
              </w:rPr>
            </w:pPr>
            <w:r>
              <w:rPr>
                <w:rFonts w:cs="Arial"/>
                <w:szCs w:val="20"/>
              </w:rPr>
              <w:t>Sentinel Diagnostics Lipase NG OC Calibrator Kit Package Insert</w:t>
            </w:r>
            <w:r w:rsidR="00F8173F">
              <w:rPr>
                <w:rFonts w:cs="Arial"/>
                <w:szCs w:val="20"/>
              </w:rPr>
              <w:t xml:space="preserve"> and </w:t>
            </w:r>
            <w:proofErr w:type="spellStart"/>
            <w:r w:rsidR="00F8173F">
              <w:rPr>
                <w:rFonts w:cs="Arial"/>
                <w:szCs w:val="20"/>
              </w:rPr>
              <w:t>TcA</w:t>
            </w:r>
            <w:proofErr w:type="spellEnd"/>
            <w:r>
              <w:rPr>
                <w:rFonts w:cs="Arial"/>
                <w:szCs w:val="20"/>
              </w:rPr>
              <w:t>, Sentinel Diagnostics, Distributed by Abbott Diagnostics</w:t>
            </w:r>
            <w:r w:rsidR="00F8173F">
              <w:rPr>
                <w:rFonts w:cs="Arial"/>
                <w:szCs w:val="20"/>
              </w:rPr>
              <w:t xml:space="preserve">.  </w:t>
            </w:r>
          </w:p>
          <w:p w:rsidR="00EE656B" w:rsidRDefault="00EE656B" w:rsidP="00693888">
            <w:pPr>
              <w:numPr>
                <w:ilvl w:val="0"/>
                <w:numId w:val="33"/>
              </w:numPr>
              <w:rPr>
                <w:rFonts w:cs="Arial"/>
                <w:szCs w:val="20"/>
              </w:rPr>
            </w:pPr>
            <w:r>
              <w:rPr>
                <w:rFonts w:cs="Arial"/>
                <w:szCs w:val="20"/>
              </w:rPr>
              <w:t>Sentinel Diagnostics Lipase NG OC Control</w:t>
            </w:r>
            <w:r w:rsidR="00F8173F">
              <w:rPr>
                <w:rFonts w:cs="Arial"/>
                <w:szCs w:val="20"/>
              </w:rPr>
              <w:t xml:space="preserve"> 1</w:t>
            </w:r>
            <w:r>
              <w:rPr>
                <w:rFonts w:cs="Arial"/>
                <w:szCs w:val="20"/>
              </w:rPr>
              <w:t xml:space="preserve"> Kit Package Insert</w:t>
            </w:r>
            <w:r w:rsidR="00F8173F">
              <w:rPr>
                <w:rFonts w:cs="Arial"/>
                <w:szCs w:val="20"/>
              </w:rPr>
              <w:t xml:space="preserve"> and </w:t>
            </w:r>
            <w:proofErr w:type="spellStart"/>
            <w:r w:rsidR="00F8173F">
              <w:rPr>
                <w:rFonts w:cs="Arial"/>
                <w:szCs w:val="20"/>
              </w:rPr>
              <w:t>TcA</w:t>
            </w:r>
            <w:proofErr w:type="spellEnd"/>
            <w:r>
              <w:rPr>
                <w:rFonts w:cs="Arial"/>
                <w:szCs w:val="20"/>
              </w:rPr>
              <w:t>. Sentinel Diagnostics, Distributed by Abbott Diagnostics</w:t>
            </w:r>
            <w:r w:rsidR="00F8173F">
              <w:rPr>
                <w:rFonts w:cs="Arial"/>
                <w:szCs w:val="20"/>
              </w:rPr>
              <w:t>.</w:t>
            </w:r>
          </w:p>
          <w:p w:rsidR="00F8173F" w:rsidRPr="00F8173F" w:rsidRDefault="00F8173F" w:rsidP="00F8173F">
            <w:pPr>
              <w:pStyle w:val="ListParagraph"/>
              <w:numPr>
                <w:ilvl w:val="0"/>
                <w:numId w:val="33"/>
              </w:numPr>
              <w:rPr>
                <w:rFonts w:cs="Arial"/>
                <w:szCs w:val="20"/>
              </w:rPr>
            </w:pPr>
            <w:r w:rsidRPr="00F8173F">
              <w:rPr>
                <w:rFonts w:cs="Arial"/>
                <w:szCs w:val="20"/>
              </w:rPr>
              <w:t>Sentinel Di</w:t>
            </w:r>
            <w:r>
              <w:rPr>
                <w:rFonts w:cs="Arial"/>
                <w:szCs w:val="20"/>
              </w:rPr>
              <w:t>agnostics Lipase NG OC Control 2</w:t>
            </w:r>
            <w:r w:rsidRPr="00F8173F">
              <w:rPr>
                <w:rFonts w:cs="Arial"/>
                <w:szCs w:val="20"/>
              </w:rPr>
              <w:t xml:space="preserve"> Kit Package Insert and </w:t>
            </w:r>
            <w:proofErr w:type="spellStart"/>
            <w:r w:rsidRPr="00F8173F">
              <w:rPr>
                <w:rFonts w:cs="Arial"/>
                <w:szCs w:val="20"/>
              </w:rPr>
              <w:t>TcA</w:t>
            </w:r>
            <w:proofErr w:type="spellEnd"/>
            <w:r w:rsidRPr="00F8173F">
              <w:rPr>
                <w:rFonts w:cs="Arial"/>
                <w:szCs w:val="20"/>
              </w:rPr>
              <w:t>. Sentinel Diagnostics, Distributed by Abbott Diagnostics.</w:t>
            </w:r>
          </w:p>
          <w:p w:rsidR="00693888" w:rsidRPr="00DC7421" w:rsidRDefault="00EE656B" w:rsidP="00693888">
            <w:pPr>
              <w:numPr>
                <w:ilvl w:val="0"/>
                <w:numId w:val="33"/>
              </w:numPr>
              <w:rPr>
                <w:rFonts w:cs="Arial"/>
                <w:szCs w:val="20"/>
              </w:rPr>
            </w:pPr>
            <w:r>
              <w:rPr>
                <w:rFonts w:cs="Arial"/>
                <w:szCs w:val="20"/>
              </w:rPr>
              <w:t>Sentinel Diagnostics Lipase NG OC Reagent Kit Instructions for Use, Sentinel Diagnostics, Distributed by Abbott Diagnostics 04Y85-20 – 2.0/02, 3/18/2019</w:t>
            </w:r>
            <w:r w:rsidR="00DC24D6" w:rsidRPr="00DC7421">
              <w:rPr>
                <w:rFonts w:cs="Arial"/>
                <w:szCs w:val="20"/>
              </w:rPr>
              <w:t xml:space="preserve">.  </w:t>
            </w:r>
          </w:p>
          <w:p w:rsidR="00E3253B" w:rsidRPr="00EE656B" w:rsidRDefault="00693888" w:rsidP="00EE656B">
            <w:pPr>
              <w:numPr>
                <w:ilvl w:val="0"/>
                <w:numId w:val="33"/>
              </w:numPr>
              <w:rPr>
                <w:rFonts w:cs="Arial"/>
                <w:szCs w:val="20"/>
              </w:rPr>
            </w:pPr>
            <w:r w:rsidRPr="00DC7421">
              <w:rPr>
                <w:rFonts w:cs="Arial"/>
                <w:szCs w:val="20"/>
                <w:lang w:val="en"/>
              </w:rPr>
              <w:t>CALIPER pediatric reference range database. (</w:t>
            </w:r>
            <w:r w:rsidR="00EE656B">
              <w:rPr>
                <w:rFonts w:cs="Arial"/>
                <w:szCs w:val="20"/>
                <w:lang w:val="en"/>
              </w:rPr>
              <w:t>2019). Retrieved October 3, 2020</w:t>
            </w:r>
            <w:r w:rsidRPr="00DC7421">
              <w:rPr>
                <w:rFonts w:cs="Arial"/>
                <w:szCs w:val="20"/>
                <w:lang w:val="en"/>
              </w:rPr>
              <w:t>, from https://caliper.research.sickkids.ca/#/</w:t>
            </w: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EE656B">
            <w:pPr>
              <w:rPr>
                <w:rFonts w:cs="Arial"/>
                <w:iCs/>
                <w:szCs w:val="20"/>
              </w:rPr>
            </w:pPr>
            <w:r>
              <w:rPr>
                <w:rFonts w:cs="Arial"/>
                <w:iCs/>
                <w:szCs w:val="20"/>
              </w:rPr>
              <w:t>10/18/2020</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t>
            </w:r>
            <w:r w:rsidR="00EE656B">
              <w:rPr>
                <w:rFonts w:cs="Arial"/>
                <w:iCs/>
                <w:szCs w:val="20"/>
              </w:rPr>
              <w:t>w Procedure for Abbott Alinity c</w:t>
            </w: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2D77DC">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2D77DC">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E27D26">
      <w:rPr>
        <w:rFonts w:cs="Arial"/>
      </w:rPr>
      <w:t>CH 6.551 Lipase</w:t>
    </w:r>
  </w:p>
  <w:p w:rsidR="00B13C1A" w:rsidRDefault="00E27D26">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BB255B">
      <w:rPr>
        <w:rFonts w:cs="Arial"/>
      </w:rPr>
      <w:t>October 28, 2020</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D1786"/>
    <w:rsid w:val="00234207"/>
    <w:rsid w:val="00234BB2"/>
    <w:rsid w:val="00250A09"/>
    <w:rsid w:val="00252F1D"/>
    <w:rsid w:val="0028136F"/>
    <w:rsid w:val="002A6E92"/>
    <w:rsid w:val="002C12BF"/>
    <w:rsid w:val="002C29CB"/>
    <w:rsid w:val="002D77DC"/>
    <w:rsid w:val="002E718D"/>
    <w:rsid w:val="002F1E98"/>
    <w:rsid w:val="002F5C68"/>
    <w:rsid w:val="0030640D"/>
    <w:rsid w:val="00337F12"/>
    <w:rsid w:val="00387FF5"/>
    <w:rsid w:val="003A3AD6"/>
    <w:rsid w:val="003A65AD"/>
    <w:rsid w:val="003D5BD7"/>
    <w:rsid w:val="003D713F"/>
    <w:rsid w:val="003E0A08"/>
    <w:rsid w:val="00420763"/>
    <w:rsid w:val="00440E37"/>
    <w:rsid w:val="00456248"/>
    <w:rsid w:val="00466D6A"/>
    <w:rsid w:val="004735E9"/>
    <w:rsid w:val="004A5F65"/>
    <w:rsid w:val="004A698D"/>
    <w:rsid w:val="004C14CE"/>
    <w:rsid w:val="005217B0"/>
    <w:rsid w:val="0055710A"/>
    <w:rsid w:val="005665A7"/>
    <w:rsid w:val="005A7373"/>
    <w:rsid w:val="005C4401"/>
    <w:rsid w:val="005C6F36"/>
    <w:rsid w:val="005F694E"/>
    <w:rsid w:val="00603EC3"/>
    <w:rsid w:val="00643987"/>
    <w:rsid w:val="00646E63"/>
    <w:rsid w:val="00655B61"/>
    <w:rsid w:val="00664C1B"/>
    <w:rsid w:val="00685D61"/>
    <w:rsid w:val="00693888"/>
    <w:rsid w:val="006A26B2"/>
    <w:rsid w:val="006A2770"/>
    <w:rsid w:val="006A5A84"/>
    <w:rsid w:val="00747868"/>
    <w:rsid w:val="00765FE2"/>
    <w:rsid w:val="007A4234"/>
    <w:rsid w:val="007B2A3E"/>
    <w:rsid w:val="008044BA"/>
    <w:rsid w:val="00824C10"/>
    <w:rsid w:val="008A71A5"/>
    <w:rsid w:val="008D3369"/>
    <w:rsid w:val="008F2C66"/>
    <w:rsid w:val="00944DFA"/>
    <w:rsid w:val="00950E15"/>
    <w:rsid w:val="00984816"/>
    <w:rsid w:val="009A1A3D"/>
    <w:rsid w:val="009C08FA"/>
    <w:rsid w:val="009C4BDA"/>
    <w:rsid w:val="009D085B"/>
    <w:rsid w:val="009F5F31"/>
    <w:rsid w:val="00A002D3"/>
    <w:rsid w:val="00A32948"/>
    <w:rsid w:val="00A64AE8"/>
    <w:rsid w:val="00AA5656"/>
    <w:rsid w:val="00AB7F16"/>
    <w:rsid w:val="00AC2992"/>
    <w:rsid w:val="00AF1198"/>
    <w:rsid w:val="00AF56A8"/>
    <w:rsid w:val="00B01603"/>
    <w:rsid w:val="00B067D8"/>
    <w:rsid w:val="00B109AB"/>
    <w:rsid w:val="00B11633"/>
    <w:rsid w:val="00B13C1A"/>
    <w:rsid w:val="00B2749D"/>
    <w:rsid w:val="00BB255B"/>
    <w:rsid w:val="00BC1183"/>
    <w:rsid w:val="00BD0E0F"/>
    <w:rsid w:val="00BD3CED"/>
    <w:rsid w:val="00C00B65"/>
    <w:rsid w:val="00CE16FB"/>
    <w:rsid w:val="00CF08A6"/>
    <w:rsid w:val="00D271B1"/>
    <w:rsid w:val="00D63C07"/>
    <w:rsid w:val="00D75850"/>
    <w:rsid w:val="00D955F6"/>
    <w:rsid w:val="00DB3293"/>
    <w:rsid w:val="00DC24D6"/>
    <w:rsid w:val="00DC7421"/>
    <w:rsid w:val="00DF0074"/>
    <w:rsid w:val="00E049CF"/>
    <w:rsid w:val="00E246BA"/>
    <w:rsid w:val="00E27D26"/>
    <w:rsid w:val="00E3253B"/>
    <w:rsid w:val="00E55C7B"/>
    <w:rsid w:val="00E93074"/>
    <w:rsid w:val="00EB4B6C"/>
    <w:rsid w:val="00EE145B"/>
    <w:rsid w:val="00EE656B"/>
    <w:rsid w:val="00EF1741"/>
    <w:rsid w:val="00F0405E"/>
    <w:rsid w:val="00F50200"/>
    <w:rsid w:val="00F6060A"/>
    <w:rsid w:val="00F63DA5"/>
    <w:rsid w:val="00F8173F"/>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styleId="FollowedHyperlink">
    <w:name w:val="FollowedHyperlink"/>
    <w:basedOn w:val="DefaultParagraphFont"/>
    <w:uiPriority w:val="99"/>
    <w:semiHidden/>
    <w:unhideWhenUsed/>
    <w:rsid w:val="00521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239826427">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procedure/ch5.108-abbott-alinity-c-operating-procedure.pdf" TargetMode="External"/><Relationship Id="rId13" Type="http://schemas.openxmlformats.org/officeDocument/2006/relationships/hyperlink" Target="https://starnet.childrenshc.org/References/labsop/chem/operator/alinity-ci-series-operations-manu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quality/ch-2.17-unity-real-time-qc-review-general-use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arnet.childrenshc.org/References/labsop/chem/quality/ch-2.18-westgard-rules-in-chemistry.pdf" TargetMode="External"/><Relationship Id="rId4" Type="http://schemas.openxmlformats.org/officeDocument/2006/relationships/settings" Target="settings.xml"/><Relationship Id="rId9" Type="http://schemas.openxmlformats.org/officeDocument/2006/relationships/hyperlink" Target="https://msdsmanagement.msdsonline.com/a07dc954-23d8-42a9-b591-ef5763cdfd33/ebinder/?nas=True" TargetMode="Externa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18D2-2BE1-40BD-A288-6DA6AB94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6</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15313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6</cp:revision>
  <cp:lastPrinted>2011-06-16T20:29:00Z</cp:lastPrinted>
  <dcterms:created xsi:type="dcterms:W3CDTF">2020-10-18T17:33:00Z</dcterms:created>
  <dcterms:modified xsi:type="dcterms:W3CDTF">2020-10-19T21:59:00Z</dcterms:modified>
</cp:coreProperties>
</file>