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360"/>
      </w:tblGrid>
      <w:tr w:rsidR="009C5880" w:rsidRPr="00F116E4">
        <w:trPr>
          <w:cantSplit/>
        </w:trPr>
        <w:tc>
          <w:tcPr>
            <w:tcW w:w="11160" w:type="dxa"/>
            <w:gridSpan w:val="2"/>
            <w:tcBorders>
              <w:top w:val="nil"/>
              <w:left w:val="nil"/>
              <w:bottom w:val="nil"/>
              <w:right w:val="nil"/>
            </w:tcBorders>
          </w:tcPr>
          <w:p w:rsidR="009C5880" w:rsidRPr="00F116E4" w:rsidRDefault="006D50EA" w:rsidP="007C3E34">
            <w:pPr>
              <w:jc w:val="left"/>
              <w:rPr>
                <w:rFonts w:ascii="Arial" w:hAnsi="Arial" w:cs="Arial"/>
                <w:b/>
                <w:bCs/>
                <w:color w:val="0000FF"/>
                <w:sz w:val="36"/>
              </w:rPr>
            </w:pPr>
            <w:r>
              <w:rPr>
                <w:rFonts w:ascii="Arial" w:hAnsi="Arial" w:cs="Arial"/>
                <w:b/>
                <w:bCs/>
                <w:color w:val="0000FF"/>
                <w:sz w:val="36"/>
              </w:rPr>
              <w:t>Siro</w:t>
            </w:r>
            <w:r w:rsidR="00C379C1" w:rsidRPr="00F116E4">
              <w:rPr>
                <w:rFonts w:ascii="Arial" w:hAnsi="Arial" w:cs="Arial"/>
                <w:b/>
                <w:bCs/>
                <w:color w:val="0000FF"/>
                <w:sz w:val="36"/>
              </w:rPr>
              <w:t>limus</w:t>
            </w:r>
          </w:p>
          <w:p w:rsidR="009C5880" w:rsidRPr="00F116E4" w:rsidRDefault="009C5880" w:rsidP="007C3E34">
            <w:pPr>
              <w:pStyle w:val="BodyText"/>
              <w:jc w:val="left"/>
              <w:rPr>
                <w:rFonts w:ascii="Arial" w:hAnsi="Arial" w:cs="Arial"/>
                <w:sz w:val="24"/>
              </w:rPr>
            </w:pPr>
          </w:p>
        </w:tc>
      </w:tr>
      <w:tr w:rsidR="007C3E34" w:rsidRPr="00F116E4" w:rsidTr="007C3E34">
        <w:trPr>
          <w:cantSplit/>
          <w:trHeight w:val="1025"/>
        </w:trPr>
        <w:tc>
          <w:tcPr>
            <w:tcW w:w="1800" w:type="dxa"/>
            <w:tcBorders>
              <w:top w:val="nil"/>
              <w:left w:val="nil"/>
              <w:bottom w:val="nil"/>
              <w:right w:val="nil"/>
            </w:tcBorders>
          </w:tcPr>
          <w:p w:rsidR="007C3E34" w:rsidRPr="00F116E4" w:rsidRDefault="007C3E34" w:rsidP="007C3E34">
            <w:pPr>
              <w:jc w:val="left"/>
              <w:rPr>
                <w:rFonts w:ascii="Arial" w:hAnsi="Arial" w:cs="Arial"/>
                <w:b/>
                <w:bCs/>
                <w:color w:val="0000FF"/>
                <w:sz w:val="20"/>
              </w:rPr>
            </w:pPr>
          </w:p>
          <w:p w:rsidR="007C3E34" w:rsidRPr="00F116E4" w:rsidRDefault="007C3E34" w:rsidP="007C3E34">
            <w:pPr>
              <w:jc w:val="left"/>
              <w:rPr>
                <w:rFonts w:ascii="Arial" w:hAnsi="Arial" w:cs="Arial"/>
                <w:b/>
                <w:bCs/>
                <w:color w:val="0000FF"/>
                <w:sz w:val="20"/>
              </w:rPr>
            </w:pPr>
            <w:r w:rsidRPr="00F116E4">
              <w:rPr>
                <w:rFonts w:ascii="Arial" w:hAnsi="Arial" w:cs="Arial"/>
                <w:b/>
                <w:bCs/>
                <w:color w:val="0000FF"/>
                <w:sz w:val="20"/>
              </w:rPr>
              <w:t>Purpose</w:t>
            </w:r>
          </w:p>
        </w:tc>
        <w:tc>
          <w:tcPr>
            <w:tcW w:w="9360" w:type="dxa"/>
            <w:tcBorders>
              <w:top w:val="single" w:sz="4" w:space="0" w:color="auto"/>
              <w:left w:val="nil"/>
              <w:bottom w:val="single" w:sz="4" w:space="0" w:color="auto"/>
              <w:right w:val="nil"/>
            </w:tcBorders>
            <w:vAlign w:val="center"/>
          </w:tcPr>
          <w:p w:rsidR="007C3E34" w:rsidRPr="00F116E4" w:rsidRDefault="007C3E34" w:rsidP="007C3E34">
            <w:pPr>
              <w:jc w:val="left"/>
              <w:rPr>
                <w:rFonts w:ascii="Arial" w:hAnsi="Arial" w:cs="Arial"/>
              </w:rPr>
            </w:pPr>
          </w:p>
          <w:p w:rsidR="007C3E34" w:rsidRPr="00F116E4" w:rsidRDefault="007C3E34" w:rsidP="007C3E34">
            <w:pPr>
              <w:jc w:val="left"/>
              <w:rPr>
                <w:rFonts w:ascii="Arial" w:hAnsi="Arial" w:cs="Arial"/>
                <w:szCs w:val="20"/>
              </w:rPr>
            </w:pPr>
            <w:r w:rsidRPr="00F116E4">
              <w:rPr>
                <w:rFonts w:ascii="Arial" w:hAnsi="Arial" w:cs="Arial"/>
              </w:rPr>
              <w:t>This procedure provides i</w:t>
            </w:r>
            <w:r w:rsidR="006D50EA">
              <w:rPr>
                <w:rFonts w:ascii="Arial" w:hAnsi="Arial" w:cs="Arial"/>
              </w:rPr>
              <w:t>nstructions for performing SIRO</w:t>
            </w:r>
            <w:r w:rsidRPr="00F116E4">
              <w:rPr>
                <w:rFonts w:ascii="Arial" w:hAnsi="Arial" w:cs="Arial"/>
              </w:rPr>
              <w:t xml:space="preserve">LIMUS on the Abbott </w:t>
            </w:r>
            <w:r w:rsidR="0080713A">
              <w:rPr>
                <w:rFonts w:ascii="Arial" w:hAnsi="Arial" w:cs="Arial"/>
              </w:rPr>
              <w:t>Alinity ci</w:t>
            </w:r>
            <w:r w:rsidR="00643414">
              <w:rPr>
                <w:rFonts w:ascii="Arial" w:hAnsi="Arial" w:cs="Arial"/>
              </w:rPr>
              <w:t xml:space="preserve"> series chemistry analyzer.</w:t>
            </w:r>
          </w:p>
          <w:p w:rsidR="007C3E34" w:rsidRPr="00F116E4" w:rsidRDefault="007C3E34" w:rsidP="007C3E34">
            <w:pPr>
              <w:autoSpaceDE w:val="0"/>
              <w:autoSpaceDN w:val="0"/>
              <w:adjustRightInd w:val="0"/>
              <w:jc w:val="left"/>
              <w:rPr>
                <w:rFonts w:ascii="Arial" w:hAnsi="Arial" w:cs="Arial"/>
                <w:szCs w:val="20"/>
              </w:rPr>
            </w:pPr>
          </w:p>
        </w:tc>
      </w:tr>
      <w:tr w:rsidR="007C3E34" w:rsidRPr="00F116E4">
        <w:trPr>
          <w:cantSplit/>
          <w:trHeight w:val="1025"/>
        </w:trPr>
        <w:tc>
          <w:tcPr>
            <w:tcW w:w="1800" w:type="dxa"/>
            <w:tcBorders>
              <w:top w:val="nil"/>
              <w:left w:val="nil"/>
              <w:bottom w:val="nil"/>
              <w:right w:val="nil"/>
            </w:tcBorders>
          </w:tcPr>
          <w:p w:rsidR="007C3E34" w:rsidRPr="00F116E4" w:rsidRDefault="007C3E34" w:rsidP="007C3E34">
            <w:pPr>
              <w:jc w:val="left"/>
              <w:rPr>
                <w:rFonts w:ascii="Arial" w:hAnsi="Arial" w:cs="Arial"/>
                <w:b/>
                <w:bCs/>
                <w:color w:val="0000FF"/>
                <w:sz w:val="20"/>
              </w:rPr>
            </w:pPr>
          </w:p>
          <w:p w:rsidR="007C3E34" w:rsidRPr="00F116E4" w:rsidRDefault="007C3E34" w:rsidP="007C3E34">
            <w:pPr>
              <w:jc w:val="left"/>
              <w:rPr>
                <w:rFonts w:ascii="Arial" w:hAnsi="Arial" w:cs="Arial"/>
                <w:b/>
                <w:bCs/>
                <w:color w:val="0000FF"/>
                <w:sz w:val="20"/>
              </w:rPr>
            </w:pPr>
            <w:r w:rsidRPr="00F116E4">
              <w:rPr>
                <w:rFonts w:ascii="Arial" w:hAnsi="Arial" w:cs="Arial"/>
                <w:b/>
                <w:bCs/>
                <w:color w:val="0000FF"/>
                <w:sz w:val="20"/>
              </w:rPr>
              <w:t>Principle</w:t>
            </w:r>
          </w:p>
          <w:p w:rsidR="007C3E34" w:rsidRPr="00F116E4" w:rsidRDefault="007C3E34" w:rsidP="007C3E34">
            <w:pPr>
              <w:jc w:val="left"/>
              <w:rPr>
                <w:rFonts w:ascii="Arial" w:hAnsi="Arial" w:cs="Arial"/>
                <w:b/>
                <w:bCs/>
                <w:color w:val="0000FF"/>
                <w:sz w:val="20"/>
              </w:rPr>
            </w:pPr>
          </w:p>
        </w:tc>
        <w:tc>
          <w:tcPr>
            <w:tcW w:w="9360" w:type="dxa"/>
            <w:tcBorders>
              <w:top w:val="single" w:sz="4" w:space="0" w:color="auto"/>
              <w:left w:val="nil"/>
              <w:bottom w:val="single" w:sz="4" w:space="0" w:color="auto"/>
              <w:right w:val="nil"/>
            </w:tcBorders>
          </w:tcPr>
          <w:p w:rsidR="007C3E34" w:rsidRPr="00F116E4" w:rsidRDefault="007C3E34" w:rsidP="007C3E34">
            <w:pPr>
              <w:jc w:val="left"/>
              <w:rPr>
                <w:rFonts w:ascii="Arial" w:hAnsi="Arial" w:cs="Arial"/>
                <w:iCs/>
                <w:sz w:val="20"/>
              </w:rPr>
            </w:pPr>
          </w:p>
          <w:p w:rsidR="008B2720" w:rsidRDefault="008B2720" w:rsidP="008B2720">
            <w:pPr>
              <w:autoSpaceDE w:val="0"/>
              <w:autoSpaceDN w:val="0"/>
              <w:adjustRightInd w:val="0"/>
              <w:jc w:val="left"/>
              <w:rPr>
                <w:rFonts w:ascii="Arial" w:eastAsia="HelenPro-Regular" w:hAnsi="Arial" w:cs="Arial"/>
                <w:szCs w:val="22"/>
              </w:rPr>
            </w:pPr>
            <w:r w:rsidRPr="008B2720">
              <w:rPr>
                <w:rFonts w:ascii="Arial" w:eastAsia="HelenPro-Regular" w:hAnsi="Arial" w:cs="Arial"/>
                <w:szCs w:val="22"/>
              </w:rPr>
              <w:t>This assay is a delay</w:t>
            </w:r>
            <w:r>
              <w:rPr>
                <w:rFonts w:ascii="Arial" w:eastAsia="HelenPro-Regular" w:hAnsi="Arial" w:cs="Arial"/>
                <w:szCs w:val="22"/>
              </w:rPr>
              <w:t xml:space="preserve">ed one-step immunoassay for the </w:t>
            </w:r>
            <w:r w:rsidRPr="008B2720">
              <w:rPr>
                <w:rFonts w:ascii="Arial" w:eastAsia="HelenPro-Regular" w:hAnsi="Arial" w:cs="Arial"/>
                <w:szCs w:val="22"/>
              </w:rPr>
              <w:t>quantitative determination of sirol</w:t>
            </w:r>
            <w:r>
              <w:rPr>
                <w:rFonts w:ascii="Arial" w:eastAsia="HelenPro-Regular" w:hAnsi="Arial" w:cs="Arial"/>
                <w:szCs w:val="22"/>
              </w:rPr>
              <w:t xml:space="preserve">imus in human whole blood using </w:t>
            </w:r>
            <w:r w:rsidRPr="008B2720">
              <w:rPr>
                <w:rFonts w:ascii="Arial" w:eastAsia="HelenPro-Regular" w:hAnsi="Arial" w:cs="Arial"/>
                <w:szCs w:val="22"/>
              </w:rPr>
              <w:t>chemiluminescent m</w:t>
            </w:r>
            <w:r>
              <w:rPr>
                <w:rFonts w:ascii="Arial" w:eastAsia="HelenPro-Regular" w:hAnsi="Arial" w:cs="Arial"/>
                <w:szCs w:val="22"/>
              </w:rPr>
              <w:t xml:space="preserve">icroparticle immunoassay (CMIA) technology. </w:t>
            </w:r>
            <w:r w:rsidRPr="008B2720">
              <w:rPr>
                <w:rFonts w:ascii="Arial" w:eastAsia="HelenPro-Regular" w:hAnsi="Arial" w:cs="Arial"/>
                <w:szCs w:val="22"/>
              </w:rPr>
              <w:t>Prior to the initiation of the automat</w:t>
            </w:r>
            <w:r>
              <w:rPr>
                <w:rFonts w:ascii="Arial" w:eastAsia="HelenPro-Regular" w:hAnsi="Arial" w:cs="Arial"/>
                <w:szCs w:val="22"/>
              </w:rPr>
              <w:t xml:space="preserve">ed Alinity i sequence, a manual </w:t>
            </w:r>
            <w:r w:rsidRPr="008B2720">
              <w:rPr>
                <w:rFonts w:ascii="Arial" w:eastAsia="HelenPro-Regular" w:hAnsi="Arial" w:cs="Arial"/>
                <w:szCs w:val="22"/>
              </w:rPr>
              <w:t xml:space="preserve">pretreatment step is performed in </w:t>
            </w:r>
            <w:r>
              <w:rPr>
                <w:rFonts w:ascii="Arial" w:eastAsia="HelenPro-Regular" w:hAnsi="Arial" w:cs="Arial"/>
                <w:szCs w:val="22"/>
              </w:rPr>
              <w:t xml:space="preserve">which the whole blood sample is </w:t>
            </w:r>
            <w:r w:rsidRPr="008B2720">
              <w:rPr>
                <w:rFonts w:ascii="Arial" w:eastAsia="HelenPro-Regular" w:hAnsi="Arial" w:cs="Arial"/>
                <w:szCs w:val="22"/>
              </w:rPr>
              <w:t>extracted with a precipitation reagen</w:t>
            </w:r>
            <w:r>
              <w:rPr>
                <w:rFonts w:ascii="Arial" w:eastAsia="HelenPro-Regular" w:hAnsi="Arial" w:cs="Arial"/>
                <w:szCs w:val="22"/>
              </w:rPr>
              <w:t xml:space="preserve">t, heated, and centrifuged. The </w:t>
            </w:r>
            <w:r w:rsidRPr="008B2720">
              <w:rPr>
                <w:rFonts w:ascii="Arial" w:eastAsia="HelenPro-Regular" w:hAnsi="Arial" w:cs="Arial"/>
                <w:szCs w:val="22"/>
              </w:rPr>
              <w:t>supernatant is decanted into a Tran</w:t>
            </w:r>
            <w:r>
              <w:rPr>
                <w:rFonts w:ascii="Arial" w:eastAsia="HelenPro-Regular" w:hAnsi="Arial" w:cs="Arial"/>
                <w:szCs w:val="22"/>
              </w:rPr>
              <w:t xml:space="preserve">splant Pretreatment Tube, which </w:t>
            </w:r>
            <w:r w:rsidRPr="008B2720">
              <w:rPr>
                <w:rFonts w:ascii="Arial" w:eastAsia="HelenPro-Regular" w:hAnsi="Arial" w:cs="Arial"/>
                <w:szCs w:val="22"/>
              </w:rPr>
              <w:t>is plac</w:t>
            </w:r>
            <w:r>
              <w:rPr>
                <w:rFonts w:ascii="Arial" w:eastAsia="HelenPro-Regular" w:hAnsi="Arial" w:cs="Arial"/>
                <w:szCs w:val="22"/>
              </w:rPr>
              <w:t xml:space="preserve">ed onto the Alinity i analyzer. </w:t>
            </w:r>
            <w:r w:rsidRPr="008B2720">
              <w:rPr>
                <w:rFonts w:ascii="Arial" w:eastAsia="HelenPro-Regular" w:hAnsi="Arial" w:cs="Arial"/>
                <w:szCs w:val="22"/>
              </w:rPr>
              <w:t>Sample, anti-sirolimus coated p</w:t>
            </w:r>
            <w:r>
              <w:rPr>
                <w:rFonts w:ascii="Arial" w:eastAsia="HelenPro-Regular" w:hAnsi="Arial" w:cs="Arial"/>
                <w:szCs w:val="22"/>
              </w:rPr>
              <w:t xml:space="preserve">aramagnetic microparticles, and </w:t>
            </w:r>
            <w:r w:rsidRPr="008B2720">
              <w:rPr>
                <w:rFonts w:ascii="Arial" w:eastAsia="HelenPro-Regular" w:hAnsi="Arial" w:cs="Arial"/>
                <w:szCs w:val="22"/>
              </w:rPr>
              <w:t>assay diluent are combined and i</w:t>
            </w:r>
            <w:r>
              <w:rPr>
                <w:rFonts w:ascii="Arial" w:eastAsia="HelenPro-Regular" w:hAnsi="Arial" w:cs="Arial"/>
                <w:szCs w:val="22"/>
              </w:rPr>
              <w:t xml:space="preserve">ncubated. The sirolimus present </w:t>
            </w:r>
            <w:r w:rsidRPr="008B2720">
              <w:rPr>
                <w:rFonts w:ascii="Arial" w:eastAsia="HelenPro-Regular" w:hAnsi="Arial" w:cs="Arial"/>
                <w:szCs w:val="22"/>
              </w:rPr>
              <w:t>in the sample binds to the anti-s</w:t>
            </w:r>
            <w:r>
              <w:rPr>
                <w:rFonts w:ascii="Arial" w:eastAsia="HelenPro-Regular" w:hAnsi="Arial" w:cs="Arial"/>
                <w:szCs w:val="22"/>
              </w:rPr>
              <w:t xml:space="preserve">irolimus coated microparticles. </w:t>
            </w:r>
            <w:r w:rsidRPr="008B2720">
              <w:rPr>
                <w:rFonts w:ascii="Arial" w:eastAsia="HelenPro-Regular" w:hAnsi="Arial" w:cs="Arial"/>
                <w:szCs w:val="22"/>
              </w:rPr>
              <w:t>Sirolimus acridinium-labeled conjugat</w:t>
            </w:r>
            <w:r>
              <w:rPr>
                <w:rFonts w:ascii="Arial" w:eastAsia="HelenPro-Regular" w:hAnsi="Arial" w:cs="Arial"/>
                <w:szCs w:val="22"/>
              </w:rPr>
              <w:t xml:space="preserve">e is added to create a reaction </w:t>
            </w:r>
            <w:r w:rsidRPr="008B2720">
              <w:rPr>
                <w:rFonts w:ascii="Arial" w:eastAsia="HelenPro-Regular" w:hAnsi="Arial" w:cs="Arial"/>
                <w:szCs w:val="22"/>
              </w:rPr>
              <w:t>mixture. The sirolimus acridinium</w:t>
            </w:r>
            <w:r>
              <w:rPr>
                <w:rFonts w:ascii="Arial" w:eastAsia="HelenPro-Regular" w:hAnsi="Arial" w:cs="Arial"/>
                <w:szCs w:val="22"/>
              </w:rPr>
              <w:t xml:space="preserve">-labeled conjugate competes for </w:t>
            </w:r>
            <w:r w:rsidRPr="008B2720">
              <w:rPr>
                <w:rFonts w:ascii="Arial" w:eastAsia="HelenPro-Regular" w:hAnsi="Arial" w:cs="Arial"/>
                <w:szCs w:val="22"/>
              </w:rPr>
              <w:t>the available binding sites on the ant</w:t>
            </w:r>
            <w:r>
              <w:rPr>
                <w:rFonts w:ascii="Arial" w:eastAsia="HelenPro-Regular" w:hAnsi="Arial" w:cs="Arial"/>
                <w:szCs w:val="22"/>
              </w:rPr>
              <w:t xml:space="preserve">i-sirolimus coated paramagnetic </w:t>
            </w:r>
            <w:r w:rsidRPr="008B2720">
              <w:rPr>
                <w:rFonts w:ascii="Arial" w:eastAsia="HelenPro-Regular" w:hAnsi="Arial" w:cs="Arial"/>
                <w:szCs w:val="22"/>
              </w:rPr>
              <w:t>microparticles. The reaction mixture</w:t>
            </w:r>
            <w:r>
              <w:rPr>
                <w:rFonts w:ascii="Arial" w:eastAsia="HelenPro-Regular" w:hAnsi="Arial" w:cs="Arial"/>
                <w:szCs w:val="22"/>
              </w:rPr>
              <w:t xml:space="preserve"> is incubated. Following a wash </w:t>
            </w:r>
            <w:r w:rsidRPr="008B2720">
              <w:rPr>
                <w:rFonts w:ascii="Arial" w:eastAsia="HelenPro-Regular" w:hAnsi="Arial" w:cs="Arial"/>
                <w:szCs w:val="22"/>
              </w:rPr>
              <w:t>cycle, Pre-Trigger a</w:t>
            </w:r>
            <w:r>
              <w:rPr>
                <w:rFonts w:ascii="Arial" w:eastAsia="HelenPro-Regular" w:hAnsi="Arial" w:cs="Arial"/>
                <w:szCs w:val="22"/>
              </w:rPr>
              <w:t xml:space="preserve">nd Trigger Solutions are added. </w:t>
            </w:r>
            <w:r w:rsidRPr="008B2720">
              <w:rPr>
                <w:rFonts w:ascii="Arial" w:eastAsia="HelenPro-Regular" w:hAnsi="Arial" w:cs="Arial"/>
                <w:szCs w:val="22"/>
              </w:rPr>
              <w:t>The resulting chemiluminescent reactio</w:t>
            </w:r>
            <w:r>
              <w:rPr>
                <w:rFonts w:ascii="Arial" w:eastAsia="HelenPro-Regular" w:hAnsi="Arial" w:cs="Arial"/>
                <w:szCs w:val="22"/>
              </w:rPr>
              <w:t xml:space="preserve">n is measured as relative light </w:t>
            </w:r>
            <w:r w:rsidRPr="008B2720">
              <w:rPr>
                <w:rFonts w:ascii="Arial" w:eastAsia="HelenPro-Regular" w:hAnsi="Arial" w:cs="Arial"/>
                <w:szCs w:val="22"/>
              </w:rPr>
              <w:t>units (RLUs). There is an indirect rel</w:t>
            </w:r>
            <w:r>
              <w:rPr>
                <w:rFonts w:ascii="Arial" w:eastAsia="HelenPro-Regular" w:hAnsi="Arial" w:cs="Arial"/>
                <w:szCs w:val="22"/>
              </w:rPr>
              <w:t xml:space="preserve">ationship between the amount of sirolimus in the </w:t>
            </w:r>
            <w:r w:rsidRPr="008B2720">
              <w:rPr>
                <w:rFonts w:ascii="Arial" w:eastAsia="HelenPro-Regular" w:hAnsi="Arial" w:cs="Arial"/>
                <w:szCs w:val="22"/>
              </w:rPr>
              <w:t>sample and the RLUs detected by the system optics.</w:t>
            </w:r>
          </w:p>
          <w:p w:rsidR="008B2720" w:rsidRPr="008B2720" w:rsidRDefault="008B2720" w:rsidP="008B2720">
            <w:pPr>
              <w:autoSpaceDE w:val="0"/>
              <w:autoSpaceDN w:val="0"/>
              <w:adjustRightInd w:val="0"/>
              <w:jc w:val="left"/>
              <w:rPr>
                <w:rFonts w:ascii="Arial" w:eastAsia="HelenPro-Regular" w:hAnsi="Arial" w:cs="Arial"/>
                <w:szCs w:val="22"/>
              </w:rPr>
            </w:pPr>
          </w:p>
          <w:p w:rsidR="007C3E34" w:rsidRDefault="008B2720" w:rsidP="008B2720">
            <w:pPr>
              <w:autoSpaceDE w:val="0"/>
              <w:autoSpaceDN w:val="0"/>
              <w:adjustRightInd w:val="0"/>
              <w:jc w:val="left"/>
              <w:rPr>
                <w:rFonts w:ascii="Arial" w:eastAsia="HelenPro-Regular" w:hAnsi="Arial" w:cs="Arial"/>
                <w:iCs/>
                <w:sz w:val="20"/>
                <w:szCs w:val="22"/>
              </w:rPr>
            </w:pPr>
            <w:r w:rsidRPr="008B2720">
              <w:rPr>
                <w:rFonts w:ascii="Arial" w:eastAsia="HelenPro-Regular" w:hAnsi="Arial" w:cs="Arial"/>
                <w:szCs w:val="22"/>
              </w:rPr>
              <w:t>For additional information on system and assay technology, ref</w:t>
            </w:r>
            <w:r>
              <w:rPr>
                <w:rFonts w:ascii="Arial" w:eastAsia="HelenPro-Regular" w:hAnsi="Arial" w:cs="Arial"/>
                <w:szCs w:val="22"/>
              </w:rPr>
              <w:t xml:space="preserve">er to </w:t>
            </w:r>
            <w:r w:rsidRPr="008B2720">
              <w:rPr>
                <w:rFonts w:ascii="Arial" w:eastAsia="HelenPro-Regular" w:hAnsi="Arial" w:cs="Arial"/>
                <w:szCs w:val="22"/>
              </w:rPr>
              <w:t>the Alinity ci-series Operations Manual, Section 3.</w:t>
            </w:r>
            <w:r w:rsidRPr="008B2720">
              <w:rPr>
                <w:rFonts w:ascii="Arial" w:eastAsia="HelenPro-Regular" w:hAnsi="Arial" w:cs="Arial"/>
                <w:iCs/>
                <w:sz w:val="20"/>
                <w:szCs w:val="22"/>
              </w:rPr>
              <w:t xml:space="preserve"> </w:t>
            </w:r>
          </w:p>
          <w:p w:rsidR="008B2720" w:rsidRPr="008B2720" w:rsidRDefault="008B2720" w:rsidP="008B2720">
            <w:pPr>
              <w:autoSpaceDE w:val="0"/>
              <w:autoSpaceDN w:val="0"/>
              <w:adjustRightInd w:val="0"/>
              <w:jc w:val="left"/>
              <w:rPr>
                <w:rFonts w:ascii="Arial" w:eastAsia="HelenPro-Regular" w:hAnsi="Arial" w:cs="Arial"/>
                <w:szCs w:val="22"/>
              </w:rPr>
            </w:pPr>
          </w:p>
        </w:tc>
      </w:tr>
      <w:tr w:rsidR="007C3E34" w:rsidRPr="00F116E4" w:rsidTr="009C5880">
        <w:trPr>
          <w:cantSplit/>
          <w:trHeight w:val="647"/>
        </w:trPr>
        <w:tc>
          <w:tcPr>
            <w:tcW w:w="1800" w:type="dxa"/>
            <w:tcBorders>
              <w:top w:val="nil"/>
              <w:left w:val="nil"/>
              <w:bottom w:val="nil"/>
              <w:right w:val="nil"/>
            </w:tcBorders>
          </w:tcPr>
          <w:p w:rsidR="007C3E34" w:rsidRPr="00F116E4" w:rsidRDefault="007C3E34" w:rsidP="007C3E34">
            <w:pPr>
              <w:jc w:val="left"/>
              <w:rPr>
                <w:rFonts w:ascii="Arial" w:hAnsi="Arial" w:cs="Arial"/>
                <w:b/>
                <w:bCs/>
                <w:color w:val="0000FF"/>
                <w:sz w:val="20"/>
              </w:rPr>
            </w:pPr>
          </w:p>
          <w:p w:rsidR="007C3E34" w:rsidRPr="00F116E4" w:rsidRDefault="007C3E34" w:rsidP="007C3E34">
            <w:pPr>
              <w:jc w:val="left"/>
              <w:rPr>
                <w:rFonts w:ascii="Arial" w:hAnsi="Arial" w:cs="Arial"/>
                <w:b/>
                <w:bCs/>
                <w:color w:val="0000FF"/>
                <w:sz w:val="20"/>
              </w:rPr>
            </w:pPr>
            <w:r w:rsidRPr="00F116E4">
              <w:rPr>
                <w:rFonts w:ascii="Arial" w:hAnsi="Arial" w:cs="Arial"/>
                <w:b/>
                <w:bCs/>
                <w:color w:val="0000FF"/>
                <w:sz w:val="20"/>
              </w:rPr>
              <w:t>Policy Statements</w:t>
            </w:r>
          </w:p>
        </w:tc>
        <w:tc>
          <w:tcPr>
            <w:tcW w:w="9360" w:type="dxa"/>
            <w:tcBorders>
              <w:top w:val="single" w:sz="4" w:space="0" w:color="auto"/>
              <w:left w:val="nil"/>
              <w:bottom w:val="single" w:sz="4" w:space="0" w:color="auto"/>
              <w:right w:val="nil"/>
            </w:tcBorders>
          </w:tcPr>
          <w:p w:rsidR="007C3E34" w:rsidRPr="00F116E4" w:rsidRDefault="007C3E34" w:rsidP="007C3E34">
            <w:pPr>
              <w:jc w:val="left"/>
              <w:rPr>
                <w:rFonts w:ascii="Arial" w:hAnsi="Arial" w:cs="Arial"/>
                <w:iCs/>
                <w:sz w:val="20"/>
              </w:rPr>
            </w:pPr>
          </w:p>
          <w:p w:rsidR="007C3E34" w:rsidRDefault="007C3E34" w:rsidP="0080713A">
            <w:pPr>
              <w:autoSpaceDE w:val="0"/>
              <w:autoSpaceDN w:val="0"/>
              <w:adjustRightInd w:val="0"/>
              <w:jc w:val="left"/>
              <w:rPr>
                <w:rFonts w:ascii="Arial" w:hAnsi="Arial" w:cs="Arial"/>
                <w:szCs w:val="20"/>
              </w:rPr>
            </w:pPr>
            <w:r w:rsidRPr="00F116E4">
              <w:rPr>
                <w:rFonts w:ascii="Arial" w:hAnsi="Arial" w:cs="Arial"/>
                <w:szCs w:val="15"/>
              </w:rPr>
              <w:t xml:space="preserve">This procedure applies to all personnel responsible for performing </w:t>
            </w:r>
            <w:r w:rsidR="008B2720">
              <w:rPr>
                <w:rFonts w:ascii="Arial" w:hAnsi="Arial" w:cs="Arial"/>
                <w:szCs w:val="15"/>
              </w:rPr>
              <w:t xml:space="preserve">Sirolimus </w:t>
            </w:r>
            <w:r w:rsidRPr="00F116E4">
              <w:rPr>
                <w:rFonts w:ascii="Arial" w:hAnsi="Arial" w:cs="Arial"/>
                <w:szCs w:val="15"/>
              </w:rPr>
              <w:t xml:space="preserve">testing on the </w:t>
            </w:r>
            <w:r w:rsidR="00F116E4">
              <w:rPr>
                <w:rFonts w:ascii="Arial" w:hAnsi="Arial" w:cs="Arial"/>
                <w:szCs w:val="20"/>
              </w:rPr>
              <w:t xml:space="preserve">Abbott </w:t>
            </w:r>
            <w:r w:rsidR="0080713A">
              <w:rPr>
                <w:rFonts w:ascii="Arial" w:hAnsi="Arial" w:cs="Arial"/>
                <w:szCs w:val="20"/>
              </w:rPr>
              <w:t>Alinity ci</w:t>
            </w:r>
            <w:r w:rsidR="008B2720">
              <w:rPr>
                <w:rFonts w:ascii="Arial" w:hAnsi="Arial" w:cs="Arial"/>
                <w:szCs w:val="20"/>
              </w:rPr>
              <w:t xml:space="preserve"> analyzer in Minneapolis laboratory.</w:t>
            </w:r>
          </w:p>
          <w:p w:rsidR="008B2720" w:rsidRPr="00F116E4" w:rsidRDefault="008B2720" w:rsidP="0080713A">
            <w:pPr>
              <w:autoSpaceDE w:val="0"/>
              <w:autoSpaceDN w:val="0"/>
              <w:adjustRightInd w:val="0"/>
              <w:jc w:val="left"/>
              <w:rPr>
                <w:rFonts w:ascii="Arial" w:hAnsi="Arial" w:cs="Arial"/>
                <w:iCs/>
                <w:sz w:val="20"/>
              </w:rPr>
            </w:pPr>
          </w:p>
        </w:tc>
      </w:tr>
      <w:tr w:rsidR="007C3E34" w:rsidRPr="00F116E4">
        <w:trPr>
          <w:cantSplit/>
          <w:trHeight w:val="1025"/>
        </w:trPr>
        <w:tc>
          <w:tcPr>
            <w:tcW w:w="1800" w:type="dxa"/>
            <w:tcBorders>
              <w:top w:val="nil"/>
              <w:left w:val="nil"/>
              <w:bottom w:val="nil"/>
              <w:right w:val="nil"/>
            </w:tcBorders>
          </w:tcPr>
          <w:p w:rsidR="007C3E34" w:rsidRPr="00F116E4" w:rsidRDefault="007C3E34" w:rsidP="007C3E34">
            <w:pPr>
              <w:jc w:val="left"/>
              <w:rPr>
                <w:rFonts w:ascii="Arial" w:hAnsi="Arial" w:cs="Arial"/>
                <w:b/>
                <w:bCs/>
                <w:color w:val="0000FF"/>
                <w:sz w:val="20"/>
              </w:rPr>
            </w:pPr>
          </w:p>
          <w:p w:rsidR="007C3E34" w:rsidRPr="00F116E4" w:rsidRDefault="007C3E34" w:rsidP="007C3E34">
            <w:pPr>
              <w:jc w:val="left"/>
              <w:rPr>
                <w:rFonts w:ascii="Arial" w:hAnsi="Arial" w:cs="Arial"/>
                <w:b/>
                <w:bCs/>
                <w:color w:val="0000FF"/>
                <w:sz w:val="20"/>
              </w:rPr>
            </w:pPr>
            <w:r w:rsidRPr="00F116E4">
              <w:rPr>
                <w:rFonts w:ascii="Arial" w:hAnsi="Arial" w:cs="Arial"/>
                <w:b/>
                <w:bCs/>
                <w:color w:val="0000FF"/>
                <w:sz w:val="20"/>
              </w:rPr>
              <w:t>Clinical Significance</w:t>
            </w:r>
          </w:p>
          <w:p w:rsidR="007C3E34" w:rsidRPr="00F116E4" w:rsidRDefault="007C3E34" w:rsidP="007C3E34">
            <w:pPr>
              <w:jc w:val="left"/>
              <w:rPr>
                <w:rFonts w:ascii="Arial" w:hAnsi="Arial" w:cs="Arial"/>
                <w:b/>
                <w:bCs/>
                <w:color w:val="0000FF"/>
                <w:sz w:val="20"/>
              </w:rPr>
            </w:pPr>
          </w:p>
        </w:tc>
        <w:tc>
          <w:tcPr>
            <w:tcW w:w="9360" w:type="dxa"/>
            <w:tcBorders>
              <w:top w:val="single" w:sz="4" w:space="0" w:color="auto"/>
              <w:left w:val="nil"/>
              <w:bottom w:val="single" w:sz="4" w:space="0" w:color="auto"/>
              <w:right w:val="nil"/>
            </w:tcBorders>
          </w:tcPr>
          <w:p w:rsidR="008B2720" w:rsidRDefault="008B2720" w:rsidP="008B2720">
            <w:pPr>
              <w:autoSpaceDE w:val="0"/>
              <w:autoSpaceDN w:val="0"/>
              <w:adjustRightInd w:val="0"/>
              <w:jc w:val="left"/>
              <w:rPr>
                <w:rFonts w:ascii="Arial" w:hAnsi="Arial" w:cs="Arial"/>
                <w:iCs/>
                <w:szCs w:val="22"/>
              </w:rPr>
            </w:pPr>
            <w:r w:rsidRPr="008B2720">
              <w:rPr>
                <w:rFonts w:ascii="Arial" w:hAnsi="Arial" w:cs="Arial"/>
                <w:iCs/>
                <w:szCs w:val="22"/>
              </w:rPr>
              <w:t>Sirolimus (</w:t>
            </w:r>
            <w:proofErr w:type="spellStart"/>
            <w:r w:rsidRPr="008B2720">
              <w:rPr>
                <w:rFonts w:ascii="Arial" w:hAnsi="Arial" w:cs="Arial"/>
                <w:iCs/>
                <w:szCs w:val="22"/>
              </w:rPr>
              <w:t>Rapamune</w:t>
            </w:r>
            <w:proofErr w:type="spellEnd"/>
            <w:r w:rsidRPr="008B2720">
              <w:rPr>
                <w:rFonts w:ascii="Arial" w:hAnsi="Arial" w:cs="Arial"/>
                <w:iCs/>
                <w:szCs w:val="22"/>
              </w:rPr>
              <w:t>, ra</w:t>
            </w:r>
            <w:r w:rsidRPr="008B2720">
              <w:rPr>
                <w:rFonts w:ascii="Arial" w:hAnsi="Arial" w:cs="Arial"/>
                <w:iCs/>
                <w:szCs w:val="22"/>
              </w:rPr>
              <w:t xml:space="preserve">pamycin, Wyeth Pharmaceuticals, </w:t>
            </w:r>
            <w:r w:rsidRPr="008B2720">
              <w:rPr>
                <w:rFonts w:ascii="Arial" w:hAnsi="Arial" w:cs="Arial"/>
                <w:iCs/>
                <w:szCs w:val="22"/>
              </w:rPr>
              <w:t>Collegeville, PA) is an immunosuppre</w:t>
            </w:r>
            <w:r w:rsidRPr="008B2720">
              <w:rPr>
                <w:rFonts w:ascii="Arial" w:hAnsi="Arial" w:cs="Arial"/>
                <w:iCs/>
                <w:szCs w:val="22"/>
              </w:rPr>
              <w:t xml:space="preserve">ssive drug for renal transplant </w:t>
            </w:r>
            <w:r w:rsidRPr="008B2720">
              <w:rPr>
                <w:rFonts w:ascii="Arial" w:hAnsi="Arial" w:cs="Arial"/>
                <w:iCs/>
                <w:szCs w:val="22"/>
              </w:rPr>
              <w:t>immunosuppressive therapy. The s</w:t>
            </w:r>
            <w:r w:rsidRPr="008B2720">
              <w:rPr>
                <w:rFonts w:ascii="Arial" w:hAnsi="Arial" w:cs="Arial"/>
                <w:iCs/>
                <w:szCs w:val="22"/>
              </w:rPr>
              <w:t xml:space="preserve">afety and efficacy of sirolimus </w:t>
            </w:r>
            <w:r w:rsidRPr="008B2720">
              <w:rPr>
                <w:rFonts w:ascii="Arial" w:hAnsi="Arial" w:cs="Arial"/>
                <w:iCs/>
                <w:szCs w:val="22"/>
              </w:rPr>
              <w:t>in helping prevent tissue rejection wa</w:t>
            </w:r>
            <w:r w:rsidRPr="008B2720">
              <w:rPr>
                <w:rFonts w:ascii="Arial" w:hAnsi="Arial" w:cs="Arial"/>
                <w:iCs/>
                <w:szCs w:val="22"/>
              </w:rPr>
              <w:t xml:space="preserve">s initially demonstrated in two </w:t>
            </w:r>
            <w:r w:rsidRPr="008B2720">
              <w:rPr>
                <w:rFonts w:ascii="Arial" w:hAnsi="Arial" w:cs="Arial"/>
                <w:iCs/>
                <w:szCs w:val="22"/>
              </w:rPr>
              <w:t>multicen</w:t>
            </w:r>
            <w:r w:rsidRPr="008B2720">
              <w:rPr>
                <w:rFonts w:ascii="Arial" w:hAnsi="Arial" w:cs="Arial"/>
                <w:iCs/>
                <w:szCs w:val="22"/>
              </w:rPr>
              <w:t xml:space="preserve">ter trials (Trials 301 and 302) involving </w:t>
            </w:r>
            <w:proofErr w:type="spellStart"/>
            <w:r w:rsidRPr="008B2720">
              <w:rPr>
                <w:rFonts w:ascii="Arial" w:hAnsi="Arial" w:cs="Arial"/>
                <w:iCs/>
                <w:szCs w:val="22"/>
              </w:rPr>
              <w:t>postrenal</w:t>
            </w:r>
            <w:proofErr w:type="spellEnd"/>
            <w:r w:rsidRPr="008B2720">
              <w:rPr>
                <w:rFonts w:ascii="Arial" w:hAnsi="Arial" w:cs="Arial"/>
                <w:iCs/>
                <w:szCs w:val="22"/>
              </w:rPr>
              <w:t xml:space="preserve"> transplant </w:t>
            </w:r>
            <w:r w:rsidRPr="008B2720">
              <w:rPr>
                <w:rFonts w:ascii="Arial" w:hAnsi="Arial" w:cs="Arial"/>
                <w:iCs/>
                <w:szCs w:val="22"/>
              </w:rPr>
              <w:t>patients receiving full-dose cy</w:t>
            </w:r>
            <w:r w:rsidRPr="008B2720">
              <w:rPr>
                <w:rFonts w:ascii="Arial" w:hAnsi="Arial" w:cs="Arial"/>
                <w:iCs/>
                <w:szCs w:val="22"/>
              </w:rPr>
              <w:t xml:space="preserve">closporine and corticosteroids. </w:t>
            </w:r>
            <w:r w:rsidRPr="008B2720">
              <w:rPr>
                <w:rFonts w:ascii="Arial" w:hAnsi="Arial" w:cs="Arial"/>
                <w:iCs/>
                <w:szCs w:val="22"/>
              </w:rPr>
              <w:t>The data indicated beneficial prop</w:t>
            </w:r>
            <w:r w:rsidRPr="008B2720">
              <w:rPr>
                <w:rFonts w:ascii="Arial" w:hAnsi="Arial" w:cs="Arial"/>
                <w:iCs/>
                <w:szCs w:val="22"/>
              </w:rPr>
              <w:t xml:space="preserve">hylaxis against acute rejection </w:t>
            </w:r>
            <w:r w:rsidRPr="008B2720">
              <w:rPr>
                <w:rFonts w:ascii="Arial" w:hAnsi="Arial" w:cs="Arial"/>
                <w:iCs/>
                <w:szCs w:val="22"/>
              </w:rPr>
              <w:t>from sirolimus therapy in co</w:t>
            </w:r>
            <w:r w:rsidRPr="008B2720">
              <w:rPr>
                <w:rFonts w:ascii="Arial" w:hAnsi="Arial" w:cs="Arial"/>
                <w:iCs/>
                <w:szCs w:val="22"/>
              </w:rPr>
              <w:t xml:space="preserve">njunction with cyclosporine and </w:t>
            </w:r>
            <w:r w:rsidRPr="008B2720">
              <w:rPr>
                <w:rFonts w:ascii="Arial" w:hAnsi="Arial" w:cs="Arial"/>
                <w:iCs/>
                <w:szCs w:val="22"/>
              </w:rPr>
              <w:t>corticosteroids. Subsequently, the safety and efficacy of sirolimus</w:t>
            </w:r>
            <w:r w:rsidRPr="008B2720">
              <w:rPr>
                <w:rFonts w:ascii="Arial" w:hAnsi="Arial" w:cs="Arial"/>
                <w:iCs/>
                <w:szCs w:val="22"/>
              </w:rPr>
              <w:t xml:space="preserve"> </w:t>
            </w:r>
            <w:r w:rsidRPr="008B2720">
              <w:rPr>
                <w:rFonts w:ascii="Arial" w:hAnsi="Arial" w:cs="Arial"/>
                <w:iCs/>
                <w:szCs w:val="22"/>
              </w:rPr>
              <w:t>as a maintenance regimen follow</w:t>
            </w:r>
            <w:r w:rsidRPr="008B2720">
              <w:rPr>
                <w:rFonts w:ascii="Arial" w:hAnsi="Arial" w:cs="Arial"/>
                <w:iCs/>
                <w:szCs w:val="22"/>
              </w:rPr>
              <w:t xml:space="preserve">ing cyclosporine withdrawal was </w:t>
            </w:r>
            <w:r w:rsidRPr="008B2720">
              <w:rPr>
                <w:rFonts w:ascii="Arial" w:hAnsi="Arial" w:cs="Arial"/>
                <w:iCs/>
                <w:szCs w:val="22"/>
              </w:rPr>
              <w:t>assessed. In this study, clinical</w:t>
            </w:r>
            <w:r w:rsidRPr="008B2720">
              <w:rPr>
                <w:rFonts w:ascii="Arial" w:hAnsi="Arial" w:cs="Arial"/>
                <w:iCs/>
                <w:szCs w:val="22"/>
              </w:rPr>
              <w:t xml:space="preserve"> outcomes of patients withdrawn </w:t>
            </w:r>
            <w:r w:rsidRPr="008B2720">
              <w:rPr>
                <w:rFonts w:ascii="Arial" w:hAnsi="Arial" w:cs="Arial"/>
                <w:iCs/>
                <w:szCs w:val="22"/>
              </w:rPr>
              <w:t>from cyclosporine and maintained o</w:t>
            </w:r>
            <w:r w:rsidRPr="008B2720">
              <w:rPr>
                <w:rFonts w:ascii="Arial" w:hAnsi="Arial" w:cs="Arial"/>
                <w:iCs/>
                <w:szCs w:val="22"/>
              </w:rPr>
              <w:t xml:space="preserve">n sirolimus and corticosteroids </w:t>
            </w:r>
            <w:r w:rsidRPr="008B2720">
              <w:rPr>
                <w:rFonts w:ascii="Arial" w:hAnsi="Arial" w:cs="Arial"/>
                <w:iCs/>
                <w:szCs w:val="22"/>
              </w:rPr>
              <w:t>compared favorably to patien</w:t>
            </w:r>
            <w:r w:rsidRPr="008B2720">
              <w:rPr>
                <w:rFonts w:ascii="Arial" w:hAnsi="Arial" w:cs="Arial"/>
                <w:iCs/>
                <w:szCs w:val="22"/>
              </w:rPr>
              <w:t xml:space="preserve">ts continuing on the triple-drug immunosuppressive regimen. </w:t>
            </w:r>
            <w:r w:rsidRPr="008B2720">
              <w:rPr>
                <w:rFonts w:ascii="Arial" w:hAnsi="Arial" w:cs="Arial"/>
                <w:iCs/>
                <w:szCs w:val="22"/>
              </w:rPr>
              <w:t xml:space="preserve"> Bec</w:t>
            </w:r>
            <w:r w:rsidRPr="008B2720">
              <w:rPr>
                <w:rFonts w:ascii="Arial" w:hAnsi="Arial" w:cs="Arial"/>
                <w:iCs/>
                <w:szCs w:val="22"/>
              </w:rPr>
              <w:t xml:space="preserve">ause of potential toxic effects </w:t>
            </w:r>
            <w:r w:rsidRPr="008B2720">
              <w:rPr>
                <w:rFonts w:ascii="Arial" w:hAnsi="Arial" w:cs="Arial"/>
                <w:iCs/>
                <w:szCs w:val="22"/>
              </w:rPr>
              <w:t>associated with high trough levels</w:t>
            </w:r>
            <w:r w:rsidRPr="008B2720">
              <w:rPr>
                <w:rFonts w:ascii="Arial" w:hAnsi="Arial" w:cs="Arial"/>
                <w:iCs/>
                <w:szCs w:val="22"/>
              </w:rPr>
              <w:t xml:space="preserve"> of sirolimus, therapeutic drug </w:t>
            </w:r>
            <w:r w:rsidRPr="008B2720">
              <w:rPr>
                <w:rFonts w:ascii="Arial" w:hAnsi="Arial" w:cs="Arial"/>
                <w:iCs/>
                <w:szCs w:val="22"/>
              </w:rPr>
              <w:t>monitoring of sirolimus imm</w:t>
            </w:r>
            <w:r w:rsidRPr="008B2720">
              <w:rPr>
                <w:rFonts w:ascii="Arial" w:hAnsi="Arial" w:cs="Arial"/>
                <w:iCs/>
                <w:szCs w:val="22"/>
              </w:rPr>
              <w:t>unosuppressive therapy has been recommended.</w:t>
            </w:r>
            <w:r w:rsidRPr="008B2720">
              <w:rPr>
                <w:rFonts w:ascii="Arial" w:hAnsi="Arial" w:cs="Arial"/>
                <w:iCs/>
                <w:szCs w:val="22"/>
              </w:rPr>
              <w:t xml:space="preserve"> Sirolimus is a m</w:t>
            </w:r>
            <w:r w:rsidRPr="008B2720">
              <w:rPr>
                <w:rFonts w:ascii="Arial" w:hAnsi="Arial" w:cs="Arial"/>
                <w:iCs/>
                <w:szCs w:val="22"/>
              </w:rPr>
              <w:t xml:space="preserve">acrocyclic lactone fermentation </w:t>
            </w:r>
            <w:r w:rsidRPr="008B2720">
              <w:rPr>
                <w:rFonts w:ascii="Arial" w:hAnsi="Arial" w:cs="Arial"/>
                <w:iCs/>
                <w:szCs w:val="22"/>
              </w:rPr>
              <w:t xml:space="preserve">product of Streptomyces </w:t>
            </w:r>
            <w:proofErr w:type="spellStart"/>
            <w:r w:rsidRPr="008B2720">
              <w:rPr>
                <w:rFonts w:ascii="Arial" w:hAnsi="Arial" w:cs="Arial"/>
                <w:iCs/>
                <w:szCs w:val="22"/>
              </w:rPr>
              <w:t>hygroscopicu</w:t>
            </w:r>
            <w:r w:rsidRPr="008B2720">
              <w:rPr>
                <w:rFonts w:ascii="Arial" w:hAnsi="Arial" w:cs="Arial"/>
                <w:iCs/>
                <w:szCs w:val="22"/>
              </w:rPr>
              <w:t>s</w:t>
            </w:r>
            <w:proofErr w:type="spellEnd"/>
            <w:r w:rsidRPr="008B2720">
              <w:rPr>
                <w:rFonts w:ascii="Arial" w:hAnsi="Arial" w:cs="Arial"/>
                <w:iCs/>
                <w:szCs w:val="22"/>
              </w:rPr>
              <w:t>, first discovered in the soil of Rapa Nui (Easter Island).</w:t>
            </w:r>
            <w:r w:rsidRPr="008B2720">
              <w:rPr>
                <w:rFonts w:ascii="Arial" w:hAnsi="Arial" w:cs="Arial"/>
                <w:iCs/>
                <w:szCs w:val="22"/>
              </w:rPr>
              <w:t xml:space="preserve"> Sirolimu</w:t>
            </w:r>
            <w:r w:rsidRPr="008B2720">
              <w:rPr>
                <w:rFonts w:ascii="Arial" w:hAnsi="Arial" w:cs="Arial"/>
                <w:iCs/>
                <w:szCs w:val="22"/>
              </w:rPr>
              <w:t xml:space="preserve">s exhibits a synergistic action </w:t>
            </w:r>
            <w:r w:rsidRPr="008B2720">
              <w:rPr>
                <w:rFonts w:ascii="Arial" w:hAnsi="Arial" w:cs="Arial"/>
                <w:iCs/>
                <w:szCs w:val="22"/>
              </w:rPr>
              <w:t>with calcineurin inhibitors (e.g., cycl</w:t>
            </w:r>
            <w:r w:rsidRPr="008B2720">
              <w:rPr>
                <w:rFonts w:ascii="Arial" w:hAnsi="Arial" w:cs="Arial"/>
                <w:iCs/>
                <w:szCs w:val="22"/>
              </w:rPr>
              <w:t xml:space="preserve">osporine), although it operates </w:t>
            </w:r>
            <w:r w:rsidRPr="008B2720">
              <w:rPr>
                <w:rFonts w:ascii="Arial" w:hAnsi="Arial" w:cs="Arial"/>
                <w:iCs/>
                <w:szCs w:val="22"/>
              </w:rPr>
              <w:t xml:space="preserve">with a different mechanism. Sirolimus binds to the </w:t>
            </w:r>
            <w:proofErr w:type="spellStart"/>
            <w:r w:rsidRPr="008B2720">
              <w:rPr>
                <w:rFonts w:ascii="Arial" w:hAnsi="Arial" w:cs="Arial"/>
                <w:iCs/>
                <w:szCs w:val="22"/>
              </w:rPr>
              <w:t>im</w:t>
            </w:r>
            <w:r w:rsidRPr="008B2720">
              <w:rPr>
                <w:rFonts w:ascii="Arial" w:hAnsi="Arial" w:cs="Arial"/>
                <w:iCs/>
                <w:szCs w:val="22"/>
              </w:rPr>
              <w:t>munophilin</w:t>
            </w:r>
            <w:proofErr w:type="spellEnd"/>
            <w:r w:rsidRPr="008B2720">
              <w:rPr>
                <w:rFonts w:ascii="Arial" w:hAnsi="Arial" w:cs="Arial"/>
                <w:iCs/>
                <w:szCs w:val="22"/>
              </w:rPr>
              <w:t xml:space="preserve"> </w:t>
            </w:r>
            <w:proofErr w:type="spellStart"/>
            <w:r w:rsidRPr="008B2720">
              <w:rPr>
                <w:rFonts w:ascii="Arial" w:hAnsi="Arial" w:cs="Arial"/>
                <w:iCs/>
                <w:szCs w:val="22"/>
              </w:rPr>
              <w:t>FKbinding</w:t>
            </w:r>
            <w:proofErr w:type="spellEnd"/>
            <w:r w:rsidRPr="008B2720">
              <w:rPr>
                <w:rFonts w:ascii="Arial" w:hAnsi="Arial" w:cs="Arial"/>
                <w:iCs/>
                <w:szCs w:val="22"/>
              </w:rPr>
              <w:t xml:space="preserve"> </w:t>
            </w:r>
            <w:r w:rsidRPr="008B2720">
              <w:rPr>
                <w:rFonts w:ascii="Arial" w:hAnsi="Arial" w:cs="Arial"/>
                <w:iCs/>
                <w:szCs w:val="22"/>
              </w:rPr>
              <w:t>protein 12, and the resulting c</w:t>
            </w:r>
            <w:r w:rsidRPr="008B2720">
              <w:rPr>
                <w:rFonts w:ascii="Arial" w:hAnsi="Arial" w:cs="Arial"/>
                <w:iCs/>
                <w:szCs w:val="22"/>
              </w:rPr>
              <w:t xml:space="preserve">omplex binds to a specific cell </w:t>
            </w:r>
            <w:r w:rsidRPr="008B2720">
              <w:rPr>
                <w:rFonts w:ascii="Arial" w:hAnsi="Arial" w:cs="Arial"/>
                <w:iCs/>
                <w:szCs w:val="22"/>
              </w:rPr>
              <w:t xml:space="preserve">cycle regulatory protein </w:t>
            </w:r>
            <w:proofErr w:type="spellStart"/>
            <w:r w:rsidRPr="008B2720">
              <w:rPr>
                <w:rFonts w:ascii="Arial" w:hAnsi="Arial" w:cs="Arial"/>
                <w:iCs/>
                <w:szCs w:val="22"/>
              </w:rPr>
              <w:t>mTOR</w:t>
            </w:r>
            <w:proofErr w:type="spellEnd"/>
            <w:r w:rsidRPr="008B2720">
              <w:rPr>
                <w:rFonts w:ascii="Arial" w:hAnsi="Arial" w:cs="Arial"/>
                <w:iCs/>
                <w:szCs w:val="22"/>
              </w:rPr>
              <w:t xml:space="preserve"> (mam</w:t>
            </w:r>
            <w:r w:rsidRPr="008B2720">
              <w:rPr>
                <w:rFonts w:ascii="Arial" w:hAnsi="Arial" w:cs="Arial"/>
                <w:iCs/>
                <w:szCs w:val="22"/>
              </w:rPr>
              <w:t xml:space="preserve">malian target of rapamycin) and </w:t>
            </w:r>
            <w:r w:rsidRPr="008B2720">
              <w:rPr>
                <w:rFonts w:ascii="Arial" w:hAnsi="Arial" w:cs="Arial"/>
                <w:iCs/>
                <w:szCs w:val="22"/>
              </w:rPr>
              <w:t>inhibits its activation. The inhibition of</w:t>
            </w:r>
            <w:r w:rsidRPr="008B2720">
              <w:rPr>
                <w:rFonts w:ascii="Arial" w:hAnsi="Arial" w:cs="Arial"/>
                <w:iCs/>
                <w:szCs w:val="22"/>
              </w:rPr>
              <w:t xml:space="preserve"> </w:t>
            </w:r>
            <w:proofErr w:type="spellStart"/>
            <w:r w:rsidRPr="008B2720">
              <w:rPr>
                <w:rFonts w:ascii="Arial" w:hAnsi="Arial" w:cs="Arial"/>
                <w:iCs/>
                <w:szCs w:val="22"/>
              </w:rPr>
              <w:t>mTOR</w:t>
            </w:r>
            <w:proofErr w:type="spellEnd"/>
            <w:r w:rsidRPr="008B2720">
              <w:rPr>
                <w:rFonts w:ascii="Arial" w:hAnsi="Arial" w:cs="Arial"/>
                <w:iCs/>
                <w:szCs w:val="22"/>
              </w:rPr>
              <w:t xml:space="preserve"> results in suppression of </w:t>
            </w:r>
            <w:r w:rsidRPr="008B2720">
              <w:rPr>
                <w:rFonts w:ascii="Arial" w:hAnsi="Arial" w:cs="Arial"/>
                <w:iCs/>
                <w:szCs w:val="22"/>
              </w:rPr>
              <w:t>cytokine-driven T-lymphocyte proliferat</w:t>
            </w:r>
            <w:r w:rsidRPr="008B2720">
              <w:rPr>
                <w:rFonts w:ascii="Arial" w:hAnsi="Arial" w:cs="Arial"/>
                <w:iCs/>
                <w:szCs w:val="22"/>
              </w:rPr>
              <w:t xml:space="preserve">ion, inhibiting the progression </w:t>
            </w:r>
            <w:r w:rsidRPr="008B2720">
              <w:rPr>
                <w:rFonts w:ascii="Arial" w:hAnsi="Arial" w:cs="Arial"/>
                <w:iCs/>
                <w:szCs w:val="22"/>
              </w:rPr>
              <w:t xml:space="preserve">from G1 to the S phase of the cell </w:t>
            </w:r>
            <w:r w:rsidRPr="008B2720">
              <w:rPr>
                <w:rFonts w:ascii="Arial" w:hAnsi="Arial" w:cs="Arial"/>
                <w:iCs/>
                <w:szCs w:val="22"/>
              </w:rPr>
              <w:t xml:space="preserve">cycle. Pharmacokinetic studies </w:t>
            </w:r>
            <w:r w:rsidRPr="008B2720">
              <w:rPr>
                <w:rFonts w:ascii="Arial" w:hAnsi="Arial" w:cs="Arial"/>
                <w:iCs/>
                <w:szCs w:val="22"/>
              </w:rPr>
              <w:t>indicate that sirolimus is primarily s</w:t>
            </w:r>
            <w:r w:rsidR="003A45B0">
              <w:rPr>
                <w:rFonts w:ascii="Arial" w:hAnsi="Arial" w:cs="Arial"/>
                <w:iCs/>
                <w:szCs w:val="22"/>
              </w:rPr>
              <w:t xml:space="preserve">equestered in erythrocytes, and </w:t>
            </w:r>
            <w:r w:rsidRPr="008B2720">
              <w:rPr>
                <w:rFonts w:ascii="Arial" w:hAnsi="Arial" w:cs="Arial"/>
                <w:iCs/>
                <w:szCs w:val="22"/>
              </w:rPr>
              <w:t xml:space="preserve">that the appropriate sample medium </w:t>
            </w:r>
            <w:r w:rsidRPr="008B2720">
              <w:rPr>
                <w:rFonts w:ascii="Arial" w:hAnsi="Arial" w:cs="Arial"/>
                <w:iCs/>
                <w:szCs w:val="22"/>
              </w:rPr>
              <w:t xml:space="preserve">with which to monitor sirolimus </w:t>
            </w:r>
            <w:r w:rsidRPr="008B2720">
              <w:rPr>
                <w:rFonts w:ascii="Arial" w:hAnsi="Arial" w:cs="Arial"/>
                <w:iCs/>
                <w:szCs w:val="22"/>
              </w:rPr>
              <w:t>is whole bloo</w:t>
            </w:r>
            <w:r w:rsidRPr="008B2720">
              <w:rPr>
                <w:rFonts w:ascii="Arial" w:hAnsi="Arial" w:cs="Arial"/>
                <w:iCs/>
                <w:szCs w:val="22"/>
              </w:rPr>
              <w:t>d.</w:t>
            </w:r>
          </w:p>
          <w:p w:rsidR="003A45B0" w:rsidRPr="008B2720" w:rsidRDefault="003A45B0" w:rsidP="008B2720">
            <w:pPr>
              <w:autoSpaceDE w:val="0"/>
              <w:autoSpaceDN w:val="0"/>
              <w:adjustRightInd w:val="0"/>
              <w:jc w:val="left"/>
              <w:rPr>
                <w:rFonts w:ascii="Arial" w:hAnsi="Arial" w:cs="Arial"/>
                <w:iCs/>
                <w:szCs w:val="22"/>
              </w:rPr>
            </w:pPr>
          </w:p>
          <w:p w:rsidR="007C3E34" w:rsidRDefault="003A45B0" w:rsidP="003A45B0">
            <w:pPr>
              <w:autoSpaceDE w:val="0"/>
              <w:autoSpaceDN w:val="0"/>
              <w:adjustRightInd w:val="0"/>
              <w:jc w:val="left"/>
              <w:rPr>
                <w:rFonts w:ascii="Arial" w:hAnsi="Arial" w:cs="Arial"/>
                <w:iCs/>
                <w:szCs w:val="22"/>
              </w:rPr>
            </w:pPr>
            <w:r w:rsidRPr="003A45B0">
              <w:rPr>
                <w:rFonts w:ascii="Arial" w:hAnsi="Arial" w:cs="Arial"/>
                <w:iCs/>
                <w:szCs w:val="22"/>
              </w:rPr>
              <w:t xml:space="preserve">The bioavailability of sirolimus was estimated to be 14% after </w:t>
            </w:r>
            <w:r>
              <w:rPr>
                <w:rFonts w:ascii="Arial" w:hAnsi="Arial" w:cs="Arial"/>
                <w:iCs/>
                <w:szCs w:val="22"/>
              </w:rPr>
              <w:t xml:space="preserve">the </w:t>
            </w:r>
            <w:r w:rsidRPr="003A45B0">
              <w:rPr>
                <w:rFonts w:ascii="Arial" w:hAnsi="Arial" w:cs="Arial"/>
                <w:iCs/>
                <w:szCs w:val="22"/>
              </w:rPr>
              <w:t>administration of sirolimus oral soluti</w:t>
            </w:r>
            <w:r>
              <w:rPr>
                <w:rFonts w:ascii="Arial" w:hAnsi="Arial" w:cs="Arial"/>
                <w:iCs/>
                <w:szCs w:val="22"/>
              </w:rPr>
              <w:t xml:space="preserve">on and the mean bioavailability </w:t>
            </w:r>
            <w:r w:rsidRPr="003A45B0">
              <w:rPr>
                <w:rFonts w:ascii="Arial" w:hAnsi="Arial" w:cs="Arial"/>
                <w:iCs/>
                <w:szCs w:val="22"/>
              </w:rPr>
              <w:t>of sirolimus after administration of</w:t>
            </w:r>
            <w:r>
              <w:rPr>
                <w:rFonts w:ascii="Arial" w:hAnsi="Arial" w:cs="Arial"/>
                <w:iCs/>
                <w:szCs w:val="22"/>
              </w:rPr>
              <w:t xml:space="preserve"> the tablet is about 27% higher </w:t>
            </w:r>
            <w:r w:rsidRPr="003A45B0">
              <w:rPr>
                <w:rFonts w:ascii="Arial" w:hAnsi="Arial" w:cs="Arial"/>
                <w:iCs/>
                <w:szCs w:val="22"/>
              </w:rPr>
              <w:t>relative to the oral solution.6 Asce</w:t>
            </w:r>
            <w:r>
              <w:rPr>
                <w:rFonts w:ascii="Arial" w:hAnsi="Arial" w:cs="Arial"/>
                <w:iCs/>
                <w:szCs w:val="22"/>
              </w:rPr>
              <w:t xml:space="preserve">nding dose studies (range 0.5 - </w:t>
            </w:r>
            <w:r w:rsidRPr="003A45B0">
              <w:rPr>
                <w:rFonts w:ascii="Arial" w:hAnsi="Arial" w:cs="Arial"/>
                <w:iCs/>
                <w:szCs w:val="22"/>
              </w:rPr>
              <w:t xml:space="preserve">6.5 mg/m2/12 </w:t>
            </w:r>
            <w:proofErr w:type="spellStart"/>
            <w:r w:rsidRPr="003A45B0">
              <w:rPr>
                <w:rFonts w:ascii="Arial" w:hAnsi="Arial" w:cs="Arial"/>
                <w:iCs/>
                <w:szCs w:val="22"/>
              </w:rPr>
              <w:t>hrs</w:t>
            </w:r>
            <w:proofErr w:type="spellEnd"/>
            <w:r w:rsidRPr="003A45B0">
              <w:rPr>
                <w:rFonts w:ascii="Arial" w:hAnsi="Arial" w:cs="Arial"/>
                <w:iCs/>
                <w:szCs w:val="22"/>
              </w:rPr>
              <w:t>) showed peak whole blood con</w:t>
            </w:r>
            <w:r>
              <w:rPr>
                <w:rFonts w:ascii="Arial" w:hAnsi="Arial" w:cs="Arial"/>
                <w:iCs/>
                <w:szCs w:val="22"/>
              </w:rPr>
              <w:t xml:space="preserve">centrations of 10 </w:t>
            </w:r>
            <w:r w:rsidRPr="003A45B0">
              <w:rPr>
                <w:rFonts w:ascii="Arial" w:hAnsi="Arial" w:cs="Arial"/>
                <w:iCs/>
                <w:szCs w:val="22"/>
              </w:rPr>
              <w:t>- 210 ng/mL and mean time to peak co</w:t>
            </w:r>
            <w:r>
              <w:rPr>
                <w:rFonts w:ascii="Arial" w:hAnsi="Arial" w:cs="Arial"/>
                <w:iCs/>
                <w:szCs w:val="22"/>
              </w:rPr>
              <w:t xml:space="preserve">ncentration of 1.4 ± 1.2 (range </w:t>
            </w:r>
            <w:r w:rsidRPr="003A45B0">
              <w:rPr>
                <w:rFonts w:ascii="Arial" w:hAnsi="Arial" w:cs="Arial"/>
                <w:iCs/>
                <w:szCs w:val="22"/>
              </w:rPr>
              <w:t xml:space="preserve">0.7 - 3) hours.7 A good correlation (r2 </w:t>
            </w:r>
            <w:r>
              <w:rPr>
                <w:rFonts w:ascii="Arial" w:hAnsi="Arial" w:cs="Arial"/>
                <w:iCs/>
                <w:szCs w:val="22"/>
              </w:rPr>
              <w:t xml:space="preserve">= 0.85) of trough concentration </w:t>
            </w:r>
            <w:r w:rsidRPr="003A45B0">
              <w:rPr>
                <w:rFonts w:ascii="Arial" w:hAnsi="Arial" w:cs="Arial"/>
                <w:iCs/>
                <w:szCs w:val="22"/>
              </w:rPr>
              <w:t>to area under the concentrat</w:t>
            </w:r>
            <w:r>
              <w:rPr>
                <w:rFonts w:ascii="Arial" w:hAnsi="Arial" w:cs="Arial"/>
                <w:iCs/>
                <w:szCs w:val="22"/>
              </w:rPr>
              <w:t xml:space="preserve">ion time curve (AUC) was found; </w:t>
            </w:r>
            <w:r w:rsidRPr="003A45B0">
              <w:rPr>
                <w:rFonts w:ascii="Arial" w:hAnsi="Arial" w:cs="Arial"/>
                <w:iCs/>
                <w:szCs w:val="22"/>
              </w:rPr>
              <w:t>therefore trough concentration measure</w:t>
            </w:r>
            <w:r>
              <w:rPr>
                <w:rFonts w:ascii="Arial" w:hAnsi="Arial" w:cs="Arial"/>
                <w:iCs/>
                <w:szCs w:val="22"/>
              </w:rPr>
              <w:t xml:space="preserve">ment provides a useful index </w:t>
            </w:r>
            <w:r w:rsidRPr="003A45B0">
              <w:rPr>
                <w:rFonts w:ascii="Arial" w:hAnsi="Arial" w:cs="Arial"/>
                <w:iCs/>
                <w:szCs w:val="22"/>
              </w:rPr>
              <w:t>of total drug expos</w:t>
            </w:r>
            <w:r>
              <w:rPr>
                <w:rFonts w:ascii="Arial" w:hAnsi="Arial" w:cs="Arial"/>
                <w:iCs/>
                <w:szCs w:val="22"/>
              </w:rPr>
              <w:t>ure during the dosing interval.</w:t>
            </w:r>
          </w:p>
          <w:p w:rsidR="003A45B0" w:rsidRDefault="003A45B0" w:rsidP="003A45B0">
            <w:pPr>
              <w:autoSpaceDE w:val="0"/>
              <w:autoSpaceDN w:val="0"/>
              <w:adjustRightInd w:val="0"/>
              <w:jc w:val="left"/>
              <w:rPr>
                <w:rFonts w:ascii="Arial" w:hAnsi="Arial" w:cs="Arial"/>
                <w:iCs/>
                <w:szCs w:val="22"/>
              </w:rPr>
            </w:pPr>
          </w:p>
          <w:p w:rsidR="003A45B0" w:rsidRPr="003A45B0" w:rsidRDefault="003A45B0" w:rsidP="003A45B0">
            <w:pPr>
              <w:autoSpaceDE w:val="0"/>
              <w:autoSpaceDN w:val="0"/>
              <w:adjustRightInd w:val="0"/>
              <w:jc w:val="left"/>
              <w:rPr>
                <w:rFonts w:ascii="Arial" w:hAnsi="Arial" w:cs="Arial"/>
                <w:iCs/>
                <w:szCs w:val="22"/>
              </w:rPr>
            </w:pPr>
            <w:r w:rsidRPr="003A45B0">
              <w:rPr>
                <w:rFonts w:ascii="Arial" w:hAnsi="Arial" w:cs="Arial"/>
                <w:iCs/>
                <w:szCs w:val="22"/>
              </w:rPr>
              <w:t>Among 30 stable renal allograft recipients who received a 14-</w:t>
            </w:r>
          </w:p>
          <w:p w:rsidR="003A45B0" w:rsidRPr="003A45B0" w:rsidRDefault="003A45B0" w:rsidP="003A45B0">
            <w:pPr>
              <w:autoSpaceDE w:val="0"/>
              <w:autoSpaceDN w:val="0"/>
              <w:adjustRightInd w:val="0"/>
              <w:jc w:val="left"/>
              <w:rPr>
                <w:rFonts w:ascii="Arial" w:hAnsi="Arial" w:cs="Arial"/>
                <w:iCs/>
                <w:szCs w:val="22"/>
              </w:rPr>
            </w:pPr>
            <w:r w:rsidRPr="003A45B0">
              <w:rPr>
                <w:rFonts w:ascii="Arial" w:hAnsi="Arial" w:cs="Arial"/>
                <w:iCs/>
                <w:szCs w:val="22"/>
              </w:rPr>
              <w:t>day course of sirolimus concomitantly with cyclosporine and</w:t>
            </w:r>
          </w:p>
          <w:p w:rsidR="003A45B0" w:rsidRPr="003A45B0" w:rsidRDefault="003A45B0" w:rsidP="003A45B0">
            <w:pPr>
              <w:autoSpaceDE w:val="0"/>
              <w:autoSpaceDN w:val="0"/>
              <w:adjustRightInd w:val="0"/>
              <w:jc w:val="left"/>
              <w:rPr>
                <w:rFonts w:ascii="Arial" w:hAnsi="Arial" w:cs="Arial"/>
                <w:iCs/>
                <w:szCs w:val="22"/>
              </w:rPr>
            </w:pPr>
            <w:r w:rsidRPr="003A45B0">
              <w:rPr>
                <w:rFonts w:ascii="Arial" w:hAnsi="Arial" w:cs="Arial"/>
                <w:iCs/>
                <w:szCs w:val="22"/>
              </w:rPr>
              <w:t>corticosteroids, there was a 4.5 fold difference in apparent mean</w:t>
            </w:r>
          </w:p>
          <w:p w:rsidR="003A45B0" w:rsidRPr="003A45B0" w:rsidRDefault="003A45B0" w:rsidP="003A45B0">
            <w:pPr>
              <w:autoSpaceDE w:val="0"/>
              <w:autoSpaceDN w:val="0"/>
              <w:adjustRightInd w:val="0"/>
              <w:jc w:val="left"/>
              <w:rPr>
                <w:rFonts w:ascii="Arial" w:hAnsi="Arial" w:cs="Arial"/>
                <w:iCs/>
                <w:szCs w:val="22"/>
              </w:rPr>
            </w:pPr>
            <w:r w:rsidRPr="003A45B0">
              <w:rPr>
                <w:rFonts w:ascii="Arial" w:hAnsi="Arial" w:cs="Arial"/>
                <w:iCs/>
                <w:szCs w:val="22"/>
              </w:rPr>
              <w:t>drug clearance of 208 ± 95 mL/h/kg and a terminal half-life of 62</w:t>
            </w:r>
          </w:p>
          <w:p w:rsidR="003A45B0" w:rsidRPr="003A45B0" w:rsidRDefault="003A45B0" w:rsidP="003A45B0">
            <w:pPr>
              <w:autoSpaceDE w:val="0"/>
              <w:autoSpaceDN w:val="0"/>
              <w:adjustRightInd w:val="0"/>
              <w:jc w:val="left"/>
              <w:rPr>
                <w:rFonts w:ascii="Arial" w:hAnsi="Arial" w:cs="Arial"/>
                <w:iCs/>
                <w:szCs w:val="22"/>
              </w:rPr>
            </w:pPr>
            <w:r w:rsidRPr="003A45B0">
              <w:rPr>
                <w:rFonts w:ascii="Arial" w:hAnsi="Arial" w:cs="Arial"/>
                <w:iCs/>
                <w:szCs w:val="22"/>
              </w:rPr>
              <w:t>± 16 hours.7 Because of the long half-life, trough levels should be</w:t>
            </w:r>
          </w:p>
          <w:p w:rsidR="003A45B0" w:rsidRPr="003A45B0" w:rsidRDefault="003A45B0" w:rsidP="003A45B0">
            <w:pPr>
              <w:autoSpaceDE w:val="0"/>
              <w:autoSpaceDN w:val="0"/>
              <w:adjustRightInd w:val="0"/>
              <w:jc w:val="left"/>
              <w:rPr>
                <w:rFonts w:ascii="Arial" w:hAnsi="Arial" w:cs="Arial"/>
                <w:iCs/>
                <w:szCs w:val="22"/>
              </w:rPr>
            </w:pPr>
            <w:proofErr w:type="gramStart"/>
            <w:r w:rsidRPr="003A45B0">
              <w:rPr>
                <w:rFonts w:ascii="Arial" w:hAnsi="Arial" w:cs="Arial"/>
                <w:iCs/>
                <w:szCs w:val="22"/>
              </w:rPr>
              <w:t>monitored</w:t>
            </w:r>
            <w:proofErr w:type="gramEnd"/>
            <w:r w:rsidRPr="003A45B0">
              <w:rPr>
                <w:rFonts w:ascii="Arial" w:hAnsi="Arial" w:cs="Arial"/>
                <w:iCs/>
                <w:szCs w:val="22"/>
              </w:rPr>
              <w:t xml:space="preserve"> no less than 5 - 7 days after a dosage change. Once</w:t>
            </w:r>
          </w:p>
          <w:p w:rsidR="003A45B0" w:rsidRPr="003A45B0" w:rsidRDefault="003A45B0" w:rsidP="003A45B0">
            <w:pPr>
              <w:autoSpaceDE w:val="0"/>
              <w:autoSpaceDN w:val="0"/>
              <w:adjustRightInd w:val="0"/>
              <w:jc w:val="left"/>
              <w:rPr>
                <w:rFonts w:ascii="Arial" w:hAnsi="Arial" w:cs="Arial"/>
                <w:iCs/>
                <w:szCs w:val="22"/>
              </w:rPr>
            </w:pPr>
            <w:proofErr w:type="gramStart"/>
            <w:r w:rsidRPr="003A45B0">
              <w:rPr>
                <w:rFonts w:ascii="Arial" w:hAnsi="Arial" w:cs="Arial"/>
                <w:iCs/>
                <w:szCs w:val="22"/>
              </w:rPr>
              <w:t>a</w:t>
            </w:r>
            <w:proofErr w:type="gramEnd"/>
            <w:r w:rsidRPr="003A45B0">
              <w:rPr>
                <w:rFonts w:ascii="Arial" w:hAnsi="Arial" w:cs="Arial"/>
                <w:iCs/>
                <w:szCs w:val="22"/>
              </w:rPr>
              <w:t xml:space="preserve"> day dosing is recommended in adult renal transplant patients.</w:t>
            </w:r>
          </w:p>
          <w:p w:rsidR="003A45B0" w:rsidRPr="003A45B0" w:rsidRDefault="003A45B0" w:rsidP="003A45B0">
            <w:pPr>
              <w:autoSpaceDE w:val="0"/>
              <w:autoSpaceDN w:val="0"/>
              <w:adjustRightInd w:val="0"/>
              <w:jc w:val="left"/>
              <w:rPr>
                <w:rFonts w:ascii="Arial" w:hAnsi="Arial" w:cs="Arial"/>
                <w:iCs/>
                <w:szCs w:val="22"/>
              </w:rPr>
            </w:pPr>
            <w:r w:rsidRPr="003A45B0">
              <w:rPr>
                <w:rFonts w:ascii="Arial" w:hAnsi="Arial" w:cs="Arial"/>
                <w:iCs/>
                <w:szCs w:val="22"/>
              </w:rPr>
              <w:t>A loading dose (3 times the maintenance dose) can be used to</w:t>
            </w:r>
          </w:p>
          <w:p w:rsidR="003A45B0" w:rsidRPr="003A45B0" w:rsidRDefault="003A45B0" w:rsidP="003A45B0">
            <w:pPr>
              <w:autoSpaceDE w:val="0"/>
              <w:autoSpaceDN w:val="0"/>
              <w:adjustRightInd w:val="0"/>
              <w:jc w:val="left"/>
              <w:rPr>
                <w:rFonts w:ascii="Arial" w:hAnsi="Arial" w:cs="Arial"/>
                <w:iCs/>
                <w:szCs w:val="22"/>
              </w:rPr>
            </w:pPr>
            <w:r w:rsidRPr="003A45B0">
              <w:rPr>
                <w:rFonts w:ascii="Arial" w:hAnsi="Arial" w:cs="Arial"/>
                <w:iCs/>
                <w:szCs w:val="22"/>
              </w:rPr>
              <w:t>achieve near steady-state blood concentrations rapidly.1 Variations</w:t>
            </w:r>
          </w:p>
          <w:p w:rsidR="003A45B0" w:rsidRPr="003A45B0" w:rsidRDefault="003A45B0" w:rsidP="003A45B0">
            <w:pPr>
              <w:autoSpaceDE w:val="0"/>
              <w:autoSpaceDN w:val="0"/>
              <w:adjustRightInd w:val="0"/>
              <w:jc w:val="left"/>
              <w:rPr>
                <w:rFonts w:ascii="Arial" w:hAnsi="Arial" w:cs="Arial"/>
                <w:iCs/>
                <w:szCs w:val="22"/>
              </w:rPr>
            </w:pPr>
            <w:r w:rsidRPr="003A45B0">
              <w:rPr>
                <w:rFonts w:ascii="Arial" w:hAnsi="Arial" w:cs="Arial"/>
                <w:iCs/>
                <w:szCs w:val="22"/>
              </w:rPr>
              <w:t>in apparent drug clearance and oral bioavailability result in a wide</w:t>
            </w:r>
          </w:p>
          <w:p w:rsidR="003A45B0" w:rsidRPr="003A45B0" w:rsidRDefault="003A45B0" w:rsidP="003A45B0">
            <w:pPr>
              <w:autoSpaceDE w:val="0"/>
              <w:autoSpaceDN w:val="0"/>
              <w:adjustRightInd w:val="0"/>
              <w:jc w:val="left"/>
              <w:rPr>
                <w:rFonts w:ascii="Arial" w:hAnsi="Arial" w:cs="Arial"/>
                <w:iCs/>
                <w:szCs w:val="22"/>
              </w:rPr>
            </w:pPr>
            <w:r w:rsidRPr="003A45B0">
              <w:rPr>
                <w:rFonts w:ascii="Arial" w:hAnsi="Arial" w:cs="Arial"/>
                <w:iCs/>
                <w:szCs w:val="22"/>
              </w:rPr>
              <w:t>range of sirolimus trough values among patients receiving identical</w:t>
            </w:r>
          </w:p>
          <w:p w:rsidR="003A45B0" w:rsidRDefault="003A45B0" w:rsidP="003A45B0">
            <w:pPr>
              <w:autoSpaceDE w:val="0"/>
              <w:autoSpaceDN w:val="0"/>
              <w:adjustRightInd w:val="0"/>
              <w:jc w:val="left"/>
              <w:rPr>
                <w:rFonts w:ascii="Arial" w:hAnsi="Arial" w:cs="Arial"/>
                <w:iCs/>
                <w:szCs w:val="22"/>
              </w:rPr>
            </w:pPr>
            <w:proofErr w:type="gramStart"/>
            <w:r w:rsidRPr="003A45B0">
              <w:rPr>
                <w:rFonts w:ascii="Arial" w:hAnsi="Arial" w:cs="Arial"/>
                <w:iCs/>
                <w:szCs w:val="22"/>
              </w:rPr>
              <w:t>doses</w:t>
            </w:r>
            <w:proofErr w:type="gramEnd"/>
            <w:r w:rsidRPr="003A45B0">
              <w:rPr>
                <w:rFonts w:ascii="Arial" w:hAnsi="Arial" w:cs="Arial"/>
                <w:iCs/>
                <w:szCs w:val="22"/>
              </w:rPr>
              <w:t>.</w:t>
            </w:r>
          </w:p>
          <w:p w:rsidR="003A45B0" w:rsidRPr="003A45B0" w:rsidRDefault="003A45B0" w:rsidP="003A45B0">
            <w:pPr>
              <w:autoSpaceDE w:val="0"/>
              <w:autoSpaceDN w:val="0"/>
              <w:adjustRightInd w:val="0"/>
              <w:jc w:val="left"/>
              <w:rPr>
                <w:rFonts w:ascii="Arial" w:hAnsi="Arial" w:cs="Arial"/>
                <w:iCs/>
                <w:szCs w:val="22"/>
              </w:rPr>
            </w:pPr>
          </w:p>
          <w:p w:rsidR="003A45B0" w:rsidRPr="003A45B0" w:rsidRDefault="003A45B0" w:rsidP="003A45B0">
            <w:pPr>
              <w:autoSpaceDE w:val="0"/>
              <w:autoSpaceDN w:val="0"/>
              <w:adjustRightInd w:val="0"/>
              <w:jc w:val="left"/>
              <w:rPr>
                <w:rFonts w:ascii="Arial" w:hAnsi="Arial" w:cs="Arial"/>
                <w:iCs/>
                <w:szCs w:val="22"/>
              </w:rPr>
            </w:pPr>
            <w:r w:rsidRPr="003A45B0">
              <w:rPr>
                <w:rFonts w:ascii="Arial" w:hAnsi="Arial" w:cs="Arial"/>
                <w:iCs/>
                <w:szCs w:val="22"/>
              </w:rPr>
              <w:t>Sirolimus is a substrate for th</w:t>
            </w:r>
            <w:r>
              <w:rPr>
                <w:rFonts w:ascii="Arial" w:hAnsi="Arial" w:cs="Arial"/>
                <w:iCs/>
                <w:szCs w:val="22"/>
              </w:rPr>
              <w:t xml:space="preserve">e cytochrome P450 IIIA4 (CYP3A4 </w:t>
            </w:r>
            <w:r w:rsidRPr="003A45B0">
              <w:rPr>
                <w:rFonts w:ascii="Arial" w:hAnsi="Arial" w:cs="Arial"/>
                <w:iCs/>
                <w:szCs w:val="22"/>
              </w:rPr>
              <w:t>isozyme) and p-glycoprotein</w:t>
            </w:r>
            <w:r>
              <w:rPr>
                <w:rFonts w:ascii="Arial" w:hAnsi="Arial" w:cs="Arial"/>
                <w:iCs/>
                <w:szCs w:val="22"/>
              </w:rPr>
              <w:t xml:space="preserve"> transporter and is extensively </w:t>
            </w:r>
            <w:r w:rsidRPr="003A45B0">
              <w:rPr>
                <w:rFonts w:ascii="Arial" w:hAnsi="Arial" w:cs="Arial"/>
                <w:iCs/>
                <w:szCs w:val="22"/>
              </w:rPr>
              <w:t>metabolized by O-deme</w:t>
            </w:r>
            <w:r>
              <w:rPr>
                <w:rFonts w:ascii="Arial" w:hAnsi="Arial" w:cs="Arial"/>
                <w:iCs/>
                <w:szCs w:val="22"/>
              </w:rPr>
              <w:t xml:space="preserve">thylation and/or hydroxylation. Therefore, </w:t>
            </w:r>
            <w:r w:rsidRPr="003A45B0">
              <w:rPr>
                <w:rFonts w:ascii="Arial" w:hAnsi="Arial" w:cs="Arial"/>
                <w:iCs/>
                <w:szCs w:val="22"/>
              </w:rPr>
              <w:t>drugs that are known inducers or i</w:t>
            </w:r>
            <w:r>
              <w:rPr>
                <w:rFonts w:ascii="Arial" w:hAnsi="Arial" w:cs="Arial"/>
                <w:iCs/>
                <w:szCs w:val="22"/>
              </w:rPr>
              <w:t xml:space="preserve">nhibitors of these two pathways </w:t>
            </w:r>
            <w:r w:rsidRPr="003A45B0">
              <w:rPr>
                <w:rFonts w:ascii="Arial" w:hAnsi="Arial" w:cs="Arial"/>
                <w:iCs/>
                <w:szCs w:val="22"/>
              </w:rPr>
              <w:t>have the ability to dramatically</w:t>
            </w:r>
            <w:r>
              <w:rPr>
                <w:rFonts w:ascii="Arial" w:hAnsi="Arial" w:cs="Arial"/>
                <w:iCs/>
                <w:szCs w:val="22"/>
              </w:rPr>
              <w:t xml:space="preserve"> decrease or increase sirolimus </w:t>
            </w:r>
            <w:r w:rsidRPr="003A45B0">
              <w:rPr>
                <w:rFonts w:ascii="Arial" w:hAnsi="Arial" w:cs="Arial"/>
                <w:iCs/>
                <w:szCs w:val="22"/>
              </w:rPr>
              <w:t>whole blood concentrations, resp</w:t>
            </w:r>
            <w:r>
              <w:rPr>
                <w:rFonts w:ascii="Arial" w:hAnsi="Arial" w:cs="Arial"/>
                <w:iCs/>
                <w:szCs w:val="22"/>
              </w:rPr>
              <w:t xml:space="preserve">ectively. The immunosuppressive </w:t>
            </w:r>
            <w:r w:rsidRPr="003A45B0">
              <w:rPr>
                <w:rFonts w:ascii="Arial" w:hAnsi="Arial" w:cs="Arial"/>
                <w:iCs/>
                <w:szCs w:val="22"/>
              </w:rPr>
              <w:t>activity of sirolimus metabolite</w:t>
            </w:r>
            <w:r>
              <w:rPr>
                <w:rFonts w:ascii="Arial" w:hAnsi="Arial" w:cs="Arial"/>
                <w:iCs/>
                <w:szCs w:val="22"/>
              </w:rPr>
              <w:t xml:space="preserve">s is thought to be no more than </w:t>
            </w:r>
            <w:r w:rsidRPr="003A45B0">
              <w:rPr>
                <w:rFonts w:ascii="Arial" w:hAnsi="Arial" w:cs="Arial"/>
                <w:iCs/>
                <w:szCs w:val="22"/>
              </w:rPr>
              <w:t>about 1</w:t>
            </w:r>
            <w:r>
              <w:rPr>
                <w:rFonts w:ascii="Arial" w:hAnsi="Arial" w:cs="Arial"/>
                <w:iCs/>
                <w:szCs w:val="22"/>
              </w:rPr>
              <w:t xml:space="preserve">0% relative to the parent drug.  A preliminary study using </w:t>
            </w:r>
            <w:r w:rsidRPr="003A45B0">
              <w:rPr>
                <w:rFonts w:ascii="Arial" w:hAnsi="Arial" w:cs="Arial"/>
                <w:iCs/>
                <w:szCs w:val="22"/>
              </w:rPr>
              <w:t>HPLC/MS/MS suggests that the st</w:t>
            </w:r>
            <w:r>
              <w:rPr>
                <w:rFonts w:ascii="Arial" w:hAnsi="Arial" w:cs="Arial"/>
                <w:iCs/>
                <w:szCs w:val="22"/>
              </w:rPr>
              <w:t xml:space="preserve">eady-state profile of sirolimus </w:t>
            </w:r>
            <w:r w:rsidRPr="003A45B0">
              <w:rPr>
                <w:rFonts w:ascii="Arial" w:hAnsi="Arial" w:cs="Arial"/>
                <w:iCs/>
                <w:szCs w:val="22"/>
              </w:rPr>
              <w:t>metabolites is consistent between patients. For a small number of</w:t>
            </w:r>
          </w:p>
          <w:p w:rsidR="003A45B0" w:rsidRPr="003A45B0" w:rsidRDefault="003A45B0" w:rsidP="003A45B0">
            <w:pPr>
              <w:autoSpaceDE w:val="0"/>
              <w:autoSpaceDN w:val="0"/>
              <w:adjustRightInd w:val="0"/>
              <w:jc w:val="left"/>
              <w:rPr>
                <w:rFonts w:ascii="Arial" w:hAnsi="Arial" w:cs="Arial"/>
                <w:iCs/>
                <w:szCs w:val="22"/>
              </w:rPr>
            </w:pPr>
            <w:proofErr w:type="gramStart"/>
            <w:r w:rsidRPr="003A45B0">
              <w:rPr>
                <w:rFonts w:ascii="Arial" w:hAnsi="Arial" w:cs="Arial"/>
                <w:iCs/>
                <w:szCs w:val="22"/>
              </w:rPr>
              <w:t>patients</w:t>
            </w:r>
            <w:proofErr w:type="gramEnd"/>
            <w:r w:rsidRPr="003A45B0">
              <w:rPr>
                <w:rFonts w:ascii="Arial" w:hAnsi="Arial" w:cs="Arial"/>
                <w:iCs/>
                <w:szCs w:val="22"/>
              </w:rPr>
              <w:t xml:space="preserve"> tested (n=2) the profile </w:t>
            </w:r>
            <w:r>
              <w:rPr>
                <w:rFonts w:ascii="Arial" w:hAnsi="Arial" w:cs="Arial"/>
                <w:iCs/>
                <w:szCs w:val="22"/>
              </w:rPr>
              <w:t>was also shown to be consistent over time.</w:t>
            </w:r>
            <w:r w:rsidRPr="003A45B0">
              <w:rPr>
                <w:rFonts w:ascii="Arial" w:hAnsi="Arial" w:cs="Arial"/>
                <w:iCs/>
                <w:szCs w:val="22"/>
              </w:rPr>
              <w:t xml:space="preserve"> Consistency in metabolite profiles should contribu</w:t>
            </w:r>
            <w:r>
              <w:rPr>
                <w:rFonts w:ascii="Arial" w:hAnsi="Arial" w:cs="Arial"/>
                <w:iCs/>
                <w:szCs w:val="22"/>
              </w:rPr>
              <w:t xml:space="preserve">te </w:t>
            </w:r>
            <w:r w:rsidRPr="003A45B0">
              <w:rPr>
                <w:rFonts w:ascii="Arial" w:hAnsi="Arial" w:cs="Arial"/>
                <w:iCs/>
                <w:szCs w:val="22"/>
              </w:rPr>
              <w:t>to a good correlation between methods that are specific for the</w:t>
            </w:r>
            <w:r>
              <w:rPr>
                <w:rFonts w:ascii="Arial" w:hAnsi="Arial" w:cs="Arial"/>
                <w:iCs/>
                <w:szCs w:val="22"/>
              </w:rPr>
              <w:t xml:space="preserve"> </w:t>
            </w:r>
            <w:r w:rsidRPr="003A45B0">
              <w:rPr>
                <w:rFonts w:ascii="Arial" w:hAnsi="Arial" w:cs="Arial"/>
                <w:iCs/>
                <w:szCs w:val="22"/>
              </w:rPr>
              <w:t>parent drug and</w:t>
            </w:r>
            <w:r>
              <w:t xml:space="preserve"> </w:t>
            </w:r>
            <w:r w:rsidRPr="003A45B0">
              <w:rPr>
                <w:rFonts w:ascii="Arial" w:hAnsi="Arial" w:cs="Arial"/>
                <w:iCs/>
                <w:szCs w:val="22"/>
              </w:rPr>
              <w:t>the methods that detect both parent drug and its</w:t>
            </w:r>
            <w:r>
              <w:rPr>
                <w:rFonts w:ascii="Arial" w:hAnsi="Arial" w:cs="Arial"/>
                <w:iCs/>
                <w:szCs w:val="22"/>
              </w:rPr>
              <w:t xml:space="preserve"> metabolites.</w:t>
            </w:r>
          </w:p>
        </w:tc>
      </w:tr>
      <w:tr w:rsidR="007C3E34" w:rsidRPr="00F116E4">
        <w:trPr>
          <w:cantSplit/>
          <w:trHeight w:val="629"/>
        </w:trPr>
        <w:tc>
          <w:tcPr>
            <w:tcW w:w="1800" w:type="dxa"/>
            <w:tcBorders>
              <w:top w:val="nil"/>
              <w:left w:val="nil"/>
              <w:bottom w:val="nil"/>
              <w:right w:val="nil"/>
            </w:tcBorders>
          </w:tcPr>
          <w:p w:rsidR="007C3E34" w:rsidRPr="00F116E4" w:rsidRDefault="007C3E34" w:rsidP="007C3E34">
            <w:pPr>
              <w:jc w:val="left"/>
              <w:rPr>
                <w:rFonts w:ascii="Arial" w:hAnsi="Arial" w:cs="Arial"/>
                <w:b/>
                <w:bCs/>
                <w:color w:val="0000FF"/>
                <w:sz w:val="20"/>
              </w:rPr>
            </w:pPr>
          </w:p>
          <w:p w:rsidR="007C3E34" w:rsidRPr="00F116E4" w:rsidRDefault="007C3E34" w:rsidP="007C3E34">
            <w:pPr>
              <w:jc w:val="left"/>
              <w:rPr>
                <w:rFonts w:ascii="Arial" w:hAnsi="Arial" w:cs="Arial"/>
                <w:b/>
                <w:bCs/>
                <w:color w:val="0000FF"/>
                <w:sz w:val="20"/>
              </w:rPr>
            </w:pPr>
            <w:r w:rsidRPr="00F116E4">
              <w:rPr>
                <w:rFonts w:ascii="Arial" w:hAnsi="Arial" w:cs="Arial"/>
                <w:b/>
                <w:bCs/>
                <w:color w:val="0000FF"/>
                <w:sz w:val="20"/>
              </w:rPr>
              <w:t>Instrument</w:t>
            </w:r>
          </w:p>
          <w:p w:rsidR="007C3E34" w:rsidRPr="00F116E4" w:rsidRDefault="007C3E34" w:rsidP="007C3E34">
            <w:pPr>
              <w:jc w:val="left"/>
              <w:rPr>
                <w:rFonts w:ascii="Arial" w:hAnsi="Arial" w:cs="Arial"/>
                <w:b/>
                <w:bCs/>
                <w:color w:val="0000FF"/>
                <w:sz w:val="20"/>
              </w:rPr>
            </w:pPr>
          </w:p>
        </w:tc>
        <w:tc>
          <w:tcPr>
            <w:tcW w:w="9360" w:type="dxa"/>
            <w:tcBorders>
              <w:top w:val="single" w:sz="4" w:space="0" w:color="auto"/>
              <w:left w:val="nil"/>
              <w:bottom w:val="single" w:sz="4" w:space="0" w:color="auto"/>
              <w:right w:val="nil"/>
            </w:tcBorders>
          </w:tcPr>
          <w:p w:rsidR="007C3E34" w:rsidRPr="00F116E4" w:rsidRDefault="007C3E34" w:rsidP="007C3E34">
            <w:pPr>
              <w:jc w:val="left"/>
              <w:rPr>
                <w:rFonts w:ascii="Arial" w:hAnsi="Arial" w:cs="Arial"/>
                <w:iCs/>
                <w:sz w:val="20"/>
              </w:rPr>
            </w:pPr>
          </w:p>
          <w:p w:rsidR="007C3E34" w:rsidRPr="00F116E4" w:rsidRDefault="007C3E34" w:rsidP="007C3E34">
            <w:pPr>
              <w:pStyle w:val="Header"/>
              <w:tabs>
                <w:tab w:val="clear" w:pos="4320"/>
                <w:tab w:val="clear" w:pos="8640"/>
              </w:tabs>
              <w:spacing w:line="360" w:lineRule="auto"/>
              <w:rPr>
                <w:rFonts w:ascii="Arial" w:hAnsi="Arial" w:cs="Arial"/>
              </w:rPr>
            </w:pPr>
            <w:r w:rsidRPr="00F116E4">
              <w:rPr>
                <w:rFonts w:ascii="Arial" w:hAnsi="Arial" w:cs="Arial"/>
                <w:b/>
                <w:bCs/>
                <w:color w:val="5F497A"/>
              </w:rPr>
              <w:t>PRIMARY METHOD:</w:t>
            </w:r>
            <w:r w:rsidR="00F116E4">
              <w:rPr>
                <w:rFonts w:ascii="Arial" w:hAnsi="Arial" w:cs="Arial"/>
                <w:b/>
                <w:bCs/>
              </w:rPr>
              <w:t xml:space="preserve"> Abbott A</w:t>
            </w:r>
            <w:r w:rsidR="00F0162E">
              <w:rPr>
                <w:rFonts w:ascii="Arial" w:hAnsi="Arial" w:cs="Arial"/>
                <w:b/>
                <w:bCs/>
              </w:rPr>
              <w:t>linity ci</w:t>
            </w:r>
          </w:p>
          <w:p w:rsidR="007C3E34" w:rsidRPr="00F116E4" w:rsidRDefault="007C3E34" w:rsidP="007C3E34">
            <w:pPr>
              <w:jc w:val="left"/>
              <w:rPr>
                <w:rFonts w:ascii="Arial" w:hAnsi="Arial" w:cs="Arial"/>
                <w:b/>
                <w:bCs/>
                <w:color w:val="76923C"/>
              </w:rPr>
            </w:pPr>
            <w:r w:rsidRPr="00F116E4">
              <w:rPr>
                <w:rFonts w:ascii="Arial" w:hAnsi="Arial" w:cs="Arial"/>
                <w:b/>
                <w:bCs/>
                <w:color w:val="76923C"/>
              </w:rPr>
              <w:t>SECONDARY (BACKUP) METHOD:</w:t>
            </w:r>
            <w:r w:rsidR="00E86557">
              <w:rPr>
                <w:rFonts w:ascii="Arial" w:hAnsi="Arial" w:cs="Arial"/>
                <w:b/>
                <w:bCs/>
                <w:color w:val="76923C"/>
              </w:rPr>
              <w:t xml:space="preserve"> Mayo Medical Laboratories (Sunquest Test Code TACR)</w:t>
            </w:r>
          </w:p>
          <w:p w:rsidR="007C3E34" w:rsidRPr="00F116E4" w:rsidRDefault="007C3E34" w:rsidP="007C3E34">
            <w:pPr>
              <w:jc w:val="left"/>
              <w:rPr>
                <w:rFonts w:ascii="Arial" w:hAnsi="Arial" w:cs="Arial"/>
                <w:iCs/>
                <w:sz w:val="20"/>
              </w:rPr>
            </w:pPr>
          </w:p>
        </w:tc>
      </w:tr>
      <w:tr w:rsidR="007C3E34" w:rsidRPr="00F116E4" w:rsidTr="003A45B0">
        <w:trPr>
          <w:cantSplit/>
          <w:trHeight w:val="863"/>
        </w:trPr>
        <w:tc>
          <w:tcPr>
            <w:tcW w:w="1800" w:type="dxa"/>
            <w:tcBorders>
              <w:top w:val="nil"/>
              <w:left w:val="nil"/>
              <w:bottom w:val="nil"/>
              <w:right w:val="nil"/>
            </w:tcBorders>
          </w:tcPr>
          <w:p w:rsidR="007C3E34" w:rsidRPr="00F116E4" w:rsidRDefault="007C3E34" w:rsidP="007C3E34">
            <w:pPr>
              <w:jc w:val="left"/>
              <w:rPr>
                <w:rFonts w:ascii="Arial" w:hAnsi="Arial" w:cs="Arial"/>
                <w:b/>
                <w:bCs/>
                <w:color w:val="0000FF"/>
                <w:sz w:val="20"/>
              </w:rPr>
            </w:pPr>
          </w:p>
          <w:p w:rsidR="007C3E34" w:rsidRPr="00F116E4" w:rsidRDefault="007C3E34" w:rsidP="007C3E34">
            <w:pPr>
              <w:jc w:val="left"/>
              <w:rPr>
                <w:rFonts w:ascii="Arial" w:hAnsi="Arial" w:cs="Arial"/>
                <w:b/>
                <w:bCs/>
                <w:color w:val="0000FF"/>
                <w:sz w:val="20"/>
              </w:rPr>
            </w:pPr>
            <w:r w:rsidRPr="00F116E4">
              <w:rPr>
                <w:rFonts w:ascii="Arial" w:hAnsi="Arial" w:cs="Arial"/>
                <w:b/>
                <w:bCs/>
                <w:color w:val="0000FF"/>
                <w:sz w:val="20"/>
              </w:rPr>
              <w:t>Sunquest Test Code</w:t>
            </w:r>
          </w:p>
        </w:tc>
        <w:tc>
          <w:tcPr>
            <w:tcW w:w="9360" w:type="dxa"/>
            <w:tcBorders>
              <w:top w:val="single" w:sz="4" w:space="0" w:color="auto"/>
              <w:left w:val="nil"/>
              <w:bottom w:val="single" w:sz="4" w:space="0" w:color="auto"/>
              <w:right w:val="nil"/>
            </w:tcBorders>
            <w:vAlign w:val="center"/>
          </w:tcPr>
          <w:p w:rsidR="007C3E34" w:rsidRPr="003A45B0" w:rsidRDefault="003A45B0" w:rsidP="007C3E34">
            <w:pPr>
              <w:numPr>
                <w:ilvl w:val="0"/>
                <w:numId w:val="34"/>
              </w:numPr>
              <w:jc w:val="left"/>
              <w:rPr>
                <w:rFonts w:ascii="Arial" w:hAnsi="Arial" w:cs="Arial"/>
                <w:iCs/>
                <w:szCs w:val="22"/>
              </w:rPr>
            </w:pPr>
            <w:r w:rsidRPr="003A45B0">
              <w:rPr>
                <w:rFonts w:ascii="Arial" w:hAnsi="Arial" w:cs="Arial"/>
                <w:iCs/>
                <w:szCs w:val="22"/>
              </w:rPr>
              <w:t>SIRC</w:t>
            </w:r>
          </w:p>
        </w:tc>
      </w:tr>
      <w:tr w:rsidR="007C3E34" w:rsidRPr="00F116E4" w:rsidTr="00024D01">
        <w:trPr>
          <w:trHeight w:val="935"/>
        </w:trPr>
        <w:tc>
          <w:tcPr>
            <w:tcW w:w="1800" w:type="dxa"/>
            <w:tcBorders>
              <w:top w:val="nil"/>
              <w:left w:val="nil"/>
              <w:bottom w:val="nil"/>
              <w:right w:val="nil"/>
            </w:tcBorders>
          </w:tcPr>
          <w:p w:rsidR="007C3E34" w:rsidRPr="00F116E4" w:rsidRDefault="007C3E34" w:rsidP="007C3E34">
            <w:pPr>
              <w:jc w:val="left"/>
              <w:rPr>
                <w:rFonts w:ascii="Arial" w:hAnsi="Arial" w:cs="Arial"/>
                <w:b/>
                <w:bCs/>
                <w:color w:val="0000FF"/>
                <w:sz w:val="20"/>
              </w:rPr>
            </w:pPr>
          </w:p>
          <w:p w:rsidR="007C3E34" w:rsidRPr="00F116E4" w:rsidRDefault="007C3E34" w:rsidP="007C3E34">
            <w:pPr>
              <w:jc w:val="left"/>
              <w:rPr>
                <w:rFonts w:ascii="Arial" w:hAnsi="Arial" w:cs="Arial"/>
                <w:b/>
                <w:bCs/>
                <w:color w:val="0000FF"/>
                <w:sz w:val="20"/>
              </w:rPr>
            </w:pPr>
            <w:r w:rsidRPr="00F116E4">
              <w:rPr>
                <w:rFonts w:ascii="Arial" w:hAnsi="Arial" w:cs="Arial"/>
                <w:b/>
                <w:bCs/>
                <w:color w:val="0000FF"/>
                <w:sz w:val="20"/>
              </w:rPr>
              <w:t>Specimen</w:t>
            </w:r>
          </w:p>
        </w:tc>
        <w:tc>
          <w:tcPr>
            <w:tcW w:w="9360" w:type="dxa"/>
            <w:tcBorders>
              <w:top w:val="single" w:sz="4" w:space="0" w:color="auto"/>
              <w:left w:val="nil"/>
              <w:bottom w:val="single" w:sz="4" w:space="0" w:color="auto"/>
              <w:right w:val="nil"/>
            </w:tcBorders>
          </w:tcPr>
          <w:p w:rsidR="007C3E34" w:rsidRPr="00F116E4" w:rsidRDefault="007C3E34" w:rsidP="007C3E34">
            <w:pPr>
              <w:pStyle w:val="Header"/>
              <w:tabs>
                <w:tab w:val="clear" w:pos="4320"/>
                <w:tab w:val="clear" w:pos="8640"/>
              </w:tabs>
              <w:rPr>
                <w:rFonts w:ascii="Arial" w:hAnsi="Arial" w:cs="Arial"/>
              </w:rPr>
            </w:pPr>
            <w:r w:rsidRPr="00F116E4">
              <w:rPr>
                <w:rFonts w:ascii="Arial" w:hAnsi="Arial" w:cs="Arial"/>
                <w:b/>
              </w:rPr>
              <w:t xml:space="preserve">Sample type: </w:t>
            </w:r>
            <w:r w:rsidRPr="00F116E4">
              <w:rPr>
                <w:rFonts w:ascii="Arial" w:hAnsi="Arial" w:cs="Arial"/>
              </w:rPr>
              <w:t>EDTA whole blood</w:t>
            </w:r>
          </w:p>
          <w:p w:rsidR="007C3E34" w:rsidRPr="00F116E4" w:rsidRDefault="007C3E34" w:rsidP="007C3E34">
            <w:pPr>
              <w:rPr>
                <w:rFonts w:ascii="Arial" w:hAnsi="Arial" w:cs="Arial"/>
              </w:rPr>
            </w:pPr>
          </w:p>
          <w:p w:rsidR="007C3E34" w:rsidRPr="00F116E4" w:rsidRDefault="007C3E34" w:rsidP="007C3E34">
            <w:pPr>
              <w:pStyle w:val="Header"/>
              <w:tabs>
                <w:tab w:val="clear" w:pos="4320"/>
                <w:tab w:val="clear" w:pos="8640"/>
              </w:tabs>
              <w:rPr>
                <w:rFonts w:ascii="Arial" w:hAnsi="Arial" w:cs="Arial"/>
              </w:rPr>
            </w:pPr>
            <w:r w:rsidRPr="00F116E4">
              <w:rPr>
                <w:rFonts w:ascii="Arial" w:hAnsi="Arial" w:cs="Arial"/>
                <w:b/>
                <w:bCs/>
              </w:rPr>
              <w:t>Minimum volume:</w:t>
            </w:r>
            <w:r w:rsidR="003A45B0">
              <w:rPr>
                <w:rFonts w:ascii="Arial" w:hAnsi="Arial" w:cs="Arial"/>
              </w:rPr>
              <w:t xml:space="preserve">  30</w:t>
            </w:r>
            <w:r w:rsidRPr="00F116E4">
              <w:rPr>
                <w:rFonts w:ascii="Arial" w:hAnsi="Arial" w:cs="Arial"/>
              </w:rPr>
              <w:t>0</w:t>
            </w:r>
            <w:r w:rsidR="001C0229">
              <w:rPr>
                <w:rFonts w:ascii="Arial" w:hAnsi="Arial" w:cs="Arial"/>
              </w:rPr>
              <w:t xml:space="preserve"> uL</w:t>
            </w:r>
            <w:r w:rsidRPr="00F116E4">
              <w:rPr>
                <w:rFonts w:ascii="Arial" w:hAnsi="Arial" w:cs="Arial"/>
              </w:rPr>
              <w:t xml:space="preserve"> whole blood EDTA</w:t>
            </w:r>
          </w:p>
          <w:p w:rsidR="007C3E34" w:rsidRPr="00F116E4" w:rsidRDefault="007C3E34" w:rsidP="007C3E34">
            <w:pPr>
              <w:rPr>
                <w:rFonts w:ascii="Arial" w:hAnsi="Arial" w:cs="Arial"/>
              </w:rPr>
            </w:pPr>
          </w:p>
          <w:p w:rsidR="007C3E34" w:rsidRPr="00F116E4" w:rsidRDefault="007C3E34" w:rsidP="007C3E34">
            <w:pPr>
              <w:autoSpaceDE w:val="0"/>
              <w:autoSpaceDN w:val="0"/>
              <w:adjustRightInd w:val="0"/>
              <w:rPr>
                <w:rFonts w:ascii="Arial" w:hAnsi="Arial" w:cs="Arial"/>
                <w:b/>
                <w:bCs/>
              </w:rPr>
            </w:pPr>
            <w:r w:rsidRPr="00F116E4">
              <w:rPr>
                <w:rFonts w:ascii="Arial" w:hAnsi="Arial" w:cs="Arial"/>
                <w:b/>
                <w:bCs/>
              </w:rPr>
              <w:t>Stability: 2-8°C for 6 days, -10°C for 6 months</w:t>
            </w:r>
          </w:p>
          <w:p w:rsidR="007C3E34" w:rsidRPr="00F116E4" w:rsidRDefault="007C3E34" w:rsidP="007C3E34">
            <w:pPr>
              <w:pStyle w:val="Header"/>
              <w:tabs>
                <w:tab w:val="clear" w:pos="4320"/>
                <w:tab w:val="clear" w:pos="8640"/>
              </w:tabs>
              <w:rPr>
                <w:rFonts w:ascii="Arial" w:hAnsi="Arial" w:cs="Arial"/>
                <w:szCs w:val="14"/>
              </w:rPr>
            </w:pPr>
          </w:p>
          <w:p w:rsidR="007C3E34" w:rsidRPr="00F116E4" w:rsidRDefault="007C3E34" w:rsidP="007C3E34">
            <w:pPr>
              <w:rPr>
                <w:rFonts w:ascii="Arial" w:hAnsi="Arial" w:cs="Arial"/>
              </w:rPr>
            </w:pPr>
            <w:r w:rsidRPr="00F116E4">
              <w:rPr>
                <w:rFonts w:ascii="Arial" w:hAnsi="Arial" w:cs="Arial"/>
                <w:b/>
                <w:bCs/>
              </w:rPr>
              <w:t>Rejection criteria:</w:t>
            </w:r>
            <w:r w:rsidRPr="00F116E4">
              <w:rPr>
                <w:rFonts w:ascii="Arial" w:hAnsi="Arial" w:cs="Arial"/>
              </w:rPr>
              <w:t xml:space="preserve"> Unlabeled specimens, incorrect sample type, cadaver specimens or any other body fluids, obvious microbial contamination.</w:t>
            </w:r>
          </w:p>
          <w:p w:rsidR="007C3E34" w:rsidRPr="00F116E4" w:rsidRDefault="007C3E34" w:rsidP="007C3E34">
            <w:pPr>
              <w:rPr>
                <w:rFonts w:ascii="Arial" w:hAnsi="Arial" w:cs="Arial"/>
                <w:b/>
                <w:bCs/>
                <w:szCs w:val="20"/>
              </w:rPr>
            </w:pPr>
          </w:p>
          <w:p w:rsidR="007C3E34" w:rsidRPr="00F116E4" w:rsidRDefault="007C3E34" w:rsidP="007C3E34">
            <w:pPr>
              <w:rPr>
                <w:rFonts w:ascii="Arial" w:hAnsi="Arial" w:cs="Arial"/>
                <w:szCs w:val="20"/>
              </w:rPr>
            </w:pPr>
            <w:r w:rsidRPr="00F116E4">
              <w:rPr>
                <w:rFonts w:ascii="Arial" w:hAnsi="Arial" w:cs="Arial"/>
                <w:b/>
                <w:bCs/>
                <w:szCs w:val="20"/>
              </w:rPr>
              <w:t>Preparation:</w:t>
            </w:r>
            <w:r w:rsidRPr="00F116E4">
              <w:rPr>
                <w:rFonts w:ascii="Arial" w:hAnsi="Arial" w:cs="Arial"/>
                <w:szCs w:val="20"/>
              </w:rPr>
              <w:t xml:space="preserve"> </w:t>
            </w:r>
          </w:p>
          <w:p w:rsidR="007C3E34" w:rsidRPr="00F116E4" w:rsidRDefault="007C3E34" w:rsidP="007C3E34">
            <w:pPr>
              <w:autoSpaceDE w:val="0"/>
              <w:autoSpaceDN w:val="0"/>
              <w:adjustRightInd w:val="0"/>
              <w:ind w:left="720"/>
              <w:rPr>
                <w:rFonts w:ascii="Arial" w:hAnsi="Arial" w:cs="Arial"/>
              </w:rPr>
            </w:pPr>
            <w:r w:rsidRPr="00F116E4">
              <w:rPr>
                <w:rFonts w:ascii="Arial" w:hAnsi="Arial" w:cs="Arial"/>
              </w:rPr>
              <w:t>Mix thawed specimens thoroughly by low speed vortexing or by inverting 10 times. Visually inspect the specimens. If layering or stratification is observed, continue mixing until specimens are visibly homogeneous</w:t>
            </w:r>
          </w:p>
          <w:p w:rsidR="007C3E34" w:rsidRPr="00F116E4" w:rsidRDefault="007C3E34" w:rsidP="007C3E34">
            <w:pPr>
              <w:jc w:val="left"/>
              <w:rPr>
                <w:rFonts w:ascii="Arial" w:hAnsi="Arial" w:cs="Arial"/>
                <w:iCs/>
                <w:sz w:val="20"/>
              </w:rPr>
            </w:pPr>
          </w:p>
        </w:tc>
      </w:tr>
      <w:tr w:rsidR="00A11DD5" w:rsidRPr="00F116E4" w:rsidTr="003E58E6">
        <w:trPr>
          <w:cantSplit/>
          <w:trHeight w:val="7010"/>
        </w:trPr>
        <w:tc>
          <w:tcPr>
            <w:tcW w:w="1800" w:type="dxa"/>
            <w:tcBorders>
              <w:top w:val="nil"/>
              <w:left w:val="nil"/>
              <w:bottom w:val="nil"/>
              <w:right w:val="nil"/>
            </w:tcBorders>
          </w:tcPr>
          <w:p w:rsidR="00A11DD5" w:rsidRPr="00F116E4" w:rsidRDefault="00A11DD5" w:rsidP="007C3E34">
            <w:pPr>
              <w:jc w:val="left"/>
              <w:rPr>
                <w:rFonts w:ascii="Arial" w:hAnsi="Arial" w:cs="Arial"/>
                <w:b/>
                <w:bCs/>
                <w:color w:val="0000FF"/>
                <w:sz w:val="20"/>
              </w:rPr>
            </w:pPr>
          </w:p>
          <w:p w:rsidR="00A11DD5" w:rsidRPr="00F116E4" w:rsidRDefault="00A11DD5" w:rsidP="007C3E34">
            <w:pPr>
              <w:jc w:val="left"/>
              <w:rPr>
                <w:rFonts w:ascii="Arial" w:hAnsi="Arial" w:cs="Arial"/>
                <w:b/>
                <w:bCs/>
                <w:color w:val="0000FF"/>
                <w:sz w:val="20"/>
              </w:rPr>
            </w:pPr>
            <w:r w:rsidRPr="00F116E4">
              <w:rPr>
                <w:rFonts w:ascii="Arial" w:hAnsi="Arial" w:cs="Arial"/>
                <w:b/>
                <w:bCs/>
                <w:color w:val="0000FF"/>
                <w:sz w:val="20"/>
              </w:rPr>
              <w:t>Reagents</w:t>
            </w:r>
          </w:p>
        </w:tc>
        <w:tc>
          <w:tcPr>
            <w:tcW w:w="9360" w:type="dxa"/>
            <w:tcBorders>
              <w:left w:val="nil"/>
              <w:bottom w:val="single" w:sz="4" w:space="0" w:color="auto"/>
              <w:right w:val="nil"/>
            </w:tcBorders>
          </w:tcPr>
          <w:tbl>
            <w:tblPr>
              <w:tblW w:w="8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3"/>
              <w:gridCol w:w="1600"/>
              <w:gridCol w:w="3875"/>
              <w:gridCol w:w="19"/>
            </w:tblGrid>
            <w:tr w:rsidR="00A11DD5" w:rsidRPr="00F116E4" w:rsidTr="00BD2F58">
              <w:trPr>
                <w:trHeight w:val="256"/>
              </w:trPr>
              <w:tc>
                <w:tcPr>
                  <w:tcW w:w="2673" w:type="dxa"/>
                </w:tcPr>
                <w:p w:rsidR="00A11DD5" w:rsidRPr="00F116E4" w:rsidRDefault="00A11DD5" w:rsidP="00F116E4">
                  <w:pPr>
                    <w:pStyle w:val="Reagents"/>
                    <w:rPr>
                      <w:rFonts w:ascii="Arial" w:hAnsi="Arial" w:cs="Arial"/>
                      <w:b/>
                      <w:bCs/>
                    </w:rPr>
                  </w:pPr>
                  <w:r w:rsidRPr="00F116E4">
                    <w:rPr>
                      <w:rFonts w:ascii="Arial" w:hAnsi="Arial" w:cs="Arial"/>
                      <w:b/>
                      <w:bCs/>
                      <w:i/>
                      <w:iCs/>
                    </w:rPr>
                    <w:t>Product Description</w:t>
                  </w:r>
                </w:p>
              </w:tc>
              <w:tc>
                <w:tcPr>
                  <w:tcW w:w="1600" w:type="dxa"/>
                </w:tcPr>
                <w:p w:rsidR="00A11DD5" w:rsidRPr="00F116E4" w:rsidRDefault="00A11DD5" w:rsidP="00F116E4">
                  <w:pPr>
                    <w:pStyle w:val="Reagents"/>
                    <w:rPr>
                      <w:rFonts w:ascii="Arial" w:hAnsi="Arial" w:cs="Arial"/>
                      <w:b/>
                      <w:bCs/>
                    </w:rPr>
                  </w:pPr>
                  <w:r w:rsidRPr="00F116E4">
                    <w:rPr>
                      <w:rFonts w:ascii="Arial" w:hAnsi="Arial" w:cs="Arial"/>
                      <w:b/>
                      <w:bCs/>
                      <w:i/>
                      <w:iCs/>
                    </w:rPr>
                    <w:t>Product Code</w:t>
                  </w:r>
                </w:p>
              </w:tc>
              <w:tc>
                <w:tcPr>
                  <w:tcW w:w="3894" w:type="dxa"/>
                  <w:gridSpan w:val="2"/>
                </w:tcPr>
                <w:p w:rsidR="00A11DD5" w:rsidRPr="00F116E4" w:rsidRDefault="00A11DD5" w:rsidP="00F116E4">
                  <w:pPr>
                    <w:pStyle w:val="Reagents"/>
                    <w:rPr>
                      <w:rFonts w:ascii="Arial" w:hAnsi="Arial" w:cs="Arial"/>
                      <w:b/>
                      <w:bCs/>
                    </w:rPr>
                  </w:pPr>
                  <w:r w:rsidRPr="00F116E4">
                    <w:rPr>
                      <w:rFonts w:ascii="Arial" w:hAnsi="Arial" w:cs="Arial"/>
                      <w:b/>
                      <w:bCs/>
                      <w:i/>
                      <w:iCs/>
                    </w:rPr>
                    <w:t>Stability</w:t>
                  </w:r>
                </w:p>
              </w:tc>
            </w:tr>
            <w:tr w:rsidR="00A11DD5" w:rsidRPr="00F116E4" w:rsidTr="00BD2F58">
              <w:trPr>
                <w:gridAfter w:val="1"/>
                <w:wAfter w:w="19" w:type="dxa"/>
                <w:trHeight w:val="1082"/>
              </w:trPr>
              <w:tc>
                <w:tcPr>
                  <w:tcW w:w="2673" w:type="dxa"/>
                </w:tcPr>
                <w:p w:rsidR="00A11DD5" w:rsidRPr="00F116E4" w:rsidRDefault="0074504C" w:rsidP="00F116E4">
                  <w:pPr>
                    <w:autoSpaceDE w:val="0"/>
                    <w:autoSpaceDN w:val="0"/>
                    <w:adjustRightInd w:val="0"/>
                    <w:jc w:val="left"/>
                    <w:rPr>
                      <w:rFonts w:ascii="Arial" w:hAnsi="Arial" w:cs="Arial"/>
                      <w:szCs w:val="20"/>
                    </w:rPr>
                  </w:pPr>
                  <w:r>
                    <w:rPr>
                      <w:rFonts w:ascii="Arial" w:hAnsi="Arial" w:cs="Arial"/>
                      <w:szCs w:val="20"/>
                    </w:rPr>
                    <w:t xml:space="preserve">Alinity I </w:t>
                  </w:r>
                  <w:r w:rsidR="003A45B0">
                    <w:rPr>
                      <w:rFonts w:ascii="Arial" w:hAnsi="Arial" w:cs="Arial"/>
                      <w:szCs w:val="20"/>
                    </w:rPr>
                    <w:t>Sirolimus</w:t>
                  </w:r>
                  <w:r w:rsidR="00A11DD5" w:rsidRPr="00F116E4">
                    <w:rPr>
                      <w:rFonts w:ascii="Arial" w:hAnsi="Arial" w:cs="Arial"/>
                      <w:szCs w:val="20"/>
                    </w:rPr>
                    <w:t xml:space="preserve"> Reagent</w:t>
                  </w:r>
                </w:p>
                <w:p w:rsidR="00A11DD5" w:rsidRPr="00F116E4" w:rsidRDefault="00A11DD5" w:rsidP="00F116E4">
                  <w:pPr>
                    <w:autoSpaceDE w:val="0"/>
                    <w:autoSpaceDN w:val="0"/>
                    <w:adjustRightInd w:val="0"/>
                    <w:jc w:val="left"/>
                    <w:rPr>
                      <w:rFonts w:ascii="Arial" w:hAnsi="Arial" w:cs="Arial"/>
                      <w:szCs w:val="20"/>
                    </w:rPr>
                  </w:pPr>
                </w:p>
              </w:tc>
              <w:tc>
                <w:tcPr>
                  <w:tcW w:w="1600" w:type="dxa"/>
                </w:tcPr>
                <w:p w:rsidR="00A11DD5" w:rsidRPr="00F116E4" w:rsidRDefault="000A5D94" w:rsidP="00F116E4">
                  <w:pPr>
                    <w:pStyle w:val="BodyText"/>
                    <w:tabs>
                      <w:tab w:val="left" w:pos="3240"/>
                    </w:tabs>
                    <w:rPr>
                      <w:rFonts w:ascii="Arial" w:hAnsi="Arial" w:cs="Arial"/>
                      <w:szCs w:val="20"/>
                    </w:rPr>
                  </w:pPr>
                  <w:r>
                    <w:rPr>
                      <w:rFonts w:ascii="Arial" w:hAnsi="Arial" w:cs="Arial"/>
                      <w:szCs w:val="20"/>
                    </w:rPr>
                    <w:t>09P4120</w:t>
                  </w:r>
                </w:p>
              </w:tc>
              <w:tc>
                <w:tcPr>
                  <w:tcW w:w="3875" w:type="dxa"/>
                  <w:vAlign w:val="center"/>
                </w:tcPr>
                <w:p w:rsidR="00A11DD5" w:rsidRPr="00F116E4" w:rsidRDefault="00A11DD5" w:rsidP="00F116E4">
                  <w:pPr>
                    <w:pStyle w:val="Reagents"/>
                    <w:spacing w:after="80"/>
                    <w:rPr>
                      <w:rFonts w:ascii="Arial" w:hAnsi="Arial" w:cs="Arial"/>
                      <w:bCs/>
                    </w:rPr>
                  </w:pPr>
                  <w:r w:rsidRPr="00F116E4">
                    <w:rPr>
                      <w:rFonts w:ascii="Arial" w:hAnsi="Arial" w:cs="Arial"/>
                      <w:b/>
                      <w:bCs/>
                    </w:rPr>
                    <w:t>Store at:</w:t>
                  </w:r>
                  <w:r w:rsidRPr="00F116E4">
                    <w:rPr>
                      <w:rFonts w:ascii="Arial" w:hAnsi="Arial" w:cs="Arial"/>
                      <w:bCs/>
                    </w:rPr>
                    <w:t xml:space="preserve"> 2 – 8 °C</w:t>
                  </w:r>
                </w:p>
                <w:p w:rsidR="00A11DD5" w:rsidRPr="00F116E4" w:rsidRDefault="00A11DD5" w:rsidP="00F116E4">
                  <w:pPr>
                    <w:pStyle w:val="Reagents"/>
                    <w:spacing w:after="80"/>
                    <w:rPr>
                      <w:rFonts w:ascii="Arial" w:hAnsi="Arial" w:cs="Arial"/>
                      <w:bCs/>
                    </w:rPr>
                  </w:pPr>
                  <w:r w:rsidRPr="00F116E4">
                    <w:rPr>
                      <w:rFonts w:ascii="Arial" w:hAnsi="Arial" w:cs="Arial"/>
                      <w:b/>
                      <w:bCs/>
                    </w:rPr>
                    <w:t xml:space="preserve">Unopened/Opened: </w:t>
                  </w:r>
                  <w:r w:rsidRPr="00F116E4">
                    <w:rPr>
                      <w:rFonts w:ascii="Arial" w:hAnsi="Arial" w:cs="Arial"/>
                      <w:bCs/>
                    </w:rPr>
                    <w:t>Manufacturer expiration date.</w:t>
                  </w:r>
                </w:p>
                <w:p w:rsidR="00A11DD5" w:rsidRPr="00F116E4" w:rsidRDefault="00A11DD5" w:rsidP="00F116E4">
                  <w:pPr>
                    <w:autoSpaceDE w:val="0"/>
                    <w:autoSpaceDN w:val="0"/>
                    <w:adjustRightInd w:val="0"/>
                    <w:spacing w:after="80"/>
                    <w:rPr>
                      <w:rFonts w:ascii="Arial" w:hAnsi="Arial" w:cs="Arial"/>
                      <w:szCs w:val="20"/>
                    </w:rPr>
                  </w:pPr>
                  <w:r w:rsidRPr="00F116E4">
                    <w:rPr>
                      <w:rFonts w:ascii="Arial" w:hAnsi="Arial" w:cs="Arial"/>
                      <w:b/>
                      <w:bCs/>
                      <w:szCs w:val="20"/>
                    </w:rPr>
                    <w:t xml:space="preserve">On-board: </w:t>
                  </w:r>
                  <w:r w:rsidRPr="00F116E4">
                    <w:rPr>
                      <w:rFonts w:ascii="Arial" w:hAnsi="Arial" w:cs="Arial"/>
                      <w:szCs w:val="20"/>
                    </w:rPr>
                    <w:t>30 Days</w:t>
                  </w:r>
                </w:p>
              </w:tc>
            </w:tr>
            <w:tr w:rsidR="00A11DD5" w:rsidRPr="00F116E4" w:rsidTr="00BD2F58">
              <w:trPr>
                <w:gridAfter w:val="1"/>
                <w:wAfter w:w="19" w:type="dxa"/>
                <w:trHeight w:val="1597"/>
              </w:trPr>
              <w:tc>
                <w:tcPr>
                  <w:tcW w:w="2673" w:type="dxa"/>
                </w:tcPr>
                <w:p w:rsidR="00A11DD5" w:rsidRPr="00F116E4" w:rsidRDefault="0074504C" w:rsidP="00F116E4">
                  <w:pPr>
                    <w:pStyle w:val="BodyText"/>
                    <w:jc w:val="left"/>
                    <w:rPr>
                      <w:rFonts w:ascii="Arial" w:hAnsi="Arial" w:cs="Arial"/>
                      <w:szCs w:val="20"/>
                    </w:rPr>
                  </w:pPr>
                  <w:r>
                    <w:rPr>
                      <w:rFonts w:ascii="Arial" w:hAnsi="Arial" w:cs="Arial"/>
                      <w:szCs w:val="20"/>
                    </w:rPr>
                    <w:t xml:space="preserve">Alinity I </w:t>
                  </w:r>
                  <w:r w:rsidR="003A45B0">
                    <w:rPr>
                      <w:rFonts w:ascii="Arial" w:hAnsi="Arial" w:cs="Arial"/>
                      <w:szCs w:val="20"/>
                    </w:rPr>
                    <w:t>Sirolimus</w:t>
                  </w:r>
                  <w:r w:rsidR="00A11DD5" w:rsidRPr="00F116E4">
                    <w:rPr>
                      <w:rFonts w:ascii="Arial" w:hAnsi="Arial" w:cs="Arial"/>
                      <w:szCs w:val="20"/>
                    </w:rPr>
                    <w:t xml:space="preserve"> Calibrator</w:t>
                  </w:r>
                </w:p>
              </w:tc>
              <w:tc>
                <w:tcPr>
                  <w:tcW w:w="1600" w:type="dxa"/>
                </w:tcPr>
                <w:p w:rsidR="00A11DD5" w:rsidRPr="00F116E4" w:rsidRDefault="000A5D94" w:rsidP="00F116E4">
                  <w:pPr>
                    <w:pStyle w:val="BodyText"/>
                    <w:rPr>
                      <w:rFonts w:ascii="Arial" w:hAnsi="Arial" w:cs="Arial"/>
                      <w:szCs w:val="20"/>
                    </w:rPr>
                  </w:pPr>
                  <w:r>
                    <w:rPr>
                      <w:rFonts w:ascii="Arial" w:hAnsi="Arial" w:cs="Arial"/>
                      <w:szCs w:val="20"/>
                    </w:rPr>
                    <w:t>09P4101</w:t>
                  </w:r>
                </w:p>
              </w:tc>
              <w:tc>
                <w:tcPr>
                  <w:tcW w:w="3875" w:type="dxa"/>
                  <w:vAlign w:val="center"/>
                </w:tcPr>
                <w:p w:rsidR="00A11DD5" w:rsidRPr="00F116E4" w:rsidRDefault="00A11DD5" w:rsidP="00F116E4">
                  <w:pPr>
                    <w:pStyle w:val="BodyText"/>
                    <w:spacing w:after="80"/>
                    <w:rPr>
                      <w:rFonts w:ascii="Arial" w:hAnsi="Arial" w:cs="Arial"/>
                      <w:bCs w:val="0"/>
                    </w:rPr>
                  </w:pPr>
                  <w:r w:rsidRPr="00F116E4">
                    <w:rPr>
                      <w:rFonts w:ascii="Arial" w:hAnsi="Arial" w:cs="Arial"/>
                      <w:b/>
                      <w:szCs w:val="20"/>
                    </w:rPr>
                    <w:t xml:space="preserve">Store at: </w:t>
                  </w:r>
                  <w:r w:rsidRPr="00F116E4">
                    <w:rPr>
                      <w:rFonts w:ascii="Arial" w:hAnsi="Arial" w:cs="Arial"/>
                      <w:szCs w:val="20"/>
                    </w:rPr>
                    <w:t xml:space="preserve"> 2 – 8 </w:t>
                  </w:r>
                  <w:r w:rsidRPr="00F116E4">
                    <w:rPr>
                      <w:rFonts w:ascii="Arial" w:hAnsi="Arial" w:cs="Arial"/>
                    </w:rPr>
                    <w:t>°C</w:t>
                  </w:r>
                </w:p>
                <w:p w:rsidR="00A11DD5" w:rsidRPr="00F116E4" w:rsidRDefault="00A11DD5" w:rsidP="00F116E4">
                  <w:pPr>
                    <w:pStyle w:val="BodyText"/>
                    <w:spacing w:after="80"/>
                    <w:rPr>
                      <w:rFonts w:ascii="Arial" w:hAnsi="Arial" w:cs="Arial"/>
                      <w:bCs w:val="0"/>
                    </w:rPr>
                  </w:pPr>
                  <w:r w:rsidRPr="00F116E4">
                    <w:rPr>
                      <w:rFonts w:ascii="Arial" w:hAnsi="Arial" w:cs="Arial"/>
                      <w:b/>
                    </w:rPr>
                    <w:t>To Use</w:t>
                  </w:r>
                  <w:r w:rsidRPr="00F116E4">
                    <w:rPr>
                      <w:rFonts w:ascii="Arial" w:hAnsi="Arial" w:cs="Arial"/>
                    </w:rPr>
                    <w:t>: Gently mix</w:t>
                  </w:r>
                  <w:r>
                    <w:rPr>
                      <w:rFonts w:ascii="Arial" w:hAnsi="Arial" w:cs="Arial"/>
                    </w:rPr>
                    <w:t xml:space="preserve"> at least 10 times immediately prior to aliquoting</w:t>
                  </w:r>
                </w:p>
                <w:p w:rsidR="00A11DD5" w:rsidRPr="00F116E4" w:rsidRDefault="00A11DD5" w:rsidP="00F116E4">
                  <w:pPr>
                    <w:pStyle w:val="BodyText"/>
                    <w:spacing w:after="80"/>
                    <w:rPr>
                      <w:rFonts w:ascii="Arial" w:hAnsi="Arial" w:cs="Arial"/>
                      <w:bCs w:val="0"/>
                    </w:rPr>
                  </w:pPr>
                  <w:r w:rsidRPr="00F116E4">
                    <w:rPr>
                      <w:rFonts w:ascii="Arial" w:hAnsi="Arial" w:cs="Arial"/>
                      <w:b/>
                    </w:rPr>
                    <w:t>Unopened</w:t>
                  </w:r>
                  <w:r w:rsidRPr="00F116E4">
                    <w:rPr>
                      <w:rFonts w:ascii="Arial" w:hAnsi="Arial" w:cs="Arial"/>
                    </w:rPr>
                    <w:t>: Manufacturer expiration date.</w:t>
                  </w:r>
                </w:p>
                <w:p w:rsidR="00A11DD5" w:rsidRPr="00F116E4" w:rsidRDefault="00A11DD5" w:rsidP="00F116E4">
                  <w:pPr>
                    <w:pStyle w:val="BodyText"/>
                    <w:spacing w:after="80"/>
                    <w:rPr>
                      <w:rFonts w:ascii="Arial" w:hAnsi="Arial" w:cs="Arial"/>
                      <w:szCs w:val="20"/>
                    </w:rPr>
                  </w:pPr>
                  <w:r w:rsidRPr="00F116E4">
                    <w:rPr>
                      <w:rFonts w:ascii="Arial" w:hAnsi="Arial" w:cs="Arial"/>
                      <w:b/>
                    </w:rPr>
                    <w:t>Opened</w:t>
                  </w:r>
                  <w:r w:rsidRPr="00F116E4">
                    <w:rPr>
                      <w:rFonts w:ascii="Arial" w:hAnsi="Arial" w:cs="Arial"/>
                    </w:rPr>
                    <w:t>: Store at 2 – 8 °C</w:t>
                  </w:r>
                  <w:r>
                    <w:rPr>
                      <w:rFonts w:ascii="Arial" w:hAnsi="Arial" w:cs="Arial"/>
                    </w:rPr>
                    <w:t>, until</w:t>
                  </w:r>
                  <w:r w:rsidRPr="00F116E4">
                    <w:rPr>
                      <w:rFonts w:ascii="Arial" w:hAnsi="Arial" w:cs="Arial"/>
                    </w:rPr>
                    <w:t xml:space="preserve"> manufacturer expiration date</w:t>
                  </w:r>
                </w:p>
              </w:tc>
            </w:tr>
            <w:tr w:rsidR="000A5D94" w:rsidRPr="00F116E4" w:rsidTr="00BD2F58">
              <w:trPr>
                <w:gridAfter w:val="1"/>
                <w:wAfter w:w="19" w:type="dxa"/>
                <w:trHeight w:val="1597"/>
              </w:trPr>
              <w:tc>
                <w:tcPr>
                  <w:tcW w:w="2673" w:type="dxa"/>
                </w:tcPr>
                <w:p w:rsidR="000A5D94" w:rsidRDefault="000A5D94" w:rsidP="00F116E4">
                  <w:pPr>
                    <w:pStyle w:val="BodyText"/>
                    <w:jc w:val="left"/>
                    <w:rPr>
                      <w:rFonts w:ascii="Arial" w:hAnsi="Arial" w:cs="Arial"/>
                      <w:szCs w:val="20"/>
                    </w:rPr>
                  </w:pPr>
                  <w:r>
                    <w:rPr>
                      <w:rFonts w:ascii="Arial" w:hAnsi="Arial" w:cs="Arial"/>
                      <w:szCs w:val="20"/>
                    </w:rPr>
                    <w:t>Alinity i Sirolimus Whole Blood Precipitation Reagent</w:t>
                  </w:r>
                </w:p>
              </w:tc>
              <w:tc>
                <w:tcPr>
                  <w:tcW w:w="1600" w:type="dxa"/>
                </w:tcPr>
                <w:p w:rsidR="000A5D94" w:rsidRPr="000A5D94" w:rsidRDefault="000A5D94" w:rsidP="00F116E4">
                  <w:pPr>
                    <w:pStyle w:val="BodyText"/>
                    <w:rPr>
                      <w:rFonts w:ascii="Arial" w:hAnsi="Arial" w:cs="Arial"/>
                      <w:szCs w:val="20"/>
                    </w:rPr>
                  </w:pPr>
                  <w:r w:rsidRPr="000A5D94">
                    <w:rPr>
                      <w:rFonts w:ascii="Arial" w:hAnsi="Arial" w:cs="Arial"/>
                      <w:szCs w:val="20"/>
                    </w:rPr>
                    <w:t>09P4140</w:t>
                  </w:r>
                </w:p>
              </w:tc>
              <w:tc>
                <w:tcPr>
                  <w:tcW w:w="3875" w:type="dxa"/>
                  <w:vAlign w:val="center"/>
                </w:tcPr>
                <w:p w:rsidR="000A5D94" w:rsidRPr="000A5D94" w:rsidRDefault="000A5D94" w:rsidP="00F116E4">
                  <w:pPr>
                    <w:pStyle w:val="BodyText"/>
                    <w:spacing w:after="80"/>
                    <w:rPr>
                      <w:rFonts w:ascii="Arial" w:hAnsi="Arial" w:cs="Arial"/>
                      <w:szCs w:val="20"/>
                    </w:rPr>
                  </w:pPr>
                  <w:r w:rsidRPr="000A5D94">
                    <w:rPr>
                      <w:rFonts w:ascii="Arial" w:hAnsi="Arial" w:cs="Arial"/>
                      <w:szCs w:val="20"/>
                    </w:rPr>
                    <w:t>Store at Room Temperature.  Stable until expiration date when stored tightly capped.</w:t>
                  </w:r>
                </w:p>
              </w:tc>
            </w:tr>
            <w:tr w:rsidR="000A5D94" w:rsidRPr="00F116E4" w:rsidTr="00BD2F58">
              <w:trPr>
                <w:gridAfter w:val="1"/>
                <w:wAfter w:w="19" w:type="dxa"/>
                <w:trHeight w:val="1597"/>
              </w:trPr>
              <w:tc>
                <w:tcPr>
                  <w:tcW w:w="2673" w:type="dxa"/>
                </w:tcPr>
                <w:p w:rsidR="000A5D94" w:rsidRDefault="000A5D94" w:rsidP="00F116E4">
                  <w:pPr>
                    <w:pStyle w:val="BodyText"/>
                    <w:jc w:val="left"/>
                    <w:rPr>
                      <w:rFonts w:ascii="Arial" w:hAnsi="Arial" w:cs="Arial"/>
                      <w:szCs w:val="20"/>
                    </w:rPr>
                  </w:pPr>
                  <w:r>
                    <w:rPr>
                      <w:rFonts w:ascii="Arial" w:hAnsi="Arial" w:cs="Arial"/>
                      <w:szCs w:val="20"/>
                    </w:rPr>
                    <w:t>Transplant Pretreatment Tubes</w:t>
                  </w:r>
                </w:p>
              </w:tc>
              <w:tc>
                <w:tcPr>
                  <w:tcW w:w="1600" w:type="dxa"/>
                </w:tcPr>
                <w:p w:rsidR="000A5D94" w:rsidRPr="000A5D94" w:rsidRDefault="000A5D94" w:rsidP="00F116E4">
                  <w:pPr>
                    <w:pStyle w:val="BodyText"/>
                    <w:rPr>
                      <w:rFonts w:ascii="Arial" w:hAnsi="Arial" w:cs="Arial"/>
                      <w:szCs w:val="20"/>
                    </w:rPr>
                  </w:pPr>
                  <w:r w:rsidRPr="000A5D94">
                    <w:rPr>
                      <w:rFonts w:ascii="Arial" w:hAnsi="Arial" w:cs="Arial"/>
                      <w:szCs w:val="20"/>
                    </w:rPr>
                    <w:t>01P06</w:t>
                  </w:r>
                </w:p>
              </w:tc>
              <w:tc>
                <w:tcPr>
                  <w:tcW w:w="3875" w:type="dxa"/>
                  <w:vAlign w:val="center"/>
                </w:tcPr>
                <w:p w:rsidR="000A5D94" w:rsidRPr="000A5D94" w:rsidRDefault="000A5D94" w:rsidP="00F116E4">
                  <w:pPr>
                    <w:pStyle w:val="BodyText"/>
                    <w:spacing w:after="80"/>
                    <w:rPr>
                      <w:rFonts w:ascii="Arial" w:hAnsi="Arial" w:cs="Arial"/>
                      <w:szCs w:val="20"/>
                    </w:rPr>
                  </w:pPr>
                  <w:r w:rsidRPr="000A5D94">
                    <w:rPr>
                      <w:rFonts w:ascii="Arial" w:hAnsi="Arial" w:cs="Arial"/>
                      <w:szCs w:val="20"/>
                    </w:rPr>
                    <w:t>Store at Room Temperature.  Stable until package expiration date.  Use one tube per specimen; use only once.</w:t>
                  </w:r>
                </w:p>
              </w:tc>
            </w:tr>
            <w:tr w:rsidR="00A11DD5" w:rsidRPr="00F116E4" w:rsidTr="00BD2F58">
              <w:trPr>
                <w:gridAfter w:val="1"/>
                <w:wAfter w:w="19" w:type="dxa"/>
                <w:trHeight w:val="996"/>
              </w:trPr>
              <w:tc>
                <w:tcPr>
                  <w:tcW w:w="2673" w:type="dxa"/>
                </w:tcPr>
                <w:p w:rsidR="00A11DD5" w:rsidRPr="00F116E4" w:rsidRDefault="00A11DD5" w:rsidP="00F116E4">
                  <w:pPr>
                    <w:pStyle w:val="BodyText"/>
                    <w:jc w:val="left"/>
                    <w:rPr>
                      <w:rFonts w:ascii="Arial" w:hAnsi="Arial" w:cs="Arial"/>
                      <w:szCs w:val="20"/>
                    </w:rPr>
                  </w:pPr>
                  <w:r>
                    <w:rPr>
                      <w:rFonts w:ascii="Arial" w:hAnsi="Arial" w:cs="Arial"/>
                      <w:szCs w:val="20"/>
                    </w:rPr>
                    <w:t>BioRad Whole Blood Immunosuppressant QC</w:t>
                  </w:r>
                </w:p>
              </w:tc>
              <w:tc>
                <w:tcPr>
                  <w:tcW w:w="1600" w:type="dxa"/>
                </w:tcPr>
                <w:p w:rsidR="00A11DD5" w:rsidRPr="00F116E4" w:rsidRDefault="00A11DD5" w:rsidP="00F116E4">
                  <w:pPr>
                    <w:pStyle w:val="BodyText"/>
                    <w:rPr>
                      <w:rFonts w:ascii="Arial" w:eastAsia="HelenPro-Regular" w:hAnsi="Arial" w:cs="Arial"/>
                      <w:szCs w:val="20"/>
                    </w:rPr>
                  </w:pPr>
                  <w:r>
                    <w:rPr>
                      <w:rFonts w:ascii="Arial" w:eastAsia="HelenPro-Regular" w:hAnsi="Arial" w:cs="Arial"/>
                      <w:szCs w:val="20"/>
                    </w:rPr>
                    <w:t>Level 1 - 12000404</w:t>
                  </w:r>
                </w:p>
                <w:p w:rsidR="00A11DD5" w:rsidRPr="00F116E4" w:rsidRDefault="00A11DD5" w:rsidP="00F116E4">
                  <w:pPr>
                    <w:pStyle w:val="BodyText"/>
                    <w:rPr>
                      <w:rFonts w:ascii="Arial" w:eastAsia="HelenPro-Regular" w:hAnsi="Arial" w:cs="Arial"/>
                      <w:szCs w:val="20"/>
                    </w:rPr>
                  </w:pPr>
                  <w:r>
                    <w:rPr>
                      <w:rFonts w:ascii="Arial" w:eastAsia="HelenPro-Regular" w:hAnsi="Arial" w:cs="Arial"/>
                      <w:szCs w:val="20"/>
                    </w:rPr>
                    <w:t>Level 2 - 12000405</w:t>
                  </w:r>
                </w:p>
                <w:p w:rsidR="00A11DD5" w:rsidRPr="00F116E4" w:rsidRDefault="00A11DD5" w:rsidP="00F116E4">
                  <w:pPr>
                    <w:pStyle w:val="BodyText"/>
                    <w:rPr>
                      <w:rFonts w:ascii="Arial" w:eastAsia="HelenPro-Regular" w:hAnsi="Arial" w:cs="Arial"/>
                      <w:szCs w:val="20"/>
                    </w:rPr>
                  </w:pPr>
                  <w:r w:rsidRPr="00F116E4">
                    <w:rPr>
                      <w:rFonts w:ascii="Arial" w:eastAsia="HelenPro-Regular" w:hAnsi="Arial" w:cs="Arial"/>
                      <w:szCs w:val="20"/>
                    </w:rPr>
                    <w:t xml:space="preserve">Level 3 - </w:t>
                  </w:r>
                  <w:r>
                    <w:rPr>
                      <w:rFonts w:ascii="Arial" w:eastAsia="HelenPro-Regular" w:hAnsi="Arial" w:cs="Arial"/>
                      <w:szCs w:val="20"/>
                    </w:rPr>
                    <w:t>12000406</w:t>
                  </w:r>
                </w:p>
              </w:tc>
              <w:tc>
                <w:tcPr>
                  <w:tcW w:w="3875" w:type="dxa"/>
                  <w:vAlign w:val="center"/>
                </w:tcPr>
                <w:p w:rsidR="00A11DD5" w:rsidRPr="00F116E4" w:rsidRDefault="00A11DD5" w:rsidP="00F116E4">
                  <w:pPr>
                    <w:rPr>
                      <w:rFonts w:ascii="Arial" w:hAnsi="Arial" w:cs="Arial"/>
                      <w:szCs w:val="20"/>
                    </w:rPr>
                  </w:pPr>
                  <w:r w:rsidRPr="00F116E4">
                    <w:rPr>
                      <w:rFonts w:ascii="Arial" w:hAnsi="Arial" w:cs="Arial"/>
                      <w:b/>
                      <w:szCs w:val="20"/>
                    </w:rPr>
                    <w:t>Unopened storage:</w:t>
                  </w:r>
                  <w:r w:rsidRPr="00F116E4">
                    <w:rPr>
                      <w:rFonts w:ascii="Arial" w:hAnsi="Arial" w:cs="Arial"/>
                      <w:szCs w:val="20"/>
                    </w:rPr>
                    <w:t xml:space="preserve"> </w:t>
                  </w:r>
                  <w:r>
                    <w:rPr>
                      <w:rFonts w:ascii="Arial" w:hAnsi="Arial" w:cs="Arial"/>
                      <w:szCs w:val="20"/>
                    </w:rPr>
                    <w:t>&lt;-20</w:t>
                  </w:r>
                  <w:r w:rsidRPr="00F116E4">
                    <w:rPr>
                      <w:rStyle w:val="tgc"/>
                      <w:rFonts w:ascii="Arial" w:hAnsi="Arial" w:cs="Arial"/>
                      <w:color w:val="222222"/>
                      <w:szCs w:val="20"/>
                    </w:rPr>
                    <w:t>°C</w:t>
                  </w:r>
                </w:p>
                <w:p w:rsidR="00A11DD5" w:rsidRPr="00F116E4" w:rsidRDefault="00A11DD5" w:rsidP="00F116E4">
                  <w:pPr>
                    <w:rPr>
                      <w:rFonts w:ascii="Arial" w:hAnsi="Arial" w:cs="Arial"/>
                      <w:szCs w:val="20"/>
                    </w:rPr>
                  </w:pPr>
                  <w:r w:rsidRPr="00F116E4">
                    <w:rPr>
                      <w:rFonts w:ascii="Arial" w:hAnsi="Arial" w:cs="Arial"/>
                      <w:b/>
                      <w:szCs w:val="20"/>
                    </w:rPr>
                    <w:t>To Use:</w:t>
                  </w:r>
                  <w:r w:rsidRPr="00F116E4">
                    <w:rPr>
                      <w:rFonts w:ascii="Arial" w:hAnsi="Arial" w:cs="Arial"/>
                      <w:szCs w:val="20"/>
                    </w:rPr>
                    <w:t xml:space="preserve"> </w:t>
                  </w:r>
                  <w:r>
                    <w:rPr>
                      <w:rFonts w:ascii="Arial" w:hAnsi="Arial" w:cs="Arial"/>
                      <w:szCs w:val="20"/>
                    </w:rPr>
                    <w:t>Thaw at room temperature for 30 minute</w:t>
                  </w:r>
                  <w:r w:rsidR="0074504C">
                    <w:rPr>
                      <w:rFonts w:ascii="Arial" w:hAnsi="Arial" w:cs="Arial"/>
                      <w:szCs w:val="20"/>
                    </w:rPr>
                    <w:t>s</w:t>
                  </w:r>
                  <w:r>
                    <w:rPr>
                      <w:rFonts w:ascii="Arial" w:hAnsi="Arial" w:cs="Arial"/>
                      <w:szCs w:val="20"/>
                    </w:rPr>
                    <w:t xml:space="preserve"> prior to use. </w:t>
                  </w:r>
                  <w:r w:rsidR="0074504C">
                    <w:rPr>
                      <w:rFonts w:ascii="Arial" w:hAnsi="Arial" w:cs="Arial"/>
                      <w:szCs w:val="20"/>
                    </w:rPr>
                    <w:t xml:space="preserve"> Invert and swirl gently.</w:t>
                  </w:r>
                  <w:r>
                    <w:rPr>
                      <w:rFonts w:ascii="Arial" w:hAnsi="Arial" w:cs="Arial"/>
                      <w:szCs w:val="20"/>
                    </w:rPr>
                    <w:t xml:space="preserve"> </w:t>
                  </w:r>
                </w:p>
                <w:p w:rsidR="00A11DD5" w:rsidRPr="00F116E4" w:rsidRDefault="00A11DD5" w:rsidP="00F116E4">
                  <w:pPr>
                    <w:rPr>
                      <w:rStyle w:val="tgc"/>
                      <w:rFonts w:ascii="Arial" w:hAnsi="Arial" w:cs="Arial"/>
                      <w:color w:val="222222"/>
                      <w:szCs w:val="20"/>
                    </w:rPr>
                  </w:pPr>
                  <w:r w:rsidRPr="00F116E4">
                    <w:rPr>
                      <w:rFonts w:ascii="Arial" w:hAnsi="Arial" w:cs="Arial"/>
                      <w:b/>
                      <w:szCs w:val="20"/>
                    </w:rPr>
                    <w:t>Once Opened, Store:</w:t>
                  </w:r>
                  <w:r w:rsidRPr="00F116E4">
                    <w:rPr>
                      <w:rFonts w:ascii="Arial" w:hAnsi="Arial" w:cs="Arial"/>
                      <w:szCs w:val="20"/>
                    </w:rPr>
                    <w:t xml:space="preserve"> 2-8</w:t>
                  </w:r>
                  <w:r w:rsidRPr="00F116E4">
                    <w:rPr>
                      <w:rStyle w:val="tgc"/>
                      <w:rFonts w:ascii="Arial" w:hAnsi="Arial" w:cs="Arial"/>
                      <w:color w:val="222222"/>
                      <w:szCs w:val="20"/>
                    </w:rPr>
                    <w:t>°C</w:t>
                  </w:r>
                </w:p>
                <w:p w:rsidR="00A11DD5" w:rsidRPr="00F116E4" w:rsidRDefault="00A11DD5" w:rsidP="00F116E4">
                  <w:pPr>
                    <w:pStyle w:val="BodyText"/>
                    <w:spacing w:after="80"/>
                    <w:rPr>
                      <w:rFonts w:ascii="Arial" w:hAnsi="Arial" w:cs="Arial"/>
                      <w:szCs w:val="20"/>
                    </w:rPr>
                  </w:pPr>
                  <w:r w:rsidRPr="00F116E4">
                    <w:rPr>
                      <w:rStyle w:val="tgc"/>
                      <w:rFonts w:ascii="Arial" w:hAnsi="Arial" w:cs="Arial"/>
                      <w:b/>
                      <w:color w:val="222222"/>
                      <w:szCs w:val="20"/>
                    </w:rPr>
                    <w:t>Stability:</w:t>
                  </w:r>
                  <w:r>
                    <w:rPr>
                      <w:rStyle w:val="tgc"/>
                      <w:rFonts w:ascii="Arial" w:hAnsi="Arial" w:cs="Arial"/>
                      <w:color w:val="222222"/>
                      <w:szCs w:val="20"/>
                    </w:rPr>
                    <w:t xml:space="preserve"> 10 </w:t>
                  </w:r>
                  <w:r w:rsidRPr="00F116E4">
                    <w:rPr>
                      <w:rStyle w:val="tgc"/>
                      <w:rFonts w:ascii="Arial" w:hAnsi="Arial" w:cs="Arial"/>
                      <w:color w:val="222222"/>
                      <w:szCs w:val="20"/>
                    </w:rPr>
                    <w:t>Days</w:t>
                  </w:r>
                </w:p>
              </w:tc>
            </w:tr>
          </w:tbl>
          <w:p w:rsidR="00A11DD5" w:rsidRPr="00F116E4" w:rsidRDefault="00A11DD5" w:rsidP="00F116E4">
            <w:pPr>
              <w:ind w:left="432"/>
              <w:jc w:val="left"/>
              <w:rPr>
                <w:rFonts w:ascii="Arial" w:hAnsi="Arial" w:cs="Arial"/>
                <w:iCs/>
                <w:sz w:val="20"/>
              </w:rPr>
            </w:pPr>
            <w:bookmarkStart w:id="0" w:name="_GoBack"/>
            <w:bookmarkEnd w:id="0"/>
          </w:p>
        </w:tc>
      </w:tr>
      <w:tr w:rsidR="00A11DD5" w:rsidRPr="00F116E4" w:rsidTr="003E58E6">
        <w:trPr>
          <w:cantSplit/>
          <w:trHeight w:val="935"/>
        </w:trPr>
        <w:tc>
          <w:tcPr>
            <w:tcW w:w="1800" w:type="dxa"/>
            <w:tcBorders>
              <w:top w:val="nil"/>
              <w:left w:val="nil"/>
              <w:bottom w:val="nil"/>
            </w:tcBorders>
          </w:tcPr>
          <w:p w:rsidR="00A11DD5" w:rsidRPr="00F116E4" w:rsidRDefault="00A11DD5" w:rsidP="007C3E34">
            <w:pPr>
              <w:jc w:val="left"/>
              <w:rPr>
                <w:rFonts w:ascii="Arial" w:hAnsi="Arial" w:cs="Arial"/>
                <w:b/>
                <w:bCs/>
                <w:color w:val="0000FF"/>
                <w:sz w:val="20"/>
              </w:rPr>
            </w:pPr>
          </w:p>
          <w:p w:rsidR="00A11DD5" w:rsidRPr="00F116E4" w:rsidRDefault="00A11DD5" w:rsidP="007C3E34">
            <w:pPr>
              <w:jc w:val="left"/>
              <w:rPr>
                <w:rFonts w:ascii="Arial" w:hAnsi="Arial" w:cs="Arial"/>
                <w:b/>
                <w:bCs/>
                <w:color w:val="0000FF"/>
                <w:sz w:val="20"/>
              </w:rPr>
            </w:pPr>
            <w:r w:rsidRPr="00F116E4">
              <w:rPr>
                <w:rFonts w:ascii="Arial" w:hAnsi="Arial" w:cs="Arial"/>
                <w:b/>
                <w:bCs/>
                <w:color w:val="0000FF"/>
                <w:sz w:val="20"/>
              </w:rPr>
              <w:t>Calibration and Analytical Measuring Range (AMR)</w:t>
            </w:r>
          </w:p>
        </w:tc>
        <w:tc>
          <w:tcPr>
            <w:tcW w:w="9360" w:type="dxa"/>
            <w:tcBorders>
              <w:bottom w:val="nil"/>
              <w:right w:val="nil"/>
            </w:tcBorders>
          </w:tcPr>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0"/>
              <w:gridCol w:w="5667"/>
              <w:gridCol w:w="501"/>
            </w:tblGrid>
            <w:tr w:rsidR="00A11DD5" w:rsidRPr="00F116E4" w:rsidTr="003E58E6">
              <w:trPr>
                <w:gridAfter w:val="1"/>
                <w:wAfter w:w="501" w:type="dxa"/>
                <w:trHeight w:val="380"/>
              </w:trPr>
              <w:tc>
                <w:tcPr>
                  <w:tcW w:w="2900" w:type="dxa"/>
                  <w:tcBorders>
                    <w:top w:val="single" w:sz="4" w:space="0" w:color="auto"/>
                    <w:left w:val="single" w:sz="4" w:space="0" w:color="auto"/>
                    <w:bottom w:val="single" w:sz="4" w:space="0" w:color="auto"/>
                    <w:right w:val="single" w:sz="4" w:space="0" w:color="auto"/>
                  </w:tcBorders>
                </w:tcPr>
                <w:p w:rsidR="00A11DD5" w:rsidRPr="00F116E4" w:rsidRDefault="00A11DD5" w:rsidP="00B328EF">
                  <w:pPr>
                    <w:pStyle w:val="CalVerTable"/>
                    <w:ind w:left="0" w:firstLine="0"/>
                    <w:rPr>
                      <w:rFonts w:ascii="Arial" w:hAnsi="Arial" w:cs="Arial"/>
                      <w:sz w:val="22"/>
                      <w:szCs w:val="22"/>
                    </w:rPr>
                  </w:pPr>
                  <w:r w:rsidRPr="00F116E4">
                    <w:rPr>
                      <w:rFonts w:ascii="Arial" w:hAnsi="Arial" w:cs="Arial"/>
                      <w:sz w:val="22"/>
                      <w:szCs w:val="22"/>
                    </w:rPr>
                    <w:t>Analytical Measuring Range:</w:t>
                  </w:r>
                </w:p>
              </w:tc>
              <w:tc>
                <w:tcPr>
                  <w:tcW w:w="5667" w:type="dxa"/>
                  <w:tcBorders>
                    <w:top w:val="single" w:sz="4" w:space="0" w:color="auto"/>
                    <w:left w:val="single" w:sz="4" w:space="0" w:color="auto"/>
                    <w:bottom w:val="single" w:sz="4" w:space="0" w:color="auto"/>
                    <w:right w:val="single" w:sz="4" w:space="0" w:color="auto"/>
                  </w:tcBorders>
                  <w:vAlign w:val="center"/>
                </w:tcPr>
                <w:p w:rsidR="00A11DD5" w:rsidRPr="00F116E4" w:rsidRDefault="00A11DD5" w:rsidP="007C3E34">
                  <w:pPr>
                    <w:pStyle w:val="CalVerTable"/>
                    <w:ind w:left="0" w:firstLine="0"/>
                    <w:jc w:val="both"/>
                    <w:rPr>
                      <w:rFonts w:ascii="Arial" w:hAnsi="Arial" w:cs="Arial"/>
                      <w:sz w:val="22"/>
                      <w:szCs w:val="22"/>
                    </w:rPr>
                  </w:pPr>
                  <w:r w:rsidRPr="00F116E4">
                    <w:rPr>
                      <w:rFonts w:ascii="Arial" w:hAnsi="Arial" w:cs="Arial"/>
                      <w:sz w:val="22"/>
                      <w:szCs w:val="22"/>
                    </w:rPr>
                    <w:t>2-30 ng/mL</w:t>
                  </w:r>
                </w:p>
              </w:tc>
            </w:tr>
            <w:tr w:rsidR="00A11DD5" w:rsidRPr="00F116E4" w:rsidTr="003E58E6">
              <w:trPr>
                <w:gridAfter w:val="1"/>
                <w:wAfter w:w="501" w:type="dxa"/>
                <w:trHeight w:val="498"/>
              </w:trPr>
              <w:tc>
                <w:tcPr>
                  <w:tcW w:w="2900" w:type="dxa"/>
                  <w:tcBorders>
                    <w:top w:val="single" w:sz="4" w:space="0" w:color="auto"/>
                  </w:tcBorders>
                </w:tcPr>
                <w:p w:rsidR="00A11DD5" w:rsidRPr="00F116E4" w:rsidRDefault="00A11DD5" w:rsidP="00B328EF">
                  <w:pPr>
                    <w:pStyle w:val="CalVerTable"/>
                    <w:ind w:left="0" w:firstLine="0"/>
                    <w:rPr>
                      <w:rFonts w:ascii="Arial" w:hAnsi="Arial" w:cs="Arial"/>
                      <w:sz w:val="22"/>
                      <w:szCs w:val="22"/>
                    </w:rPr>
                  </w:pPr>
                  <w:r w:rsidRPr="00F116E4">
                    <w:rPr>
                      <w:rFonts w:ascii="Arial" w:hAnsi="Arial" w:cs="Arial"/>
                      <w:sz w:val="22"/>
                      <w:szCs w:val="22"/>
                    </w:rPr>
                    <w:t>Reference Material:</w:t>
                  </w:r>
                </w:p>
              </w:tc>
              <w:tc>
                <w:tcPr>
                  <w:tcW w:w="5667" w:type="dxa"/>
                  <w:tcBorders>
                    <w:top w:val="single" w:sz="4" w:space="0" w:color="auto"/>
                  </w:tcBorders>
                  <w:vAlign w:val="center"/>
                </w:tcPr>
                <w:p w:rsidR="00A11DD5" w:rsidRPr="00F116E4" w:rsidRDefault="0074504C" w:rsidP="007C3E34">
                  <w:pPr>
                    <w:pStyle w:val="CalVerTable"/>
                    <w:ind w:left="0" w:firstLine="0"/>
                    <w:jc w:val="both"/>
                    <w:rPr>
                      <w:rFonts w:ascii="Arial" w:hAnsi="Arial" w:cs="Arial"/>
                      <w:sz w:val="22"/>
                      <w:szCs w:val="22"/>
                    </w:rPr>
                  </w:pPr>
                  <w:r>
                    <w:rPr>
                      <w:rFonts w:ascii="Arial" w:hAnsi="Arial" w:cs="Arial"/>
                      <w:sz w:val="22"/>
                      <w:szCs w:val="22"/>
                    </w:rPr>
                    <w:t>Abbott Alinity I Siro</w:t>
                  </w:r>
                  <w:r w:rsidR="00A11DD5" w:rsidRPr="00F116E4">
                    <w:rPr>
                      <w:rFonts w:ascii="Arial" w:hAnsi="Arial" w:cs="Arial"/>
                      <w:sz w:val="22"/>
                      <w:szCs w:val="22"/>
                    </w:rPr>
                    <w:t>limus Calibrators (1L77-01)</w:t>
                  </w:r>
                </w:p>
              </w:tc>
            </w:tr>
            <w:tr w:rsidR="00A11DD5" w:rsidRPr="00F116E4" w:rsidTr="003E58E6">
              <w:trPr>
                <w:gridAfter w:val="1"/>
                <w:wAfter w:w="501" w:type="dxa"/>
                <w:trHeight w:val="526"/>
              </w:trPr>
              <w:tc>
                <w:tcPr>
                  <w:tcW w:w="2900" w:type="dxa"/>
                </w:tcPr>
                <w:p w:rsidR="00A11DD5" w:rsidRPr="00F116E4" w:rsidRDefault="00A11DD5" w:rsidP="00B328EF">
                  <w:pPr>
                    <w:pStyle w:val="CalVerTable"/>
                    <w:ind w:left="0" w:firstLine="0"/>
                    <w:rPr>
                      <w:rFonts w:ascii="Arial" w:hAnsi="Arial" w:cs="Arial"/>
                      <w:sz w:val="22"/>
                      <w:szCs w:val="22"/>
                    </w:rPr>
                  </w:pPr>
                  <w:r w:rsidRPr="00F116E4">
                    <w:rPr>
                      <w:rFonts w:ascii="Arial" w:hAnsi="Arial" w:cs="Arial"/>
                      <w:sz w:val="22"/>
                      <w:szCs w:val="22"/>
                    </w:rPr>
                    <w:t>Suggested Calibration Levels</w:t>
                  </w:r>
                </w:p>
              </w:tc>
              <w:tc>
                <w:tcPr>
                  <w:tcW w:w="5667" w:type="dxa"/>
                  <w:vAlign w:val="center"/>
                </w:tcPr>
                <w:p w:rsidR="00A11DD5" w:rsidRPr="00F116E4" w:rsidRDefault="00A11DD5" w:rsidP="007C3E34">
                  <w:pPr>
                    <w:pStyle w:val="CalVerTable"/>
                    <w:ind w:left="0" w:firstLine="0"/>
                    <w:jc w:val="both"/>
                    <w:rPr>
                      <w:rFonts w:ascii="Arial" w:hAnsi="Arial" w:cs="Arial"/>
                      <w:sz w:val="22"/>
                      <w:szCs w:val="22"/>
                    </w:rPr>
                  </w:pPr>
                  <w:r w:rsidRPr="00F116E4">
                    <w:rPr>
                      <w:rFonts w:ascii="Arial" w:hAnsi="Arial" w:cs="Arial"/>
                      <w:sz w:val="22"/>
                      <w:szCs w:val="22"/>
                    </w:rPr>
                    <w:t>A – 0.0</w:t>
                  </w:r>
                </w:p>
                <w:p w:rsidR="00A11DD5" w:rsidRPr="00F116E4" w:rsidRDefault="00A11DD5" w:rsidP="007C3E34">
                  <w:pPr>
                    <w:pStyle w:val="CalVerTable"/>
                    <w:ind w:left="0" w:firstLine="0"/>
                    <w:jc w:val="both"/>
                    <w:rPr>
                      <w:rFonts w:ascii="Arial" w:hAnsi="Arial" w:cs="Arial"/>
                      <w:sz w:val="22"/>
                      <w:szCs w:val="22"/>
                    </w:rPr>
                  </w:pPr>
                  <w:r w:rsidRPr="00F116E4">
                    <w:rPr>
                      <w:rFonts w:ascii="Arial" w:hAnsi="Arial" w:cs="Arial"/>
                      <w:sz w:val="22"/>
                      <w:szCs w:val="22"/>
                    </w:rPr>
                    <w:t>B – 3.0</w:t>
                  </w:r>
                </w:p>
                <w:p w:rsidR="00A11DD5" w:rsidRPr="00F116E4" w:rsidRDefault="00A11DD5" w:rsidP="007C3E34">
                  <w:pPr>
                    <w:pStyle w:val="CalVerTable"/>
                    <w:ind w:left="0" w:firstLine="0"/>
                    <w:jc w:val="both"/>
                    <w:rPr>
                      <w:rFonts w:ascii="Arial" w:hAnsi="Arial" w:cs="Arial"/>
                      <w:sz w:val="22"/>
                      <w:szCs w:val="22"/>
                    </w:rPr>
                  </w:pPr>
                  <w:r w:rsidRPr="00F116E4">
                    <w:rPr>
                      <w:rFonts w:ascii="Arial" w:hAnsi="Arial" w:cs="Arial"/>
                      <w:sz w:val="22"/>
                      <w:szCs w:val="22"/>
                    </w:rPr>
                    <w:t>C – 6.0</w:t>
                  </w:r>
                </w:p>
                <w:p w:rsidR="00A11DD5" w:rsidRPr="00F116E4" w:rsidRDefault="00A11DD5" w:rsidP="007C3E34">
                  <w:pPr>
                    <w:pStyle w:val="CalVerTable"/>
                    <w:ind w:left="0" w:firstLine="0"/>
                    <w:jc w:val="both"/>
                    <w:rPr>
                      <w:rFonts w:ascii="Arial" w:hAnsi="Arial" w:cs="Arial"/>
                      <w:sz w:val="22"/>
                      <w:szCs w:val="22"/>
                    </w:rPr>
                  </w:pPr>
                  <w:r w:rsidRPr="00F116E4">
                    <w:rPr>
                      <w:rFonts w:ascii="Arial" w:hAnsi="Arial" w:cs="Arial"/>
                      <w:sz w:val="22"/>
                      <w:szCs w:val="22"/>
                    </w:rPr>
                    <w:t>D – 12.0</w:t>
                  </w:r>
                </w:p>
                <w:p w:rsidR="00A11DD5" w:rsidRPr="00F116E4" w:rsidRDefault="00A11DD5" w:rsidP="007C3E34">
                  <w:pPr>
                    <w:pStyle w:val="CalVerTable"/>
                    <w:ind w:left="0" w:firstLine="0"/>
                    <w:jc w:val="both"/>
                    <w:rPr>
                      <w:rFonts w:ascii="Arial" w:hAnsi="Arial" w:cs="Arial"/>
                      <w:sz w:val="22"/>
                      <w:szCs w:val="22"/>
                    </w:rPr>
                  </w:pPr>
                  <w:r w:rsidRPr="00F116E4">
                    <w:rPr>
                      <w:rFonts w:ascii="Arial" w:hAnsi="Arial" w:cs="Arial"/>
                      <w:sz w:val="22"/>
                      <w:szCs w:val="22"/>
                    </w:rPr>
                    <w:t>E – 20.0</w:t>
                  </w:r>
                </w:p>
                <w:p w:rsidR="00A11DD5" w:rsidRPr="00F116E4" w:rsidRDefault="00A11DD5" w:rsidP="007C3E34">
                  <w:pPr>
                    <w:pStyle w:val="CalVerTable"/>
                    <w:ind w:left="0" w:firstLine="0"/>
                    <w:jc w:val="both"/>
                    <w:rPr>
                      <w:rFonts w:ascii="Arial" w:hAnsi="Arial" w:cs="Arial"/>
                      <w:sz w:val="22"/>
                      <w:szCs w:val="22"/>
                    </w:rPr>
                  </w:pPr>
                  <w:r w:rsidRPr="00F116E4">
                    <w:rPr>
                      <w:rFonts w:ascii="Arial" w:hAnsi="Arial" w:cs="Arial"/>
                      <w:sz w:val="22"/>
                      <w:szCs w:val="22"/>
                    </w:rPr>
                    <w:t>F – 30.0</w:t>
                  </w:r>
                </w:p>
              </w:tc>
            </w:tr>
            <w:tr w:rsidR="00A11DD5" w:rsidRPr="00F116E4" w:rsidTr="003E58E6">
              <w:trPr>
                <w:gridAfter w:val="1"/>
                <w:wAfter w:w="501" w:type="dxa"/>
                <w:trHeight w:val="444"/>
              </w:trPr>
              <w:tc>
                <w:tcPr>
                  <w:tcW w:w="2900" w:type="dxa"/>
                </w:tcPr>
                <w:p w:rsidR="00A11DD5" w:rsidRPr="00F116E4" w:rsidRDefault="00A11DD5" w:rsidP="00B328EF">
                  <w:pPr>
                    <w:jc w:val="left"/>
                    <w:rPr>
                      <w:rFonts w:ascii="Arial" w:hAnsi="Arial" w:cs="Arial"/>
                      <w:szCs w:val="22"/>
                    </w:rPr>
                  </w:pPr>
                  <w:r w:rsidRPr="00F116E4">
                    <w:rPr>
                      <w:rFonts w:ascii="Arial" w:hAnsi="Arial" w:cs="Arial"/>
                      <w:szCs w:val="22"/>
                    </w:rPr>
                    <w:t>Verification Scheme:</w:t>
                  </w:r>
                </w:p>
              </w:tc>
              <w:tc>
                <w:tcPr>
                  <w:tcW w:w="5667" w:type="dxa"/>
                  <w:vAlign w:val="center"/>
                </w:tcPr>
                <w:p w:rsidR="00A11DD5" w:rsidRPr="00F116E4" w:rsidRDefault="00A11DD5" w:rsidP="007C3E34">
                  <w:pPr>
                    <w:pStyle w:val="CalVerTable"/>
                    <w:ind w:left="0" w:firstLine="0"/>
                    <w:jc w:val="both"/>
                    <w:rPr>
                      <w:rFonts w:ascii="Arial" w:hAnsi="Arial" w:cs="Arial"/>
                      <w:sz w:val="22"/>
                      <w:szCs w:val="22"/>
                    </w:rPr>
                  </w:pPr>
                  <w:r w:rsidRPr="00F116E4">
                    <w:rPr>
                      <w:rFonts w:ascii="Arial" w:hAnsi="Arial" w:cs="Arial"/>
                      <w:sz w:val="22"/>
                      <w:szCs w:val="22"/>
                    </w:rPr>
                    <w:t>n=6</w:t>
                  </w:r>
                </w:p>
              </w:tc>
            </w:tr>
            <w:tr w:rsidR="00A11DD5" w:rsidRPr="00F116E4" w:rsidTr="003E58E6">
              <w:trPr>
                <w:gridAfter w:val="1"/>
                <w:wAfter w:w="501" w:type="dxa"/>
                <w:trHeight w:val="1179"/>
              </w:trPr>
              <w:tc>
                <w:tcPr>
                  <w:tcW w:w="2900" w:type="dxa"/>
                </w:tcPr>
                <w:p w:rsidR="00A11DD5" w:rsidRPr="00F116E4" w:rsidRDefault="00A11DD5" w:rsidP="00B328EF">
                  <w:pPr>
                    <w:jc w:val="left"/>
                    <w:rPr>
                      <w:rFonts w:ascii="Arial" w:hAnsi="Arial" w:cs="Arial"/>
                      <w:szCs w:val="22"/>
                    </w:rPr>
                  </w:pPr>
                  <w:r w:rsidRPr="00F116E4">
                    <w:rPr>
                      <w:rFonts w:ascii="Arial" w:hAnsi="Arial" w:cs="Arial"/>
                      <w:szCs w:val="22"/>
                    </w:rPr>
                    <w:t>Verification Frequency:</w:t>
                  </w:r>
                </w:p>
              </w:tc>
              <w:tc>
                <w:tcPr>
                  <w:tcW w:w="5667" w:type="dxa"/>
                  <w:vAlign w:val="center"/>
                </w:tcPr>
                <w:p w:rsidR="00A11DD5" w:rsidRPr="00F116E4" w:rsidRDefault="00A11DD5" w:rsidP="007C3E34">
                  <w:pPr>
                    <w:pStyle w:val="Pa10"/>
                    <w:numPr>
                      <w:ilvl w:val="0"/>
                      <w:numId w:val="36"/>
                    </w:numPr>
                    <w:jc w:val="both"/>
                    <w:rPr>
                      <w:rFonts w:ascii="Arial" w:hAnsi="Arial" w:cs="Arial"/>
                      <w:color w:val="000000"/>
                      <w:sz w:val="22"/>
                      <w:szCs w:val="22"/>
                    </w:rPr>
                  </w:pPr>
                  <w:r w:rsidRPr="00F116E4">
                    <w:rPr>
                      <w:rFonts w:ascii="Arial" w:hAnsi="Arial" w:cs="Arial"/>
                      <w:color w:val="000000"/>
                      <w:sz w:val="22"/>
                      <w:szCs w:val="22"/>
                    </w:rPr>
                    <w:t xml:space="preserve">For each new lot of reagent </w:t>
                  </w:r>
                </w:p>
                <w:p w:rsidR="00A11DD5" w:rsidRPr="00F116E4" w:rsidRDefault="00A11DD5" w:rsidP="007C3E34">
                  <w:pPr>
                    <w:pStyle w:val="Pa10"/>
                    <w:numPr>
                      <w:ilvl w:val="0"/>
                      <w:numId w:val="36"/>
                    </w:numPr>
                    <w:jc w:val="both"/>
                    <w:rPr>
                      <w:rFonts w:ascii="Arial" w:hAnsi="Arial" w:cs="Arial"/>
                      <w:color w:val="000000"/>
                      <w:sz w:val="22"/>
                      <w:szCs w:val="22"/>
                    </w:rPr>
                  </w:pPr>
                  <w:r w:rsidRPr="00F116E4">
                    <w:rPr>
                      <w:rFonts w:ascii="Arial" w:hAnsi="Arial" w:cs="Arial"/>
                      <w:color w:val="000000"/>
                      <w:sz w:val="22"/>
                      <w:szCs w:val="22"/>
                    </w:rPr>
                    <w:t>After major maintenance or service, if indicated by quality control results</w:t>
                  </w:r>
                </w:p>
                <w:p w:rsidR="00A11DD5" w:rsidRPr="00F116E4" w:rsidRDefault="00A11DD5" w:rsidP="007C3E34">
                  <w:pPr>
                    <w:pStyle w:val="Pa10"/>
                    <w:numPr>
                      <w:ilvl w:val="0"/>
                      <w:numId w:val="36"/>
                    </w:numPr>
                    <w:jc w:val="both"/>
                    <w:rPr>
                      <w:rFonts w:ascii="Arial" w:hAnsi="Arial" w:cs="Arial"/>
                      <w:color w:val="000000"/>
                      <w:sz w:val="22"/>
                      <w:szCs w:val="22"/>
                    </w:rPr>
                  </w:pPr>
                  <w:r w:rsidRPr="00F116E4">
                    <w:rPr>
                      <w:rFonts w:ascii="Arial" w:hAnsi="Arial" w:cs="Arial"/>
                      <w:color w:val="000000"/>
                      <w:sz w:val="22"/>
                      <w:szCs w:val="22"/>
                    </w:rPr>
                    <w:t>As indicated in laboratory quality control procedures</w:t>
                  </w:r>
                </w:p>
              </w:tc>
            </w:tr>
            <w:tr w:rsidR="00A11DD5" w:rsidRPr="00F116E4" w:rsidTr="003E58E6">
              <w:trPr>
                <w:gridAfter w:val="1"/>
                <w:wAfter w:w="501" w:type="dxa"/>
                <w:trHeight w:val="998"/>
              </w:trPr>
              <w:tc>
                <w:tcPr>
                  <w:tcW w:w="2900" w:type="dxa"/>
                  <w:tcBorders>
                    <w:bottom w:val="single" w:sz="4" w:space="0" w:color="auto"/>
                  </w:tcBorders>
                </w:tcPr>
                <w:p w:rsidR="00A11DD5" w:rsidRPr="00F116E4" w:rsidRDefault="00A11DD5" w:rsidP="00B328EF">
                  <w:pPr>
                    <w:pStyle w:val="CalVerTable"/>
                    <w:ind w:left="0" w:firstLine="0"/>
                    <w:rPr>
                      <w:rFonts w:ascii="Arial" w:hAnsi="Arial" w:cs="Arial"/>
                      <w:sz w:val="22"/>
                      <w:szCs w:val="22"/>
                    </w:rPr>
                  </w:pPr>
                  <w:r w:rsidRPr="00F116E4">
                    <w:rPr>
                      <w:rFonts w:ascii="Arial" w:hAnsi="Arial" w:cs="Arial"/>
                      <w:sz w:val="22"/>
                      <w:szCs w:val="22"/>
                    </w:rPr>
                    <w:t>Analytical Measuring Range Verification</w:t>
                  </w:r>
                </w:p>
              </w:tc>
              <w:tc>
                <w:tcPr>
                  <w:tcW w:w="5667" w:type="dxa"/>
                  <w:tcBorders>
                    <w:bottom w:val="single" w:sz="4" w:space="0" w:color="auto"/>
                  </w:tcBorders>
                  <w:vAlign w:val="center"/>
                </w:tcPr>
                <w:p w:rsidR="00A11DD5" w:rsidRPr="00F116E4" w:rsidRDefault="00A11DD5" w:rsidP="007C3E34">
                  <w:pPr>
                    <w:rPr>
                      <w:rFonts w:ascii="Arial" w:hAnsi="Arial" w:cs="Arial"/>
                      <w:szCs w:val="22"/>
                    </w:rPr>
                  </w:pPr>
                  <w:r w:rsidRPr="00F116E4">
                    <w:rPr>
                      <w:rFonts w:ascii="Arial" w:hAnsi="Arial" w:cs="Arial"/>
                      <w:szCs w:val="22"/>
                    </w:rPr>
                    <w:t>Verification of AMR is accomplished with each calibration.</w:t>
                  </w:r>
                </w:p>
                <w:p w:rsidR="00A11DD5" w:rsidRPr="00F116E4" w:rsidRDefault="00A11DD5" w:rsidP="007C3E34">
                  <w:pPr>
                    <w:rPr>
                      <w:rFonts w:ascii="Arial" w:hAnsi="Arial" w:cs="Arial"/>
                      <w:szCs w:val="22"/>
                    </w:rPr>
                  </w:pPr>
                  <w:r w:rsidRPr="00F116E4">
                    <w:rPr>
                      <w:rFonts w:ascii="Arial" w:hAnsi="Arial" w:cs="Arial"/>
                      <w:szCs w:val="22"/>
                    </w:rPr>
                    <w:t>Cal Verification and AMR verification are performed at least once every six (6) months.</w:t>
                  </w:r>
                </w:p>
              </w:tc>
            </w:tr>
            <w:tr w:rsidR="00A11DD5" w:rsidRPr="00F116E4" w:rsidTr="003E58E6">
              <w:trPr>
                <w:trHeight w:val="249"/>
              </w:trPr>
              <w:tc>
                <w:tcPr>
                  <w:tcW w:w="9068" w:type="dxa"/>
                  <w:gridSpan w:val="3"/>
                  <w:tcBorders>
                    <w:left w:val="nil"/>
                    <w:bottom w:val="nil"/>
                    <w:right w:val="nil"/>
                  </w:tcBorders>
                </w:tcPr>
                <w:p w:rsidR="00A11DD5" w:rsidRPr="00F116E4" w:rsidRDefault="00A11DD5" w:rsidP="00B328EF">
                  <w:pPr>
                    <w:jc w:val="left"/>
                    <w:rPr>
                      <w:rFonts w:ascii="Arial" w:hAnsi="Arial" w:cs="Arial"/>
                      <w:szCs w:val="20"/>
                    </w:rPr>
                  </w:pPr>
                </w:p>
              </w:tc>
            </w:tr>
          </w:tbl>
          <w:p w:rsidR="00A11DD5" w:rsidRPr="00F116E4" w:rsidRDefault="00A11DD5" w:rsidP="007C3E34">
            <w:pPr>
              <w:jc w:val="left"/>
              <w:rPr>
                <w:rFonts w:ascii="Arial" w:hAnsi="Arial" w:cs="Arial"/>
                <w:iCs/>
                <w:sz w:val="20"/>
              </w:rPr>
            </w:pPr>
          </w:p>
          <w:p w:rsidR="00A11DD5" w:rsidRPr="00F116E4" w:rsidRDefault="00A11DD5" w:rsidP="007C3E34">
            <w:pPr>
              <w:pStyle w:val="TableText"/>
              <w:autoSpaceDE/>
              <w:autoSpaceDN/>
              <w:rPr>
                <w:rFonts w:ascii="Arial" w:hAnsi="Arial" w:cs="Arial"/>
                <w:iCs/>
              </w:rPr>
            </w:pPr>
          </w:p>
        </w:tc>
      </w:tr>
      <w:tr w:rsidR="003E58E6" w:rsidRPr="00F116E4" w:rsidTr="003E58E6">
        <w:trPr>
          <w:trHeight w:val="9080"/>
        </w:trPr>
        <w:tc>
          <w:tcPr>
            <w:tcW w:w="1800" w:type="dxa"/>
            <w:tcBorders>
              <w:top w:val="nil"/>
              <w:left w:val="nil"/>
              <w:bottom w:val="nil"/>
            </w:tcBorders>
          </w:tcPr>
          <w:p w:rsidR="003E58E6" w:rsidRPr="00F116E4" w:rsidRDefault="00071287" w:rsidP="007C3E34">
            <w:pPr>
              <w:jc w:val="left"/>
              <w:rPr>
                <w:rFonts w:ascii="Arial" w:hAnsi="Arial" w:cs="Arial"/>
                <w:b/>
                <w:bCs/>
                <w:color w:val="0000FF"/>
                <w:sz w:val="20"/>
              </w:rPr>
            </w:pPr>
            <w:r>
              <w:rPr>
                <w:rFonts w:ascii="Arial" w:hAnsi="Arial" w:cs="Arial"/>
                <w:b/>
                <w:bCs/>
                <w:color w:val="0000FF"/>
                <w:sz w:val="20"/>
              </w:rPr>
              <w:lastRenderedPageBreak/>
              <w:t xml:space="preserve">Manual </w:t>
            </w:r>
            <w:r w:rsidR="003E58E6">
              <w:rPr>
                <w:rFonts w:ascii="Arial" w:hAnsi="Arial" w:cs="Arial"/>
                <w:b/>
                <w:bCs/>
                <w:color w:val="0000FF"/>
                <w:sz w:val="20"/>
              </w:rPr>
              <w:t>Pre-Treatment Procedure</w:t>
            </w:r>
          </w:p>
        </w:tc>
        <w:tc>
          <w:tcPr>
            <w:tcW w:w="9360" w:type="dxa"/>
            <w:tcBorders>
              <w:bottom w:val="single" w:sz="6" w:space="0" w:color="auto"/>
              <w:right w:val="nil"/>
            </w:tcBorders>
          </w:tcPr>
          <w:p w:rsidR="003E58E6" w:rsidRDefault="003E58E6" w:rsidP="00B328EF">
            <w:pPr>
              <w:autoSpaceDE w:val="0"/>
              <w:autoSpaceDN w:val="0"/>
              <w:adjustRightInd w:val="0"/>
              <w:jc w:val="left"/>
              <w:rPr>
                <w:rFonts w:ascii="Arial" w:eastAsia="HelenPro-Regular" w:hAnsi="Arial" w:cs="Arial"/>
                <w:szCs w:val="20"/>
              </w:rPr>
            </w:pPr>
          </w:p>
          <w:p w:rsidR="003E58E6" w:rsidRDefault="003E58E6" w:rsidP="00B328EF">
            <w:pPr>
              <w:autoSpaceDE w:val="0"/>
              <w:autoSpaceDN w:val="0"/>
              <w:adjustRightInd w:val="0"/>
              <w:jc w:val="left"/>
              <w:rPr>
                <w:rFonts w:ascii="Arial" w:eastAsia="HelenPro-Regular" w:hAnsi="Arial" w:cs="Arial"/>
                <w:szCs w:val="20"/>
              </w:rPr>
            </w:pPr>
          </w:p>
          <w:tbl>
            <w:tblPr>
              <w:tblStyle w:val="TableGrid"/>
              <w:tblW w:w="0" w:type="auto"/>
              <w:tblLayout w:type="fixed"/>
              <w:tblLook w:val="04A0" w:firstRow="1" w:lastRow="0" w:firstColumn="1" w:lastColumn="0" w:noHBand="0" w:noVBand="1"/>
            </w:tblPr>
            <w:tblGrid>
              <w:gridCol w:w="967"/>
              <w:gridCol w:w="8162"/>
            </w:tblGrid>
            <w:tr w:rsidR="003E58E6" w:rsidTr="003E58E6">
              <w:tc>
                <w:tcPr>
                  <w:tcW w:w="967" w:type="dxa"/>
                </w:tcPr>
                <w:p w:rsidR="003E58E6" w:rsidRDefault="003E58E6"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1</w:t>
                  </w:r>
                </w:p>
              </w:tc>
              <w:tc>
                <w:tcPr>
                  <w:tcW w:w="8162" w:type="dxa"/>
                </w:tcPr>
                <w:p w:rsidR="003E58E6" w:rsidRDefault="003E58E6"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Label the appropriate number of bullet tubes (using a foot label for patient samples, and a sharpie for QC/Calibrators).</w:t>
                  </w:r>
                </w:p>
              </w:tc>
            </w:tr>
            <w:tr w:rsidR="003E58E6" w:rsidTr="003E58E6">
              <w:tc>
                <w:tcPr>
                  <w:tcW w:w="967" w:type="dxa"/>
                </w:tcPr>
                <w:p w:rsidR="003E58E6" w:rsidRDefault="003E58E6"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2</w:t>
                  </w:r>
                </w:p>
              </w:tc>
              <w:tc>
                <w:tcPr>
                  <w:tcW w:w="8162" w:type="dxa"/>
                </w:tcPr>
                <w:p w:rsidR="003E58E6" w:rsidRPr="003E58E6" w:rsidRDefault="003E58E6"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 xml:space="preserve">Invert the sample (patient, control and calibrator) 10 times </w:t>
                  </w:r>
                  <w:r>
                    <w:rPr>
                      <w:rFonts w:ascii="Arial" w:eastAsia="HelenPro-Regular" w:hAnsi="Arial" w:cs="Arial"/>
                      <w:b/>
                      <w:szCs w:val="20"/>
                    </w:rPr>
                    <w:t xml:space="preserve">minimum </w:t>
                  </w:r>
                  <w:r>
                    <w:rPr>
                      <w:rFonts w:ascii="Arial" w:eastAsia="HelenPro-Regular" w:hAnsi="Arial" w:cs="Arial"/>
                      <w:szCs w:val="20"/>
                    </w:rPr>
                    <w:t>until sample is well mixed.</w:t>
                  </w:r>
                </w:p>
              </w:tc>
            </w:tr>
            <w:tr w:rsidR="003E58E6" w:rsidTr="003E58E6">
              <w:tc>
                <w:tcPr>
                  <w:tcW w:w="967" w:type="dxa"/>
                </w:tcPr>
                <w:p w:rsidR="003E58E6" w:rsidRDefault="003E58E6"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3</w:t>
                  </w:r>
                </w:p>
              </w:tc>
              <w:tc>
                <w:tcPr>
                  <w:tcW w:w="8162" w:type="dxa"/>
                </w:tcPr>
                <w:p w:rsidR="003E58E6" w:rsidRDefault="00071287"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Pipette exactly 150.</w:t>
                  </w:r>
                  <w:r w:rsidR="003E58E6">
                    <w:rPr>
                      <w:rFonts w:ascii="Arial" w:eastAsia="HelenPro-Regular" w:hAnsi="Arial" w:cs="Arial"/>
                      <w:szCs w:val="20"/>
                    </w:rPr>
                    <w:t>0 µL of sample into a</w:t>
                  </w:r>
                  <w:r>
                    <w:rPr>
                      <w:rFonts w:ascii="Arial" w:eastAsia="HelenPro-Regular" w:hAnsi="Arial" w:cs="Arial"/>
                      <w:szCs w:val="20"/>
                    </w:rPr>
                    <w:t xml:space="preserve">ppropriately labeled bullet tube, using a new tip with each sample.  Do not wipe pipette tip.  Do not over-aspirate.  Do not pre-wet the tip as it may add imprecision to the assay.  </w:t>
                  </w:r>
                </w:p>
              </w:tc>
            </w:tr>
            <w:tr w:rsidR="003E58E6" w:rsidTr="003E58E6">
              <w:tc>
                <w:tcPr>
                  <w:tcW w:w="9129" w:type="dxa"/>
                  <w:gridSpan w:val="2"/>
                </w:tcPr>
                <w:p w:rsidR="003E58E6" w:rsidRPr="003E58E6" w:rsidRDefault="003E58E6" w:rsidP="003E58E6">
                  <w:pPr>
                    <w:autoSpaceDE w:val="0"/>
                    <w:autoSpaceDN w:val="0"/>
                    <w:adjustRightInd w:val="0"/>
                    <w:jc w:val="center"/>
                    <w:rPr>
                      <w:rFonts w:ascii="Arial" w:eastAsia="HelenPro-Regular" w:hAnsi="Arial" w:cs="Arial"/>
                      <w:b/>
                      <w:szCs w:val="20"/>
                    </w:rPr>
                  </w:pPr>
                  <w:r w:rsidRPr="00A1096A">
                    <w:rPr>
                      <w:rFonts w:ascii="Arial" w:eastAsia="HelenPro-Regular" w:hAnsi="Arial" w:cs="Arial"/>
                      <w:b/>
                      <w:szCs w:val="20"/>
                      <w:highlight w:val="yellow"/>
                    </w:rPr>
                    <w:t>Finish pipetting all patient/blood/QC samples before moving on</w:t>
                  </w:r>
                  <w:r w:rsidR="00A1096A">
                    <w:rPr>
                      <w:rFonts w:ascii="Arial" w:eastAsia="HelenPro-Regular" w:hAnsi="Arial" w:cs="Arial"/>
                      <w:b/>
                      <w:szCs w:val="20"/>
                      <w:highlight w:val="yellow"/>
                    </w:rPr>
                    <w:t xml:space="preserve"> </w:t>
                  </w:r>
                  <w:r w:rsidRPr="00A1096A">
                    <w:rPr>
                      <w:rFonts w:ascii="Arial" w:eastAsia="HelenPro-Regular" w:hAnsi="Arial" w:cs="Arial"/>
                      <w:b/>
                      <w:szCs w:val="20"/>
                      <w:highlight w:val="yellow"/>
                    </w:rPr>
                    <w:t>to the next step</w:t>
                  </w:r>
                </w:p>
              </w:tc>
            </w:tr>
            <w:tr w:rsidR="003E58E6" w:rsidTr="003E58E6">
              <w:tc>
                <w:tcPr>
                  <w:tcW w:w="967" w:type="dxa"/>
                </w:tcPr>
                <w:p w:rsidR="003E58E6" w:rsidRDefault="003E58E6"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4</w:t>
                  </w:r>
                </w:p>
              </w:tc>
              <w:tc>
                <w:tcPr>
                  <w:tcW w:w="8162" w:type="dxa"/>
                </w:tcPr>
                <w:p w:rsidR="003E58E6" w:rsidRDefault="00071287"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Add exactly 3</w:t>
                  </w:r>
                  <w:r w:rsidR="003E58E6">
                    <w:rPr>
                      <w:rFonts w:ascii="Arial" w:eastAsia="HelenPro-Regular" w:hAnsi="Arial" w:cs="Arial"/>
                      <w:szCs w:val="20"/>
                    </w:rPr>
                    <w:t>00</w:t>
                  </w:r>
                  <w:r>
                    <w:rPr>
                      <w:rFonts w:ascii="Arial" w:eastAsia="HelenPro-Regular" w:hAnsi="Arial" w:cs="Arial"/>
                      <w:szCs w:val="20"/>
                    </w:rPr>
                    <w:t>.0</w:t>
                  </w:r>
                  <w:r w:rsidR="003E58E6">
                    <w:rPr>
                      <w:rFonts w:ascii="Arial" w:eastAsia="HelenPro-Regular" w:hAnsi="Arial" w:cs="Arial"/>
                      <w:szCs w:val="20"/>
                    </w:rPr>
                    <w:t xml:space="preserve"> µL </w:t>
                  </w:r>
                  <w:r w:rsidR="009F578D">
                    <w:rPr>
                      <w:rFonts w:ascii="Arial" w:eastAsia="HelenPro-Regular" w:hAnsi="Arial" w:cs="Arial"/>
                      <w:szCs w:val="20"/>
                    </w:rPr>
                    <w:t xml:space="preserve">of </w:t>
                  </w:r>
                  <w:r>
                    <w:rPr>
                      <w:rFonts w:ascii="Arial" w:eastAsia="HelenPro-Regular" w:hAnsi="Arial" w:cs="Arial"/>
                      <w:szCs w:val="20"/>
                    </w:rPr>
                    <w:t>Architect Siro</w:t>
                  </w:r>
                  <w:r w:rsidR="00D32F0A">
                    <w:rPr>
                      <w:rFonts w:ascii="Arial" w:eastAsia="HelenPro-Regular" w:hAnsi="Arial" w:cs="Arial"/>
                      <w:szCs w:val="20"/>
                    </w:rPr>
                    <w:t>limus</w:t>
                  </w:r>
                  <w:r w:rsidR="009F578D">
                    <w:rPr>
                      <w:rFonts w:ascii="Arial" w:eastAsia="HelenPro-Regular" w:hAnsi="Arial" w:cs="Arial"/>
                      <w:szCs w:val="20"/>
                    </w:rPr>
                    <w:t xml:space="preserve"> Whole Blood Precipitation Reagent.</w:t>
                  </w:r>
                </w:p>
              </w:tc>
            </w:tr>
            <w:tr w:rsidR="003E58E6" w:rsidTr="003E58E6">
              <w:tc>
                <w:tcPr>
                  <w:tcW w:w="967" w:type="dxa"/>
                </w:tcPr>
                <w:p w:rsidR="003E58E6" w:rsidRDefault="009F578D"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5</w:t>
                  </w:r>
                </w:p>
              </w:tc>
              <w:tc>
                <w:tcPr>
                  <w:tcW w:w="8162" w:type="dxa"/>
                </w:tcPr>
                <w:p w:rsidR="003E58E6" w:rsidRDefault="009F578D"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Cap and vortex immediately for no less than 10 seconds before moving onto the next bullet tube (improper vortexing time will lead to erroneous results).</w:t>
                  </w:r>
                  <w:r w:rsidR="00071287">
                    <w:rPr>
                      <w:rFonts w:ascii="Arial" w:eastAsia="HelenPro-Regular" w:hAnsi="Arial" w:cs="Arial"/>
                      <w:szCs w:val="20"/>
                    </w:rPr>
                    <w:t xml:space="preserve">  Ensure no unmixed portion is left at the bottom of the tube after vortexing.  </w:t>
                  </w:r>
                </w:p>
              </w:tc>
            </w:tr>
            <w:tr w:rsidR="003E58E6" w:rsidTr="003E58E6">
              <w:tc>
                <w:tcPr>
                  <w:tcW w:w="967" w:type="dxa"/>
                </w:tcPr>
                <w:p w:rsidR="003E58E6" w:rsidRDefault="009F578D"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6</w:t>
                  </w:r>
                </w:p>
              </w:tc>
              <w:tc>
                <w:tcPr>
                  <w:tcW w:w="8162" w:type="dxa"/>
                </w:tcPr>
                <w:p w:rsidR="003E58E6" w:rsidRDefault="00071287"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Place in 42 degrees C heat block and immediately</w:t>
                  </w:r>
                  <w:r w:rsidR="009F578D">
                    <w:rPr>
                      <w:rFonts w:ascii="Arial" w:eastAsia="HelenPro-Regular" w:hAnsi="Arial" w:cs="Arial"/>
                      <w:szCs w:val="20"/>
                    </w:rPr>
                    <w:t xml:space="preserve"> move onto the next tube. </w:t>
                  </w:r>
                </w:p>
              </w:tc>
            </w:tr>
            <w:tr w:rsidR="009F578D" w:rsidTr="009F578D">
              <w:tc>
                <w:tcPr>
                  <w:tcW w:w="9129" w:type="dxa"/>
                  <w:gridSpan w:val="2"/>
                </w:tcPr>
                <w:p w:rsidR="009F578D" w:rsidRPr="009F578D" w:rsidRDefault="009F578D" w:rsidP="009F578D">
                  <w:pPr>
                    <w:autoSpaceDE w:val="0"/>
                    <w:autoSpaceDN w:val="0"/>
                    <w:adjustRightInd w:val="0"/>
                    <w:jc w:val="center"/>
                    <w:rPr>
                      <w:rFonts w:ascii="Arial" w:eastAsia="HelenPro-Regular" w:hAnsi="Arial" w:cs="Arial"/>
                      <w:b/>
                      <w:szCs w:val="20"/>
                    </w:rPr>
                  </w:pPr>
                  <w:r w:rsidRPr="00A1096A">
                    <w:rPr>
                      <w:rFonts w:ascii="Arial" w:eastAsia="HelenPro-Regular" w:hAnsi="Arial" w:cs="Arial"/>
                      <w:b/>
                      <w:szCs w:val="20"/>
                      <w:highlight w:val="yellow"/>
                    </w:rPr>
                    <w:t>Repeat steps 4-6 on each tube before moving on</w:t>
                  </w:r>
                  <w:r w:rsidR="00A1096A">
                    <w:rPr>
                      <w:rFonts w:ascii="Arial" w:eastAsia="HelenPro-Regular" w:hAnsi="Arial" w:cs="Arial"/>
                      <w:b/>
                      <w:szCs w:val="20"/>
                      <w:highlight w:val="yellow"/>
                    </w:rPr>
                    <w:t xml:space="preserve"> </w:t>
                  </w:r>
                  <w:r w:rsidRPr="00A1096A">
                    <w:rPr>
                      <w:rFonts w:ascii="Arial" w:eastAsia="HelenPro-Regular" w:hAnsi="Arial" w:cs="Arial"/>
                      <w:b/>
                      <w:szCs w:val="20"/>
                      <w:highlight w:val="yellow"/>
                    </w:rPr>
                    <w:t>to the next step</w:t>
                  </w:r>
                  <w:r w:rsidR="00071287">
                    <w:rPr>
                      <w:rFonts w:ascii="Arial" w:eastAsia="HelenPro-Regular" w:hAnsi="Arial" w:cs="Arial"/>
                      <w:b/>
                      <w:szCs w:val="20"/>
                    </w:rPr>
                    <w:t xml:space="preserve">.  Incubate at 42 degrees C for exactly 10 minutes.  </w:t>
                  </w:r>
                </w:p>
              </w:tc>
            </w:tr>
            <w:tr w:rsidR="003E58E6" w:rsidTr="003E58E6">
              <w:tc>
                <w:tcPr>
                  <w:tcW w:w="967" w:type="dxa"/>
                </w:tcPr>
                <w:p w:rsidR="003E58E6" w:rsidRDefault="009F578D"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7</w:t>
                  </w:r>
                </w:p>
              </w:tc>
              <w:tc>
                <w:tcPr>
                  <w:tcW w:w="8162" w:type="dxa"/>
                </w:tcPr>
                <w:p w:rsidR="009F578D" w:rsidRDefault="00071287"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 xml:space="preserve">After 10 minutes, IMMEDIATELY Centrifuge all samples </w:t>
                  </w:r>
                  <w:r w:rsidR="009F578D">
                    <w:rPr>
                      <w:rFonts w:ascii="Arial" w:eastAsia="HelenPro-Regular" w:hAnsi="Arial" w:cs="Arial"/>
                      <w:szCs w:val="20"/>
                    </w:rPr>
                    <w:t>(controls/calibrators/patients) for 4 minutes at 10,000g.</w:t>
                  </w:r>
                  <w:r>
                    <w:rPr>
                      <w:rFonts w:ascii="Arial" w:eastAsia="HelenPro-Regular" w:hAnsi="Arial" w:cs="Arial"/>
                      <w:szCs w:val="20"/>
                    </w:rPr>
                    <w:t xml:space="preserve">  </w:t>
                  </w:r>
                  <w:r w:rsidR="009F578D">
                    <w:rPr>
                      <w:rFonts w:ascii="Arial" w:eastAsia="HelenPro-Regular" w:hAnsi="Arial" w:cs="Arial"/>
                      <w:szCs w:val="20"/>
                    </w:rPr>
                    <w:t>While tubes are spinning, begin to label each Transplant Pretreatment Tube with a barcoded patient label.</w:t>
                  </w:r>
                  <w:r>
                    <w:rPr>
                      <w:rFonts w:ascii="Arial" w:eastAsia="HelenPro-Regular" w:hAnsi="Arial" w:cs="Arial"/>
                      <w:szCs w:val="20"/>
                    </w:rPr>
                    <w:t xml:space="preserve">  Also, record the temperature of the </w:t>
                  </w:r>
                  <w:proofErr w:type="spellStart"/>
                  <w:r>
                    <w:rPr>
                      <w:rFonts w:ascii="Arial" w:eastAsia="HelenPro-Regular" w:hAnsi="Arial" w:cs="Arial"/>
                      <w:szCs w:val="20"/>
                    </w:rPr>
                    <w:t>heatblock</w:t>
                  </w:r>
                  <w:proofErr w:type="spellEnd"/>
                  <w:r>
                    <w:rPr>
                      <w:rFonts w:ascii="Arial" w:eastAsia="HelenPro-Regular" w:hAnsi="Arial" w:cs="Arial"/>
                      <w:szCs w:val="20"/>
                    </w:rPr>
                    <w:t xml:space="preserve"> on the log if not already recorded.  The block must be 42 degrees +/- 1 degree.</w:t>
                  </w:r>
                </w:p>
              </w:tc>
            </w:tr>
            <w:tr w:rsidR="003E58E6" w:rsidTr="003E58E6">
              <w:tc>
                <w:tcPr>
                  <w:tcW w:w="967" w:type="dxa"/>
                </w:tcPr>
                <w:p w:rsidR="003E58E6" w:rsidRDefault="009F578D"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8</w:t>
                  </w:r>
                </w:p>
              </w:tc>
              <w:tc>
                <w:tcPr>
                  <w:tcW w:w="8162" w:type="dxa"/>
                </w:tcPr>
                <w:p w:rsidR="003E58E6" w:rsidRDefault="009F578D"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 xml:space="preserve">Remove each tube from the centrifuge and confirm the presence of a well formed pellet and clear supernatant.  If this is not present, </w:t>
                  </w:r>
                  <w:r w:rsidR="007256B6">
                    <w:rPr>
                      <w:rFonts w:ascii="Arial" w:eastAsia="HelenPro-Regular" w:hAnsi="Arial" w:cs="Arial"/>
                      <w:szCs w:val="20"/>
                    </w:rPr>
                    <w:t>you must start over from step 1.</w:t>
                  </w:r>
                </w:p>
              </w:tc>
            </w:tr>
            <w:tr w:rsidR="003E58E6" w:rsidTr="003E58E6">
              <w:tc>
                <w:tcPr>
                  <w:tcW w:w="967" w:type="dxa"/>
                </w:tcPr>
                <w:p w:rsidR="003E58E6" w:rsidRDefault="007256B6"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9</w:t>
                  </w:r>
                </w:p>
              </w:tc>
              <w:tc>
                <w:tcPr>
                  <w:tcW w:w="8162" w:type="dxa"/>
                </w:tcPr>
                <w:p w:rsidR="003E58E6" w:rsidRDefault="007256B6"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 xml:space="preserve">Uncap each tube and pour off the supernatant </w:t>
                  </w:r>
                  <w:r w:rsidRPr="00A1096A">
                    <w:rPr>
                      <w:rFonts w:ascii="Arial" w:eastAsia="HelenPro-Regular" w:hAnsi="Arial" w:cs="Arial"/>
                      <w:szCs w:val="20"/>
                      <w:u w:val="single"/>
                    </w:rPr>
                    <w:t>into the appropriately labeled Transplant Pretreatment Tube</w:t>
                  </w:r>
                  <w:r>
                    <w:rPr>
                      <w:rFonts w:ascii="Arial" w:eastAsia="HelenPro-Regular" w:hAnsi="Arial" w:cs="Arial"/>
                      <w:szCs w:val="20"/>
                    </w:rPr>
                    <w:t>.  Be sure not to disturb the pellet.  Replace the pink cap to the Transplant Pretreatment Tube.</w:t>
                  </w:r>
                  <w:r w:rsidR="00A1096A">
                    <w:rPr>
                      <w:rFonts w:ascii="Arial" w:eastAsia="HelenPro-Regular" w:hAnsi="Arial" w:cs="Arial"/>
                      <w:szCs w:val="20"/>
                    </w:rPr>
                    <w:t xml:space="preserve">  You may discard the tube with the pellet into biohazard trash after decanting the supernatant.</w:t>
                  </w:r>
                  <w:r>
                    <w:rPr>
                      <w:rFonts w:ascii="Arial" w:eastAsia="HelenPro-Regular" w:hAnsi="Arial" w:cs="Arial"/>
                      <w:szCs w:val="20"/>
                    </w:rPr>
                    <w:t xml:space="preserve">  </w:t>
                  </w:r>
                </w:p>
              </w:tc>
            </w:tr>
            <w:tr w:rsidR="003E58E6" w:rsidTr="003E58E6">
              <w:tc>
                <w:tcPr>
                  <w:tcW w:w="967" w:type="dxa"/>
                </w:tcPr>
                <w:p w:rsidR="003E58E6" w:rsidRDefault="007256B6"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10</w:t>
                  </w:r>
                </w:p>
              </w:tc>
              <w:tc>
                <w:tcPr>
                  <w:tcW w:w="8162" w:type="dxa"/>
                </w:tcPr>
                <w:p w:rsidR="003E58E6" w:rsidRDefault="007256B6"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Vortex the Transplant Pretreatment Tube for no less than 5</w:t>
                  </w:r>
                  <w:r w:rsidR="00BF392B">
                    <w:rPr>
                      <w:rFonts w:ascii="Arial" w:eastAsia="HelenPro-Regular" w:hAnsi="Arial" w:cs="Arial"/>
                      <w:szCs w:val="20"/>
                    </w:rPr>
                    <w:t xml:space="preserve"> seconds, and up to 10 seconds, then place in an Alinity sample rack.</w:t>
                  </w:r>
                </w:p>
              </w:tc>
            </w:tr>
            <w:tr w:rsidR="007256B6" w:rsidTr="003E58E6">
              <w:tc>
                <w:tcPr>
                  <w:tcW w:w="967" w:type="dxa"/>
                </w:tcPr>
                <w:p w:rsidR="007256B6" w:rsidRDefault="007256B6"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11</w:t>
                  </w:r>
                </w:p>
              </w:tc>
              <w:tc>
                <w:tcPr>
                  <w:tcW w:w="8162" w:type="dxa"/>
                </w:tcPr>
                <w:p w:rsidR="007256B6" w:rsidRDefault="007256B6"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 xml:space="preserve">Place </w:t>
                  </w:r>
                  <w:r w:rsidR="00BF392B">
                    <w:rPr>
                      <w:rFonts w:ascii="Arial" w:eastAsia="HelenPro-Regular" w:hAnsi="Arial" w:cs="Arial"/>
                      <w:szCs w:val="20"/>
                    </w:rPr>
                    <w:t xml:space="preserve">the sample rack </w:t>
                  </w:r>
                  <w:r>
                    <w:rPr>
                      <w:rFonts w:ascii="Arial" w:eastAsia="HelenPro-Regular" w:hAnsi="Arial" w:cs="Arial"/>
                      <w:szCs w:val="20"/>
                    </w:rPr>
                    <w:t>in a Priority lane</w:t>
                  </w:r>
                  <w:r w:rsidR="00D32F0A">
                    <w:rPr>
                      <w:rFonts w:ascii="Arial" w:eastAsia="HelenPro-Regular" w:hAnsi="Arial" w:cs="Arial"/>
                      <w:szCs w:val="20"/>
                    </w:rPr>
                    <w:t xml:space="preserve"> (section with a blue light)</w:t>
                  </w:r>
                  <w:r w:rsidR="00BF392B">
                    <w:rPr>
                      <w:rFonts w:ascii="Arial" w:eastAsia="HelenPro-Regular" w:hAnsi="Arial" w:cs="Arial"/>
                      <w:szCs w:val="20"/>
                    </w:rPr>
                    <w:t xml:space="preserve"> on the Alinity ci.</w:t>
                  </w:r>
                </w:p>
              </w:tc>
            </w:tr>
          </w:tbl>
          <w:p w:rsidR="003E58E6" w:rsidRPr="007256B6" w:rsidRDefault="003E58E6" w:rsidP="00B328EF">
            <w:pPr>
              <w:autoSpaceDE w:val="0"/>
              <w:autoSpaceDN w:val="0"/>
              <w:adjustRightInd w:val="0"/>
              <w:jc w:val="left"/>
              <w:rPr>
                <w:rFonts w:ascii="Arial" w:eastAsia="HelenPro-Regular" w:hAnsi="Arial" w:cs="Arial"/>
                <w:szCs w:val="22"/>
              </w:rPr>
            </w:pPr>
          </w:p>
          <w:p w:rsidR="007256B6" w:rsidRPr="007256B6" w:rsidRDefault="007256B6" w:rsidP="007256B6">
            <w:pPr>
              <w:autoSpaceDE w:val="0"/>
              <w:autoSpaceDN w:val="0"/>
              <w:adjustRightInd w:val="0"/>
              <w:jc w:val="center"/>
              <w:rPr>
                <w:rFonts w:ascii="Arial" w:eastAsia="HelenPro-Regular" w:hAnsi="Arial" w:cs="Arial"/>
                <w:b/>
                <w:szCs w:val="22"/>
              </w:rPr>
            </w:pPr>
            <w:r w:rsidRPr="005853E5">
              <w:rPr>
                <w:rFonts w:ascii="Arial" w:eastAsia="HelenPro-Regular" w:hAnsi="Arial" w:cs="Arial"/>
                <w:b/>
                <w:szCs w:val="22"/>
                <w:highlight w:val="yellow"/>
              </w:rPr>
              <w:t>Important Notes Regarding Pretreatment Procedure</w:t>
            </w:r>
          </w:p>
          <w:p w:rsidR="007256B6" w:rsidRPr="007256B6" w:rsidRDefault="007256B6" w:rsidP="007256B6">
            <w:pPr>
              <w:pStyle w:val="ListParagraph"/>
              <w:numPr>
                <w:ilvl w:val="0"/>
                <w:numId w:val="49"/>
              </w:numPr>
              <w:autoSpaceDE w:val="0"/>
              <w:autoSpaceDN w:val="0"/>
              <w:adjustRightInd w:val="0"/>
              <w:rPr>
                <w:rFonts w:eastAsia="HelenPro-Regular" w:cs="Arial"/>
                <w:sz w:val="22"/>
                <w:szCs w:val="22"/>
              </w:rPr>
            </w:pPr>
            <w:r w:rsidRPr="007256B6">
              <w:rPr>
                <w:rFonts w:eastAsia="HelenPro-Regular" w:cs="Arial"/>
                <w:sz w:val="22"/>
                <w:szCs w:val="22"/>
              </w:rPr>
              <w:t xml:space="preserve">All Pretreated samples (patients/controls/calibrators) must be tested within </w:t>
            </w:r>
            <w:r w:rsidRPr="007256B6">
              <w:rPr>
                <w:rFonts w:eastAsia="HelenPro-Regular" w:cs="Arial"/>
                <w:b/>
                <w:sz w:val="22"/>
                <w:szCs w:val="22"/>
              </w:rPr>
              <w:t>30 minutes</w:t>
            </w:r>
            <w:r w:rsidR="00A1096A">
              <w:rPr>
                <w:rFonts w:eastAsia="HelenPro-Regular" w:cs="Arial"/>
                <w:b/>
                <w:sz w:val="22"/>
                <w:szCs w:val="22"/>
              </w:rPr>
              <w:t xml:space="preserve"> </w:t>
            </w:r>
            <w:r w:rsidRPr="007256B6">
              <w:rPr>
                <w:rFonts w:eastAsia="HelenPro-Regular" w:cs="Arial"/>
                <w:sz w:val="22"/>
                <w:szCs w:val="22"/>
              </w:rPr>
              <w:t>of being decanted into the Transplant Pretreatment Tubes and p</w:t>
            </w:r>
            <w:r w:rsidR="00BF392B">
              <w:rPr>
                <w:rFonts w:eastAsia="HelenPro-Regular" w:cs="Arial"/>
                <w:sz w:val="22"/>
                <w:szCs w:val="22"/>
              </w:rPr>
              <w:t>laced onto the Alinity ci</w:t>
            </w:r>
            <w:r w:rsidRPr="007256B6">
              <w:rPr>
                <w:rFonts w:eastAsia="HelenPro-Regular" w:cs="Arial"/>
                <w:sz w:val="22"/>
                <w:szCs w:val="22"/>
              </w:rPr>
              <w:t>.</w:t>
            </w:r>
            <w:r w:rsidR="00DD3005">
              <w:rPr>
                <w:rFonts w:eastAsia="HelenPro-Regular" w:cs="Arial"/>
                <w:sz w:val="22"/>
                <w:szCs w:val="22"/>
              </w:rPr>
              <w:t xml:space="preserve">  Controls must be tested with each run.</w:t>
            </w:r>
          </w:p>
          <w:p w:rsidR="007256B6" w:rsidRPr="00A1096A" w:rsidRDefault="007256B6" w:rsidP="007256B6">
            <w:pPr>
              <w:pStyle w:val="ListParagraph"/>
              <w:numPr>
                <w:ilvl w:val="0"/>
                <w:numId w:val="49"/>
              </w:numPr>
              <w:autoSpaceDE w:val="0"/>
              <w:autoSpaceDN w:val="0"/>
              <w:adjustRightInd w:val="0"/>
              <w:rPr>
                <w:rFonts w:eastAsia="HelenPro-Regular" w:cs="Arial"/>
                <w:szCs w:val="20"/>
              </w:rPr>
            </w:pPr>
            <w:r w:rsidRPr="007256B6">
              <w:rPr>
                <w:rFonts w:eastAsia="HelenPro-Regular" w:cs="Arial"/>
                <w:sz w:val="22"/>
                <w:szCs w:val="22"/>
              </w:rPr>
              <w:t xml:space="preserve">All </w:t>
            </w:r>
            <w:r w:rsidR="00BF392B">
              <w:rPr>
                <w:rFonts w:eastAsia="HelenPro-Regular" w:cs="Arial"/>
                <w:sz w:val="22"/>
                <w:szCs w:val="22"/>
              </w:rPr>
              <w:t>Siro</w:t>
            </w:r>
            <w:r w:rsidRPr="007256B6">
              <w:rPr>
                <w:rFonts w:eastAsia="HelenPro-Regular" w:cs="Arial"/>
                <w:sz w:val="22"/>
                <w:szCs w:val="22"/>
              </w:rPr>
              <w:t>limus samples must be priority loaded onto the analyzer</w:t>
            </w:r>
            <w:r w:rsidR="00A1096A">
              <w:rPr>
                <w:rFonts w:eastAsia="HelenPro-Regular" w:cs="Arial"/>
                <w:sz w:val="22"/>
                <w:szCs w:val="22"/>
              </w:rPr>
              <w:t xml:space="preserve"> (blue light at carrier position.)</w:t>
            </w:r>
          </w:p>
          <w:p w:rsidR="00A1096A" w:rsidRPr="00BF392B" w:rsidRDefault="00A1096A" w:rsidP="007256B6">
            <w:pPr>
              <w:pStyle w:val="ListParagraph"/>
              <w:numPr>
                <w:ilvl w:val="0"/>
                <w:numId w:val="49"/>
              </w:numPr>
              <w:autoSpaceDE w:val="0"/>
              <w:autoSpaceDN w:val="0"/>
              <w:adjustRightInd w:val="0"/>
              <w:rPr>
                <w:rFonts w:eastAsia="HelenPro-Regular" w:cs="Arial"/>
                <w:szCs w:val="20"/>
              </w:rPr>
            </w:pPr>
            <w:r>
              <w:rPr>
                <w:rFonts w:eastAsia="HelenPro-Regular" w:cs="Arial"/>
                <w:sz w:val="22"/>
                <w:szCs w:val="22"/>
              </w:rPr>
              <w:t>If for any reason a specimen fails to sample on the analyzer, the entire process must be repeated at the next available run time from step 1</w:t>
            </w:r>
            <w:r w:rsidR="00DD3005">
              <w:rPr>
                <w:rFonts w:eastAsia="HelenPro-Regular" w:cs="Arial"/>
                <w:sz w:val="22"/>
                <w:szCs w:val="22"/>
              </w:rPr>
              <w:t>, including QC.</w:t>
            </w:r>
          </w:p>
          <w:p w:rsidR="00BF392B" w:rsidRPr="007256B6" w:rsidRDefault="00BF392B" w:rsidP="007256B6">
            <w:pPr>
              <w:pStyle w:val="ListParagraph"/>
              <w:numPr>
                <w:ilvl w:val="0"/>
                <w:numId w:val="49"/>
              </w:numPr>
              <w:autoSpaceDE w:val="0"/>
              <w:autoSpaceDN w:val="0"/>
              <w:adjustRightInd w:val="0"/>
              <w:rPr>
                <w:rFonts w:eastAsia="HelenPro-Regular" w:cs="Arial"/>
                <w:szCs w:val="20"/>
              </w:rPr>
            </w:pPr>
          </w:p>
        </w:tc>
      </w:tr>
      <w:tr w:rsidR="003E58E6" w:rsidRPr="00F116E4" w:rsidTr="003E58E6">
        <w:tc>
          <w:tcPr>
            <w:tcW w:w="1800" w:type="dxa"/>
            <w:tcBorders>
              <w:top w:val="nil"/>
              <w:left w:val="nil"/>
              <w:bottom w:val="nil"/>
            </w:tcBorders>
          </w:tcPr>
          <w:p w:rsidR="003E58E6" w:rsidRPr="00F116E4" w:rsidRDefault="003E58E6" w:rsidP="007C3E34">
            <w:pPr>
              <w:jc w:val="left"/>
              <w:rPr>
                <w:rFonts w:ascii="Arial" w:hAnsi="Arial" w:cs="Arial"/>
                <w:b/>
                <w:bCs/>
                <w:color w:val="0000FF"/>
                <w:sz w:val="20"/>
              </w:rPr>
            </w:pPr>
            <w:r w:rsidRPr="00F116E4">
              <w:rPr>
                <w:rFonts w:ascii="Arial" w:hAnsi="Arial" w:cs="Arial"/>
                <w:b/>
                <w:bCs/>
                <w:color w:val="0000FF"/>
                <w:sz w:val="20"/>
              </w:rPr>
              <w:t>Risk and Safety</w:t>
            </w:r>
          </w:p>
        </w:tc>
        <w:tc>
          <w:tcPr>
            <w:tcW w:w="9360" w:type="dxa"/>
            <w:tcBorders>
              <w:bottom w:val="single" w:sz="6" w:space="0" w:color="auto"/>
              <w:right w:val="nil"/>
            </w:tcBorders>
          </w:tcPr>
          <w:p w:rsidR="003E58E6" w:rsidRPr="00F116E4" w:rsidRDefault="00BF392B" w:rsidP="00B328EF">
            <w:pPr>
              <w:autoSpaceDE w:val="0"/>
              <w:autoSpaceDN w:val="0"/>
              <w:adjustRightInd w:val="0"/>
              <w:jc w:val="left"/>
              <w:rPr>
                <w:rFonts w:ascii="Arial" w:eastAsia="HelenPro-Regular" w:hAnsi="Arial" w:cs="Arial"/>
                <w:szCs w:val="20"/>
              </w:rPr>
            </w:pPr>
            <w:r>
              <w:rPr>
                <w:rFonts w:ascii="Arial" w:eastAsia="HelenPro-Regular" w:hAnsi="Arial" w:cs="Arial"/>
                <w:szCs w:val="20"/>
              </w:rPr>
              <w:t>Sir</w:t>
            </w:r>
            <w:r w:rsidR="003E58E6" w:rsidRPr="00F116E4">
              <w:rPr>
                <w:rFonts w:ascii="Arial" w:eastAsia="HelenPro-Regular" w:hAnsi="Arial" w:cs="Arial"/>
                <w:szCs w:val="20"/>
              </w:rPr>
              <w:t xml:space="preserve">olimus Precipitation Reagent contains methanol, zinc sulfate and ethylene glycol.  Dispose of in the properly labeled methanol satellite container.  </w:t>
            </w:r>
          </w:p>
          <w:p w:rsidR="003E58E6" w:rsidRPr="00F116E4" w:rsidRDefault="003E58E6" w:rsidP="007C3E34">
            <w:pPr>
              <w:jc w:val="left"/>
              <w:rPr>
                <w:rFonts w:ascii="Arial" w:hAnsi="Arial" w:cs="Arial"/>
                <w:iCs/>
                <w:sz w:val="20"/>
              </w:rPr>
            </w:pPr>
          </w:p>
        </w:tc>
      </w:tr>
      <w:tr w:rsidR="003E58E6" w:rsidRPr="00F116E4" w:rsidTr="003E58E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tcBorders>
          </w:tcPr>
          <w:p w:rsidR="003E58E6" w:rsidRPr="00F116E4" w:rsidRDefault="003E58E6" w:rsidP="007C3E34">
            <w:pPr>
              <w:jc w:val="left"/>
              <w:rPr>
                <w:rFonts w:ascii="Arial" w:hAnsi="Arial" w:cs="Arial"/>
                <w:b/>
                <w:bCs/>
                <w:color w:val="0000FF"/>
                <w:sz w:val="20"/>
              </w:rPr>
            </w:pPr>
          </w:p>
          <w:p w:rsidR="003E58E6" w:rsidRPr="00F116E4" w:rsidRDefault="003E58E6" w:rsidP="007C3E34">
            <w:pPr>
              <w:jc w:val="left"/>
              <w:rPr>
                <w:rFonts w:ascii="Arial" w:hAnsi="Arial" w:cs="Arial"/>
                <w:b/>
                <w:bCs/>
                <w:color w:val="0000FF"/>
                <w:sz w:val="20"/>
              </w:rPr>
            </w:pPr>
            <w:r w:rsidRPr="00F116E4">
              <w:rPr>
                <w:rFonts w:ascii="Arial" w:hAnsi="Arial" w:cs="Arial"/>
                <w:b/>
                <w:bCs/>
                <w:color w:val="0000FF"/>
                <w:sz w:val="20"/>
              </w:rPr>
              <w:t>Quality Control</w:t>
            </w:r>
          </w:p>
        </w:tc>
        <w:tc>
          <w:tcPr>
            <w:tcW w:w="9360" w:type="dxa"/>
            <w:tcBorders>
              <w:bottom w:val="single" w:sz="6" w:space="0" w:color="auto"/>
              <w:right w:val="nil"/>
            </w:tcBorders>
          </w:tcPr>
          <w:p w:rsidR="003E58E6" w:rsidRPr="00F116E4" w:rsidRDefault="003E58E6" w:rsidP="00B328EF">
            <w:pPr>
              <w:rPr>
                <w:rFonts w:ascii="Arial" w:hAnsi="Arial" w:cs="Arial"/>
                <w:b/>
                <w:bCs/>
                <w:color w:val="5F497A"/>
                <w:szCs w:val="22"/>
              </w:rPr>
            </w:pPr>
            <w:r w:rsidRPr="00F116E4">
              <w:rPr>
                <w:rFonts w:ascii="Arial" w:hAnsi="Arial" w:cs="Arial"/>
                <w:color w:val="000000"/>
                <w:szCs w:val="22"/>
              </w:rPr>
              <w:t>BioRad Liquichek Whole Blood Immunosuppres</w:t>
            </w:r>
            <w:r w:rsidR="00D32F0A">
              <w:rPr>
                <w:rFonts w:ascii="Arial" w:hAnsi="Arial" w:cs="Arial"/>
                <w:color w:val="000000"/>
                <w:szCs w:val="22"/>
              </w:rPr>
              <w:t>s</w:t>
            </w:r>
            <w:r w:rsidRPr="00F116E4">
              <w:rPr>
                <w:rFonts w:ascii="Arial" w:hAnsi="Arial" w:cs="Arial"/>
                <w:color w:val="000000"/>
                <w:szCs w:val="22"/>
              </w:rPr>
              <w:t>ant QC</w:t>
            </w:r>
            <w:r w:rsidR="00345916">
              <w:rPr>
                <w:rFonts w:ascii="Arial" w:hAnsi="Arial" w:cs="Arial"/>
                <w:color w:val="000000"/>
                <w:szCs w:val="22"/>
              </w:rPr>
              <w:t xml:space="preserve"> (WBIS)</w:t>
            </w:r>
          </w:p>
          <w:p w:rsidR="003E58E6" w:rsidRPr="00F116E4" w:rsidRDefault="003E58E6" w:rsidP="00B328EF">
            <w:pPr>
              <w:autoSpaceDE w:val="0"/>
              <w:autoSpaceDN w:val="0"/>
              <w:adjustRightInd w:val="0"/>
              <w:rPr>
                <w:rFonts w:ascii="Arial" w:hAnsi="Arial" w:cs="Arial"/>
                <w:szCs w:val="22"/>
              </w:rPr>
            </w:pPr>
          </w:p>
          <w:p w:rsidR="003E58E6" w:rsidRPr="00F116E4" w:rsidRDefault="003E58E6" w:rsidP="00B328EF">
            <w:pPr>
              <w:autoSpaceDE w:val="0"/>
              <w:autoSpaceDN w:val="0"/>
              <w:adjustRightInd w:val="0"/>
              <w:rPr>
                <w:rFonts w:ascii="Arial" w:hAnsi="Arial" w:cs="Arial"/>
                <w:szCs w:val="22"/>
              </w:rPr>
            </w:pPr>
            <w:r w:rsidRPr="00F116E4">
              <w:rPr>
                <w:rFonts w:ascii="Arial" w:hAnsi="Arial" w:cs="Arial"/>
                <w:b/>
                <w:bCs/>
                <w:szCs w:val="22"/>
              </w:rPr>
              <w:t xml:space="preserve">Frequency: </w:t>
            </w:r>
            <w:r w:rsidR="00DD3005">
              <w:rPr>
                <w:rFonts w:ascii="Arial" w:hAnsi="Arial" w:cs="Arial"/>
                <w:szCs w:val="22"/>
              </w:rPr>
              <w:t xml:space="preserve">Three levels with each </w:t>
            </w:r>
            <w:r w:rsidR="00BF392B">
              <w:rPr>
                <w:rFonts w:ascii="Arial" w:hAnsi="Arial" w:cs="Arial"/>
                <w:szCs w:val="22"/>
              </w:rPr>
              <w:t>Sirolim</w:t>
            </w:r>
            <w:r w:rsidR="00DD3005">
              <w:rPr>
                <w:rFonts w:ascii="Arial" w:hAnsi="Arial" w:cs="Arial"/>
                <w:szCs w:val="22"/>
              </w:rPr>
              <w:t>us run</w:t>
            </w:r>
            <w:r w:rsidRPr="00F116E4">
              <w:rPr>
                <w:rFonts w:ascii="Arial" w:hAnsi="Arial" w:cs="Arial"/>
                <w:szCs w:val="22"/>
              </w:rPr>
              <w:t>.</w:t>
            </w:r>
          </w:p>
          <w:p w:rsidR="003E58E6" w:rsidRPr="00F116E4" w:rsidRDefault="003E58E6" w:rsidP="00B328EF">
            <w:pPr>
              <w:autoSpaceDE w:val="0"/>
              <w:autoSpaceDN w:val="0"/>
              <w:adjustRightInd w:val="0"/>
              <w:rPr>
                <w:rFonts w:ascii="Arial" w:hAnsi="Arial" w:cs="Arial"/>
                <w:szCs w:val="22"/>
              </w:rPr>
            </w:pPr>
          </w:p>
          <w:p w:rsidR="003E58E6" w:rsidRPr="00D32F0A" w:rsidRDefault="00D32F0A" w:rsidP="00B328EF">
            <w:pPr>
              <w:autoSpaceDE w:val="0"/>
              <w:autoSpaceDN w:val="0"/>
              <w:adjustRightInd w:val="0"/>
              <w:rPr>
                <w:rStyle w:val="tgc"/>
                <w:rFonts w:ascii="Arial" w:hAnsi="Arial" w:cs="Arial"/>
                <w:b/>
                <w:bCs/>
                <w:szCs w:val="22"/>
              </w:rPr>
            </w:pPr>
            <w:r>
              <w:rPr>
                <w:rFonts w:ascii="Arial" w:hAnsi="Arial" w:cs="Arial"/>
                <w:b/>
                <w:bCs/>
                <w:szCs w:val="22"/>
              </w:rPr>
              <w:t xml:space="preserve">Stability </w:t>
            </w:r>
            <w:r w:rsidR="003E58E6" w:rsidRPr="00F116E4">
              <w:rPr>
                <w:rFonts w:ascii="Arial" w:hAnsi="Arial" w:cs="Arial"/>
                <w:b/>
                <w:bCs/>
                <w:szCs w:val="22"/>
              </w:rPr>
              <w:t xml:space="preserve">Unopened: </w:t>
            </w:r>
            <w:r w:rsidR="003E58E6" w:rsidRPr="00F116E4">
              <w:rPr>
                <w:rFonts w:ascii="Arial" w:hAnsi="Arial" w:cs="Arial"/>
                <w:bCs/>
                <w:szCs w:val="22"/>
              </w:rPr>
              <w:t xml:space="preserve">Until expiration date @ </w:t>
            </w:r>
            <w:r w:rsidR="003E58E6">
              <w:rPr>
                <w:rFonts w:ascii="Arial" w:hAnsi="Arial" w:cs="Arial"/>
                <w:szCs w:val="20"/>
              </w:rPr>
              <w:t>&lt;-20</w:t>
            </w:r>
            <w:r w:rsidR="003E58E6" w:rsidRPr="00F116E4">
              <w:rPr>
                <w:rStyle w:val="tgc"/>
                <w:rFonts w:ascii="Arial" w:hAnsi="Arial" w:cs="Arial"/>
                <w:color w:val="222222"/>
                <w:szCs w:val="20"/>
              </w:rPr>
              <w:t>°C</w:t>
            </w:r>
          </w:p>
          <w:p w:rsidR="003E58E6" w:rsidRPr="00F116E4" w:rsidRDefault="00D32F0A" w:rsidP="00B328EF">
            <w:pPr>
              <w:autoSpaceDE w:val="0"/>
              <w:autoSpaceDN w:val="0"/>
              <w:adjustRightInd w:val="0"/>
              <w:rPr>
                <w:rFonts w:ascii="Arial" w:hAnsi="Arial" w:cs="Arial"/>
                <w:b/>
                <w:szCs w:val="22"/>
              </w:rPr>
            </w:pPr>
            <w:r>
              <w:rPr>
                <w:rStyle w:val="tgc"/>
                <w:rFonts w:ascii="Arial" w:hAnsi="Arial" w:cs="Arial"/>
                <w:b/>
                <w:color w:val="222222"/>
                <w:szCs w:val="22"/>
              </w:rPr>
              <w:t xml:space="preserve">Stability </w:t>
            </w:r>
            <w:r w:rsidR="003E58E6" w:rsidRPr="00F116E4">
              <w:rPr>
                <w:rStyle w:val="tgc"/>
                <w:rFonts w:ascii="Arial" w:hAnsi="Arial" w:cs="Arial"/>
                <w:b/>
                <w:color w:val="222222"/>
                <w:szCs w:val="22"/>
              </w:rPr>
              <w:t xml:space="preserve">After Opening: </w:t>
            </w:r>
            <w:r w:rsidR="003E58E6">
              <w:rPr>
                <w:rStyle w:val="tgc"/>
                <w:rFonts w:ascii="Arial" w:hAnsi="Arial" w:cs="Arial"/>
                <w:color w:val="222222"/>
                <w:szCs w:val="22"/>
              </w:rPr>
              <w:t>10</w:t>
            </w:r>
            <w:r w:rsidR="003E58E6" w:rsidRPr="00F116E4">
              <w:rPr>
                <w:rStyle w:val="tgc"/>
                <w:rFonts w:ascii="Arial" w:hAnsi="Arial" w:cs="Arial"/>
                <w:color w:val="222222"/>
                <w:szCs w:val="22"/>
              </w:rPr>
              <w:t xml:space="preserve"> days </w:t>
            </w:r>
            <w:r w:rsidR="003E58E6" w:rsidRPr="00F116E4">
              <w:rPr>
                <w:rFonts w:ascii="Arial" w:hAnsi="Arial" w:cs="Arial"/>
                <w:bCs/>
                <w:szCs w:val="22"/>
              </w:rPr>
              <w:t>@ 2-8</w:t>
            </w:r>
            <w:r w:rsidR="003E58E6" w:rsidRPr="00F116E4">
              <w:rPr>
                <w:rStyle w:val="tgc"/>
                <w:rFonts w:ascii="Arial" w:hAnsi="Arial" w:cs="Arial"/>
                <w:color w:val="222222"/>
                <w:szCs w:val="22"/>
              </w:rPr>
              <w:t>°C.</w:t>
            </w:r>
          </w:p>
          <w:p w:rsidR="003E58E6" w:rsidRPr="00F116E4" w:rsidRDefault="003E58E6" w:rsidP="00B328EF">
            <w:pPr>
              <w:autoSpaceDE w:val="0"/>
              <w:autoSpaceDN w:val="0"/>
              <w:adjustRightInd w:val="0"/>
              <w:rPr>
                <w:rFonts w:ascii="Arial" w:hAnsi="Arial" w:cs="Arial"/>
                <w:szCs w:val="22"/>
              </w:rPr>
            </w:pPr>
          </w:p>
          <w:p w:rsidR="003E58E6" w:rsidRPr="00F116E4" w:rsidRDefault="003E58E6" w:rsidP="00B328EF">
            <w:pPr>
              <w:autoSpaceDE w:val="0"/>
              <w:autoSpaceDN w:val="0"/>
              <w:adjustRightInd w:val="0"/>
              <w:rPr>
                <w:rFonts w:ascii="Arial" w:hAnsi="Arial" w:cs="Arial"/>
                <w:szCs w:val="22"/>
              </w:rPr>
            </w:pPr>
            <w:r w:rsidRPr="00F116E4">
              <w:rPr>
                <w:rFonts w:ascii="Arial" w:hAnsi="Arial" w:cs="Arial"/>
                <w:b/>
                <w:bCs/>
                <w:szCs w:val="22"/>
              </w:rPr>
              <w:t>Preparation</w:t>
            </w:r>
            <w:r w:rsidRPr="00F116E4">
              <w:rPr>
                <w:rFonts w:ascii="Arial" w:hAnsi="Arial" w:cs="Arial"/>
                <w:szCs w:val="22"/>
              </w:rPr>
              <w:t>: Control materials are ready for use.  Thaw one bottle of each level at room temperature for 20 minutes prior to use.  Mix well by gentle inversion at least 10 times immediately prior to pipetting.</w:t>
            </w:r>
          </w:p>
          <w:p w:rsidR="003E58E6" w:rsidRPr="00F116E4" w:rsidRDefault="003E58E6" w:rsidP="00B328EF">
            <w:pPr>
              <w:rPr>
                <w:rFonts w:ascii="Arial" w:hAnsi="Arial" w:cs="Arial"/>
                <w:b/>
                <w:bCs/>
                <w:szCs w:val="22"/>
              </w:rPr>
            </w:pPr>
          </w:p>
          <w:p w:rsidR="003E58E6" w:rsidRDefault="003E58E6" w:rsidP="00B328EF">
            <w:pPr>
              <w:rPr>
                <w:rFonts w:ascii="Arial" w:hAnsi="Arial" w:cs="Arial"/>
                <w:szCs w:val="22"/>
              </w:rPr>
            </w:pPr>
            <w:r w:rsidRPr="00F116E4">
              <w:rPr>
                <w:rFonts w:ascii="Arial" w:hAnsi="Arial" w:cs="Arial"/>
                <w:b/>
                <w:bCs/>
                <w:szCs w:val="22"/>
              </w:rPr>
              <w:t>Acceptable ranges:</w:t>
            </w:r>
            <w:r w:rsidRPr="00F116E4">
              <w:rPr>
                <w:rFonts w:ascii="Arial" w:hAnsi="Arial" w:cs="Arial"/>
                <w:szCs w:val="22"/>
              </w:rPr>
              <w:t xml:space="preserve"> </w:t>
            </w:r>
          </w:p>
          <w:p w:rsidR="00CF22A0" w:rsidRPr="00CF22A0" w:rsidRDefault="00CF22A0" w:rsidP="00CF22A0">
            <w:pPr>
              <w:rPr>
                <w:rFonts w:ascii="Arial" w:hAnsi="Arial" w:cs="Arial"/>
                <w:szCs w:val="22"/>
              </w:rPr>
            </w:pPr>
            <w:r w:rsidRPr="00CF22A0">
              <w:rPr>
                <w:rFonts w:ascii="Arial" w:hAnsi="Arial" w:cs="Arial"/>
                <w:szCs w:val="22"/>
              </w:rPr>
              <w:t>•</w:t>
            </w:r>
            <w:r w:rsidRPr="00CF22A0">
              <w:rPr>
                <w:rFonts w:ascii="Arial" w:hAnsi="Arial" w:cs="Arial"/>
                <w:szCs w:val="22"/>
              </w:rPr>
              <w:tab/>
              <w:t>Non-Bio-Rad controls will utilize manufacturer ranges and 2 SD Westgard ru</w:t>
            </w:r>
            <w:r>
              <w:rPr>
                <w:rFonts w:ascii="Arial" w:hAnsi="Arial" w:cs="Arial"/>
                <w:szCs w:val="22"/>
              </w:rPr>
              <w:t>les.</w:t>
            </w:r>
            <w:r w:rsidRPr="00CF22A0">
              <w:rPr>
                <w:rFonts w:ascii="Arial" w:hAnsi="Arial" w:cs="Arial"/>
                <w:szCs w:val="22"/>
              </w:rPr>
              <w:t xml:space="preserve">  </w:t>
            </w:r>
          </w:p>
          <w:p w:rsidR="00CF22A0" w:rsidRPr="00CF22A0" w:rsidRDefault="00CF22A0" w:rsidP="00CF22A0">
            <w:pPr>
              <w:rPr>
                <w:rFonts w:ascii="Arial" w:hAnsi="Arial" w:cs="Arial"/>
                <w:szCs w:val="22"/>
              </w:rPr>
            </w:pPr>
            <w:r w:rsidRPr="00CF22A0">
              <w:rPr>
                <w:rFonts w:ascii="Arial" w:hAnsi="Arial" w:cs="Arial"/>
                <w:szCs w:val="22"/>
              </w:rPr>
              <w:t>•</w:t>
            </w:r>
            <w:r w:rsidRPr="00CF22A0">
              <w:rPr>
                <w:rFonts w:ascii="Arial" w:hAnsi="Arial" w:cs="Arial"/>
                <w:szCs w:val="22"/>
              </w:rPr>
              <w:tab/>
              <w:t>New lots of Bio-Rad controls should be run for 20 days i</w:t>
            </w:r>
            <w:r>
              <w:rPr>
                <w:rFonts w:ascii="Arial" w:hAnsi="Arial" w:cs="Arial"/>
                <w:szCs w:val="22"/>
              </w:rPr>
              <w:t xml:space="preserve">n parallel with the current lot </w:t>
            </w:r>
            <w:r w:rsidRPr="00CF22A0">
              <w:rPr>
                <w:rFonts w:ascii="Arial" w:hAnsi="Arial" w:cs="Arial"/>
                <w:szCs w:val="22"/>
              </w:rPr>
              <w:t xml:space="preserve">whenever possible prior to switching to the new lot.  </w:t>
            </w:r>
          </w:p>
          <w:p w:rsidR="00CF22A0" w:rsidRPr="00CF22A0" w:rsidRDefault="00CF22A0" w:rsidP="00CF22A0">
            <w:pPr>
              <w:rPr>
                <w:rFonts w:ascii="Arial" w:hAnsi="Arial" w:cs="Arial"/>
                <w:szCs w:val="22"/>
              </w:rPr>
            </w:pPr>
            <w:r w:rsidRPr="00CF22A0">
              <w:rPr>
                <w:rFonts w:ascii="Arial" w:hAnsi="Arial" w:cs="Arial"/>
                <w:szCs w:val="22"/>
              </w:rPr>
              <w:t>•</w:t>
            </w:r>
            <w:r w:rsidRPr="00CF22A0">
              <w:rPr>
                <w:rFonts w:ascii="Arial" w:hAnsi="Arial" w:cs="Arial"/>
                <w:szCs w:val="22"/>
              </w:rPr>
              <w:tab/>
              <w:t xml:space="preserve">Refer to the Westgard Rules in Chemistry procedure for current Westgard rules in place for each analyte.  </w:t>
            </w:r>
          </w:p>
          <w:p w:rsidR="00CF22A0" w:rsidRPr="00CF22A0" w:rsidRDefault="00CF22A0" w:rsidP="00CF22A0">
            <w:pPr>
              <w:rPr>
                <w:rFonts w:ascii="Arial" w:hAnsi="Arial" w:cs="Arial"/>
                <w:szCs w:val="22"/>
              </w:rPr>
            </w:pPr>
            <w:r w:rsidRPr="00CF22A0">
              <w:rPr>
                <w:rFonts w:ascii="Arial" w:hAnsi="Arial" w:cs="Arial"/>
                <w:szCs w:val="22"/>
              </w:rPr>
              <w:t>•</w:t>
            </w:r>
            <w:r w:rsidRPr="00CF22A0">
              <w:rPr>
                <w:rFonts w:ascii="Arial" w:hAnsi="Arial" w:cs="Arial"/>
                <w:szCs w:val="22"/>
              </w:rPr>
              <w:tab/>
              <w:t xml:space="preserve">Acceptable ranges are current in Unity Real Time only.  Quality Control results must be rejected in Sunquest when the results cross the interface.  </w:t>
            </w:r>
          </w:p>
          <w:p w:rsidR="00CF22A0" w:rsidRPr="00CF22A0" w:rsidRDefault="00CF22A0" w:rsidP="00CF22A0">
            <w:pPr>
              <w:rPr>
                <w:rFonts w:ascii="Arial" w:hAnsi="Arial" w:cs="Arial"/>
                <w:szCs w:val="22"/>
              </w:rPr>
            </w:pPr>
            <w:r w:rsidRPr="00CF22A0">
              <w:rPr>
                <w:rFonts w:ascii="Arial" w:hAnsi="Arial" w:cs="Arial"/>
                <w:szCs w:val="22"/>
              </w:rPr>
              <w:t>•</w:t>
            </w:r>
            <w:r w:rsidRPr="00CF22A0">
              <w:rPr>
                <w:rFonts w:ascii="Arial" w:hAnsi="Arial" w:cs="Arial"/>
                <w:szCs w:val="22"/>
              </w:rPr>
              <w:tab/>
              <w:t xml:space="preserve">In the event of a QC failure, refer to the </w:t>
            </w:r>
            <w:hyperlink r:id="rId12" w:history="1">
              <w:r w:rsidRPr="00CF22A0">
                <w:rPr>
                  <w:rStyle w:val="Hyperlink"/>
                  <w:rFonts w:ascii="Arial" w:hAnsi="Arial" w:cs="Arial"/>
                  <w:szCs w:val="22"/>
                </w:rPr>
                <w:t>Unity Real Time QC Review, General User</w:t>
              </w:r>
            </w:hyperlink>
            <w:r w:rsidRPr="00CF22A0">
              <w:rPr>
                <w:rFonts w:ascii="Arial" w:hAnsi="Arial" w:cs="Arial"/>
                <w:szCs w:val="22"/>
              </w:rPr>
              <w:t xml:space="preserve"> and navigate to the QC Troubleshooting section.</w:t>
            </w:r>
          </w:p>
          <w:p w:rsidR="00CF22A0" w:rsidRPr="00F116E4" w:rsidRDefault="00CF22A0" w:rsidP="00CF22A0">
            <w:pPr>
              <w:rPr>
                <w:rFonts w:ascii="Arial" w:hAnsi="Arial" w:cs="Arial"/>
                <w:szCs w:val="22"/>
              </w:rPr>
            </w:pPr>
            <w:r w:rsidRPr="00CF22A0">
              <w:rPr>
                <w:rFonts w:ascii="Arial" w:hAnsi="Arial" w:cs="Arial"/>
                <w:szCs w:val="22"/>
              </w:rPr>
              <w:t>•</w:t>
            </w:r>
            <w:r w:rsidRPr="00CF22A0">
              <w:rPr>
                <w:rFonts w:ascii="Arial" w:hAnsi="Arial" w:cs="Arial"/>
                <w:szCs w:val="22"/>
              </w:rPr>
              <w:tab/>
              <w:t>Do not load or release patients until QC is acceptable in Unity Real Time.</w:t>
            </w:r>
          </w:p>
          <w:p w:rsidR="003E58E6" w:rsidRPr="00F116E4" w:rsidRDefault="003E58E6" w:rsidP="00B328EF">
            <w:pPr>
              <w:jc w:val="left"/>
              <w:rPr>
                <w:rFonts w:ascii="Arial" w:hAnsi="Arial" w:cs="Arial"/>
                <w:iCs/>
                <w:sz w:val="20"/>
              </w:rPr>
            </w:pPr>
          </w:p>
        </w:tc>
      </w:tr>
      <w:tr w:rsidR="003E58E6" w:rsidRPr="00F116E4" w:rsidTr="003E58E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right w:val="nil"/>
            </w:tcBorders>
          </w:tcPr>
          <w:p w:rsidR="003E58E6" w:rsidRPr="00F116E4" w:rsidRDefault="003E58E6" w:rsidP="007C3E34">
            <w:pPr>
              <w:jc w:val="left"/>
              <w:rPr>
                <w:rFonts w:ascii="Arial" w:hAnsi="Arial" w:cs="Arial"/>
                <w:b/>
                <w:bCs/>
                <w:color w:val="0000FF"/>
                <w:sz w:val="20"/>
              </w:rPr>
            </w:pPr>
          </w:p>
          <w:p w:rsidR="003E58E6" w:rsidRPr="00F116E4" w:rsidRDefault="003E58E6" w:rsidP="007C3E34">
            <w:pPr>
              <w:jc w:val="left"/>
              <w:rPr>
                <w:rFonts w:ascii="Arial" w:hAnsi="Arial" w:cs="Arial"/>
                <w:b/>
                <w:bCs/>
                <w:color w:val="0000FF"/>
                <w:sz w:val="20"/>
              </w:rPr>
            </w:pPr>
            <w:r w:rsidRPr="00F116E4">
              <w:rPr>
                <w:rFonts w:ascii="Arial" w:hAnsi="Arial" w:cs="Arial"/>
                <w:b/>
                <w:bCs/>
                <w:color w:val="0000FF"/>
                <w:sz w:val="20"/>
              </w:rPr>
              <w:t>Interferences</w:t>
            </w:r>
          </w:p>
          <w:p w:rsidR="003E58E6" w:rsidRPr="00F116E4" w:rsidRDefault="003E58E6" w:rsidP="007C3E34">
            <w:pPr>
              <w:jc w:val="left"/>
              <w:rPr>
                <w:rFonts w:ascii="Arial" w:hAnsi="Arial" w:cs="Arial"/>
                <w:b/>
                <w:bCs/>
                <w:color w:val="0000FF"/>
                <w:sz w:val="20"/>
              </w:rPr>
            </w:pPr>
          </w:p>
        </w:tc>
        <w:tc>
          <w:tcPr>
            <w:tcW w:w="9360" w:type="dxa"/>
            <w:tcBorders>
              <w:top w:val="single" w:sz="4" w:space="0" w:color="auto"/>
              <w:left w:val="nil"/>
              <w:bottom w:val="single" w:sz="4" w:space="0" w:color="auto"/>
              <w:right w:val="nil"/>
            </w:tcBorders>
          </w:tcPr>
          <w:p w:rsidR="003E58E6" w:rsidRDefault="003E58E6" w:rsidP="00C86E54">
            <w:pPr>
              <w:autoSpaceDE w:val="0"/>
              <w:autoSpaceDN w:val="0"/>
              <w:adjustRightInd w:val="0"/>
              <w:rPr>
                <w:rFonts w:ascii="Arial" w:eastAsia="HelenPro-Regular" w:hAnsi="Arial" w:cs="Arial"/>
                <w:szCs w:val="22"/>
              </w:rPr>
            </w:pPr>
          </w:p>
          <w:p w:rsidR="00372EC4" w:rsidRPr="00C86E54" w:rsidRDefault="00372EC4" w:rsidP="00372EC4">
            <w:pPr>
              <w:pStyle w:val="ListParagraph"/>
              <w:numPr>
                <w:ilvl w:val="0"/>
                <w:numId w:val="38"/>
              </w:numPr>
              <w:autoSpaceDE w:val="0"/>
              <w:autoSpaceDN w:val="0"/>
              <w:adjustRightInd w:val="0"/>
              <w:rPr>
                <w:rFonts w:eastAsia="HelenPro-Regular"/>
                <w:sz w:val="22"/>
                <w:szCs w:val="22"/>
              </w:rPr>
            </w:pPr>
            <w:r w:rsidRPr="00C86E54">
              <w:rPr>
                <w:rFonts w:eastAsia="HelenPro-Regular"/>
                <w:sz w:val="22"/>
                <w:szCs w:val="22"/>
              </w:rPr>
              <w:t>Specimens from patients who have received preparations of mouse monoclonal antibodies for diagnosis or therapy may contain human anti-mouse antibodies (HAMA). Specimens containing HAMA may produce anomalous values when tested with assay kits that employ mouse monoclonal antibodies.</w:t>
            </w:r>
          </w:p>
          <w:p w:rsidR="00372EC4" w:rsidRPr="00C86E54" w:rsidRDefault="00372EC4" w:rsidP="00372EC4">
            <w:pPr>
              <w:pStyle w:val="ListParagraph"/>
              <w:numPr>
                <w:ilvl w:val="0"/>
                <w:numId w:val="38"/>
              </w:numPr>
              <w:autoSpaceDE w:val="0"/>
              <w:autoSpaceDN w:val="0"/>
              <w:adjustRightInd w:val="0"/>
              <w:rPr>
                <w:rFonts w:eastAsia="HelenPro-Regular" w:cs="Arial"/>
                <w:sz w:val="22"/>
                <w:szCs w:val="22"/>
              </w:rPr>
            </w:pPr>
            <w:r w:rsidRPr="00C86E54">
              <w:rPr>
                <w:rFonts w:eastAsia="HelenPro-Regular" w:cs="Arial"/>
                <w:sz w:val="22"/>
                <w:szCs w:val="22"/>
              </w:rPr>
              <w:t xml:space="preserve">Heterophilic antibodies in human serum can react with reagent immunoglobulins, interfering with </w:t>
            </w:r>
            <w:r w:rsidRPr="00C86E54">
              <w:rPr>
                <w:rFonts w:eastAsia="HelenPro-Bold" w:cs="Arial"/>
                <w:i/>
                <w:iCs/>
                <w:sz w:val="22"/>
                <w:szCs w:val="22"/>
              </w:rPr>
              <w:t xml:space="preserve">in vitro </w:t>
            </w:r>
            <w:r w:rsidRPr="00C86E54">
              <w:rPr>
                <w:rFonts w:eastAsia="HelenPro-Regular" w:cs="Arial"/>
                <w:sz w:val="22"/>
                <w:szCs w:val="22"/>
              </w:rPr>
              <w:t>immunoassays. Patients routinely exposed to animals or to animal serum products can be prone to this interference and anomalous results may be observed. Additional information may be required for diagnosis. Immunoassays are nonspecific and cross react with metabolites.</w:t>
            </w:r>
          </w:p>
          <w:p w:rsidR="00372EC4" w:rsidRPr="00372EC4" w:rsidRDefault="00372EC4" w:rsidP="00372EC4">
            <w:pPr>
              <w:pStyle w:val="ListParagraph"/>
              <w:autoSpaceDE w:val="0"/>
              <w:autoSpaceDN w:val="0"/>
              <w:adjustRightInd w:val="0"/>
              <w:ind w:left="360"/>
              <w:rPr>
                <w:rFonts w:eastAsia="HelenPro-Regular" w:cs="Arial"/>
                <w:szCs w:val="22"/>
              </w:rPr>
            </w:pPr>
          </w:p>
        </w:tc>
      </w:tr>
      <w:tr w:rsidR="003E58E6" w:rsidRPr="00F116E4" w:rsidTr="003E58E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right w:val="nil"/>
            </w:tcBorders>
          </w:tcPr>
          <w:p w:rsidR="003E58E6" w:rsidRPr="00F116E4" w:rsidRDefault="003E58E6" w:rsidP="007C3E34">
            <w:pPr>
              <w:jc w:val="left"/>
              <w:rPr>
                <w:rFonts w:ascii="Arial" w:hAnsi="Arial" w:cs="Arial"/>
                <w:b/>
                <w:bCs/>
                <w:color w:val="0000FF"/>
                <w:sz w:val="20"/>
              </w:rPr>
            </w:pPr>
            <w:r w:rsidRPr="00F116E4">
              <w:rPr>
                <w:rFonts w:ascii="Arial" w:hAnsi="Arial" w:cs="Arial"/>
                <w:b/>
                <w:bCs/>
                <w:color w:val="0000FF"/>
                <w:sz w:val="20"/>
              </w:rPr>
              <w:br w:type="page"/>
            </w:r>
          </w:p>
          <w:p w:rsidR="003E58E6" w:rsidRPr="00F116E4" w:rsidRDefault="003E58E6" w:rsidP="007C3E34">
            <w:pPr>
              <w:jc w:val="left"/>
              <w:rPr>
                <w:rFonts w:ascii="Arial" w:hAnsi="Arial" w:cs="Arial"/>
                <w:b/>
                <w:bCs/>
                <w:color w:val="0000FF"/>
                <w:sz w:val="20"/>
              </w:rPr>
            </w:pPr>
            <w:r w:rsidRPr="00F116E4">
              <w:rPr>
                <w:rFonts w:ascii="Arial" w:hAnsi="Arial" w:cs="Arial"/>
                <w:b/>
                <w:bCs/>
                <w:color w:val="0000FF"/>
                <w:sz w:val="20"/>
              </w:rPr>
              <w:t>Reference Range</w:t>
            </w:r>
          </w:p>
        </w:tc>
        <w:tc>
          <w:tcPr>
            <w:tcW w:w="9360" w:type="dxa"/>
            <w:tcBorders>
              <w:top w:val="single" w:sz="4" w:space="0" w:color="auto"/>
              <w:left w:val="nil"/>
              <w:bottom w:val="nil"/>
              <w:right w:val="nil"/>
            </w:tcBorders>
          </w:tcPr>
          <w:p w:rsidR="003E58E6" w:rsidRPr="00F116E4" w:rsidRDefault="003E58E6" w:rsidP="007C3E34">
            <w:pPr>
              <w:jc w:val="left"/>
              <w:rPr>
                <w:rFonts w:ascii="Arial" w:hAnsi="Arial" w:cs="Arial"/>
                <w:iCs/>
                <w:sz w:val="20"/>
              </w:rPr>
            </w:pPr>
          </w:p>
          <w:p w:rsidR="00CF22A0" w:rsidRDefault="00CF22A0" w:rsidP="00CF22A0">
            <w:pPr>
              <w:jc w:val="left"/>
              <w:rPr>
                <w:rFonts w:ascii="Arial" w:hAnsi="Arial" w:cs="Arial"/>
                <w:szCs w:val="22"/>
              </w:rPr>
            </w:pPr>
            <w:r w:rsidRPr="00CF22A0">
              <w:rPr>
                <w:rFonts w:ascii="Arial" w:hAnsi="Arial" w:cs="Arial"/>
                <w:szCs w:val="22"/>
              </w:rPr>
              <w:t>4 - 20 ng/mL</w:t>
            </w:r>
          </w:p>
          <w:p w:rsidR="00CF22A0" w:rsidRPr="00CF22A0" w:rsidRDefault="00CF22A0" w:rsidP="00CF22A0">
            <w:pPr>
              <w:jc w:val="left"/>
              <w:rPr>
                <w:rFonts w:ascii="Arial" w:hAnsi="Arial" w:cs="Arial"/>
                <w:szCs w:val="22"/>
              </w:rPr>
            </w:pPr>
          </w:p>
          <w:p w:rsidR="00CF22A0" w:rsidRDefault="00CF22A0" w:rsidP="00CF22A0">
            <w:pPr>
              <w:jc w:val="left"/>
              <w:rPr>
                <w:rFonts w:ascii="Arial" w:hAnsi="Arial" w:cs="Arial"/>
                <w:szCs w:val="22"/>
              </w:rPr>
            </w:pPr>
            <w:r w:rsidRPr="00CF22A0">
              <w:rPr>
                <w:rFonts w:ascii="Arial" w:hAnsi="Arial" w:cs="Arial"/>
                <w:szCs w:val="22"/>
              </w:rPr>
              <w:t>Note: Therapeutic range applies to trough specimen drawn immediately prior to a.m. dose. Blood drawn at other times will yield higher results.</w:t>
            </w:r>
          </w:p>
          <w:p w:rsidR="00CF22A0" w:rsidRPr="00CF22A0" w:rsidRDefault="00CF22A0" w:rsidP="00CF22A0">
            <w:pPr>
              <w:jc w:val="left"/>
              <w:rPr>
                <w:rFonts w:ascii="Arial" w:hAnsi="Arial" w:cs="Arial"/>
                <w:szCs w:val="22"/>
              </w:rPr>
            </w:pPr>
          </w:p>
          <w:p w:rsidR="003E58E6" w:rsidRDefault="00CF22A0" w:rsidP="00CF22A0">
            <w:pPr>
              <w:jc w:val="left"/>
              <w:rPr>
                <w:rFonts w:ascii="Arial" w:hAnsi="Arial" w:cs="Arial"/>
                <w:szCs w:val="22"/>
              </w:rPr>
            </w:pPr>
            <w:r w:rsidRPr="00CF22A0">
              <w:rPr>
                <w:rFonts w:ascii="Arial" w:hAnsi="Arial" w:cs="Arial"/>
                <w:szCs w:val="22"/>
              </w:rPr>
              <w:t>Most individuals display optimal response to sirolimus with trough whole blood levels 4 ng/mL to 20 ng/mL. Preferred therapeutic ranges may vary by transplant type, protocol, and co</w:t>
            </w:r>
            <w:r>
              <w:rPr>
                <w:rFonts w:ascii="Arial" w:hAnsi="Arial" w:cs="Arial"/>
                <w:szCs w:val="22"/>
              </w:rPr>
              <w:t>-</w:t>
            </w:r>
            <w:r w:rsidRPr="00CF22A0">
              <w:rPr>
                <w:rFonts w:ascii="Arial" w:hAnsi="Arial" w:cs="Arial"/>
                <w:szCs w:val="22"/>
              </w:rPr>
              <w:t>medications.</w:t>
            </w:r>
          </w:p>
          <w:p w:rsidR="00B03240" w:rsidRPr="00E5309C" w:rsidRDefault="00B03240" w:rsidP="00CF22A0">
            <w:pPr>
              <w:jc w:val="left"/>
              <w:rPr>
                <w:rFonts w:ascii="Arial" w:hAnsi="Arial" w:cs="Arial"/>
                <w:szCs w:val="22"/>
              </w:rPr>
            </w:pPr>
          </w:p>
        </w:tc>
      </w:tr>
      <w:tr w:rsidR="003E58E6" w:rsidRPr="00F116E4" w:rsidTr="003E58E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Pr>
        <w:tc>
          <w:tcPr>
            <w:tcW w:w="1800" w:type="dxa"/>
            <w:tcBorders>
              <w:top w:val="nil"/>
              <w:left w:val="nil"/>
              <w:bottom w:val="nil"/>
              <w:right w:val="nil"/>
            </w:tcBorders>
          </w:tcPr>
          <w:p w:rsidR="003E58E6" w:rsidRPr="00F116E4" w:rsidRDefault="003E58E6" w:rsidP="007C3E34">
            <w:pPr>
              <w:jc w:val="left"/>
              <w:rPr>
                <w:rFonts w:ascii="Arial" w:hAnsi="Arial" w:cs="Arial"/>
                <w:b/>
                <w:bCs/>
                <w:color w:val="0000FF"/>
                <w:sz w:val="20"/>
              </w:rPr>
            </w:pPr>
          </w:p>
          <w:p w:rsidR="003E58E6" w:rsidRPr="00F116E4" w:rsidRDefault="003E58E6" w:rsidP="007C3E34">
            <w:pPr>
              <w:jc w:val="left"/>
              <w:rPr>
                <w:rFonts w:ascii="Arial" w:hAnsi="Arial" w:cs="Arial"/>
                <w:b/>
                <w:bCs/>
                <w:color w:val="0000FF"/>
                <w:sz w:val="20"/>
              </w:rPr>
            </w:pPr>
            <w:r w:rsidRPr="00F116E4">
              <w:rPr>
                <w:rFonts w:ascii="Arial" w:hAnsi="Arial" w:cs="Arial"/>
                <w:b/>
                <w:bCs/>
                <w:color w:val="0000FF"/>
                <w:sz w:val="20"/>
              </w:rPr>
              <w:t>Critical Values</w:t>
            </w:r>
          </w:p>
        </w:tc>
        <w:tc>
          <w:tcPr>
            <w:tcW w:w="9360" w:type="dxa"/>
            <w:tcBorders>
              <w:top w:val="single" w:sz="4" w:space="0" w:color="auto"/>
              <w:left w:val="nil"/>
              <w:bottom w:val="single" w:sz="4" w:space="0" w:color="auto"/>
              <w:right w:val="nil"/>
            </w:tcBorders>
          </w:tcPr>
          <w:p w:rsidR="003E58E6" w:rsidRPr="00F116E4" w:rsidRDefault="003E58E6" w:rsidP="007C3E34">
            <w:pPr>
              <w:jc w:val="left"/>
              <w:rPr>
                <w:rFonts w:ascii="Arial" w:hAnsi="Arial" w:cs="Arial"/>
                <w:iCs/>
                <w:kern w:val="32"/>
                <w:sz w:val="20"/>
                <w:szCs w:val="32"/>
              </w:rPr>
            </w:pPr>
          </w:p>
          <w:p w:rsidR="003E58E6" w:rsidRDefault="003E58E6" w:rsidP="007C3E34">
            <w:pPr>
              <w:jc w:val="left"/>
              <w:rPr>
                <w:rFonts w:ascii="Arial" w:hAnsi="Arial" w:cs="Arial"/>
              </w:rPr>
            </w:pPr>
            <w:r w:rsidRPr="00F116E4">
              <w:rPr>
                <w:rFonts w:ascii="Arial" w:hAnsi="Arial" w:cs="Arial"/>
              </w:rPr>
              <w:t>None Specified</w:t>
            </w:r>
          </w:p>
          <w:p w:rsidR="00CF22A0" w:rsidRPr="00F116E4" w:rsidRDefault="00CF22A0" w:rsidP="007C3E34">
            <w:pPr>
              <w:jc w:val="left"/>
              <w:rPr>
                <w:rFonts w:ascii="Arial" w:hAnsi="Arial" w:cs="Arial"/>
              </w:rPr>
            </w:pPr>
          </w:p>
        </w:tc>
      </w:tr>
      <w:tr w:rsidR="003E58E6" w:rsidRPr="00F116E4">
        <w:trPr>
          <w:cantSplit/>
          <w:trHeight w:val="998"/>
        </w:trPr>
        <w:tc>
          <w:tcPr>
            <w:tcW w:w="1800" w:type="dxa"/>
            <w:tcBorders>
              <w:top w:val="nil"/>
              <w:left w:val="nil"/>
              <w:bottom w:val="nil"/>
              <w:right w:val="nil"/>
            </w:tcBorders>
          </w:tcPr>
          <w:p w:rsidR="003E58E6" w:rsidRPr="00F116E4" w:rsidRDefault="003E58E6" w:rsidP="007C3E34">
            <w:pPr>
              <w:jc w:val="left"/>
              <w:rPr>
                <w:rFonts w:ascii="Arial" w:hAnsi="Arial" w:cs="Arial"/>
                <w:b/>
                <w:color w:val="0000FF"/>
                <w:sz w:val="20"/>
              </w:rPr>
            </w:pPr>
          </w:p>
          <w:p w:rsidR="003E58E6" w:rsidRPr="00F116E4" w:rsidRDefault="003E58E6" w:rsidP="007C3E34">
            <w:pPr>
              <w:jc w:val="left"/>
              <w:rPr>
                <w:rFonts w:ascii="Arial" w:hAnsi="Arial" w:cs="Arial"/>
                <w:b/>
                <w:sz w:val="20"/>
              </w:rPr>
            </w:pPr>
            <w:r w:rsidRPr="00F116E4">
              <w:rPr>
                <w:rFonts w:ascii="Arial" w:hAnsi="Arial" w:cs="Arial"/>
                <w:b/>
                <w:color w:val="0000FF"/>
                <w:sz w:val="20"/>
              </w:rPr>
              <w:t>Limitations</w:t>
            </w:r>
          </w:p>
          <w:p w:rsidR="003E58E6" w:rsidRPr="00F116E4" w:rsidRDefault="003E58E6" w:rsidP="007C3E34">
            <w:pPr>
              <w:jc w:val="left"/>
              <w:rPr>
                <w:rFonts w:ascii="Arial" w:hAnsi="Arial" w:cs="Arial"/>
                <w:b/>
                <w:sz w:val="20"/>
              </w:rPr>
            </w:pPr>
          </w:p>
        </w:tc>
        <w:tc>
          <w:tcPr>
            <w:tcW w:w="9360" w:type="dxa"/>
            <w:tcBorders>
              <w:top w:val="single" w:sz="4" w:space="0" w:color="auto"/>
              <w:left w:val="nil"/>
              <w:bottom w:val="single" w:sz="4" w:space="0" w:color="auto"/>
              <w:right w:val="nil"/>
            </w:tcBorders>
          </w:tcPr>
          <w:p w:rsidR="003E58E6" w:rsidRPr="00B03240" w:rsidRDefault="003E58E6" w:rsidP="000E622D">
            <w:pPr>
              <w:rPr>
                <w:rFonts w:ascii="Arial" w:hAnsi="Arial" w:cs="Arial"/>
                <w:szCs w:val="22"/>
              </w:rPr>
            </w:pPr>
          </w:p>
          <w:p w:rsidR="003E58E6" w:rsidRPr="00B03240" w:rsidRDefault="00F81F86" w:rsidP="00F81F86">
            <w:pPr>
              <w:pStyle w:val="ListParagraph"/>
              <w:numPr>
                <w:ilvl w:val="0"/>
                <w:numId w:val="38"/>
              </w:numPr>
              <w:rPr>
                <w:rFonts w:cs="Arial"/>
                <w:sz w:val="22"/>
                <w:szCs w:val="22"/>
              </w:rPr>
            </w:pPr>
            <w:r w:rsidRPr="00B03240">
              <w:rPr>
                <w:rFonts w:cs="Arial"/>
                <w:sz w:val="22"/>
                <w:szCs w:val="22"/>
              </w:rPr>
              <w:t>Optimal sirolimus concentration ranges vary according</w:t>
            </w:r>
            <w:r w:rsidRPr="00B03240">
              <w:rPr>
                <w:rFonts w:cs="Arial"/>
                <w:sz w:val="22"/>
                <w:szCs w:val="22"/>
              </w:rPr>
              <w:t xml:space="preserve"> </w:t>
            </w:r>
            <w:r w:rsidRPr="00B03240">
              <w:rPr>
                <w:rFonts w:cs="Arial"/>
                <w:sz w:val="22"/>
                <w:szCs w:val="22"/>
              </w:rPr>
              <w:t>to the commercial test used, and therefore should be established</w:t>
            </w:r>
            <w:r w:rsidRPr="00B03240">
              <w:rPr>
                <w:rFonts w:cs="Arial"/>
                <w:sz w:val="22"/>
                <w:szCs w:val="22"/>
              </w:rPr>
              <w:t xml:space="preserve"> </w:t>
            </w:r>
            <w:r w:rsidRPr="00B03240">
              <w:rPr>
                <w:rFonts w:cs="Arial"/>
                <w:sz w:val="22"/>
                <w:szCs w:val="22"/>
              </w:rPr>
              <w:t>for each commercial test. Values obtained with different assay</w:t>
            </w:r>
            <w:r w:rsidRPr="00B03240">
              <w:rPr>
                <w:rFonts w:cs="Arial"/>
                <w:sz w:val="22"/>
                <w:szCs w:val="22"/>
              </w:rPr>
              <w:t xml:space="preserve"> </w:t>
            </w:r>
            <w:r w:rsidRPr="00B03240">
              <w:rPr>
                <w:rFonts w:cs="Arial"/>
                <w:sz w:val="22"/>
                <w:szCs w:val="22"/>
              </w:rPr>
              <w:t>methods cannot be used interchangeably due to differences in</w:t>
            </w:r>
            <w:r w:rsidRPr="00B03240">
              <w:rPr>
                <w:rFonts w:cs="Arial"/>
                <w:sz w:val="22"/>
                <w:szCs w:val="22"/>
              </w:rPr>
              <w:t xml:space="preserve"> </w:t>
            </w:r>
            <w:r w:rsidRPr="00B03240">
              <w:rPr>
                <w:rFonts w:cs="Arial"/>
                <w:sz w:val="22"/>
                <w:szCs w:val="22"/>
              </w:rPr>
              <w:t>cross-reactivity with metabolites, nor should correction factors be</w:t>
            </w:r>
            <w:r w:rsidRPr="00B03240">
              <w:rPr>
                <w:rFonts w:cs="Arial"/>
                <w:sz w:val="22"/>
                <w:szCs w:val="22"/>
              </w:rPr>
              <w:t xml:space="preserve"> </w:t>
            </w:r>
            <w:r w:rsidRPr="00B03240">
              <w:rPr>
                <w:rFonts w:cs="Arial"/>
                <w:sz w:val="22"/>
                <w:szCs w:val="22"/>
              </w:rPr>
              <w:t>applied. Laboratories should include identification of the assay</w:t>
            </w:r>
            <w:r w:rsidRPr="00B03240">
              <w:rPr>
                <w:rFonts w:cs="Arial"/>
                <w:sz w:val="22"/>
                <w:szCs w:val="22"/>
              </w:rPr>
              <w:t xml:space="preserve"> </w:t>
            </w:r>
            <w:r w:rsidRPr="00B03240">
              <w:rPr>
                <w:rFonts w:cs="Arial"/>
                <w:sz w:val="22"/>
                <w:szCs w:val="22"/>
              </w:rPr>
              <w:t>used in order to aid in interpretation of results.</w:t>
            </w:r>
            <w:r w:rsidRPr="00B03240">
              <w:rPr>
                <w:rFonts w:cs="Arial"/>
                <w:sz w:val="22"/>
                <w:szCs w:val="22"/>
              </w:rPr>
              <w:t xml:space="preserve"> </w:t>
            </w:r>
            <w:r w:rsidRPr="00B03240">
              <w:rPr>
                <w:rFonts w:cs="Arial"/>
                <w:sz w:val="22"/>
                <w:szCs w:val="22"/>
              </w:rPr>
              <w:t>Optimal ranges depend upon the patient’s clinical state, individual</w:t>
            </w:r>
            <w:r w:rsidRPr="00B03240">
              <w:rPr>
                <w:rFonts w:cs="Arial"/>
                <w:sz w:val="22"/>
                <w:szCs w:val="22"/>
              </w:rPr>
              <w:t xml:space="preserve"> </w:t>
            </w:r>
            <w:r w:rsidRPr="00B03240">
              <w:rPr>
                <w:rFonts w:cs="Arial"/>
                <w:sz w:val="22"/>
                <w:szCs w:val="22"/>
              </w:rPr>
              <w:t>differences in sensitivity to immunosuppressive and adverse effects</w:t>
            </w:r>
            <w:r w:rsidRPr="00B03240">
              <w:rPr>
                <w:rFonts w:cs="Arial"/>
                <w:sz w:val="22"/>
                <w:szCs w:val="22"/>
              </w:rPr>
              <w:t xml:space="preserve"> </w:t>
            </w:r>
            <w:r w:rsidRPr="00B03240">
              <w:rPr>
                <w:rFonts w:cs="Arial"/>
                <w:sz w:val="22"/>
                <w:szCs w:val="22"/>
              </w:rPr>
              <w:t xml:space="preserve">of sirolimus, coadministration of other </w:t>
            </w:r>
            <w:proofErr w:type="spellStart"/>
            <w:r w:rsidRPr="00B03240">
              <w:rPr>
                <w:rFonts w:cs="Arial"/>
                <w:sz w:val="22"/>
                <w:szCs w:val="22"/>
              </w:rPr>
              <w:t>immunosuppressants</w:t>
            </w:r>
            <w:proofErr w:type="spellEnd"/>
            <w:r w:rsidRPr="00B03240">
              <w:rPr>
                <w:rFonts w:cs="Arial"/>
                <w:sz w:val="22"/>
                <w:szCs w:val="22"/>
              </w:rPr>
              <w:t>,</w:t>
            </w:r>
            <w:r w:rsidRPr="00B03240">
              <w:rPr>
                <w:rFonts w:cs="Arial"/>
                <w:sz w:val="22"/>
                <w:szCs w:val="22"/>
              </w:rPr>
              <w:t xml:space="preserve"> </w:t>
            </w:r>
            <w:r w:rsidRPr="00B03240">
              <w:rPr>
                <w:rFonts w:cs="Arial"/>
                <w:sz w:val="22"/>
                <w:szCs w:val="22"/>
              </w:rPr>
              <w:t>time post-transplant, and a number of other factors. Therefore,</w:t>
            </w:r>
            <w:r w:rsidRPr="00B03240">
              <w:rPr>
                <w:rFonts w:cs="Arial"/>
                <w:sz w:val="22"/>
                <w:szCs w:val="22"/>
              </w:rPr>
              <w:t xml:space="preserve"> </w:t>
            </w:r>
            <w:r w:rsidRPr="00B03240">
              <w:rPr>
                <w:rFonts w:cs="Arial"/>
                <w:sz w:val="22"/>
                <w:szCs w:val="22"/>
              </w:rPr>
              <w:t>individual sirolimus values cannot be used as the sole indicator for</w:t>
            </w:r>
            <w:r w:rsidRPr="00B03240">
              <w:rPr>
                <w:rFonts w:cs="Arial"/>
                <w:sz w:val="22"/>
                <w:szCs w:val="22"/>
              </w:rPr>
              <w:t xml:space="preserve"> </w:t>
            </w:r>
            <w:r w:rsidRPr="00B03240">
              <w:rPr>
                <w:rFonts w:cs="Arial"/>
                <w:sz w:val="22"/>
                <w:szCs w:val="22"/>
              </w:rPr>
              <w:t>making changes in treatment regimen, and each patient should</w:t>
            </w:r>
            <w:r w:rsidRPr="00B03240">
              <w:rPr>
                <w:rFonts w:cs="Arial"/>
                <w:sz w:val="22"/>
                <w:szCs w:val="22"/>
              </w:rPr>
              <w:t xml:space="preserve"> </w:t>
            </w:r>
            <w:r w:rsidRPr="00B03240">
              <w:rPr>
                <w:rFonts w:cs="Arial"/>
                <w:sz w:val="22"/>
                <w:szCs w:val="22"/>
              </w:rPr>
              <w:t>be thoroughly evaluated clinically before changes in treatment</w:t>
            </w:r>
            <w:r w:rsidRPr="00B03240">
              <w:rPr>
                <w:rFonts w:cs="Arial"/>
                <w:sz w:val="22"/>
                <w:szCs w:val="22"/>
              </w:rPr>
              <w:t xml:space="preserve"> </w:t>
            </w:r>
            <w:r w:rsidRPr="00B03240">
              <w:rPr>
                <w:rFonts w:cs="Arial"/>
                <w:sz w:val="22"/>
                <w:szCs w:val="22"/>
              </w:rPr>
              <w:t>regimens are made. Each institution should establish the optimal</w:t>
            </w:r>
            <w:r w:rsidRPr="00B03240">
              <w:rPr>
                <w:rFonts w:cs="Arial"/>
                <w:sz w:val="22"/>
                <w:szCs w:val="22"/>
              </w:rPr>
              <w:t xml:space="preserve"> </w:t>
            </w:r>
            <w:r w:rsidRPr="00B03240">
              <w:rPr>
                <w:rFonts w:cs="Arial"/>
                <w:sz w:val="22"/>
                <w:szCs w:val="22"/>
              </w:rPr>
              <w:t>ranges based on the specific assay used and other factors</w:t>
            </w:r>
            <w:r w:rsidRPr="00B03240">
              <w:rPr>
                <w:rFonts w:cs="Arial"/>
                <w:sz w:val="22"/>
                <w:szCs w:val="22"/>
              </w:rPr>
              <w:t xml:space="preserve"> </w:t>
            </w:r>
            <w:r w:rsidRPr="00B03240">
              <w:rPr>
                <w:rFonts w:cs="Arial"/>
                <w:sz w:val="22"/>
                <w:szCs w:val="22"/>
              </w:rPr>
              <w:t>relevant to their patient population prior to reporting patient results.</w:t>
            </w:r>
          </w:p>
          <w:p w:rsidR="00F81F86" w:rsidRPr="00B03240" w:rsidRDefault="00F81F86" w:rsidP="00F81F86">
            <w:pPr>
              <w:pStyle w:val="ListParagraph"/>
              <w:ind w:left="360"/>
              <w:rPr>
                <w:rFonts w:cs="Arial"/>
                <w:sz w:val="22"/>
                <w:szCs w:val="22"/>
              </w:rPr>
            </w:pPr>
          </w:p>
          <w:p w:rsidR="00F81F86" w:rsidRPr="00B03240" w:rsidRDefault="00F81F86" w:rsidP="00F81F86">
            <w:pPr>
              <w:pStyle w:val="ListParagraph"/>
              <w:numPr>
                <w:ilvl w:val="0"/>
                <w:numId w:val="38"/>
              </w:numPr>
              <w:rPr>
                <w:rFonts w:cs="Arial"/>
                <w:sz w:val="22"/>
                <w:szCs w:val="22"/>
              </w:rPr>
            </w:pPr>
            <w:r w:rsidRPr="00B03240">
              <w:rPr>
                <w:rFonts w:cs="Arial"/>
                <w:sz w:val="22"/>
                <w:szCs w:val="22"/>
              </w:rPr>
              <w:t>F</w:t>
            </w:r>
            <w:r w:rsidRPr="00B03240">
              <w:rPr>
                <w:rFonts w:cs="Arial"/>
                <w:sz w:val="22"/>
                <w:szCs w:val="22"/>
              </w:rPr>
              <w:t>or diagnostic purposes, results should be used in conjunction</w:t>
            </w:r>
            <w:r w:rsidRPr="00B03240">
              <w:rPr>
                <w:rFonts w:cs="Arial"/>
                <w:sz w:val="22"/>
                <w:szCs w:val="22"/>
              </w:rPr>
              <w:t xml:space="preserve"> </w:t>
            </w:r>
            <w:r w:rsidRPr="00B03240">
              <w:rPr>
                <w:rFonts w:cs="Arial"/>
                <w:sz w:val="22"/>
                <w:szCs w:val="22"/>
              </w:rPr>
              <w:t>with other data; e.g., symptoms, results of other tests, and</w:t>
            </w:r>
            <w:r w:rsidRPr="00B03240">
              <w:rPr>
                <w:rFonts w:cs="Arial"/>
                <w:sz w:val="22"/>
                <w:szCs w:val="22"/>
              </w:rPr>
              <w:t xml:space="preserve"> </w:t>
            </w:r>
            <w:r w:rsidRPr="00B03240">
              <w:rPr>
                <w:rFonts w:cs="Arial"/>
                <w:sz w:val="22"/>
                <w:szCs w:val="22"/>
              </w:rPr>
              <w:t>clinical impressions.</w:t>
            </w:r>
          </w:p>
          <w:p w:rsidR="00F81F86" w:rsidRPr="00B03240" w:rsidRDefault="00F81F86" w:rsidP="00F81F86">
            <w:pPr>
              <w:pStyle w:val="ListParagraph"/>
              <w:ind w:left="360"/>
              <w:rPr>
                <w:rFonts w:cs="Arial"/>
                <w:sz w:val="22"/>
                <w:szCs w:val="22"/>
              </w:rPr>
            </w:pPr>
          </w:p>
          <w:p w:rsidR="00F81F86" w:rsidRPr="00B03240" w:rsidRDefault="00F81F86" w:rsidP="00F81F86">
            <w:pPr>
              <w:pStyle w:val="ListParagraph"/>
              <w:numPr>
                <w:ilvl w:val="0"/>
                <w:numId w:val="38"/>
              </w:numPr>
              <w:rPr>
                <w:rFonts w:cs="Arial"/>
                <w:sz w:val="22"/>
                <w:szCs w:val="22"/>
              </w:rPr>
            </w:pPr>
            <w:r w:rsidRPr="00B03240">
              <w:rPr>
                <w:rFonts w:cs="Arial"/>
                <w:sz w:val="22"/>
                <w:szCs w:val="22"/>
              </w:rPr>
              <w:t xml:space="preserve"> If the sirolimus results are inconsistent with clinical evidence,</w:t>
            </w:r>
            <w:r w:rsidRPr="00B03240">
              <w:rPr>
                <w:rFonts w:cs="Arial"/>
                <w:sz w:val="22"/>
                <w:szCs w:val="22"/>
              </w:rPr>
              <w:t xml:space="preserve"> </w:t>
            </w:r>
            <w:r w:rsidRPr="00B03240">
              <w:rPr>
                <w:rFonts w:cs="Arial"/>
                <w:sz w:val="22"/>
                <w:szCs w:val="22"/>
              </w:rPr>
              <w:t>additional testing is recommended.</w:t>
            </w:r>
          </w:p>
          <w:p w:rsidR="00F81F86" w:rsidRPr="00B03240" w:rsidRDefault="00F81F86" w:rsidP="00F81F86">
            <w:pPr>
              <w:pStyle w:val="ListParagraph"/>
              <w:ind w:left="360"/>
              <w:rPr>
                <w:rFonts w:cs="Arial"/>
                <w:sz w:val="22"/>
                <w:szCs w:val="22"/>
              </w:rPr>
            </w:pPr>
          </w:p>
          <w:p w:rsidR="00F81F86" w:rsidRPr="00B03240" w:rsidRDefault="00F81F86" w:rsidP="00F81F86">
            <w:pPr>
              <w:pStyle w:val="ListParagraph"/>
              <w:numPr>
                <w:ilvl w:val="0"/>
                <w:numId w:val="38"/>
              </w:numPr>
              <w:rPr>
                <w:rFonts w:cs="Arial"/>
                <w:sz w:val="22"/>
                <w:szCs w:val="22"/>
              </w:rPr>
            </w:pPr>
            <w:r w:rsidRPr="00B03240">
              <w:rPr>
                <w:rFonts w:cs="Arial"/>
                <w:sz w:val="22"/>
                <w:szCs w:val="22"/>
              </w:rPr>
              <w:t>The concentration of sirolimus in a given specimen determined</w:t>
            </w:r>
            <w:r w:rsidRPr="00B03240">
              <w:rPr>
                <w:rFonts w:cs="Arial"/>
                <w:sz w:val="22"/>
                <w:szCs w:val="22"/>
              </w:rPr>
              <w:t xml:space="preserve"> </w:t>
            </w:r>
            <w:r w:rsidRPr="00B03240">
              <w:rPr>
                <w:rFonts w:cs="Arial"/>
                <w:sz w:val="22"/>
                <w:szCs w:val="22"/>
              </w:rPr>
              <w:t>with assays from different manufacturers can vary due to</w:t>
            </w:r>
            <w:r w:rsidRPr="00B03240">
              <w:rPr>
                <w:rFonts w:cs="Arial"/>
                <w:sz w:val="22"/>
                <w:szCs w:val="22"/>
              </w:rPr>
              <w:t xml:space="preserve"> </w:t>
            </w:r>
            <w:r w:rsidRPr="00B03240">
              <w:rPr>
                <w:rFonts w:cs="Arial"/>
                <w:sz w:val="22"/>
                <w:szCs w:val="22"/>
              </w:rPr>
              <w:t>differences in assay methods and reagent specificity</w:t>
            </w:r>
          </w:p>
          <w:p w:rsidR="00F81F86" w:rsidRPr="00B03240" w:rsidRDefault="00F81F86" w:rsidP="00F81F86">
            <w:pPr>
              <w:pStyle w:val="ListParagraph"/>
              <w:ind w:left="360"/>
              <w:rPr>
                <w:rFonts w:cs="Arial"/>
                <w:sz w:val="22"/>
                <w:szCs w:val="22"/>
              </w:rPr>
            </w:pPr>
          </w:p>
          <w:p w:rsidR="003C3C1E" w:rsidRPr="00B03240" w:rsidRDefault="00F81F86" w:rsidP="003C3C1E">
            <w:pPr>
              <w:pStyle w:val="ListParagraph"/>
              <w:numPr>
                <w:ilvl w:val="0"/>
                <w:numId w:val="38"/>
              </w:numPr>
              <w:rPr>
                <w:rFonts w:cs="Arial"/>
                <w:sz w:val="22"/>
                <w:szCs w:val="22"/>
              </w:rPr>
            </w:pPr>
            <w:r w:rsidRPr="00B03240">
              <w:rPr>
                <w:rFonts w:cs="Arial"/>
                <w:sz w:val="22"/>
                <w:szCs w:val="22"/>
              </w:rPr>
              <w:t>Immunoassays are nonspecific and cross-react with metabolites.</w:t>
            </w:r>
            <w:r w:rsidRPr="00B03240">
              <w:rPr>
                <w:rFonts w:cs="Arial"/>
                <w:sz w:val="22"/>
                <w:szCs w:val="22"/>
              </w:rPr>
              <w:t xml:space="preserve"> </w:t>
            </w:r>
            <w:r w:rsidRPr="00B03240">
              <w:rPr>
                <w:rFonts w:cs="Arial"/>
                <w:sz w:val="22"/>
                <w:szCs w:val="22"/>
              </w:rPr>
              <w:t>This cross-reactivity can lead to a positive bias in patient results</w:t>
            </w:r>
            <w:r w:rsidRPr="00B03240">
              <w:rPr>
                <w:rFonts w:cs="Arial"/>
                <w:sz w:val="22"/>
                <w:szCs w:val="22"/>
              </w:rPr>
              <w:t xml:space="preserve"> </w:t>
            </w:r>
            <w:r w:rsidRPr="00B03240">
              <w:rPr>
                <w:rFonts w:cs="Arial"/>
                <w:sz w:val="22"/>
                <w:szCs w:val="22"/>
              </w:rPr>
              <w:t>when compared with methods that are specific for the parent</w:t>
            </w:r>
            <w:r w:rsidRPr="00B03240">
              <w:rPr>
                <w:rFonts w:cs="Arial"/>
                <w:sz w:val="22"/>
                <w:szCs w:val="22"/>
              </w:rPr>
              <w:t xml:space="preserve"> </w:t>
            </w:r>
            <w:r w:rsidRPr="00B03240">
              <w:rPr>
                <w:rFonts w:cs="Arial"/>
                <w:sz w:val="22"/>
                <w:szCs w:val="22"/>
              </w:rPr>
              <w:t>molecule (e.g. Liquid Chromatography Mass Spectrometry/</w:t>
            </w:r>
            <w:r w:rsidRPr="00B03240">
              <w:rPr>
                <w:rFonts w:cs="Arial"/>
                <w:sz w:val="22"/>
                <w:szCs w:val="22"/>
              </w:rPr>
              <w:t xml:space="preserve"> </w:t>
            </w:r>
            <w:r w:rsidRPr="00B03240">
              <w:rPr>
                <w:rFonts w:cs="Arial"/>
                <w:sz w:val="22"/>
                <w:szCs w:val="22"/>
              </w:rPr>
              <w:t>Mass Spectrometry [LC/MS/MS]). Refer to the SPECIFIC</w:t>
            </w:r>
            <w:r w:rsidRPr="00B03240">
              <w:rPr>
                <w:rFonts w:cs="Arial"/>
                <w:sz w:val="22"/>
                <w:szCs w:val="22"/>
              </w:rPr>
              <w:t xml:space="preserve"> </w:t>
            </w:r>
            <w:r w:rsidRPr="00B03240">
              <w:rPr>
                <w:rFonts w:cs="Arial"/>
                <w:sz w:val="22"/>
                <w:szCs w:val="22"/>
              </w:rPr>
              <w:t>PERFORMANCE CHARACTERISTICS, Specificity section</w:t>
            </w:r>
            <w:r w:rsidR="003C3C1E" w:rsidRPr="00B03240">
              <w:rPr>
                <w:rFonts w:cs="Arial"/>
                <w:sz w:val="22"/>
                <w:szCs w:val="22"/>
              </w:rPr>
              <w:t xml:space="preserve"> of the package insert</w:t>
            </w:r>
            <w:r w:rsidRPr="00B03240">
              <w:rPr>
                <w:rFonts w:cs="Arial"/>
                <w:sz w:val="22"/>
                <w:szCs w:val="22"/>
              </w:rPr>
              <w:t xml:space="preserve"> for</w:t>
            </w:r>
            <w:r w:rsidRPr="00B03240">
              <w:rPr>
                <w:rFonts w:cs="Arial"/>
                <w:sz w:val="22"/>
                <w:szCs w:val="22"/>
              </w:rPr>
              <w:t xml:space="preserve"> </w:t>
            </w:r>
            <w:r w:rsidRPr="00B03240">
              <w:rPr>
                <w:rFonts w:cs="Arial"/>
                <w:sz w:val="22"/>
                <w:szCs w:val="22"/>
              </w:rPr>
              <w:t xml:space="preserve">estimates of cross-reactivity of </w:t>
            </w:r>
            <w:r w:rsidR="003C3C1E" w:rsidRPr="00B03240">
              <w:rPr>
                <w:rFonts w:cs="Arial"/>
                <w:sz w:val="22"/>
                <w:szCs w:val="22"/>
              </w:rPr>
              <w:t>ALINITY</w:t>
            </w:r>
            <w:r w:rsidRPr="00B03240">
              <w:rPr>
                <w:rFonts w:cs="Arial"/>
                <w:sz w:val="22"/>
                <w:szCs w:val="22"/>
              </w:rPr>
              <w:t xml:space="preserve"> Sirolimus to some</w:t>
            </w:r>
            <w:r w:rsidR="003C3C1E" w:rsidRPr="00B03240">
              <w:rPr>
                <w:rFonts w:cs="Arial"/>
                <w:sz w:val="22"/>
                <w:szCs w:val="22"/>
              </w:rPr>
              <w:t xml:space="preserve"> </w:t>
            </w:r>
            <w:r w:rsidRPr="00B03240">
              <w:rPr>
                <w:rFonts w:cs="Arial"/>
                <w:sz w:val="22"/>
                <w:szCs w:val="22"/>
              </w:rPr>
              <w:t xml:space="preserve">metabolites of sirolimus. </w:t>
            </w:r>
          </w:p>
          <w:p w:rsidR="00F81F86" w:rsidRPr="00F81F86" w:rsidRDefault="00F81F86" w:rsidP="003C3C1E">
            <w:pPr>
              <w:pStyle w:val="ListParagraph"/>
              <w:ind w:left="360"/>
              <w:rPr>
                <w:rFonts w:cs="Arial"/>
              </w:rPr>
            </w:pPr>
          </w:p>
        </w:tc>
      </w:tr>
      <w:tr w:rsidR="003E58E6" w:rsidRPr="00F116E4" w:rsidTr="003E58E6">
        <w:trPr>
          <w:cantSplit/>
        </w:trPr>
        <w:tc>
          <w:tcPr>
            <w:tcW w:w="1800" w:type="dxa"/>
            <w:tcBorders>
              <w:top w:val="nil"/>
              <w:left w:val="nil"/>
              <w:bottom w:val="nil"/>
              <w:right w:val="nil"/>
            </w:tcBorders>
          </w:tcPr>
          <w:p w:rsidR="003E58E6" w:rsidRPr="00F116E4" w:rsidRDefault="003E58E6" w:rsidP="007C3E34">
            <w:pPr>
              <w:jc w:val="left"/>
              <w:rPr>
                <w:rFonts w:ascii="Arial" w:hAnsi="Arial" w:cs="Arial"/>
                <w:sz w:val="20"/>
              </w:rPr>
            </w:pPr>
          </w:p>
          <w:p w:rsidR="003E58E6" w:rsidRPr="00F116E4" w:rsidRDefault="003E58E6" w:rsidP="007C3E34">
            <w:pPr>
              <w:pStyle w:val="BodyText3"/>
              <w:jc w:val="left"/>
              <w:rPr>
                <w:rFonts w:ascii="Arial" w:hAnsi="Arial" w:cs="Arial"/>
                <w:sz w:val="20"/>
              </w:rPr>
            </w:pPr>
            <w:r w:rsidRPr="00F116E4">
              <w:rPr>
                <w:rFonts w:ascii="Arial" w:hAnsi="Arial" w:cs="Arial"/>
                <w:sz w:val="20"/>
              </w:rPr>
              <w:t>Dilutions</w:t>
            </w:r>
          </w:p>
          <w:p w:rsidR="003E58E6" w:rsidRPr="00F116E4" w:rsidRDefault="003E58E6" w:rsidP="007C3E34">
            <w:pPr>
              <w:jc w:val="left"/>
              <w:rPr>
                <w:rFonts w:ascii="Arial" w:hAnsi="Arial" w:cs="Arial"/>
                <w:sz w:val="20"/>
              </w:rPr>
            </w:pPr>
          </w:p>
        </w:tc>
        <w:tc>
          <w:tcPr>
            <w:tcW w:w="9360" w:type="dxa"/>
            <w:tcBorders>
              <w:top w:val="single" w:sz="4" w:space="0" w:color="auto"/>
              <w:left w:val="nil"/>
              <w:bottom w:val="single" w:sz="4" w:space="0" w:color="auto"/>
              <w:right w:val="nil"/>
            </w:tcBorders>
          </w:tcPr>
          <w:p w:rsidR="003E58E6" w:rsidRPr="00980F46" w:rsidRDefault="003E58E6" w:rsidP="007C3E34">
            <w:pPr>
              <w:pStyle w:val="Heading"/>
              <w:jc w:val="left"/>
              <w:rPr>
                <w:rFonts w:ascii="Arial" w:hAnsi="Arial"/>
                <w:b w:val="0"/>
                <w:bCs w:val="0"/>
                <w:iCs/>
                <w:sz w:val="22"/>
                <w:szCs w:val="22"/>
              </w:rPr>
            </w:pPr>
          </w:p>
          <w:p w:rsidR="003E58E6" w:rsidRPr="00980F46" w:rsidRDefault="00B03240" w:rsidP="007C3E34">
            <w:pPr>
              <w:jc w:val="left"/>
              <w:rPr>
                <w:rFonts w:ascii="Arial" w:hAnsi="Arial" w:cs="Arial"/>
                <w:szCs w:val="22"/>
              </w:rPr>
            </w:pPr>
            <w:r>
              <w:rPr>
                <w:rFonts w:ascii="Arial" w:hAnsi="Arial" w:cs="Arial"/>
                <w:szCs w:val="22"/>
              </w:rPr>
              <w:t xml:space="preserve">Samples &gt;30.0 may be diluted 1:2 with Calibrator A.  </w:t>
            </w:r>
          </w:p>
          <w:p w:rsidR="003E58E6" w:rsidRPr="00980F46" w:rsidRDefault="003E58E6" w:rsidP="007C3E34">
            <w:pPr>
              <w:jc w:val="left"/>
              <w:rPr>
                <w:rFonts w:ascii="Arial" w:hAnsi="Arial" w:cs="Arial"/>
                <w:szCs w:val="22"/>
              </w:rPr>
            </w:pPr>
          </w:p>
        </w:tc>
      </w:tr>
      <w:tr w:rsidR="003E58E6" w:rsidRPr="00F116E4" w:rsidTr="003E58E6">
        <w:trPr>
          <w:cantSplit/>
        </w:trPr>
        <w:tc>
          <w:tcPr>
            <w:tcW w:w="1800" w:type="dxa"/>
            <w:tcBorders>
              <w:top w:val="nil"/>
              <w:left w:val="nil"/>
              <w:bottom w:val="nil"/>
              <w:right w:val="nil"/>
            </w:tcBorders>
          </w:tcPr>
          <w:p w:rsidR="003E58E6" w:rsidRPr="00F116E4" w:rsidRDefault="003E58E6" w:rsidP="007C3E34">
            <w:pPr>
              <w:jc w:val="left"/>
              <w:rPr>
                <w:rFonts w:ascii="Arial" w:hAnsi="Arial" w:cs="Arial"/>
                <w:b/>
                <w:bCs/>
                <w:color w:val="0000FF"/>
                <w:sz w:val="20"/>
              </w:rPr>
            </w:pPr>
          </w:p>
          <w:p w:rsidR="003E58E6" w:rsidRPr="00F116E4" w:rsidRDefault="003E58E6" w:rsidP="007C3E34">
            <w:pPr>
              <w:jc w:val="left"/>
              <w:rPr>
                <w:rFonts w:ascii="Arial" w:hAnsi="Arial" w:cs="Arial"/>
                <w:b/>
                <w:bCs/>
                <w:color w:val="0000FF"/>
                <w:sz w:val="20"/>
              </w:rPr>
            </w:pPr>
            <w:r w:rsidRPr="00F116E4">
              <w:rPr>
                <w:rFonts w:ascii="Arial" w:hAnsi="Arial" w:cs="Arial"/>
                <w:b/>
                <w:bCs/>
                <w:color w:val="0000FF"/>
                <w:sz w:val="20"/>
              </w:rPr>
              <w:t>Result Reporting</w:t>
            </w:r>
          </w:p>
          <w:p w:rsidR="003E58E6" w:rsidRPr="00F116E4" w:rsidRDefault="003E58E6" w:rsidP="007C3E34">
            <w:pPr>
              <w:jc w:val="left"/>
              <w:rPr>
                <w:rFonts w:ascii="Arial" w:hAnsi="Arial" w:cs="Arial"/>
                <w:b/>
                <w:bCs/>
                <w:sz w:val="20"/>
              </w:rPr>
            </w:pPr>
          </w:p>
        </w:tc>
        <w:tc>
          <w:tcPr>
            <w:tcW w:w="9360" w:type="dxa"/>
            <w:tcBorders>
              <w:left w:val="nil"/>
              <w:right w:val="nil"/>
            </w:tcBorders>
          </w:tcPr>
          <w:p w:rsidR="003E58E6" w:rsidRPr="00980F46" w:rsidRDefault="003E58E6" w:rsidP="00980F46">
            <w:pPr>
              <w:pStyle w:val="ListParagraph"/>
              <w:numPr>
                <w:ilvl w:val="0"/>
                <w:numId w:val="48"/>
              </w:numPr>
              <w:rPr>
                <w:rFonts w:cs="Arial"/>
                <w:iCs/>
                <w:sz w:val="22"/>
                <w:szCs w:val="22"/>
              </w:rPr>
            </w:pPr>
            <w:r w:rsidRPr="00980F46">
              <w:rPr>
                <w:rFonts w:cs="Arial"/>
                <w:iCs/>
                <w:sz w:val="22"/>
                <w:szCs w:val="22"/>
              </w:rPr>
              <w:t>Results &lt;2.0 ng/mL will be reported as &lt;2.0 ng/mL</w:t>
            </w:r>
          </w:p>
          <w:p w:rsidR="003E58E6" w:rsidRDefault="003E58E6" w:rsidP="00E5309C">
            <w:pPr>
              <w:pStyle w:val="ListParagraph"/>
              <w:numPr>
                <w:ilvl w:val="0"/>
                <w:numId w:val="48"/>
              </w:numPr>
              <w:rPr>
                <w:rFonts w:cs="Arial"/>
                <w:iCs/>
                <w:sz w:val="22"/>
                <w:szCs w:val="22"/>
              </w:rPr>
            </w:pPr>
            <w:r w:rsidRPr="00980F46">
              <w:rPr>
                <w:rFonts w:cs="Arial"/>
                <w:iCs/>
                <w:sz w:val="22"/>
                <w:szCs w:val="22"/>
              </w:rPr>
              <w:t>Results &gt;30.0 ng/</w:t>
            </w:r>
            <w:r w:rsidR="00B03240">
              <w:rPr>
                <w:rFonts w:cs="Arial"/>
                <w:iCs/>
                <w:sz w:val="22"/>
                <w:szCs w:val="22"/>
              </w:rPr>
              <w:t>mL may be manually diluted 1:2 and reported as the numerical value if below 60.0.  Results &gt;60.0 after dilution will be reported as &gt;60.0.</w:t>
            </w:r>
          </w:p>
          <w:p w:rsidR="005853E5" w:rsidRDefault="005853E5" w:rsidP="00E5309C">
            <w:pPr>
              <w:pStyle w:val="ListParagraph"/>
              <w:numPr>
                <w:ilvl w:val="0"/>
                <w:numId w:val="48"/>
              </w:numPr>
              <w:rPr>
                <w:rFonts w:cs="Arial"/>
                <w:iCs/>
                <w:sz w:val="22"/>
                <w:szCs w:val="22"/>
              </w:rPr>
            </w:pPr>
            <w:r>
              <w:rPr>
                <w:rFonts w:cs="Arial"/>
                <w:iCs/>
                <w:sz w:val="22"/>
                <w:szCs w:val="22"/>
              </w:rPr>
              <w:t>Occ</w:t>
            </w:r>
            <w:r w:rsidR="00D32F0A">
              <w:rPr>
                <w:rFonts w:cs="Arial"/>
                <w:iCs/>
                <w:sz w:val="22"/>
                <w:szCs w:val="22"/>
              </w:rPr>
              <w:t>asionally, the provider may request</w:t>
            </w:r>
            <w:r>
              <w:rPr>
                <w:rFonts w:cs="Arial"/>
                <w:iCs/>
                <w:sz w:val="22"/>
                <w:szCs w:val="22"/>
              </w:rPr>
              <w:t xml:space="preserve"> results between 1.0 and 2.0 ng/mL.</w:t>
            </w:r>
            <w:r w:rsidR="00F81F86">
              <w:rPr>
                <w:rFonts w:cs="Arial"/>
                <w:iCs/>
                <w:sz w:val="22"/>
                <w:szCs w:val="22"/>
              </w:rPr>
              <w:t xml:space="preserve">  Send these samples to Mayo for analysis by Mass Spectrometry.</w:t>
            </w:r>
          </w:p>
          <w:p w:rsidR="005853E5" w:rsidRPr="00980F46" w:rsidRDefault="005853E5" w:rsidP="005853E5">
            <w:pPr>
              <w:pStyle w:val="ListParagraph"/>
              <w:ind w:left="360"/>
              <w:rPr>
                <w:rFonts w:cs="Arial"/>
                <w:iCs/>
                <w:sz w:val="22"/>
                <w:szCs w:val="22"/>
              </w:rPr>
            </w:pPr>
          </w:p>
        </w:tc>
      </w:tr>
      <w:tr w:rsidR="003E58E6" w:rsidRPr="00F116E4" w:rsidTr="00B03240">
        <w:trPr>
          <w:cantSplit/>
        </w:trPr>
        <w:tc>
          <w:tcPr>
            <w:tcW w:w="1800" w:type="dxa"/>
            <w:tcBorders>
              <w:top w:val="nil"/>
              <w:left w:val="nil"/>
              <w:bottom w:val="nil"/>
              <w:right w:val="nil"/>
            </w:tcBorders>
          </w:tcPr>
          <w:p w:rsidR="003E58E6" w:rsidRPr="00F116E4" w:rsidRDefault="003E58E6" w:rsidP="007C3E34">
            <w:pPr>
              <w:jc w:val="left"/>
              <w:rPr>
                <w:rFonts w:ascii="Arial" w:hAnsi="Arial" w:cs="Arial"/>
                <w:b/>
                <w:bCs/>
                <w:color w:val="0000FF"/>
                <w:sz w:val="20"/>
              </w:rPr>
            </w:pPr>
          </w:p>
          <w:p w:rsidR="003E58E6" w:rsidRPr="00F116E4" w:rsidRDefault="003E58E6" w:rsidP="007C3E34">
            <w:pPr>
              <w:jc w:val="left"/>
              <w:rPr>
                <w:rFonts w:ascii="Arial" w:hAnsi="Arial" w:cs="Arial"/>
                <w:b/>
                <w:bCs/>
                <w:color w:val="0000FF"/>
                <w:sz w:val="20"/>
              </w:rPr>
            </w:pPr>
            <w:r w:rsidRPr="00F116E4">
              <w:rPr>
                <w:rFonts w:ascii="Arial" w:hAnsi="Arial" w:cs="Arial"/>
                <w:b/>
                <w:bCs/>
                <w:color w:val="0000FF"/>
                <w:sz w:val="20"/>
              </w:rPr>
              <w:t>Specimen Storage</w:t>
            </w:r>
          </w:p>
        </w:tc>
        <w:tc>
          <w:tcPr>
            <w:tcW w:w="9360" w:type="dxa"/>
            <w:tcBorders>
              <w:left w:val="nil"/>
              <w:bottom w:val="single" w:sz="4" w:space="0" w:color="auto"/>
              <w:right w:val="nil"/>
            </w:tcBorders>
          </w:tcPr>
          <w:p w:rsidR="003E58E6" w:rsidRDefault="003E58E6" w:rsidP="00D32F0A">
            <w:pPr>
              <w:jc w:val="left"/>
              <w:rPr>
                <w:rFonts w:ascii="Arial" w:hAnsi="Arial" w:cs="Arial"/>
                <w:szCs w:val="22"/>
              </w:rPr>
            </w:pPr>
            <w:r w:rsidRPr="00E5309C">
              <w:rPr>
                <w:rFonts w:ascii="Arial" w:hAnsi="Arial" w:cs="Arial"/>
                <w:szCs w:val="22"/>
              </w:rPr>
              <w:t>Pretreated samples will be discarded once the samples are resulted.</w:t>
            </w:r>
            <w:r w:rsidR="00D32F0A">
              <w:rPr>
                <w:rFonts w:ascii="Arial" w:hAnsi="Arial" w:cs="Arial"/>
                <w:szCs w:val="22"/>
              </w:rPr>
              <w:t xml:space="preserve">  </w:t>
            </w:r>
            <w:r w:rsidRPr="00E5309C">
              <w:rPr>
                <w:rFonts w:ascii="Arial" w:hAnsi="Arial" w:cs="Arial"/>
                <w:szCs w:val="22"/>
              </w:rPr>
              <w:t>To repeat tes</w:t>
            </w:r>
            <w:r w:rsidR="00D32F0A">
              <w:rPr>
                <w:rFonts w:ascii="Arial" w:hAnsi="Arial" w:cs="Arial"/>
                <w:szCs w:val="22"/>
              </w:rPr>
              <w:t>ting, sample must be undergo the entire precipitation process</w:t>
            </w:r>
            <w:r w:rsidRPr="00E5309C">
              <w:rPr>
                <w:rFonts w:ascii="Arial" w:hAnsi="Arial" w:cs="Arial"/>
                <w:szCs w:val="22"/>
              </w:rPr>
              <w:t xml:space="preserve">. </w:t>
            </w:r>
            <w:r w:rsidR="00D32F0A">
              <w:rPr>
                <w:rFonts w:ascii="Arial" w:hAnsi="Arial" w:cs="Arial"/>
                <w:szCs w:val="22"/>
              </w:rPr>
              <w:t>The original w</w:t>
            </w:r>
            <w:r w:rsidRPr="00E5309C">
              <w:rPr>
                <w:rFonts w:ascii="Arial" w:hAnsi="Arial" w:cs="Arial"/>
                <w:szCs w:val="22"/>
              </w:rPr>
              <w:t>hole blood samples will be stored in the freezer for 7 days.</w:t>
            </w:r>
          </w:p>
          <w:p w:rsidR="00B03240" w:rsidRPr="00E5309C" w:rsidRDefault="00B03240" w:rsidP="00D32F0A">
            <w:pPr>
              <w:jc w:val="left"/>
              <w:rPr>
                <w:rFonts w:ascii="Arial" w:hAnsi="Arial" w:cs="Arial"/>
                <w:szCs w:val="22"/>
              </w:rPr>
            </w:pPr>
          </w:p>
        </w:tc>
      </w:tr>
      <w:tr w:rsidR="003E58E6" w:rsidRPr="00F116E4" w:rsidTr="00B03240">
        <w:trPr>
          <w:cantSplit/>
          <w:trHeight w:val="1592"/>
        </w:trPr>
        <w:tc>
          <w:tcPr>
            <w:tcW w:w="1800" w:type="dxa"/>
            <w:tcBorders>
              <w:left w:val="nil"/>
              <w:right w:val="nil"/>
            </w:tcBorders>
          </w:tcPr>
          <w:p w:rsidR="003E58E6" w:rsidRPr="00F116E4" w:rsidRDefault="003E58E6" w:rsidP="007C3E34">
            <w:pPr>
              <w:jc w:val="left"/>
              <w:rPr>
                <w:rFonts w:ascii="Arial" w:hAnsi="Arial" w:cs="Arial"/>
                <w:b/>
                <w:bCs/>
                <w:sz w:val="20"/>
              </w:rPr>
            </w:pPr>
          </w:p>
          <w:p w:rsidR="003E58E6" w:rsidRPr="00F116E4" w:rsidRDefault="003E58E6" w:rsidP="007C3E34">
            <w:pPr>
              <w:jc w:val="left"/>
              <w:rPr>
                <w:rFonts w:ascii="Arial" w:hAnsi="Arial" w:cs="Arial"/>
                <w:b/>
                <w:bCs/>
                <w:color w:val="0000FF"/>
                <w:sz w:val="20"/>
              </w:rPr>
            </w:pPr>
            <w:r w:rsidRPr="00F116E4">
              <w:rPr>
                <w:rFonts w:ascii="Arial" w:hAnsi="Arial" w:cs="Arial"/>
                <w:b/>
                <w:bCs/>
                <w:color w:val="0000FF"/>
                <w:sz w:val="20"/>
              </w:rPr>
              <w:t>References</w:t>
            </w:r>
          </w:p>
        </w:tc>
        <w:tc>
          <w:tcPr>
            <w:tcW w:w="9360" w:type="dxa"/>
            <w:tcBorders>
              <w:top w:val="single" w:sz="4" w:space="0" w:color="auto"/>
              <w:left w:val="nil"/>
              <w:bottom w:val="single" w:sz="4" w:space="0" w:color="auto"/>
              <w:right w:val="nil"/>
            </w:tcBorders>
          </w:tcPr>
          <w:p w:rsidR="003E58E6" w:rsidRPr="007B5716" w:rsidRDefault="003E58E6" w:rsidP="007C3E34">
            <w:pPr>
              <w:jc w:val="left"/>
              <w:rPr>
                <w:rFonts w:ascii="Arial" w:hAnsi="Arial" w:cs="Arial"/>
                <w:iCs/>
                <w:szCs w:val="22"/>
              </w:rPr>
            </w:pPr>
          </w:p>
          <w:p w:rsidR="003E58E6" w:rsidRPr="007B5716" w:rsidRDefault="00CF22A0" w:rsidP="00BD2F58">
            <w:pPr>
              <w:pStyle w:val="ListParagraph"/>
              <w:numPr>
                <w:ilvl w:val="0"/>
                <w:numId w:val="46"/>
              </w:numPr>
              <w:rPr>
                <w:rFonts w:cs="Arial"/>
                <w:sz w:val="22"/>
                <w:szCs w:val="22"/>
              </w:rPr>
            </w:pPr>
            <w:r>
              <w:rPr>
                <w:rFonts w:cs="Arial"/>
                <w:sz w:val="22"/>
                <w:szCs w:val="22"/>
              </w:rPr>
              <w:t>ABBOTT ARCHITECT Sirolimus</w:t>
            </w:r>
            <w:r w:rsidR="003E58E6" w:rsidRPr="007B5716">
              <w:rPr>
                <w:rFonts w:cs="Arial"/>
                <w:sz w:val="22"/>
                <w:szCs w:val="22"/>
              </w:rPr>
              <w:t xml:space="preserve"> package insert. Abbott Laboratories Diagnostics Division Abbott Park, I</w:t>
            </w:r>
            <w:r>
              <w:rPr>
                <w:rFonts w:cs="Arial"/>
                <w:sz w:val="22"/>
                <w:szCs w:val="22"/>
              </w:rPr>
              <w:t>L  60064. Revised August 2019</w:t>
            </w:r>
            <w:r w:rsidR="003E58E6" w:rsidRPr="007B5716">
              <w:rPr>
                <w:rFonts w:cs="Arial"/>
                <w:sz w:val="22"/>
                <w:szCs w:val="22"/>
              </w:rPr>
              <w:t>.</w:t>
            </w:r>
          </w:p>
          <w:p w:rsidR="003E58E6" w:rsidRPr="007B5716" w:rsidRDefault="00CF22A0" w:rsidP="00BD2F58">
            <w:pPr>
              <w:pStyle w:val="ListParagraph"/>
              <w:numPr>
                <w:ilvl w:val="0"/>
                <w:numId w:val="46"/>
              </w:numPr>
              <w:rPr>
                <w:rFonts w:cs="Arial"/>
                <w:sz w:val="22"/>
                <w:szCs w:val="22"/>
              </w:rPr>
            </w:pPr>
            <w:r>
              <w:rPr>
                <w:rFonts w:cs="Arial"/>
                <w:sz w:val="22"/>
                <w:szCs w:val="22"/>
              </w:rPr>
              <w:t>ABBOTT ARCHITECT Sirolimus</w:t>
            </w:r>
            <w:r w:rsidR="003E58E6" w:rsidRPr="007B5716">
              <w:rPr>
                <w:rFonts w:cs="Arial"/>
                <w:sz w:val="22"/>
                <w:szCs w:val="22"/>
              </w:rPr>
              <w:t xml:space="preserve"> Calibrator package insert. Abbott Laboratories Diagnostics Division Abbott Park,</w:t>
            </w:r>
            <w:r>
              <w:rPr>
                <w:rFonts w:cs="Arial"/>
                <w:sz w:val="22"/>
                <w:szCs w:val="22"/>
              </w:rPr>
              <w:t xml:space="preserve"> IL  60064. Revised May 2019</w:t>
            </w:r>
            <w:r w:rsidR="003E58E6" w:rsidRPr="007B5716">
              <w:rPr>
                <w:rFonts w:cs="Arial"/>
                <w:sz w:val="22"/>
                <w:szCs w:val="22"/>
              </w:rPr>
              <w:t>.</w:t>
            </w:r>
          </w:p>
          <w:p w:rsidR="003E58E6" w:rsidRPr="00F81F86" w:rsidRDefault="003E58E6" w:rsidP="00980F46">
            <w:pPr>
              <w:pStyle w:val="ListParagraph"/>
              <w:numPr>
                <w:ilvl w:val="0"/>
                <w:numId w:val="46"/>
              </w:numPr>
              <w:rPr>
                <w:rFonts w:cs="Arial"/>
                <w:sz w:val="22"/>
                <w:szCs w:val="22"/>
              </w:rPr>
            </w:pPr>
            <w:r w:rsidRPr="007B5716">
              <w:rPr>
                <w:sz w:val="22"/>
                <w:szCs w:val="22"/>
              </w:rPr>
              <w:t>Bio-Rad Liqui</w:t>
            </w:r>
            <w:r w:rsidR="00D32F0A">
              <w:rPr>
                <w:sz w:val="22"/>
                <w:szCs w:val="22"/>
              </w:rPr>
              <w:t>chek Whole Blood Immunosuppressa</w:t>
            </w:r>
            <w:r w:rsidRPr="007B5716">
              <w:rPr>
                <w:sz w:val="22"/>
                <w:szCs w:val="22"/>
              </w:rPr>
              <w:t>nt Control Product Insert, Bio-Rad Laboratories, Irvine, CA 92618. Revised August 2018.</w:t>
            </w:r>
          </w:p>
          <w:p w:rsidR="00F81F86" w:rsidRPr="007B5716" w:rsidRDefault="00F81F86" w:rsidP="00F81F86">
            <w:pPr>
              <w:pStyle w:val="ListParagraph"/>
              <w:ind w:left="360"/>
              <w:rPr>
                <w:rFonts w:cs="Arial"/>
                <w:sz w:val="22"/>
                <w:szCs w:val="22"/>
              </w:rPr>
            </w:pPr>
          </w:p>
        </w:tc>
      </w:tr>
      <w:tr w:rsidR="007B5716" w:rsidRPr="00F116E4" w:rsidTr="00B03240">
        <w:trPr>
          <w:cantSplit/>
          <w:trHeight w:val="2476"/>
        </w:trPr>
        <w:tc>
          <w:tcPr>
            <w:tcW w:w="1800" w:type="dxa"/>
            <w:tcBorders>
              <w:left w:val="nil"/>
              <w:right w:val="nil"/>
            </w:tcBorders>
          </w:tcPr>
          <w:p w:rsidR="007B5716" w:rsidRPr="00F116E4" w:rsidRDefault="007B5716" w:rsidP="007C3E34">
            <w:pPr>
              <w:jc w:val="left"/>
              <w:rPr>
                <w:rFonts w:ascii="Arial" w:hAnsi="Arial" w:cs="Arial"/>
                <w:b/>
                <w:bCs/>
                <w:color w:val="3366FF"/>
                <w:sz w:val="20"/>
              </w:rPr>
            </w:pPr>
            <w:r w:rsidRPr="00F116E4">
              <w:rPr>
                <w:rFonts w:ascii="Arial" w:hAnsi="Arial" w:cs="Arial"/>
                <w:b/>
                <w:bCs/>
                <w:color w:val="0000FF"/>
                <w:sz w:val="20"/>
              </w:rPr>
              <w:lastRenderedPageBreak/>
              <w:t>Historical Record</w:t>
            </w:r>
          </w:p>
        </w:tc>
        <w:tc>
          <w:tcPr>
            <w:tcW w:w="9360" w:type="dxa"/>
            <w:tcBorders>
              <w:top w:val="single" w:sz="4" w:space="0" w:color="auto"/>
              <w:left w:val="nil"/>
              <w:right w:val="nil"/>
            </w:tcBorders>
          </w:tcPr>
          <w:p w:rsidR="007B5716" w:rsidRPr="007B5716" w:rsidRDefault="007B5716" w:rsidP="007C3E34">
            <w:pPr>
              <w:jc w:val="left"/>
              <w:rPr>
                <w:rFonts w:ascii="Arial" w:hAnsi="Arial" w:cs="Arial"/>
                <w:b/>
                <w:bCs/>
                <w:szCs w:val="22"/>
              </w:rPr>
            </w:pPr>
          </w:p>
          <w:tbl>
            <w:tblPr>
              <w:tblStyle w:val="TableGrid"/>
              <w:tblW w:w="0" w:type="auto"/>
              <w:tblLayout w:type="fixed"/>
              <w:tblLook w:val="04A0" w:firstRow="1" w:lastRow="0" w:firstColumn="1" w:lastColumn="0" w:noHBand="0" w:noVBand="1"/>
            </w:tblPr>
            <w:tblGrid>
              <w:gridCol w:w="1327"/>
              <w:gridCol w:w="2520"/>
              <w:gridCol w:w="2070"/>
              <w:gridCol w:w="3212"/>
            </w:tblGrid>
            <w:tr w:rsidR="007B5716" w:rsidRPr="007B5716" w:rsidTr="007B5716">
              <w:tc>
                <w:tcPr>
                  <w:tcW w:w="1327" w:type="dxa"/>
                </w:tcPr>
                <w:p w:rsidR="007B5716" w:rsidRPr="007B5716" w:rsidRDefault="007B5716" w:rsidP="007B5716">
                  <w:pPr>
                    <w:jc w:val="center"/>
                    <w:rPr>
                      <w:rFonts w:ascii="Arial" w:hAnsi="Arial" w:cs="Arial"/>
                      <w:b/>
                      <w:bCs/>
                      <w:szCs w:val="22"/>
                    </w:rPr>
                  </w:pPr>
                  <w:r w:rsidRPr="007B5716">
                    <w:rPr>
                      <w:rFonts w:ascii="Arial" w:hAnsi="Arial" w:cs="Arial"/>
                      <w:b/>
                      <w:bCs/>
                      <w:szCs w:val="22"/>
                    </w:rPr>
                    <w:t>Version</w:t>
                  </w:r>
                </w:p>
              </w:tc>
              <w:tc>
                <w:tcPr>
                  <w:tcW w:w="2520" w:type="dxa"/>
                </w:tcPr>
                <w:p w:rsidR="007B5716" w:rsidRPr="007B5716" w:rsidRDefault="007B5716" w:rsidP="007B5716">
                  <w:pPr>
                    <w:jc w:val="center"/>
                    <w:rPr>
                      <w:rFonts w:ascii="Arial" w:hAnsi="Arial" w:cs="Arial"/>
                      <w:b/>
                      <w:bCs/>
                      <w:szCs w:val="22"/>
                    </w:rPr>
                  </w:pPr>
                  <w:r w:rsidRPr="007B5716">
                    <w:rPr>
                      <w:rFonts w:ascii="Arial" w:hAnsi="Arial" w:cs="Arial"/>
                      <w:b/>
                      <w:bCs/>
                      <w:szCs w:val="22"/>
                    </w:rPr>
                    <w:t>Written/Reviewed by:</w:t>
                  </w:r>
                </w:p>
              </w:tc>
              <w:tc>
                <w:tcPr>
                  <w:tcW w:w="2070" w:type="dxa"/>
                </w:tcPr>
                <w:p w:rsidR="007B5716" w:rsidRPr="007B5716" w:rsidRDefault="007B5716" w:rsidP="007B5716">
                  <w:pPr>
                    <w:jc w:val="center"/>
                    <w:rPr>
                      <w:rFonts w:ascii="Arial" w:hAnsi="Arial" w:cs="Arial"/>
                      <w:b/>
                      <w:bCs/>
                      <w:szCs w:val="22"/>
                    </w:rPr>
                  </w:pPr>
                  <w:r w:rsidRPr="007B5716">
                    <w:rPr>
                      <w:rFonts w:ascii="Arial" w:hAnsi="Arial" w:cs="Arial"/>
                      <w:b/>
                      <w:bCs/>
                      <w:szCs w:val="22"/>
                    </w:rPr>
                    <w:t>Effective date</w:t>
                  </w:r>
                </w:p>
              </w:tc>
              <w:tc>
                <w:tcPr>
                  <w:tcW w:w="3212" w:type="dxa"/>
                </w:tcPr>
                <w:p w:rsidR="007B5716" w:rsidRPr="007B5716" w:rsidRDefault="007B5716" w:rsidP="007B5716">
                  <w:pPr>
                    <w:jc w:val="center"/>
                    <w:rPr>
                      <w:rFonts w:ascii="Arial" w:hAnsi="Arial" w:cs="Arial"/>
                      <w:b/>
                      <w:bCs/>
                      <w:szCs w:val="22"/>
                    </w:rPr>
                  </w:pPr>
                  <w:r w:rsidRPr="007B5716">
                    <w:rPr>
                      <w:rFonts w:ascii="Arial" w:hAnsi="Arial" w:cs="Arial"/>
                      <w:b/>
                      <w:bCs/>
                      <w:szCs w:val="22"/>
                    </w:rPr>
                    <w:t>Summary of Revisions</w:t>
                  </w:r>
                </w:p>
              </w:tc>
            </w:tr>
            <w:tr w:rsidR="007B5716" w:rsidRPr="007B5716" w:rsidTr="007B5716">
              <w:tc>
                <w:tcPr>
                  <w:tcW w:w="1327" w:type="dxa"/>
                </w:tcPr>
                <w:p w:rsidR="007B5716" w:rsidRPr="007B5716" w:rsidRDefault="007B5716" w:rsidP="007C3E34">
                  <w:pPr>
                    <w:jc w:val="left"/>
                    <w:rPr>
                      <w:rFonts w:ascii="Arial" w:hAnsi="Arial" w:cs="Arial"/>
                      <w:bCs/>
                      <w:szCs w:val="22"/>
                    </w:rPr>
                  </w:pPr>
                  <w:r w:rsidRPr="007B5716">
                    <w:rPr>
                      <w:rFonts w:ascii="Arial" w:hAnsi="Arial" w:cs="Arial"/>
                      <w:bCs/>
                      <w:szCs w:val="22"/>
                    </w:rPr>
                    <w:t>1</w:t>
                  </w:r>
                </w:p>
              </w:tc>
              <w:tc>
                <w:tcPr>
                  <w:tcW w:w="2520" w:type="dxa"/>
                </w:tcPr>
                <w:p w:rsidR="007B5716" w:rsidRPr="007B5716" w:rsidRDefault="00F81F86" w:rsidP="007C3E34">
                  <w:pPr>
                    <w:jc w:val="left"/>
                    <w:rPr>
                      <w:rFonts w:ascii="Arial" w:hAnsi="Arial" w:cs="Arial"/>
                      <w:bCs/>
                      <w:szCs w:val="22"/>
                    </w:rPr>
                  </w:pPr>
                  <w:r>
                    <w:rPr>
                      <w:rFonts w:ascii="Arial" w:hAnsi="Arial" w:cs="Arial"/>
                      <w:bCs/>
                      <w:szCs w:val="22"/>
                    </w:rPr>
                    <w:t>Erin Bartos</w:t>
                  </w:r>
                </w:p>
              </w:tc>
              <w:tc>
                <w:tcPr>
                  <w:tcW w:w="2070" w:type="dxa"/>
                </w:tcPr>
                <w:p w:rsidR="007B5716" w:rsidRPr="007B5716" w:rsidRDefault="00F81F86" w:rsidP="007C3E34">
                  <w:pPr>
                    <w:jc w:val="left"/>
                    <w:rPr>
                      <w:rFonts w:ascii="Arial" w:hAnsi="Arial" w:cs="Arial"/>
                      <w:bCs/>
                      <w:szCs w:val="22"/>
                    </w:rPr>
                  </w:pPr>
                  <w:r>
                    <w:rPr>
                      <w:rFonts w:ascii="Arial" w:hAnsi="Arial" w:cs="Arial"/>
                      <w:bCs/>
                      <w:szCs w:val="22"/>
                    </w:rPr>
                    <w:t>10/28/2020</w:t>
                  </w:r>
                </w:p>
              </w:tc>
              <w:tc>
                <w:tcPr>
                  <w:tcW w:w="3212" w:type="dxa"/>
                </w:tcPr>
                <w:p w:rsidR="007B5716" w:rsidRPr="007B5716" w:rsidRDefault="00F81F86" w:rsidP="007C3E34">
                  <w:pPr>
                    <w:jc w:val="left"/>
                    <w:rPr>
                      <w:rFonts w:ascii="Arial" w:hAnsi="Arial" w:cs="Arial"/>
                      <w:bCs/>
                      <w:szCs w:val="22"/>
                    </w:rPr>
                  </w:pPr>
                  <w:r>
                    <w:rPr>
                      <w:rFonts w:ascii="Arial" w:hAnsi="Arial" w:cs="Arial"/>
                      <w:bCs/>
                      <w:szCs w:val="22"/>
                    </w:rPr>
                    <w:t>New Procedure for Alinity i</w:t>
                  </w:r>
                </w:p>
              </w:tc>
            </w:tr>
            <w:tr w:rsidR="007B5716" w:rsidRPr="007B5716" w:rsidTr="007B5716">
              <w:tc>
                <w:tcPr>
                  <w:tcW w:w="1327" w:type="dxa"/>
                </w:tcPr>
                <w:p w:rsidR="007B5716" w:rsidRPr="007B5716" w:rsidRDefault="0080713A" w:rsidP="007C3E34">
                  <w:pPr>
                    <w:jc w:val="left"/>
                    <w:rPr>
                      <w:rFonts w:ascii="Arial" w:hAnsi="Arial" w:cs="Arial"/>
                      <w:bCs/>
                      <w:szCs w:val="22"/>
                    </w:rPr>
                  </w:pPr>
                  <w:r>
                    <w:rPr>
                      <w:rFonts w:ascii="Arial" w:hAnsi="Arial" w:cs="Arial"/>
                      <w:bCs/>
                      <w:szCs w:val="22"/>
                    </w:rPr>
                    <w:t>2</w:t>
                  </w:r>
                </w:p>
              </w:tc>
              <w:tc>
                <w:tcPr>
                  <w:tcW w:w="2520" w:type="dxa"/>
                </w:tcPr>
                <w:p w:rsidR="007B5716" w:rsidRPr="007B5716" w:rsidRDefault="007B5716" w:rsidP="007C3E34">
                  <w:pPr>
                    <w:jc w:val="left"/>
                    <w:rPr>
                      <w:rFonts w:ascii="Arial" w:hAnsi="Arial" w:cs="Arial"/>
                      <w:bCs/>
                      <w:szCs w:val="22"/>
                    </w:rPr>
                  </w:pPr>
                </w:p>
              </w:tc>
              <w:tc>
                <w:tcPr>
                  <w:tcW w:w="2070" w:type="dxa"/>
                </w:tcPr>
                <w:p w:rsidR="007B5716" w:rsidRPr="007B5716" w:rsidRDefault="007B5716" w:rsidP="007C3E34">
                  <w:pPr>
                    <w:jc w:val="left"/>
                    <w:rPr>
                      <w:rFonts w:ascii="Arial" w:hAnsi="Arial" w:cs="Arial"/>
                      <w:bCs/>
                      <w:szCs w:val="22"/>
                    </w:rPr>
                  </w:pPr>
                </w:p>
              </w:tc>
              <w:tc>
                <w:tcPr>
                  <w:tcW w:w="3212" w:type="dxa"/>
                </w:tcPr>
                <w:p w:rsidR="007B5716" w:rsidRPr="007B5716" w:rsidRDefault="007B5716" w:rsidP="007C3E34">
                  <w:pPr>
                    <w:jc w:val="left"/>
                    <w:rPr>
                      <w:rFonts w:ascii="Arial" w:hAnsi="Arial" w:cs="Arial"/>
                      <w:bCs/>
                      <w:szCs w:val="22"/>
                    </w:rPr>
                  </w:pPr>
                </w:p>
              </w:tc>
            </w:tr>
            <w:tr w:rsidR="007B5716" w:rsidRPr="007B5716" w:rsidTr="007B5716">
              <w:tc>
                <w:tcPr>
                  <w:tcW w:w="1327" w:type="dxa"/>
                </w:tcPr>
                <w:p w:rsidR="007B5716" w:rsidRPr="007B5716" w:rsidRDefault="007B5716" w:rsidP="007C3E34">
                  <w:pPr>
                    <w:jc w:val="left"/>
                    <w:rPr>
                      <w:rFonts w:ascii="Arial" w:hAnsi="Arial" w:cs="Arial"/>
                      <w:bCs/>
                      <w:szCs w:val="22"/>
                    </w:rPr>
                  </w:pPr>
                </w:p>
              </w:tc>
              <w:tc>
                <w:tcPr>
                  <w:tcW w:w="2520" w:type="dxa"/>
                </w:tcPr>
                <w:p w:rsidR="007B5716" w:rsidRPr="007B5716" w:rsidRDefault="007B5716" w:rsidP="007C3E34">
                  <w:pPr>
                    <w:jc w:val="left"/>
                    <w:rPr>
                      <w:rFonts w:ascii="Arial" w:hAnsi="Arial" w:cs="Arial"/>
                      <w:bCs/>
                      <w:szCs w:val="22"/>
                    </w:rPr>
                  </w:pPr>
                </w:p>
              </w:tc>
              <w:tc>
                <w:tcPr>
                  <w:tcW w:w="2070" w:type="dxa"/>
                </w:tcPr>
                <w:p w:rsidR="007B5716" w:rsidRPr="007B5716" w:rsidRDefault="007B5716" w:rsidP="007C3E34">
                  <w:pPr>
                    <w:jc w:val="left"/>
                    <w:rPr>
                      <w:rFonts w:ascii="Arial" w:hAnsi="Arial" w:cs="Arial"/>
                      <w:bCs/>
                      <w:szCs w:val="22"/>
                    </w:rPr>
                  </w:pPr>
                </w:p>
              </w:tc>
              <w:tc>
                <w:tcPr>
                  <w:tcW w:w="3212" w:type="dxa"/>
                </w:tcPr>
                <w:p w:rsidR="007B5716" w:rsidRPr="007B5716" w:rsidRDefault="007B5716" w:rsidP="007C3E34">
                  <w:pPr>
                    <w:jc w:val="left"/>
                    <w:rPr>
                      <w:rFonts w:ascii="Arial" w:hAnsi="Arial" w:cs="Arial"/>
                      <w:bCs/>
                      <w:szCs w:val="22"/>
                    </w:rPr>
                  </w:pPr>
                </w:p>
              </w:tc>
            </w:tr>
          </w:tbl>
          <w:p w:rsidR="007B5716" w:rsidRPr="007B5716" w:rsidRDefault="007B5716" w:rsidP="007C3E34">
            <w:pPr>
              <w:jc w:val="left"/>
              <w:rPr>
                <w:rFonts w:ascii="Arial" w:hAnsi="Arial" w:cs="Arial"/>
                <w:bCs/>
                <w:szCs w:val="22"/>
              </w:rPr>
            </w:pPr>
          </w:p>
        </w:tc>
      </w:tr>
    </w:tbl>
    <w:p w:rsidR="009C5880" w:rsidRPr="00F116E4" w:rsidRDefault="009C5880" w:rsidP="007C3E34">
      <w:pPr>
        <w:jc w:val="left"/>
        <w:rPr>
          <w:rFonts w:ascii="Arial" w:hAnsi="Arial" w:cs="Arial"/>
        </w:rPr>
      </w:pPr>
    </w:p>
    <w:sectPr w:rsidR="009C5880" w:rsidRPr="00F116E4" w:rsidSect="006477E3">
      <w:headerReference w:type="default" r:id="rId13"/>
      <w:footerReference w:type="default" r:id="rId14"/>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005" w:rsidRDefault="00DD3005">
      <w:r>
        <w:separator/>
      </w:r>
    </w:p>
  </w:endnote>
  <w:endnote w:type="continuationSeparator" w:id="0">
    <w:p w:rsidR="00DD3005" w:rsidRDefault="00DD3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Mincho"/>
    <w:panose1 w:val="00000000000000000000"/>
    <w:charset w:val="80"/>
    <w:family w:val="auto"/>
    <w:notTrueType/>
    <w:pitch w:val="default"/>
    <w:sig w:usb0="00000001" w:usb1="08070000" w:usb2="00000010" w:usb3="00000000" w:csb0="00020000" w:csb1="00000000"/>
  </w:font>
  <w:font w:name="HelenPro-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005" w:rsidRDefault="00DD3005">
    <w:pPr>
      <w:ind w:left="-1260" w:right="-1260"/>
      <w:rPr>
        <w:rFonts w:ascii="Arial" w:hAnsi="Arial" w:cs="Arial"/>
        <w:sz w:val="16"/>
      </w:rPr>
    </w:pPr>
    <w:r>
      <w:rPr>
        <w:rFonts w:ascii="Arial" w:hAnsi="Arial" w:cs="Arial"/>
        <w:sz w:val="16"/>
      </w:rPr>
      <w:t>Laboratory, Children’s Hospitals and Clinics of Minnesota, Minneapolis/St. Paul, MN</w:t>
    </w:r>
  </w:p>
  <w:p w:rsidR="00DD3005" w:rsidRDefault="00DD3005">
    <w:pPr>
      <w:ind w:left="-1260" w:right="-1260"/>
      <w:rPr>
        <w:rFonts w:ascii="Arial" w:hAnsi="Arial" w:cs="Arial"/>
        <w:sz w:val="16"/>
      </w:rPr>
    </w:pPr>
    <w:r>
      <w:rPr>
        <w:rFonts w:ascii="Arial" w:hAnsi="Arial" w:cs="Arial"/>
        <w:sz w:val="16"/>
      </w:rPr>
      <w:t xml:space="preserve">Page </w:t>
    </w:r>
    <w:r w:rsidR="00D42203">
      <w:rPr>
        <w:rFonts w:ascii="Arial" w:hAnsi="Arial" w:cs="Arial"/>
        <w:sz w:val="16"/>
      </w:rPr>
      <w:fldChar w:fldCharType="begin"/>
    </w:r>
    <w:r>
      <w:rPr>
        <w:rFonts w:ascii="Arial" w:hAnsi="Arial" w:cs="Arial"/>
        <w:sz w:val="16"/>
      </w:rPr>
      <w:instrText xml:space="preserve"> PAGE </w:instrText>
    </w:r>
    <w:r w:rsidR="00D42203">
      <w:rPr>
        <w:rFonts w:ascii="Arial" w:hAnsi="Arial" w:cs="Arial"/>
        <w:sz w:val="16"/>
      </w:rPr>
      <w:fldChar w:fldCharType="separate"/>
    </w:r>
    <w:r w:rsidR="00B03240">
      <w:rPr>
        <w:rFonts w:ascii="Arial" w:hAnsi="Arial" w:cs="Arial"/>
        <w:noProof/>
        <w:sz w:val="16"/>
      </w:rPr>
      <w:t>1</w:t>
    </w:r>
    <w:r w:rsidR="00D42203">
      <w:rPr>
        <w:rFonts w:ascii="Arial" w:hAnsi="Arial" w:cs="Arial"/>
        <w:sz w:val="16"/>
      </w:rPr>
      <w:fldChar w:fldCharType="end"/>
    </w:r>
    <w:r>
      <w:rPr>
        <w:rFonts w:ascii="Arial" w:hAnsi="Arial" w:cs="Arial"/>
        <w:sz w:val="16"/>
      </w:rPr>
      <w:t xml:space="preserve"> of </w:t>
    </w:r>
    <w:r w:rsidR="00D42203">
      <w:rPr>
        <w:rFonts w:ascii="Arial" w:hAnsi="Arial" w:cs="Arial"/>
        <w:sz w:val="16"/>
      </w:rPr>
      <w:fldChar w:fldCharType="begin"/>
    </w:r>
    <w:r>
      <w:rPr>
        <w:rFonts w:ascii="Arial" w:hAnsi="Arial" w:cs="Arial"/>
        <w:sz w:val="16"/>
      </w:rPr>
      <w:instrText xml:space="preserve"> NUMPAGES </w:instrText>
    </w:r>
    <w:r w:rsidR="00D42203">
      <w:rPr>
        <w:rFonts w:ascii="Arial" w:hAnsi="Arial" w:cs="Arial"/>
        <w:sz w:val="16"/>
      </w:rPr>
      <w:fldChar w:fldCharType="separate"/>
    </w:r>
    <w:r w:rsidR="00B03240">
      <w:rPr>
        <w:rFonts w:ascii="Arial" w:hAnsi="Arial" w:cs="Arial"/>
        <w:noProof/>
        <w:sz w:val="16"/>
      </w:rPr>
      <w:t>9</w:t>
    </w:r>
    <w:r w:rsidR="00D42203">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005" w:rsidRDefault="00DD3005">
      <w:r>
        <w:separator/>
      </w:r>
    </w:p>
  </w:footnote>
  <w:footnote w:type="continuationSeparator" w:id="0">
    <w:p w:rsidR="00DD3005" w:rsidRDefault="00DD3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005" w:rsidRDefault="00DD3005" w:rsidP="00CD44C9">
    <w:pPr>
      <w:tabs>
        <w:tab w:val="left" w:pos="5790"/>
      </w:tabs>
      <w:ind w:left="-1260" w:right="-1260"/>
      <w:rPr>
        <w:snapToGrid w:val="0"/>
        <w:color w:val="000000"/>
        <w:w w:val="0"/>
        <w:sz w:val="0"/>
        <w:szCs w:val="0"/>
        <w:u w:color="000000"/>
        <w:bdr w:val="none" w:sz="0" w:space="0" w:color="000000"/>
        <w:shd w:val="clear" w:color="000000" w:fill="000000"/>
      </w:rPr>
    </w:pPr>
    <w:r>
      <w:rPr>
        <w:noProof/>
      </w:rPr>
      <w:drawing>
        <wp:anchor distT="0" distB="0" distL="114300" distR="114300" simplePos="0" relativeHeight="251660288" behindDoc="0" locked="0" layoutInCell="1" allowOverlap="1">
          <wp:simplePos x="0" y="0"/>
          <wp:positionH relativeFrom="column">
            <wp:posOffset>5076190</wp:posOffset>
          </wp:positionH>
          <wp:positionV relativeFrom="paragraph">
            <wp:posOffset>-149225</wp:posOffset>
          </wp:positionV>
          <wp:extent cx="1264285" cy="407035"/>
          <wp:effectExtent l="19050" t="0" r="0" b="0"/>
          <wp:wrapSquare wrapText="bothSides"/>
          <wp:docPr id="4" name="Picture 4"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ldrens_MN_2015_logo_2c_RGB_800x257"/>
                  <pic:cNvPicPr>
                    <a:picLocks noChangeAspect="1" noChangeArrowheads="1"/>
                  </pic:cNvPicPr>
                </pic:nvPicPr>
                <pic:blipFill>
                  <a:blip r:embed="rId1"/>
                  <a:srcRect/>
                  <a:stretch>
                    <a:fillRect/>
                  </a:stretch>
                </pic:blipFill>
                <pic:spPr bwMode="auto">
                  <a:xfrm>
                    <a:off x="0" y="0"/>
                    <a:ext cx="1264285" cy="407035"/>
                  </a:xfrm>
                  <a:prstGeom prst="rect">
                    <a:avLst/>
                  </a:prstGeom>
                  <a:noFill/>
                </pic:spPr>
              </pic:pic>
            </a:graphicData>
          </a:graphic>
        </wp:anchor>
      </w:drawing>
    </w:r>
    <w:r w:rsidR="006D50EA">
      <w:rPr>
        <w:rFonts w:ascii="Arial" w:hAnsi="Arial" w:cs="Arial"/>
        <w:sz w:val="18"/>
      </w:rPr>
      <w:t>CH 6.752 Siro</w:t>
    </w:r>
    <w:r>
      <w:rPr>
        <w:rFonts w:ascii="Arial" w:hAnsi="Arial" w:cs="Arial"/>
        <w:sz w:val="18"/>
      </w:rPr>
      <w:t>limus</w:t>
    </w:r>
    <w:r>
      <w:rPr>
        <w:rFonts w:ascii="Arial" w:hAnsi="Arial" w:cs="Arial"/>
        <w:sz w:val="18"/>
      </w:rPr>
      <w:tab/>
    </w:r>
  </w:p>
  <w:p w:rsidR="00DD3005" w:rsidRDefault="00DD3005" w:rsidP="00CD44C9">
    <w:pPr>
      <w:tabs>
        <w:tab w:val="left" w:pos="5790"/>
      </w:tabs>
      <w:ind w:left="-1260" w:right="-1260"/>
      <w:rPr>
        <w:rFonts w:ascii="Arial" w:hAnsi="Arial" w:cs="Arial"/>
        <w:sz w:val="18"/>
      </w:rPr>
    </w:pPr>
    <w:r>
      <w:rPr>
        <w:rFonts w:ascii="Arial" w:hAnsi="Arial" w:cs="Arial"/>
        <w:sz w:val="18"/>
      </w:rPr>
      <w:t>Version 1</w:t>
    </w:r>
    <w:r>
      <w:rPr>
        <w:rFonts w:ascii="Arial" w:hAnsi="Arial" w:cs="Arial"/>
        <w:sz w:val="18"/>
      </w:rPr>
      <w:tab/>
    </w:r>
  </w:p>
  <w:p w:rsidR="00DD3005" w:rsidRDefault="006D50EA">
    <w:pPr>
      <w:ind w:left="-1260" w:right="-1260"/>
      <w:rPr>
        <w:rFonts w:ascii="Arial" w:hAnsi="Arial" w:cs="Arial"/>
        <w:sz w:val="18"/>
      </w:rPr>
    </w:pPr>
    <w:r>
      <w:rPr>
        <w:rFonts w:ascii="Arial" w:hAnsi="Arial" w:cs="Arial"/>
        <w:sz w:val="18"/>
      </w:rPr>
      <w:t>Effective Date: October 28, 2020</w:t>
    </w:r>
  </w:p>
  <w:p w:rsidR="00DD3005" w:rsidRDefault="00DD3005">
    <w:pPr>
      <w:pStyle w:val="Header"/>
      <w:tabs>
        <w:tab w:val="clear" w:pos="8640"/>
        <w:tab w:val="right" w:pos="9900"/>
      </w:tabs>
      <w:ind w:left="-1260"/>
      <w:jc w:val="center"/>
      <w:rPr>
        <w:b/>
        <w:sz w:val="20"/>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E404A5"/>
    <w:multiLevelType w:val="hybridMultilevel"/>
    <w:tmpl w:val="D958C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B562B"/>
    <w:multiLevelType w:val="hybridMultilevel"/>
    <w:tmpl w:val="DEDC5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F565DD"/>
    <w:multiLevelType w:val="hybridMultilevel"/>
    <w:tmpl w:val="2F1E1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BD5AB2"/>
    <w:multiLevelType w:val="hybridMultilevel"/>
    <w:tmpl w:val="2F1A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F56A7"/>
    <w:multiLevelType w:val="hybridMultilevel"/>
    <w:tmpl w:val="00287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16281"/>
    <w:multiLevelType w:val="hybridMultilevel"/>
    <w:tmpl w:val="93269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5E63C1"/>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44A37"/>
    <w:multiLevelType w:val="hybridMultilevel"/>
    <w:tmpl w:val="AEEE9218"/>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C82112"/>
    <w:multiLevelType w:val="hybridMultilevel"/>
    <w:tmpl w:val="D4323A50"/>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E549C2"/>
    <w:multiLevelType w:val="hybridMultilevel"/>
    <w:tmpl w:val="B9EADC30"/>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D962D6"/>
    <w:multiLevelType w:val="hybridMultilevel"/>
    <w:tmpl w:val="057C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500406"/>
    <w:multiLevelType w:val="hybridMultilevel"/>
    <w:tmpl w:val="EFAAF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A11FF7"/>
    <w:multiLevelType w:val="hybridMultilevel"/>
    <w:tmpl w:val="13284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A229B8"/>
    <w:multiLevelType w:val="hybridMultilevel"/>
    <w:tmpl w:val="5076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54AF1"/>
    <w:multiLevelType w:val="hybridMultilevel"/>
    <w:tmpl w:val="A89E4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E95696"/>
    <w:multiLevelType w:val="hybridMultilevel"/>
    <w:tmpl w:val="EA380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713872"/>
    <w:multiLevelType w:val="hybridMultilevel"/>
    <w:tmpl w:val="9F8C3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F910AB"/>
    <w:multiLevelType w:val="hybridMultilevel"/>
    <w:tmpl w:val="50A098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4317EAD"/>
    <w:multiLevelType w:val="hybridMultilevel"/>
    <w:tmpl w:val="C5EC86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4EC79EF"/>
    <w:multiLevelType w:val="hybridMultilevel"/>
    <w:tmpl w:val="450C4F78"/>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39C15498"/>
    <w:multiLevelType w:val="hybridMultilevel"/>
    <w:tmpl w:val="21A63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AA4410"/>
    <w:multiLevelType w:val="hybridMultilevel"/>
    <w:tmpl w:val="ACF83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CD7A48"/>
    <w:multiLevelType w:val="hybridMultilevel"/>
    <w:tmpl w:val="01D47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0D2D08"/>
    <w:multiLevelType w:val="hybridMultilevel"/>
    <w:tmpl w:val="85BCF946"/>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B8358B6"/>
    <w:multiLevelType w:val="hybridMultilevel"/>
    <w:tmpl w:val="13586B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3CAE27D0"/>
    <w:multiLevelType w:val="hybridMultilevel"/>
    <w:tmpl w:val="2506A464"/>
    <w:lvl w:ilvl="0" w:tplc="0409000F">
      <w:start w:val="1"/>
      <w:numFmt w:val="decimal"/>
      <w:lvlText w:val="%1."/>
      <w:lvlJc w:val="left"/>
      <w:pPr>
        <w:ind w:left="36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3D034DE5"/>
    <w:multiLevelType w:val="hybridMultilevel"/>
    <w:tmpl w:val="2300F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FC24961"/>
    <w:multiLevelType w:val="hybridMultilevel"/>
    <w:tmpl w:val="C36C8454"/>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697851"/>
    <w:multiLevelType w:val="hybridMultilevel"/>
    <w:tmpl w:val="153262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AC36E0C"/>
    <w:multiLevelType w:val="hybridMultilevel"/>
    <w:tmpl w:val="12886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0EB1BD2"/>
    <w:multiLevelType w:val="hybridMultilevel"/>
    <w:tmpl w:val="FF46C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2A251A4"/>
    <w:multiLevelType w:val="hybridMultilevel"/>
    <w:tmpl w:val="A2ECD5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3744303"/>
    <w:multiLevelType w:val="hybridMultilevel"/>
    <w:tmpl w:val="2E46AD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380745"/>
    <w:multiLevelType w:val="hybridMultilevel"/>
    <w:tmpl w:val="002877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DF7277F"/>
    <w:multiLevelType w:val="hybridMultilevel"/>
    <w:tmpl w:val="EFB0D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454757"/>
    <w:multiLevelType w:val="hybridMultilevel"/>
    <w:tmpl w:val="49548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5" w15:restartNumberingAfterBreak="0">
    <w:nsid w:val="6DE246C0"/>
    <w:multiLevelType w:val="hybridMultilevel"/>
    <w:tmpl w:val="2506A464"/>
    <w:lvl w:ilvl="0" w:tplc="0409000F">
      <w:start w:val="1"/>
      <w:numFmt w:val="decimal"/>
      <w:lvlText w:val="%1."/>
      <w:lvlJc w:val="left"/>
      <w:pPr>
        <w:ind w:left="36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6"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CE6620"/>
    <w:multiLevelType w:val="hybridMultilevel"/>
    <w:tmpl w:val="BE5C7D44"/>
    <w:lvl w:ilvl="0" w:tplc="06E26B1A">
      <w:start w:val="1"/>
      <w:numFmt w:val="decimal"/>
      <w:lvlText w:val="%1."/>
      <w:lvlJc w:val="left"/>
      <w:pPr>
        <w:tabs>
          <w:tab w:val="num" w:pos="360"/>
        </w:tabs>
        <w:ind w:left="360" w:hanging="360"/>
      </w:pPr>
      <w:rPr>
        <w:rFonts w:cs="Times New Roman" w:hint="default"/>
        <w:b w:val="0"/>
        <w:sz w:val="22"/>
      </w:rPr>
    </w:lvl>
    <w:lvl w:ilvl="1" w:tplc="399EE74E">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7E486CA3"/>
    <w:multiLevelType w:val="hybridMultilevel"/>
    <w:tmpl w:val="F244C8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1"/>
  </w:num>
  <w:num w:numId="2">
    <w:abstractNumId w:val="32"/>
  </w:num>
  <w:num w:numId="3">
    <w:abstractNumId w:val="46"/>
  </w:num>
  <w:num w:numId="4">
    <w:abstractNumId w:val="3"/>
  </w:num>
  <w:num w:numId="5">
    <w:abstractNumId w:val="0"/>
  </w:num>
  <w:num w:numId="6">
    <w:abstractNumId w:val="38"/>
  </w:num>
  <w:num w:numId="7">
    <w:abstractNumId w:val="12"/>
  </w:num>
  <w:num w:numId="8">
    <w:abstractNumId w:val="26"/>
  </w:num>
  <w:num w:numId="9">
    <w:abstractNumId w:val="40"/>
  </w:num>
  <w:num w:numId="10">
    <w:abstractNumId w:val="24"/>
  </w:num>
  <w:num w:numId="11">
    <w:abstractNumId w:val="2"/>
  </w:num>
  <w:num w:numId="12">
    <w:abstractNumId w:val="25"/>
  </w:num>
  <w:num w:numId="13">
    <w:abstractNumId w:val="35"/>
  </w:num>
  <w:num w:numId="14">
    <w:abstractNumId w:val="7"/>
  </w:num>
  <w:num w:numId="15">
    <w:abstractNumId w:val="6"/>
  </w:num>
  <w:num w:numId="16">
    <w:abstractNumId w:val="8"/>
  </w:num>
  <w:num w:numId="17">
    <w:abstractNumId w:val="28"/>
  </w:num>
  <w:num w:numId="18">
    <w:abstractNumId w:val="43"/>
  </w:num>
  <w:num w:numId="19">
    <w:abstractNumId w:val="1"/>
  </w:num>
  <w:num w:numId="20">
    <w:abstractNumId w:val="9"/>
  </w:num>
  <w:num w:numId="21">
    <w:abstractNumId w:val="39"/>
  </w:num>
  <w:num w:numId="22">
    <w:abstractNumId w:val="44"/>
  </w:num>
  <w:num w:numId="23">
    <w:abstractNumId w:val="48"/>
  </w:num>
  <w:num w:numId="24">
    <w:abstractNumId w:val="33"/>
  </w:num>
  <w:num w:numId="25">
    <w:abstractNumId w:val="10"/>
  </w:num>
  <w:num w:numId="26">
    <w:abstractNumId w:val="34"/>
  </w:num>
  <w:num w:numId="27">
    <w:abstractNumId w:val="22"/>
  </w:num>
  <w:num w:numId="28">
    <w:abstractNumId w:val="11"/>
  </w:num>
  <w:num w:numId="29">
    <w:abstractNumId w:val="37"/>
  </w:num>
  <w:num w:numId="30">
    <w:abstractNumId w:val="29"/>
  </w:num>
  <w:num w:numId="31">
    <w:abstractNumId w:val="20"/>
  </w:num>
  <w:num w:numId="32">
    <w:abstractNumId w:val="23"/>
  </w:num>
  <w:num w:numId="33">
    <w:abstractNumId w:val="49"/>
  </w:num>
  <w:num w:numId="34">
    <w:abstractNumId w:val="42"/>
  </w:num>
  <w:num w:numId="35">
    <w:abstractNumId w:val="31"/>
  </w:num>
  <w:num w:numId="36">
    <w:abstractNumId w:val="47"/>
  </w:num>
  <w:num w:numId="37">
    <w:abstractNumId w:val="21"/>
  </w:num>
  <w:num w:numId="38">
    <w:abstractNumId w:val="19"/>
  </w:num>
  <w:num w:numId="39">
    <w:abstractNumId w:val="13"/>
  </w:num>
  <w:num w:numId="40">
    <w:abstractNumId w:val="16"/>
  </w:num>
  <w:num w:numId="41">
    <w:abstractNumId w:val="15"/>
  </w:num>
  <w:num w:numId="42">
    <w:abstractNumId w:val="14"/>
  </w:num>
  <w:num w:numId="43">
    <w:abstractNumId w:val="5"/>
  </w:num>
  <w:num w:numId="44">
    <w:abstractNumId w:val="27"/>
  </w:num>
  <w:num w:numId="45">
    <w:abstractNumId w:val="17"/>
  </w:num>
  <w:num w:numId="46">
    <w:abstractNumId w:val="30"/>
  </w:num>
  <w:num w:numId="47">
    <w:abstractNumId w:val="45"/>
  </w:num>
  <w:num w:numId="48">
    <w:abstractNumId w:val="4"/>
  </w:num>
  <w:num w:numId="49">
    <w:abstractNumId w:val="18"/>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80"/>
    <w:rsid w:val="000042BE"/>
    <w:rsid w:val="00024D01"/>
    <w:rsid w:val="0003397D"/>
    <w:rsid w:val="00071287"/>
    <w:rsid w:val="00085551"/>
    <w:rsid w:val="000A5D94"/>
    <w:rsid w:val="000D14E5"/>
    <w:rsid w:val="000E04CF"/>
    <w:rsid w:val="000E622D"/>
    <w:rsid w:val="001675E1"/>
    <w:rsid w:val="001C0229"/>
    <w:rsid w:val="001F1DBE"/>
    <w:rsid w:val="00263A5C"/>
    <w:rsid w:val="00345916"/>
    <w:rsid w:val="00372EC4"/>
    <w:rsid w:val="003A45B0"/>
    <w:rsid w:val="003C3C1E"/>
    <w:rsid w:val="003E58E6"/>
    <w:rsid w:val="0045000E"/>
    <w:rsid w:val="004A10CF"/>
    <w:rsid w:val="00501F4E"/>
    <w:rsid w:val="005145C8"/>
    <w:rsid w:val="005853E5"/>
    <w:rsid w:val="005D15C6"/>
    <w:rsid w:val="005D59CF"/>
    <w:rsid w:val="006054F6"/>
    <w:rsid w:val="00643414"/>
    <w:rsid w:val="006477E3"/>
    <w:rsid w:val="006A620A"/>
    <w:rsid w:val="006D50EA"/>
    <w:rsid w:val="0070528C"/>
    <w:rsid w:val="007256B6"/>
    <w:rsid w:val="0074504C"/>
    <w:rsid w:val="007B5716"/>
    <w:rsid w:val="007B746C"/>
    <w:rsid w:val="007C3E34"/>
    <w:rsid w:val="007F2BE8"/>
    <w:rsid w:val="0080713A"/>
    <w:rsid w:val="008B2720"/>
    <w:rsid w:val="008C716A"/>
    <w:rsid w:val="008E0204"/>
    <w:rsid w:val="008F4C6F"/>
    <w:rsid w:val="008F7CC3"/>
    <w:rsid w:val="00910450"/>
    <w:rsid w:val="00980F46"/>
    <w:rsid w:val="009C5880"/>
    <w:rsid w:val="009E0A07"/>
    <w:rsid w:val="009F578D"/>
    <w:rsid w:val="009F71C9"/>
    <w:rsid w:val="00A1096A"/>
    <w:rsid w:val="00A11DD5"/>
    <w:rsid w:val="00A94BFC"/>
    <w:rsid w:val="00AD4BE3"/>
    <w:rsid w:val="00B03240"/>
    <w:rsid w:val="00B328EF"/>
    <w:rsid w:val="00BD2F58"/>
    <w:rsid w:val="00BF392B"/>
    <w:rsid w:val="00C31017"/>
    <w:rsid w:val="00C379C1"/>
    <w:rsid w:val="00C67320"/>
    <w:rsid w:val="00C7061A"/>
    <w:rsid w:val="00C86E54"/>
    <w:rsid w:val="00CD44C9"/>
    <w:rsid w:val="00CF22A0"/>
    <w:rsid w:val="00D32F0A"/>
    <w:rsid w:val="00D42203"/>
    <w:rsid w:val="00D527BF"/>
    <w:rsid w:val="00D85A11"/>
    <w:rsid w:val="00D936FB"/>
    <w:rsid w:val="00DD3005"/>
    <w:rsid w:val="00DD6B61"/>
    <w:rsid w:val="00DF4313"/>
    <w:rsid w:val="00E5309C"/>
    <w:rsid w:val="00E86557"/>
    <w:rsid w:val="00F0162E"/>
    <w:rsid w:val="00F116E4"/>
    <w:rsid w:val="00F81F86"/>
    <w:rsid w:val="00F82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DAC103A9-2202-4B38-8DDC-106A47E8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E3"/>
    <w:pPr>
      <w:jc w:val="both"/>
    </w:pPr>
    <w:rPr>
      <w:sz w:val="22"/>
      <w:szCs w:val="24"/>
    </w:rPr>
  </w:style>
  <w:style w:type="paragraph" w:styleId="Heading1">
    <w:name w:val="heading 1"/>
    <w:basedOn w:val="Normal"/>
    <w:next w:val="Normal"/>
    <w:qFormat/>
    <w:rsid w:val="006477E3"/>
    <w:pPr>
      <w:keepNext/>
      <w:numPr>
        <w:numId w:val="5"/>
      </w:numPr>
      <w:outlineLvl w:val="0"/>
    </w:pPr>
    <w:rPr>
      <w:rFonts w:cs="Arial"/>
      <w:b/>
      <w:bCs/>
      <w:kern w:val="32"/>
      <w:sz w:val="26"/>
      <w:szCs w:val="32"/>
    </w:rPr>
  </w:style>
  <w:style w:type="paragraph" w:styleId="Heading2">
    <w:name w:val="heading 2"/>
    <w:basedOn w:val="Normal"/>
    <w:next w:val="Normal"/>
    <w:qFormat/>
    <w:rsid w:val="006477E3"/>
    <w:pPr>
      <w:keepNext/>
      <w:numPr>
        <w:ilvl w:val="1"/>
        <w:numId w:val="5"/>
      </w:numPr>
      <w:outlineLvl w:val="1"/>
    </w:pPr>
    <w:rPr>
      <w:rFonts w:cs="Arial"/>
      <w:b/>
      <w:bCs/>
      <w:iCs/>
      <w:sz w:val="24"/>
      <w:szCs w:val="28"/>
    </w:rPr>
  </w:style>
  <w:style w:type="paragraph" w:styleId="Heading3">
    <w:name w:val="heading 3"/>
    <w:basedOn w:val="Normal"/>
    <w:next w:val="Normal"/>
    <w:qFormat/>
    <w:rsid w:val="006477E3"/>
    <w:pPr>
      <w:keepNext/>
      <w:numPr>
        <w:ilvl w:val="2"/>
        <w:numId w:val="5"/>
      </w:numPr>
      <w:outlineLvl w:val="2"/>
    </w:pPr>
    <w:rPr>
      <w:rFonts w:cs="Arial"/>
      <w:b/>
      <w:bCs/>
      <w:szCs w:val="26"/>
    </w:rPr>
  </w:style>
  <w:style w:type="paragraph" w:styleId="Heading4">
    <w:name w:val="heading 4"/>
    <w:aliases w:val="Map Title"/>
    <w:basedOn w:val="Normal"/>
    <w:next w:val="Normal"/>
    <w:qFormat/>
    <w:rsid w:val="006477E3"/>
    <w:pPr>
      <w:keepNext/>
      <w:numPr>
        <w:ilvl w:val="3"/>
        <w:numId w:val="5"/>
      </w:numPr>
      <w:outlineLvl w:val="3"/>
    </w:pPr>
    <w:rPr>
      <w:bCs/>
      <w:szCs w:val="28"/>
    </w:rPr>
  </w:style>
  <w:style w:type="paragraph" w:styleId="Heading5">
    <w:name w:val="heading 5"/>
    <w:aliases w:val="Block Label"/>
    <w:basedOn w:val="Normal"/>
    <w:next w:val="Normal"/>
    <w:qFormat/>
    <w:rsid w:val="006477E3"/>
    <w:pPr>
      <w:keepNext/>
      <w:numPr>
        <w:ilvl w:val="4"/>
        <w:numId w:val="5"/>
      </w:numPr>
      <w:spacing w:before="20"/>
      <w:outlineLvl w:val="4"/>
    </w:pPr>
  </w:style>
  <w:style w:type="paragraph" w:styleId="Heading6">
    <w:name w:val="heading 6"/>
    <w:basedOn w:val="Normal"/>
    <w:next w:val="Normal"/>
    <w:qFormat/>
    <w:rsid w:val="006477E3"/>
    <w:pPr>
      <w:keepNext/>
      <w:numPr>
        <w:ilvl w:val="5"/>
        <w:numId w:val="5"/>
      </w:numPr>
      <w:outlineLvl w:val="5"/>
    </w:pPr>
    <w:rPr>
      <w:b/>
      <w:bCs/>
      <w:sz w:val="18"/>
    </w:rPr>
  </w:style>
  <w:style w:type="paragraph" w:styleId="Heading7">
    <w:name w:val="heading 7"/>
    <w:basedOn w:val="Normal"/>
    <w:next w:val="Normal"/>
    <w:qFormat/>
    <w:rsid w:val="006477E3"/>
    <w:pPr>
      <w:keepNext/>
      <w:numPr>
        <w:ilvl w:val="6"/>
        <w:numId w:val="5"/>
      </w:numPr>
      <w:outlineLvl w:val="6"/>
    </w:pPr>
    <w:rPr>
      <w:sz w:val="28"/>
    </w:rPr>
  </w:style>
  <w:style w:type="paragraph" w:styleId="Heading8">
    <w:name w:val="heading 8"/>
    <w:basedOn w:val="Normal"/>
    <w:next w:val="Normal"/>
    <w:qFormat/>
    <w:rsid w:val="006477E3"/>
    <w:pPr>
      <w:keepNext/>
      <w:numPr>
        <w:ilvl w:val="7"/>
        <w:numId w:val="5"/>
      </w:numPr>
      <w:jc w:val="center"/>
      <w:outlineLvl w:val="7"/>
    </w:pPr>
    <w:rPr>
      <w:b/>
      <w:bCs/>
    </w:rPr>
  </w:style>
  <w:style w:type="paragraph" w:styleId="Heading9">
    <w:name w:val="heading 9"/>
    <w:basedOn w:val="Normal"/>
    <w:next w:val="Normal"/>
    <w:qFormat/>
    <w:rsid w:val="006477E3"/>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477E3"/>
    <w:rPr>
      <w:bCs/>
      <w:iCs/>
      <w:color w:val="000000"/>
    </w:rPr>
  </w:style>
  <w:style w:type="paragraph" w:styleId="Header">
    <w:name w:val="header"/>
    <w:basedOn w:val="Normal"/>
    <w:semiHidden/>
    <w:rsid w:val="006477E3"/>
    <w:pPr>
      <w:tabs>
        <w:tab w:val="center" w:pos="4320"/>
        <w:tab w:val="right" w:pos="8640"/>
      </w:tabs>
    </w:pPr>
  </w:style>
  <w:style w:type="paragraph" w:styleId="List">
    <w:name w:val="List"/>
    <w:basedOn w:val="Normal"/>
    <w:semiHidden/>
    <w:rsid w:val="006477E3"/>
    <w:pPr>
      <w:ind w:left="360" w:hanging="360"/>
    </w:pPr>
  </w:style>
  <w:style w:type="paragraph" w:styleId="Title">
    <w:name w:val="Title"/>
    <w:basedOn w:val="Normal"/>
    <w:qFormat/>
    <w:rsid w:val="006477E3"/>
    <w:pPr>
      <w:spacing w:before="240" w:after="60"/>
      <w:jc w:val="center"/>
    </w:pPr>
    <w:rPr>
      <w:rFonts w:cs="Arial"/>
      <w:b/>
      <w:bCs/>
      <w:kern w:val="28"/>
      <w:sz w:val="28"/>
      <w:szCs w:val="32"/>
    </w:rPr>
  </w:style>
  <w:style w:type="paragraph" w:styleId="BodyText2">
    <w:name w:val="Body Text 2"/>
    <w:basedOn w:val="Normal"/>
    <w:semiHidden/>
    <w:rsid w:val="006477E3"/>
    <w:pPr>
      <w:jc w:val="left"/>
    </w:pPr>
    <w:rPr>
      <w:b/>
      <w:bCs/>
      <w:color w:val="0000FF"/>
    </w:rPr>
  </w:style>
  <w:style w:type="paragraph" w:styleId="Footer">
    <w:name w:val="footer"/>
    <w:basedOn w:val="Normal"/>
    <w:semiHidden/>
    <w:rsid w:val="006477E3"/>
    <w:pPr>
      <w:tabs>
        <w:tab w:val="center" w:pos="4320"/>
        <w:tab w:val="right" w:pos="8640"/>
      </w:tabs>
    </w:pPr>
  </w:style>
  <w:style w:type="character" w:styleId="FootnoteReference">
    <w:name w:val="footnote reference"/>
    <w:basedOn w:val="DefaultParagraphFont"/>
    <w:semiHidden/>
    <w:rsid w:val="006477E3"/>
    <w:rPr>
      <w:rFonts w:ascii="Times New Roman" w:hAnsi="Times New Roman"/>
      <w:sz w:val="18"/>
      <w:vertAlign w:val="superscript"/>
    </w:rPr>
  </w:style>
  <w:style w:type="paragraph" w:customStyle="1" w:styleId="Heading">
    <w:name w:val="Heading"/>
    <w:basedOn w:val="Heading1"/>
    <w:next w:val="Normal"/>
    <w:rsid w:val="006477E3"/>
    <w:pPr>
      <w:numPr>
        <w:numId w:val="0"/>
      </w:numPr>
    </w:pPr>
  </w:style>
  <w:style w:type="paragraph" w:customStyle="1" w:styleId="TableText">
    <w:name w:val="Table Text"/>
    <w:basedOn w:val="Normal"/>
    <w:rsid w:val="006477E3"/>
    <w:pPr>
      <w:autoSpaceDE w:val="0"/>
      <w:autoSpaceDN w:val="0"/>
      <w:jc w:val="left"/>
    </w:pPr>
    <w:rPr>
      <w:sz w:val="20"/>
    </w:rPr>
  </w:style>
  <w:style w:type="paragraph" w:customStyle="1" w:styleId="TableHeaderText">
    <w:name w:val="Table Header Text"/>
    <w:basedOn w:val="TableText"/>
    <w:rsid w:val="006477E3"/>
    <w:pPr>
      <w:jc w:val="center"/>
    </w:pPr>
    <w:rPr>
      <w:b/>
      <w:bCs/>
    </w:rPr>
  </w:style>
  <w:style w:type="paragraph" w:styleId="BodyText3">
    <w:name w:val="Body Text 3"/>
    <w:basedOn w:val="Normal"/>
    <w:semiHidden/>
    <w:rsid w:val="006477E3"/>
    <w:rPr>
      <w:b/>
      <w:color w:val="0000FF"/>
    </w:rPr>
  </w:style>
  <w:style w:type="paragraph" w:styleId="ListParagraph">
    <w:name w:val="List Paragraph"/>
    <w:basedOn w:val="Normal"/>
    <w:uiPriority w:val="34"/>
    <w:qFormat/>
    <w:rsid w:val="007C3E34"/>
    <w:pPr>
      <w:ind w:left="720"/>
      <w:contextualSpacing/>
      <w:jc w:val="left"/>
    </w:pPr>
    <w:rPr>
      <w:rFonts w:ascii="Arial" w:hAnsi="Arial"/>
      <w:sz w:val="20"/>
    </w:rPr>
  </w:style>
  <w:style w:type="paragraph" w:customStyle="1" w:styleId="CalVerTable">
    <w:name w:val="CalVerTable"/>
    <w:basedOn w:val="BodyText"/>
    <w:rsid w:val="007C3E34"/>
    <w:pPr>
      <w:spacing w:after="40" w:line="160" w:lineRule="atLeast"/>
      <w:ind w:left="3240" w:hanging="3240"/>
      <w:jc w:val="left"/>
    </w:pPr>
    <w:rPr>
      <w:bCs w:val="0"/>
      <w:iCs w:val="0"/>
      <w:color w:val="auto"/>
      <w:sz w:val="20"/>
      <w:szCs w:val="20"/>
    </w:rPr>
  </w:style>
  <w:style w:type="paragraph" w:customStyle="1" w:styleId="Pa10">
    <w:name w:val="Pa10"/>
    <w:basedOn w:val="Normal"/>
    <w:next w:val="Normal"/>
    <w:rsid w:val="007C3E34"/>
    <w:pPr>
      <w:autoSpaceDE w:val="0"/>
      <w:autoSpaceDN w:val="0"/>
      <w:adjustRightInd w:val="0"/>
      <w:spacing w:line="141" w:lineRule="atLeast"/>
      <w:jc w:val="left"/>
    </w:pPr>
    <w:rPr>
      <w:rFonts w:ascii="Helen Pro Cond" w:hAnsi="Helen Pro Cond"/>
      <w:sz w:val="24"/>
    </w:rPr>
  </w:style>
  <w:style w:type="character" w:customStyle="1" w:styleId="tgc">
    <w:name w:val="_tgc"/>
    <w:basedOn w:val="DefaultParagraphFont"/>
    <w:rsid w:val="00B328EF"/>
  </w:style>
  <w:style w:type="paragraph" w:customStyle="1" w:styleId="Reagents">
    <w:name w:val="Reagents"/>
    <w:basedOn w:val="Normal"/>
    <w:rsid w:val="00F116E4"/>
    <w:pPr>
      <w:tabs>
        <w:tab w:val="center" w:pos="720"/>
        <w:tab w:val="center" w:pos="2160"/>
        <w:tab w:val="left" w:pos="3600"/>
        <w:tab w:val="center" w:pos="6480"/>
        <w:tab w:val="center" w:pos="8640"/>
      </w:tabs>
      <w:spacing w:after="40" w:line="160" w:lineRule="atLeast"/>
      <w:jc w:val="left"/>
    </w:pPr>
    <w:rPr>
      <w:sz w:val="20"/>
      <w:szCs w:val="20"/>
    </w:rPr>
  </w:style>
  <w:style w:type="table" w:styleId="TableGrid">
    <w:name w:val="Table Grid"/>
    <w:basedOn w:val="TableNormal"/>
    <w:uiPriority w:val="59"/>
    <w:rsid w:val="003E5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22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tarnet.childrenshc.org/References/labsop/chem/quality/ch-2.17-unity-real-time-qc-review-general-user.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2019-10-31T05:00:00+00:00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 xsi:nil="true"/>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6.02 ACTH</Document_x0020_Title>
    <Content_x0020_Release_x0020_Date xmlns="199f0838-75a6-4f0c-9be1-f2c07140bccc" xsi:nil="tru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F6TN54CWY5RS-50183619-32632</_dlc_DocId>
    <_dlc_DocIdUrl xmlns="199f0838-75a6-4f0c-9be1-f2c07140bccc">
      <Url>http://vcpsharepoint2/references/_layouts/15/DocIdRedir.aspx?ID=F6TN54CWY5RS-50183619-32632</Url>
      <Description>F6TN54CWY5RS-50183619-32632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49495d3ea6f74607e2c4d48e538cca21">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a50a3c33372d28fc2b63365aa03a383"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ED19C-118B-4220-92F9-19CA2168621D}">
  <ds:schemaRefs>
    <ds:schemaRef ds:uri="http://schemas.microsoft.com/sharepoint/v3/contenttype/forms"/>
  </ds:schemaRefs>
</ds:datastoreItem>
</file>

<file path=customXml/itemProps2.xml><?xml version="1.0" encoding="utf-8"?>
<ds:datastoreItem xmlns:ds="http://schemas.openxmlformats.org/officeDocument/2006/customXml" ds:itemID="{40CF679C-4A4E-45A6-A9CA-AB9A7740B7EE}">
  <ds:schemaRefs>
    <ds:schemaRef ds:uri="http://schemas.microsoft.com/sharepoint/events"/>
  </ds:schemaRefs>
</ds:datastoreItem>
</file>

<file path=customXml/itemProps3.xml><?xml version="1.0" encoding="utf-8"?>
<ds:datastoreItem xmlns:ds="http://schemas.openxmlformats.org/officeDocument/2006/customXml" ds:itemID="{16F830A9-9AA8-434E-A9ED-30E83B6EF8FA}">
  <ds:schemaRefs>
    <ds:schemaRef ds:uri="http://schemas.openxmlformats.org/package/2006/metadata/core-properties"/>
    <ds:schemaRef ds:uri="http://schemas.microsoft.com/office/2006/metadata/properties"/>
    <ds:schemaRef ds:uri="http://schemas.microsoft.com/office/2006/documentManagement/types"/>
    <ds:schemaRef ds:uri="http://schemas.microsoft.com/sharepoint/v3/fields"/>
    <ds:schemaRef ds:uri="http://schemas.microsoft.com/office/infopath/2007/PartnerControls"/>
    <ds:schemaRef ds:uri="http://purl.org/dc/dcmitype/"/>
    <ds:schemaRef ds:uri="http://schemas.microsoft.com/sharepoint.v3"/>
    <ds:schemaRef ds:uri="http://www.w3.org/XML/1998/namespace"/>
    <ds:schemaRef ds:uri="http://purl.org/dc/elements/1.1/"/>
    <ds:schemaRef ds:uri="http://purl.org/dc/terms/"/>
    <ds:schemaRef ds:uri="c1848e11-9cf6-4ce4-877e-6837d2c2fa23"/>
    <ds:schemaRef ds:uri="199f0838-75a6-4f0c-9be1-f2c07140bccc"/>
    <ds:schemaRef ds:uri="http://schemas.microsoft.com/sharepoint/v3"/>
  </ds:schemaRefs>
</ds:datastoreItem>
</file>

<file path=customXml/itemProps4.xml><?xml version="1.0" encoding="utf-8"?>
<ds:datastoreItem xmlns:ds="http://schemas.openxmlformats.org/officeDocument/2006/customXml" ds:itemID="{B3C22319-4D25-48CD-850D-AE835DFB4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F00470-E1A0-4A92-B5AF-FFD052B3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9</Pages>
  <Words>2383</Words>
  <Characters>14120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CH 6.02 ACTH</vt:lpstr>
    </vt:vector>
  </TitlesOfParts>
  <Company>***</Company>
  <LinksUpToDate>false</LinksUpToDate>
  <CharactersWithSpaces>16471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6.02 ACTH</dc:title>
  <dc:creator>CE155291</dc:creator>
  <dc:description>Wording Changes and More details regarding STATs.  ERB 4/6/18_x000d_
Updated operating days/times.  Added specimen processing for STAT specimens. 10/31/17 KB_x000d_
Updated IFU, biennial review, updated hours of operation/testing.  ERB 6/30/2017</dc:description>
  <cp:lastModifiedBy>Erin Bartos</cp:lastModifiedBy>
  <cp:revision>3</cp:revision>
  <cp:lastPrinted>2010-07-11T22:00:00Z</cp:lastPrinted>
  <dcterms:created xsi:type="dcterms:W3CDTF">2020-10-24T18:28:00Z</dcterms:created>
  <dcterms:modified xsi:type="dcterms:W3CDTF">2020-10-25T00:04:00Z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278cd3ef-48fa-4dac-bb65-366b13c2b1f5</vt:lpwstr>
  </property>
</Properties>
</file>