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0"/>
        <w:gridCol w:w="540"/>
        <w:gridCol w:w="2340"/>
        <w:gridCol w:w="1800"/>
        <w:gridCol w:w="3600"/>
        <w:gridCol w:w="180"/>
      </w:tblGrid>
      <w:tr w:rsidR="00C23349" w:rsidTr="00262974">
        <w:trPr>
          <w:cantSplit/>
          <w:tblHeader/>
        </w:trPr>
        <w:tc>
          <w:tcPr>
            <w:tcW w:w="11160" w:type="dxa"/>
            <w:gridSpan w:val="7"/>
          </w:tcPr>
          <w:p w:rsidR="00C23349" w:rsidRDefault="0009695F" w:rsidP="008635DD">
            <w:pPr>
              <w:pStyle w:val="Header"/>
              <w:tabs>
                <w:tab w:val="clear" w:pos="4320"/>
                <w:tab w:val="clear" w:pos="8640"/>
                <w:tab w:val="left" w:pos="11520"/>
              </w:tabs>
              <w:jc w:val="both"/>
              <w:rPr>
                <w:rFonts w:cs="Arial"/>
                <w:color w:val="0000FF"/>
              </w:rPr>
            </w:pPr>
            <w:r>
              <w:rPr>
                <w:rFonts w:cs="Arial"/>
                <w:b/>
                <w:bCs/>
                <w:color w:val="0000FF"/>
                <w:sz w:val="36"/>
              </w:rPr>
              <w:t>Levetiracetam</w:t>
            </w:r>
          </w:p>
        </w:tc>
      </w:tr>
      <w:tr w:rsidR="00C23349" w:rsidTr="00262974">
        <w:trPr>
          <w:tblHeader/>
        </w:trPr>
        <w:tc>
          <w:tcPr>
            <w:tcW w:w="1800" w:type="dxa"/>
          </w:tcPr>
          <w:p w:rsidR="00C23349" w:rsidRDefault="00C23349">
            <w:pPr>
              <w:rPr>
                <w:rFonts w:cs="Arial"/>
                <w:b/>
                <w:bCs/>
                <w:color w:val="0000FF"/>
              </w:rPr>
            </w:pPr>
            <w:r>
              <w:rPr>
                <w:rFonts w:cs="Arial"/>
                <w:b/>
                <w:bCs/>
                <w:color w:val="0000FF"/>
              </w:rPr>
              <w:t>Purpose</w:t>
            </w:r>
          </w:p>
        </w:tc>
        <w:tc>
          <w:tcPr>
            <w:tcW w:w="9360" w:type="dxa"/>
            <w:gridSpan w:val="6"/>
            <w:tcBorders>
              <w:top w:val="single" w:sz="4" w:space="0" w:color="auto"/>
              <w:bottom w:val="single" w:sz="4" w:space="0" w:color="auto"/>
            </w:tcBorders>
          </w:tcPr>
          <w:p w:rsidR="00C23349" w:rsidRPr="00DA080C" w:rsidRDefault="00C23349">
            <w:pPr>
              <w:rPr>
                <w:rFonts w:cs="Arial"/>
                <w:szCs w:val="20"/>
              </w:rPr>
            </w:pPr>
            <w:r w:rsidRPr="00DA080C">
              <w:rPr>
                <w:rFonts w:cs="Arial"/>
                <w:szCs w:val="20"/>
              </w:rPr>
              <w:t>This procedure prov</w:t>
            </w:r>
            <w:r w:rsidR="00DA080C" w:rsidRPr="00DA080C">
              <w:rPr>
                <w:rFonts w:cs="Arial"/>
                <w:szCs w:val="20"/>
              </w:rPr>
              <w:t>ides instructions for performing</w:t>
            </w:r>
            <w:r w:rsidRPr="00DA080C">
              <w:rPr>
                <w:rFonts w:cs="Arial"/>
                <w:szCs w:val="20"/>
              </w:rPr>
              <w:t xml:space="preserve"> LEVETIRACETAM PROCEDURE in Children’s</w:t>
            </w:r>
            <w:r w:rsidR="00262974">
              <w:rPr>
                <w:rFonts w:cs="Arial"/>
                <w:szCs w:val="20"/>
              </w:rPr>
              <w:t xml:space="preserve"> Minnesota</w:t>
            </w:r>
            <w:r w:rsidR="0009695F">
              <w:rPr>
                <w:rFonts w:cs="Arial"/>
                <w:szCs w:val="20"/>
              </w:rPr>
              <w:t xml:space="preserve"> Laboratory on Abbott instrumentation.</w:t>
            </w:r>
          </w:p>
          <w:p w:rsidR="00C23349" w:rsidRPr="00DA080C" w:rsidRDefault="00C23349">
            <w:pPr>
              <w:rPr>
                <w:rFonts w:cs="Arial"/>
                <w:szCs w:val="20"/>
              </w:rPr>
            </w:pPr>
          </w:p>
          <w:p w:rsidR="00C23349" w:rsidRPr="00DA080C" w:rsidRDefault="00C23349">
            <w:pPr>
              <w:rPr>
                <w:rFonts w:cs="Arial"/>
                <w:szCs w:val="20"/>
              </w:rPr>
            </w:pPr>
            <w:r w:rsidRPr="00DA080C">
              <w:rPr>
                <w:rFonts w:cs="Arial"/>
                <w:szCs w:val="20"/>
              </w:rPr>
              <w:t>The ARK Levetiracetam Assay is a homogeneous enzyme immunoassay intended for the quantitative determination of levetiracetam in human serum or plasma on automated clinical chemistry analyzers. Levetiracetam concentrations can be used as an aid in management of patients treated with levetiracetam.</w:t>
            </w:r>
          </w:p>
          <w:p w:rsidR="00C23349" w:rsidRPr="00DA080C" w:rsidRDefault="00C23349">
            <w:pPr>
              <w:rPr>
                <w:rFonts w:cs="Arial"/>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Policy Statements</w:t>
            </w:r>
          </w:p>
        </w:tc>
        <w:tc>
          <w:tcPr>
            <w:tcW w:w="9360" w:type="dxa"/>
            <w:gridSpan w:val="6"/>
            <w:tcBorders>
              <w:top w:val="single" w:sz="4" w:space="0" w:color="auto"/>
              <w:bottom w:val="single" w:sz="4" w:space="0" w:color="auto"/>
            </w:tcBorders>
            <w:vAlign w:val="center"/>
          </w:tcPr>
          <w:p w:rsidR="00C23349" w:rsidRPr="00DA080C"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 xml:space="preserve">This procedure applies to all personnel who run the </w:t>
            </w:r>
            <w:r w:rsidR="00A6644E" w:rsidRPr="00DA080C">
              <w:rPr>
                <w:rFonts w:cs="Arial"/>
                <w:szCs w:val="20"/>
              </w:rPr>
              <w:t>Abbott Architect c4000</w:t>
            </w:r>
            <w:r w:rsidR="0009695F">
              <w:rPr>
                <w:rFonts w:cs="Arial"/>
                <w:szCs w:val="20"/>
              </w:rPr>
              <w:t xml:space="preserve"> and Alinity c analyzers in St Paul Laboratory</w:t>
            </w:r>
          </w:p>
          <w:p w:rsidR="00C23349"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All components of individual ARK Levetiracetam Assay reagent kits must be used together, and not shared between kits.</w:t>
            </w:r>
          </w:p>
          <w:p w:rsidR="008635DD" w:rsidRPr="00DA080C" w:rsidRDefault="008635DD" w:rsidP="008635DD">
            <w:pPr>
              <w:pStyle w:val="Header"/>
              <w:tabs>
                <w:tab w:val="clear" w:pos="4320"/>
                <w:tab w:val="clear" w:pos="8640"/>
              </w:tabs>
              <w:autoSpaceDE w:val="0"/>
              <w:autoSpaceDN w:val="0"/>
              <w:adjustRightInd w:val="0"/>
              <w:ind w:left="360"/>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Principle</w:t>
            </w:r>
          </w:p>
        </w:tc>
        <w:tc>
          <w:tcPr>
            <w:tcW w:w="9360" w:type="dxa"/>
            <w:gridSpan w:val="6"/>
            <w:tcBorders>
              <w:top w:val="single" w:sz="4" w:space="0" w:color="auto"/>
              <w:bottom w:val="single" w:sz="4" w:space="0" w:color="auto"/>
            </w:tcBorders>
          </w:tcPr>
          <w:p w:rsidR="00C23349" w:rsidRPr="00DA080C" w:rsidRDefault="00C23349">
            <w:pPr>
              <w:autoSpaceDE w:val="0"/>
              <w:autoSpaceDN w:val="0"/>
              <w:adjustRightInd w:val="0"/>
              <w:rPr>
                <w:rFonts w:cs="Arial"/>
                <w:szCs w:val="20"/>
              </w:rPr>
            </w:pPr>
            <w:r w:rsidRPr="00DA080C">
              <w:rPr>
                <w:rFonts w:cs="Arial"/>
                <w:szCs w:val="20"/>
              </w:rPr>
              <w:t>ARK Levetiracetam Assay is a homogeneous immunoassay based on competition between drug in the specimen and levetiracetam labeled with the enzyme glucose-6-phosphate dehydrogenase (G6PDH) for binding to the antibody reagent. As the latter binds antibody, enzyme activity decreases. In the presence of drug from the specimen, enzyme activity increases and is directly proportional to the drug concentration. Active enzyme converts the coenzyme nicotinamide adenine dinucleotide (NAD) to NADH that is measured spectrophotometrically as a rate of change in absorbance. Endogenous serum G6PDH does not interfere with the results because the coenyzme NAD functions only with the bacterial enzyme used in the assay.</w:t>
            </w:r>
          </w:p>
          <w:p w:rsidR="00C23349" w:rsidRPr="00DA080C" w:rsidRDefault="00C23349">
            <w:pPr>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Clinical Significance</w:t>
            </w:r>
          </w:p>
        </w:tc>
        <w:tc>
          <w:tcPr>
            <w:tcW w:w="9360" w:type="dxa"/>
            <w:gridSpan w:val="6"/>
            <w:tcBorders>
              <w:top w:val="single" w:sz="4" w:space="0" w:color="auto"/>
              <w:bottom w:val="single" w:sz="4" w:space="0" w:color="auto"/>
            </w:tcBorders>
          </w:tcPr>
          <w:p w:rsidR="00C23349" w:rsidRPr="00DA080C" w:rsidRDefault="00C23349">
            <w:pPr>
              <w:pStyle w:val="NormalWeb"/>
              <w:spacing w:before="0" w:beforeAutospacing="0" w:after="0" w:afterAutospacing="0"/>
              <w:jc w:val="both"/>
              <w:rPr>
                <w:rFonts w:ascii="Arial" w:hAnsi="Arial" w:cs="Arial"/>
                <w:sz w:val="20"/>
                <w:szCs w:val="20"/>
              </w:rPr>
            </w:pPr>
            <w:r w:rsidRPr="00DA080C">
              <w:rPr>
                <w:rFonts w:ascii="Arial" w:hAnsi="Arial" w:cs="Arial"/>
                <w:sz w:val="20"/>
                <w:szCs w:val="20"/>
              </w:rPr>
              <w:t>Levetiracetam (KEPPRA®, (S)-α-ethyl-2-oxo-1-pyrrolidine acetamide) is an anti-convulsant drug approved for use as adjunctive therapy in the treatment of epilepsy.</w:t>
            </w:r>
          </w:p>
          <w:p w:rsidR="00C23349" w:rsidRPr="00DA080C" w:rsidRDefault="00C23349">
            <w:pPr>
              <w:pStyle w:val="NormalWeb"/>
              <w:spacing w:before="0" w:beforeAutospacing="0" w:after="0" w:afterAutospacing="0"/>
              <w:jc w:val="both"/>
              <w:rPr>
                <w:rFonts w:ascii="Arial" w:hAnsi="Arial" w:cs="Arial"/>
                <w:sz w:val="20"/>
                <w:szCs w:val="20"/>
              </w:rPr>
            </w:pPr>
          </w:p>
          <w:p w:rsidR="00C23349" w:rsidRPr="00DA080C" w:rsidRDefault="00C23349">
            <w:pPr>
              <w:pStyle w:val="BodyText"/>
              <w:rPr>
                <w:rFonts w:cs="Arial"/>
                <w:szCs w:val="20"/>
              </w:rPr>
            </w:pPr>
            <w:r w:rsidRPr="00DA080C">
              <w:rPr>
                <w:rFonts w:cs="Arial"/>
                <w:szCs w:val="20"/>
              </w:rPr>
              <w:t>KEPPRA is indicated as adjunctive therapy in the treatment of partial onset seizures in adults and children 1 month of age and older with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KEPPRA is indicated as adjunctive therapy in the treatment of myoclonic seizures in adults and adolescents 12 years of age and older with juvenile myoclonic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KEPPRA is indicated as adjunctive therapy in the treatment of primary generalized tonic-clonic seizures in adults and children 6 years of age and older with idiopathic generalized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In a study published in the journal Epilepsia, nine out of fifteen patients (60%) showed a good response to levetiracetam with reduction in seizure frequency. Four out of fifteen patients (26.7%) became seizure free and 5/15 (33.3%) patients had fewer seizure frequency with therapy. Five out of fifteen patients (33.3%) had no response to therapy.</w:t>
            </w:r>
          </w:p>
          <w:p w:rsidR="00C23349" w:rsidRPr="00DA080C" w:rsidRDefault="00C23349">
            <w:pPr>
              <w:pStyle w:val="BodyText"/>
              <w:rPr>
                <w:rFonts w:cs="Arial"/>
                <w:szCs w:val="20"/>
              </w:rPr>
            </w:pPr>
          </w:p>
          <w:p w:rsidR="00C23349" w:rsidRPr="00DA080C" w:rsidRDefault="00C23349">
            <w:pPr>
              <w:pStyle w:val="BodyText2"/>
              <w:rPr>
                <w:szCs w:val="20"/>
              </w:rPr>
            </w:pPr>
            <w:r w:rsidRPr="00DA080C">
              <w:rPr>
                <w:szCs w:val="20"/>
              </w:rPr>
              <w:t>Of those with generalized tonic clonic epilepsy, 4/11 (36.4%) had become seizure free, 3/11 (27.2%) had a decrease in seizure frequency, and 3/11 (27.2%) showed no response.</w:t>
            </w:r>
          </w:p>
          <w:p w:rsidR="00C23349" w:rsidRPr="00DA080C" w:rsidRDefault="00C23349">
            <w:pPr>
              <w:pStyle w:val="BodyText2"/>
              <w:rPr>
                <w:szCs w:val="20"/>
              </w:rPr>
            </w:pPr>
            <w:r w:rsidRPr="00DA080C">
              <w:rPr>
                <w:szCs w:val="20"/>
              </w:rPr>
              <w:t>Adverse effects occurred in four children (26.6%) including behavioral change (1/15), tiredness (1/15), decrease appetite (1/15), and reason unknown (1/15) (child was seen as an in-patient and followed at an outlying hospital).</w:t>
            </w:r>
          </w:p>
          <w:p w:rsidR="00C23349" w:rsidRPr="00DA080C" w:rsidRDefault="00C23349">
            <w:pPr>
              <w:pStyle w:val="BodyText2"/>
              <w:rPr>
                <w:szCs w:val="20"/>
              </w:rPr>
            </w:pPr>
          </w:p>
          <w:p w:rsidR="00C23349" w:rsidRPr="00DA080C" w:rsidRDefault="00C23349">
            <w:pPr>
              <w:pStyle w:val="BodyText2"/>
              <w:rPr>
                <w:szCs w:val="20"/>
              </w:rPr>
            </w:pPr>
            <w:r w:rsidRPr="00DA080C">
              <w:rPr>
                <w:szCs w:val="20"/>
              </w:rPr>
              <w:t>Treatment with levetiracetam resulted in reduction of seizure frequency in 60% of the patients included in this study. Levetiracetam was efficacious and safe for use in children with idiopathic generalized epilepsy with few, mild side effects reported.</w:t>
            </w:r>
          </w:p>
          <w:p w:rsidR="00C23349" w:rsidRPr="00DA080C" w:rsidRDefault="00C23349">
            <w:pPr>
              <w:pStyle w:val="NormalWeb"/>
              <w:spacing w:before="0" w:beforeAutospacing="0" w:after="0" w:afterAutospacing="0"/>
              <w:jc w:val="both"/>
              <w:rPr>
                <w:rFonts w:ascii="Arial" w:hAnsi="Arial" w:cs="Arial"/>
                <w:sz w:val="20"/>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Analyzer</w:t>
            </w:r>
          </w:p>
        </w:tc>
        <w:tc>
          <w:tcPr>
            <w:tcW w:w="9360" w:type="dxa"/>
            <w:gridSpan w:val="6"/>
            <w:tcBorders>
              <w:top w:val="single" w:sz="4" w:space="0" w:color="auto"/>
              <w:bottom w:val="single" w:sz="4" w:space="0" w:color="auto"/>
            </w:tcBorders>
          </w:tcPr>
          <w:p w:rsidR="0009695F" w:rsidRPr="00F227C0" w:rsidRDefault="0009695F" w:rsidP="0009695F">
            <w:pPr>
              <w:autoSpaceDE w:val="0"/>
              <w:autoSpaceDN w:val="0"/>
              <w:adjustRightInd w:val="0"/>
              <w:rPr>
                <w:rFonts w:cs="Arial"/>
                <w:b/>
                <w:color w:val="984806" w:themeColor="accent6" w:themeShade="80"/>
                <w:lang w:eastAsia="ja-JP"/>
              </w:rPr>
            </w:pPr>
            <w:r w:rsidRPr="00F227C0">
              <w:rPr>
                <w:rFonts w:cs="Arial"/>
                <w:b/>
                <w:color w:val="984806" w:themeColor="accent6" w:themeShade="80"/>
                <w:lang w:eastAsia="ja-JP"/>
              </w:rPr>
              <w:t>St. Paul Primary</w:t>
            </w:r>
            <w:r>
              <w:rPr>
                <w:rFonts w:cs="Arial"/>
                <w:b/>
                <w:color w:val="984806" w:themeColor="accent6" w:themeShade="80"/>
                <w:lang w:eastAsia="ja-JP"/>
              </w:rPr>
              <w:t>: Abbott A</w:t>
            </w:r>
            <w:r w:rsidRPr="00F227C0">
              <w:rPr>
                <w:rFonts w:cs="Arial"/>
                <w:b/>
                <w:color w:val="984806" w:themeColor="accent6" w:themeShade="80"/>
                <w:lang w:eastAsia="ja-JP"/>
              </w:rPr>
              <w:t>linity ci (SALIC)</w:t>
            </w:r>
          </w:p>
          <w:p w:rsidR="00C23349" w:rsidRPr="00DA080C" w:rsidRDefault="0009695F" w:rsidP="0009695F">
            <w:pPr>
              <w:autoSpaceDE w:val="0"/>
              <w:autoSpaceDN w:val="0"/>
              <w:adjustRightInd w:val="0"/>
              <w:rPr>
                <w:rFonts w:cs="Arial"/>
                <w:szCs w:val="20"/>
              </w:rPr>
            </w:pPr>
            <w:r w:rsidRPr="00F227C0">
              <w:rPr>
                <w:rFonts w:cs="Arial"/>
                <w:b/>
                <w:color w:val="984806" w:themeColor="accent6" w:themeShade="80"/>
                <w:lang w:eastAsia="ja-JP"/>
              </w:rPr>
              <w:t>St. Paul Backup</w:t>
            </w:r>
            <w:r>
              <w:rPr>
                <w:rFonts w:cs="Arial"/>
                <w:b/>
                <w:color w:val="984806" w:themeColor="accent6" w:themeShade="80"/>
                <w:lang w:eastAsia="ja-JP"/>
              </w:rPr>
              <w:t>:</w:t>
            </w:r>
            <w:r w:rsidRPr="00F227C0">
              <w:rPr>
                <w:rFonts w:cs="Arial"/>
                <w:b/>
                <w:color w:val="984806" w:themeColor="accent6" w:themeShade="80"/>
                <w:lang w:eastAsia="ja-JP"/>
              </w:rPr>
              <w:t xml:space="preserve"> Abbott Architect c4000 (ARCH4)</w:t>
            </w:r>
            <w:r>
              <w:rPr>
                <w:rFonts w:cs="Arial"/>
                <w:b/>
                <w:color w:val="984806" w:themeColor="accent6" w:themeShade="80"/>
                <w:lang w:eastAsia="ja-JP"/>
              </w:rPr>
              <w:t xml:space="preserve"> (Reagent will not be routinely loaded on the c4000.  In case of extended Alinity c downtime, load reagent, calibrate, and quality control prior to testing patient samples.)</w:t>
            </w:r>
          </w:p>
        </w:tc>
      </w:tr>
      <w:tr w:rsidR="00C23349" w:rsidTr="00262974">
        <w:trPr>
          <w:tblHeader/>
        </w:trPr>
        <w:tc>
          <w:tcPr>
            <w:tcW w:w="1800" w:type="dxa"/>
            <w:vAlign w:val="center"/>
          </w:tcPr>
          <w:p w:rsidR="00C23349" w:rsidRDefault="00C23349">
            <w:pPr>
              <w:rPr>
                <w:rFonts w:cs="Arial"/>
                <w:b/>
                <w:bCs/>
                <w:color w:val="0000FF"/>
              </w:rPr>
            </w:pPr>
            <w:r>
              <w:rPr>
                <w:rFonts w:cs="Arial"/>
                <w:b/>
                <w:bCs/>
                <w:color w:val="0000FF"/>
              </w:rPr>
              <w:t>Sunquest Test Codes</w:t>
            </w:r>
          </w:p>
        </w:tc>
        <w:tc>
          <w:tcPr>
            <w:tcW w:w="9360" w:type="dxa"/>
            <w:gridSpan w:val="6"/>
            <w:tcBorders>
              <w:top w:val="single" w:sz="4" w:space="0" w:color="auto"/>
              <w:bottom w:val="single" w:sz="4" w:space="0" w:color="auto"/>
            </w:tcBorders>
            <w:vAlign w:val="center"/>
          </w:tcPr>
          <w:p w:rsidR="00C23349" w:rsidRDefault="00C23349">
            <w:pPr>
              <w:pStyle w:val="Header"/>
              <w:tabs>
                <w:tab w:val="clear" w:pos="4320"/>
                <w:tab w:val="clear" w:pos="8640"/>
              </w:tabs>
              <w:rPr>
                <w:rFonts w:cs="Arial"/>
                <w:szCs w:val="20"/>
              </w:rPr>
            </w:pPr>
            <w:r w:rsidRPr="00DA080C">
              <w:rPr>
                <w:rFonts w:cs="Arial"/>
                <w:iCs/>
                <w:szCs w:val="20"/>
              </w:rPr>
              <w:t xml:space="preserve">LEVET: </w:t>
            </w:r>
            <w:r w:rsidRPr="00DA080C">
              <w:rPr>
                <w:rFonts w:cs="Arial"/>
                <w:szCs w:val="20"/>
              </w:rPr>
              <w:t>Levetiracetam (Keppra</w:t>
            </w:r>
            <w:r w:rsidRPr="00DA080C">
              <w:rPr>
                <w:rFonts w:cs="Arial"/>
                <w:szCs w:val="20"/>
              </w:rPr>
              <w:sym w:font="Symbol" w:char="F0D2"/>
            </w:r>
            <w:r w:rsidRPr="00DA080C">
              <w:rPr>
                <w:rFonts w:cs="Arial"/>
                <w:szCs w:val="20"/>
              </w:rPr>
              <w:t>)</w:t>
            </w:r>
          </w:p>
          <w:p w:rsidR="008635DD" w:rsidRPr="00DA080C" w:rsidRDefault="008635DD">
            <w:pPr>
              <w:pStyle w:val="Header"/>
              <w:tabs>
                <w:tab w:val="clear" w:pos="4320"/>
                <w:tab w:val="clear" w:pos="8640"/>
              </w:tabs>
              <w:rPr>
                <w:rFonts w:cs="Arial"/>
                <w:szCs w:val="20"/>
              </w:rPr>
            </w:pPr>
          </w:p>
        </w:tc>
      </w:tr>
      <w:tr w:rsidR="00C23349" w:rsidTr="00262974">
        <w:trPr>
          <w:cantSplit/>
          <w:trHeight w:val="5444"/>
          <w:tblHeader/>
        </w:trPr>
        <w:tc>
          <w:tcPr>
            <w:tcW w:w="1800" w:type="dxa"/>
            <w:tcBorders>
              <w:bottom w:val="nil"/>
            </w:tcBorders>
          </w:tcPr>
          <w:p w:rsidR="00C23349" w:rsidRDefault="00C23349">
            <w:pPr>
              <w:rPr>
                <w:rFonts w:cs="Arial"/>
                <w:b/>
                <w:bCs/>
                <w:color w:val="0000FF"/>
              </w:rPr>
            </w:pPr>
            <w:r>
              <w:rPr>
                <w:rFonts w:cs="Arial"/>
                <w:b/>
                <w:bCs/>
                <w:color w:val="0000FF"/>
              </w:rPr>
              <w:lastRenderedPageBreak/>
              <w:t>Specimen</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Serum (</w:t>
            </w:r>
            <w:r w:rsidRPr="00DA080C">
              <w:rPr>
                <w:rFonts w:cs="Arial"/>
                <w:b/>
                <w:bCs/>
                <w:szCs w:val="20"/>
              </w:rPr>
              <w:t>no gel</w:t>
            </w:r>
            <w:r w:rsidR="00DA080C" w:rsidRPr="00DA080C">
              <w:rPr>
                <w:rFonts w:cs="Arial"/>
                <w:szCs w:val="20"/>
              </w:rPr>
              <w:t xml:space="preserve">). </w:t>
            </w:r>
            <w:r w:rsidR="00DA080C">
              <w:rPr>
                <w:rFonts w:cs="Arial"/>
                <w:szCs w:val="20"/>
              </w:rPr>
              <w:t xml:space="preserve"> </w:t>
            </w:r>
            <w:r w:rsidRPr="00DA080C">
              <w:rPr>
                <w:rFonts w:cs="Arial"/>
                <w:szCs w:val="20"/>
              </w:rPr>
              <w:t>Refer to specimen collection procedures</w:t>
            </w:r>
            <w:r w:rsidRPr="00DA080C">
              <w:rPr>
                <w:rFonts w:eastAsia="HelenPro-Cond" w:cs="Arial"/>
                <w:szCs w:val="20"/>
              </w:rPr>
              <w:t xml:space="preserve"> for collection of diagnostic blood specimens</w:t>
            </w:r>
            <w:r w:rsidRPr="00DA080C">
              <w:rPr>
                <w:rFonts w:cs="Arial"/>
                <w:szCs w:val="20"/>
              </w:rPr>
              <w:t xml:space="preserve">. </w:t>
            </w:r>
            <w:r w:rsidR="00BE6ADA" w:rsidRPr="00DA080C">
              <w:rPr>
                <w:rFonts w:cs="Arial"/>
                <w:szCs w:val="20"/>
              </w:rPr>
              <w:t>Lithium heparin, sodium heparin, and Potassium EDTA plasma</w:t>
            </w:r>
            <w:r w:rsidRPr="00DA080C">
              <w:rPr>
                <w:rFonts w:cs="Arial"/>
                <w:szCs w:val="20"/>
              </w:rPr>
              <w:t xml:space="preserve"> </w:t>
            </w:r>
            <w:r w:rsidR="00BE6ADA" w:rsidRPr="00DA080C">
              <w:rPr>
                <w:rFonts w:cs="Arial"/>
                <w:szCs w:val="20"/>
              </w:rPr>
              <w:t>are</w:t>
            </w:r>
            <w:r w:rsidRPr="00DA080C">
              <w:rPr>
                <w:rFonts w:cs="Arial"/>
                <w:szCs w:val="20"/>
              </w:rPr>
              <w:t xml:space="preserve"> acceptable specimen type</w:t>
            </w:r>
            <w:r w:rsidR="00BE6ADA" w:rsidRPr="00DA080C">
              <w:rPr>
                <w:rFonts w:cs="Arial"/>
                <w:szCs w:val="20"/>
              </w:rPr>
              <w:t>s</w:t>
            </w:r>
            <w:r w:rsidRPr="00DA080C">
              <w:rPr>
                <w:rFonts w:cs="Arial"/>
                <w:szCs w:val="20"/>
              </w:rPr>
              <w:t xml:space="preserve">, however, </w:t>
            </w:r>
            <w:r w:rsidR="00DA080C">
              <w:rPr>
                <w:rFonts w:cs="Arial"/>
                <w:szCs w:val="20"/>
              </w:rPr>
              <w:t xml:space="preserve">since </w:t>
            </w:r>
            <w:r w:rsidRPr="00DA080C">
              <w:rPr>
                <w:rFonts w:cs="Arial"/>
                <w:szCs w:val="20"/>
              </w:rPr>
              <w:t>using the same specimen matrix for individual patients is preferred, serum is the preferred specimen type.</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Patient</w:t>
            </w:r>
            <w:r w:rsidRPr="00DA080C">
              <w:rPr>
                <w:rFonts w:cs="Arial"/>
                <w:szCs w:val="20"/>
              </w:rPr>
              <w:t xml:space="preserve"> </w:t>
            </w:r>
            <w:r w:rsidRPr="00DA080C">
              <w:rPr>
                <w:rFonts w:cs="Arial"/>
                <w:b/>
                <w:bCs/>
                <w:szCs w:val="20"/>
              </w:rPr>
              <w:t>Preparation:</w:t>
            </w:r>
            <w:r w:rsidRPr="00DA080C">
              <w:rPr>
                <w:rFonts w:cs="Arial"/>
                <w:szCs w:val="20"/>
              </w:rPr>
              <w:t xml:space="preserve"> A steady state, trough (pre-dose) sample is generally accepted as most consistent for therapeutic drug monitoring of Levetiracetam. </w:t>
            </w:r>
            <w:r w:rsidR="00DA080C">
              <w:rPr>
                <w:rFonts w:cs="Arial"/>
                <w:szCs w:val="20"/>
              </w:rPr>
              <w:t xml:space="preserve"> </w:t>
            </w:r>
            <w:r w:rsidRPr="00DA080C">
              <w:rPr>
                <w:rFonts w:cs="Arial"/>
                <w:szCs w:val="20"/>
              </w:rPr>
              <w:t>Time of blood draw since last dose should be noted.</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Minimum volume:</w:t>
            </w:r>
            <w:r w:rsidRPr="00DA080C">
              <w:rPr>
                <w:rFonts w:cs="Arial"/>
                <w:szCs w:val="20"/>
              </w:rPr>
              <w:t xml:space="preserve"> 0.2 mL</w:t>
            </w:r>
          </w:p>
          <w:p w:rsidR="00C23349" w:rsidRPr="00DA080C" w:rsidRDefault="00C23349">
            <w:pPr>
              <w:pStyle w:val="BodyText"/>
              <w:rPr>
                <w:rFonts w:cs="Arial"/>
                <w:b/>
                <w:bCs/>
                <w:szCs w:val="20"/>
              </w:rPr>
            </w:pPr>
          </w:p>
          <w:p w:rsidR="00C23349" w:rsidRPr="00DA080C" w:rsidRDefault="00C23349">
            <w:pPr>
              <w:pStyle w:val="BodyText"/>
              <w:rPr>
                <w:rFonts w:eastAsia="HelenPro-Cond" w:cs="Arial"/>
                <w:szCs w:val="20"/>
              </w:rPr>
            </w:pPr>
            <w:r w:rsidRPr="00DA080C">
              <w:rPr>
                <w:rFonts w:cs="Arial"/>
                <w:b/>
                <w:bCs/>
                <w:szCs w:val="20"/>
              </w:rPr>
              <w:t>Stability:</w:t>
            </w:r>
            <w:r w:rsidRPr="00DA080C">
              <w:rPr>
                <w:rFonts w:cs="Arial"/>
                <w:szCs w:val="20"/>
              </w:rPr>
              <w:t xml:space="preserve"> 2-8 </w:t>
            </w:r>
            <w:r w:rsidRPr="00DA080C">
              <w:rPr>
                <w:rFonts w:cs="Arial"/>
                <w:szCs w:val="20"/>
              </w:rPr>
              <w:sym w:font="Symbol" w:char="F0B0"/>
            </w:r>
            <w:r w:rsidRPr="00DA080C">
              <w:rPr>
                <w:rFonts w:cs="Arial"/>
                <w:szCs w:val="20"/>
              </w:rPr>
              <w:t xml:space="preserve">C / 7 days, </w:t>
            </w:r>
            <w:r w:rsidR="00DA080C">
              <w:rPr>
                <w:rFonts w:cs="Arial"/>
                <w:szCs w:val="20"/>
              </w:rPr>
              <w:t>&lt;</w:t>
            </w:r>
            <w:r w:rsidRPr="00DA080C">
              <w:rPr>
                <w:rFonts w:eastAsia="HelenPro-Cond" w:cs="Arial"/>
                <w:szCs w:val="20"/>
              </w:rPr>
              <w:t>-10 °C / 1 month.</w:t>
            </w:r>
            <w:r w:rsidRPr="00DA080C">
              <w:rPr>
                <w:rFonts w:cs="Arial"/>
                <w:szCs w:val="20"/>
              </w:rPr>
              <w:t xml:space="preserve"> </w:t>
            </w:r>
          </w:p>
          <w:p w:rsidR="00C23349" w:rsidRPr="00DA080C" w:rsidRDefault="00C23349">
            <w:pPr>
              <w:pStyle w:val="BodyText"/>
              <w:rPr>
                <w:rFonts w:eastAsia="HelenPro-Cond" w:cs="Arial"/>
                <w:szCs w:val="20"/>
              </w:rPr>
            </w:pPr>
          </w:p>
          <w:p w:rsidR="00C23349" w:rsidRPr="00DA080C" w:rsidRDefault="00C23349">
            <w:pPr>
              <w:pStyle w:val="BodyText"/>
              <w:rPr>
                <w:rFonts w:cs="Arial"/>
                <w:szCs w:val="20"/>
              </w:rPr>
            </w:pPr>
            <w:r w:rsidRPr="00DA080C">
              <w:rPr>
                <w:rFonts w:cs="Arial"/>
                <w:b/>
                <w:bCs/>
                <w:szCs w:val="20"/>
              </w:rPr>
              <w:t>Rejection criteria</w:t>
            </w:r>
            <w:r w:rsidRPr="00DA080C">
              <w:rPr>
                <w:rFonts w:cs="Arial"/>
                <w:szCs w:val="20"/>
              </w:rPr>
              <w:t xml:space="preserve">: </w:t>
            </w:r>
            <w:r w:rsidR="00DA080C" w:rsidRPr="00DA080C">
              <w:rPr>
                <w:rFonts w:cs="Arial"/>
                <w:szCs w:val="20"/>
              </w:rPr>
              <w:t>Unlabeled</w:t>
            </w:r>
            <w:r w:rsidRPr="00DA080C">
              <w:rPr>
                <w:rFonts w:cs="Arial"/>
                <w:szCs w:val="20"/>
              </w:rPr>
              <w:t xml:space="preserve"> specimens, other than serum or heparinized plasma. Specimens collected using gel separators.</w:t>
            </w:r>
          </w:p>
          <w:p w:rsidR="00C23349" w:rsidRPr="00DA080C" w:rsidRDefault="00C23349">
            <w:pPr>
              <w:pStyle w:val="BodyText"/>
              <w:rPr>
                <w:rFonts w:cs="Arial"/>
                <w:b/>
                <w:bCs/>
                <w:szCs w:val="20"/>
              </w:rPr>
            </w:pPr>
          </w:p>
          <w:p w:rsidR="00DA080C" w:rsidRPr="00DA080C" w:rsidRDefault="00C23349">
            <w:pPr>
              <w:pStyle w:val="BodyText"/>
              <w:rPr>
                <w:rFonts w:cs="Arial"/>
                <w:b/>
                <w:bCs/>
                <w:szCs w:val="20"/>
              </w:rPr>
            </w:pPr>
            <w:r w:rsidRPr="00DA080C">
              <w:rPr>
                <w:rFonts w:cs="Arial"/>
                <w:b/>
                <w:bCs/>
                <w:szCs w:val="20"/>
              </w:rPr>
              <w:t>Preparation:</w:t>
            </w:r>
            <w:r w:rsidRPr="00DA080C">
              <w:rPr>
                <w:rFonts w:cs="Arial"/>
                <w:szCs w:val="20"/>
              </w:rPr>
              <w:t xml:space="preserve"> </w:t>
            </w:r>
            <w:r w:rsidRPr="00DA080C">
              <w:rPr>
                <w:rFonts w:cs="Arial"/>
                <w:b/>
                <w:bCs/>
                <w:szCs w:val="20"/>
              </w:rPr>
              <w:t xml:space="preserve">Process the blood as soon as possible after collection, since hydrolysis of levetiracetam may occur in the prolonged presence of whole blood. </w:t>
            </w:r>
            <w:r w:rsidR="00DA080C" w:rsidRPr="00DA080C">
              <w:rPr>
                <w:rFonts w:cs="Arial"/>
                <w:b/>
                <w:bCs/>
                <w:szCs w:val="20"/>
              </w:rPr>
              <w:t xml:space="preserve"> </w:t>
            </w:r>
          </w:p>
          <w:p w:rsidR="00DA080C" w:rsidRPr="00DA080C" w:rsidRDefault="00DA080C">
            <w:pPr>
              <w:pStyle w:val="BodyText"/>
              <w:rPr>
                <w:rFonts w:cs="Arial"/>
                <w:b/>
                <w:bCs/>
                <w:szCs w:val="20"/>
              </w:rPr>
            </w:pP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Complete clot formation should take place before centrifugation.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Serum or plasma should be physically separated from cells as soon as possible with a maximum limit of </w:t>
            </w:r>
            <w:r w:rsidRPr="00DA080C">
              <w:rPr>
                <w:rFonts w:eastAsia="HelenPro-Cond" w:cs="Arial"/>
                <w:b/>
                <w:bCs/>
                <w:szCs w:val="20"/>
              </w:rPr>
              <w:t>two hours</w:t>
            </w:r>
            <w:r w:rsidRPr="00DA080C">
              <w:rPr>
                <w:rFonts w:eastAsia="HelenPro-Cond" w:cs="Arial"/>
                <w:szCs w:val="20"/>
              </w:rPr>
              <w:t xml:space="preserve"> from the time of collection.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Specimens should be free of particulate matter.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cs="Arial"/>
                <w:szCs w:val="20"/>
              </w:rPr>
              <w:t>Whole blood specimens should be centrifuged according to Specimen Processing procedures prior to analysis. See Processing Procedure Manual.</w:t>
            </w:r>
          </w:p>
          <w:p w:rsidR="00C23349" w:rsidRPr="00DA080C" w:rsidRDefault="00C23349" w:rsidP="00DA080C">
            <w:pPr>
              <w:pStyle w:val="BodyText"/>
              <w:numPr>
                <w:ilvl w:val="0"/>
                <w:numId w:val="23"/>
              </w:numPr>
              <w:rPr>
                <w:rFonts w:cs="Arial"/>
                <w:szCs w:val="20"/>
              </w:rPr>
            </w:pPr>
            <w:r w:rsidRPr="00DA080C">
              <w:rPr>
                <w:rFonts w:cs="Arial"/>
                <w:szCs w:val="20"/>
              </w:rPr>
              <w:t xml:space="preserve">Transfer serum or </w:t>
            </w:r>
            <w:r w:rsidR="00DA080C" w:rsidRPr="00DA080C">
              <w:rPr>
                <w:rFonts w:cs="Arial"/>
                <w:szCs w:val="20"/>
              </w:rPr>
              <w:t>plasma to a properly labeled</w:t>
            </w:r>
            <w:r w:rsidRPr="00DA080C">
              <w:rPr>
                <w:rFonts w:cs="Arial"/>
                <w:szCs w:val="20"/>
              </w:rPr>
              <w:t xml:space="preserve"> sample cup or tube. Minimum labeling includes sample accession ID, and/ or patient name, medical record number, collection date and time.</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Do not use gel separators.</w:t>
            </w:r>
          </w:p>
          <w:p w:rsidR="00C23349" w:rsidRPr="00DA080C" w:rsidRDefault="00C23349">
            <w:pPr>
              <w:pStyle w:val="BodyText"/>
              <w:rPr>
                <w:rFonts w:cs="Arial"/>
                <w:szCs w:val="20"/>
              </w:rPr>
            </w:pPr>
            <w:r w:rsidRPr="00DA080C">
              <w:rPr>
                <w:rFonts w:cs="Arial"/>
                <w:szCs w:val="20"/>
              </w:rPr>
              <w:t>Do not induce foaming and avoid repeated freezing and thawing to preserve the integrity of the specimen from the time it is collected until the time it is assayed.</w:t>
            </w:r>
          </w:p>
          <w:p w:rsidR="00C23349" w:rsidRPr="00DA080C" w:rsidRDefault="00C23349">
            <w:pPr>
              <w:autoSpaceDE w:val="0"/>
              <w:autoSpaceDN w:val="0"/>
              <w:adjustRightInd w:val="0"/>
              <w:rPr>
                <w:rFonts w:cs="Arial"/>
                <w:szCs w:val="20"/>
              </w:rPr>
            </w:pPr>
          </w:p>
        </w:tc>
      </w:tr>
      <w:tr w:rsidR="00C23349" w:rsidTr="00262974">
        <w:trPr>
          <w:cantSplit/>
          <w:trHeight w:val="161"/>
          <w:tblHeader/>
        </w:trPr>
        <w:tc>
          <w:tcPr>
            <w:tcW w:w="1800" w:type="dxa"/>
            <w:tcBorders>
              <w:bottom w:val="nil"/>
            </w:tcBorders>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rPr>
                <w:rFonts w:cs="Arial"/>
                <w:szCs w:val="20"/>
              </w:rPr>
            </w:pPr>
          </w:p>
        </w:tc>
      </w:tr>
      <w:tr w:rsidR="00C23349" w:rsidTr="00262974">
        <w:trPr>
          <w:cantSplit/>
          <w:trHeight w:val="4004"/>
          <w:tblHeader/>
        </w:trPr>
        <w:tc>
          <w:tcPr>
            <w:tcW w:w="1800" w:type="dxa"/>
            <w:vMerge w:val="restart"/>
            <w:tcBorders>
              <w:right w:val="single" w:sz="4" w:space="0" w:color="auto"/>
            </w:tcBorders>
          </w:tcPr>
          <w:p w:rsidR="00C23349" w:rsidRDefault="00C23349">
            <w:pPr>
              <w:rPr>
                <w:rFonts w:cs="Arial"/>
                <w:b/>
                <w:bCs/>
                <w:color w:val="0000FF"/>
              </w:rPr>
            </w:pPr>
            <w:r>
              <w:rPr>
                <w:rFonts w:cs="Arial"/>
                <w:b/>
                <w:bCs/>
                <w:color w:val="0000FF"/>
              </w:rPr>
              <w:t>Materials</w:t>
            </w:r>
          </w:p>
        </w:tc>
        <w:tc>
          <w:tcPr>
            <w:tcW w:w="9360" w:type="dxa"/>
            <w:gridSpan w:val="6"/>
            <w:tcBorders>
              <w:top w:val="single" w:sz="4" w:space="0" w:color="auto"/>
              <w:left w:val="single" w:sz="4" w:space="0" w:color="auto"/>
              <w:bottom w:val="single" w:sz="4" w:space="0" w:color="auto"/>
              <w:right w:val="single" w:sz="4" w:space="0" w:color="auto"/>
            </w:tcBorders>
          </w:tcPr>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800"/>
            </w:tblGrid>
            <w:tr w:rsidR="00F86A13" w:rsidRPr="00DA080C" w:rsidTr="00F86A13">
              <w:trPr>
                <w:trHeight w:val="431"/>
              </w:trPr>
              <w:tc>
                <w:tcPr>
                  <w:tcW w:w="2160" w:type="dxa"/>
                  <w:vAlign w:val="center"/>
                </w:tcPr>
                <w:p w:rsidR="00F86A13" w:rsidRPr="00DA080C" w:rsidRDefault="00F86A13">
                  <w:pPr>
                    <w:pStyle w:val="BodyText"/>
                    <w:rPr>
                      <w:rFonts w:cs="Arial"/>
                      <w:b/>
                      <w:bCs/>
                      <w:color w:val="0000FF"/>
                      <w:szCs w:val="20"/>
                    </w:rPr>
                  </w:pPr>
                  <w:r w:rsidRPr="00DA080C">
                    <w:rPr>
                      <w:rFonts w:cs="Arial"/>
                      <w:b/>
                      <w:bCs/>
                      <w:color w:val="0000FF"/>
                      <w:szCs w:val="20"/>
                    </w:rPr>
                    <w:t>Reagent</w:t>
                  </w:r>
                </w:p>
              </w:tc>
              <w:tc>
                <w:tcPr>
                  <w:tcW w:w="2880" w:type="dxa"/>
                  <w:vAlign w:val="center"/>
                </w:tcPr>
                <w:p w:rsidR="00F86A13" w:rsidRPr="00DA080C" w:rsidRDefault="00F86A13">
                  <w:pPr>
                    <w:pStyle w:val="BodyText"/>
                    <w:rPr>
                      <w:rFonts w:cs="Arial"/>
                      <w:b/>
                      <w:bCs/>
                      <w:color w:val="0000FF"/>
                      <w:szCs w:val="20"/>
                    </w:rPr>
                  </w:pPr>
                  <w:r w:rsidRPr="00DA080C">
                    <w:rPr>
                      <w:rFonts w:cs="Arial"/>
                      <w:b/>
                      <w:bCs/>
                      <w:color w:val="0000FF"/>
                      <w:szCs w:val="20"/>
                    </w:rPr>
                    <w:t>Preparation</w:t>
                  </w:r>
                </w:p>
              </w:tc>
              <w:tc>
                <w:tcPr>
                  <w:tcW w:w="1800" w:type="dxa"/>
                  <w:vAlign w:val="center"/>
                </w:tcPr>
                <w:p w:rsidR="00F86A13" w:rsidRPr="00DA080C" w:rsidRDefault="00F86A13">
                  <w:pPr>
                    <w:pStyle w:val="BodyText"/>
                    <w:rPr>
                      <w:rFonts w:cs="Arial"/>
                      <w:b/>
                      <w:bCs/>
                      <w:color w:val="0000FF"/>
                      <w:szCs w:val="20"/>
                    </w:rPr>
                  </w:pPr>
                  <w:r w:rsidRPr="00DA080C">
                    <w:rPr>
                      <w:rFonts w:cs="Arial"/>
                      <w:b/>
                      <w:bCs/>
                      <w:color w:val="0000FF"/>
                      <w:szCs w:val="20"/>
                    </w:rPr>
                    <w:t>Stability</w:t>
                  </w:r>
                </w:p>
              </w:tc>
            </w:tr>
            <w:tr w:rsidR="00F86A13" w:rsidRPr="00DA080C" w:rsidTr="00F86A13">
              <w:trPr>
                <w:cantSplit/>
                <w:trHeight w:val="1421"/>
              </w:trPr>
              <w:tc>
                <w:tcPr>
                  <w:tcW w:w="2160" w:type="dxa"/>
                  <w:vAlign w:val="center"/>
                </w:tcPr>
                <w:p w:rsidR="00F86A13" w:rsidRPr="00DA080C" w:rsidRDefault="00F86A13">
                  <w:pPr>
                    <w:pStyle w:val="BodyText"/>
                    <w:rPr>
                      <w:rFonts w:cs="Arial"/>
                      <w:szCs w:val="20"/>
                    </w:rPr>
                  </w:pPr>
                  <w:r w:rsidRPr="00DA080C">
                    <w:rPr>
                      <w:rFonts w:cs="Arial"/>
                      <w:b/>
                      <w:szCs w:val="20"/>
                    </w:rPr>
                    <w:t>ARK Levetiracetam Assay</w:t>
                  </w:r>
                  <w:r w:rsidRPr="00DA080C">
                    <w:rPr>
                      <w:rFonts w:cs="Arial"/>
                      <w:szCs w:val="20"/>
                    </w:rPr>
                    <w:t xml:space="preserve"> – </w:t>
                  </w:r>
                  <w:r w:rsidR="00DA080C" w:rsidRPr="00DA080C">
                    <w:rPr>
                      <w:rFonts w:cs="Arial"/>
                      <w:szCs w:val="20"/>
                    </w:rPr>
                    <w:t xml:space="preserve">            </w:t>
                  </w:r>
                  <w:r w:rsidRPr="00DA080C">
                    <w:rPr>
                      <w:rFonts w:cs="Arial"/>
                      <w:szCs w:val="20"/>
                    </w:rPr>
                    <w:t>5024-0001-00</w:t>
                  </w:r>
                </w:p>
                <w:p w:rsidR="00F86A13" w:rsidRPr="00DA080C" w:rsidRDefault="00F86A13">
                  <w:pPr>
                    <w:pStyle w:val="BodyText"/>
                    <w:rPr>
                      <w:rFonts w:cs="Arial"/>
                      <w:b/>
                      <w:bCs/>
                      <w:szCs w:val="20"/>
                    </w:rPr>
                  </w:pPr>
                  <w:r w:rsidRPr="00DA080C">
                    <w:rPr>
                      <w:rFonts w:cs="Arial"/>
                      <w:b/>
                      <w:bCs/>
                      <w:szCs w:val="20"/>
                    </w:rPr>
                    <w:t>Reagent – Antibody/Substrate</w:t>
                  </w:r>
                </w:p>
                <w:p w:rsidR="00F86A13" w:rsidRPr="00DA080C" w:rsidRDefault="00F86A13">
                  <w:pPr>
                    <w:pStyle w:val="BodyText"/>
                    <w:rPr>
                      <w:rFonts w:cs="Arial"/>
                      <w:szCs w:val="20"/>
                    </w:rPr>
                  </w:pPr>
                  <w:r w:rsidRPr="00DA080C">
                    <w:rPr>
                      <w:rFonts w:cs="Arial"/>
                      <w:szCs w:val="20"/>
                    </w:rPr>
                    <w:t>1 X 28 mL</w:t>
                  </w:r>
                </w:p>
                <w:p w:rsidR="00F86A13" w:rsidRPr="00DA080C" w:rsidRDefault="00F86A13">
                  <w:pPr>
                    <w:pStyle w:val="BodyText"/>
                    <w:rPr>
                      <w:rFonts w:cs="Arial"/>
                      <w:b/>
                      <w:bCs/>
                      <w:szCs w:val="20"/>
                    </w:rPr>
                  </w:pPr>
                  <w:r w:rsidRPr="00DA080C">
                    <w:rPr>
                      <w:rFonts w:cs="Arial"/>
                      <w:b/>
                      <w:bCs/>
                      <w:szCs w:val="20"/>
                    </w:rPr>
                    <w:t>Reagent – Enzyme</w:t>
                  </w:r>
                </w:p>
                <w:p w:rsidR="00F86A13" w:rsidRPr="00DA080C" w:rsidRDefault="00F86A13">
                  <w:pPr>
                    <w:pStyle w:val="BodyText"/>
                    <w:rPr>
                      <w:rFonts w:cs="Arial"/>
                      <w:szCs w:val="20"/>
                    </w:rPr>
                  </w:pPr>
                  <w:r w:rsidRPr="00DA080C">
                    <w:rPr>
                      <w:rFonts w:cs="Arial"/>
                      <w:szCs w:val="20"/>
                    </w:rPr>
                    <w:t>1 X 14 mL</w:t>
                  </w:r>
                </w:p>
              </w:tc>
              <w:tc>
                <w:tcPr>
                  <w:tcW w:w="2880" w:type="dxa"/>
                  <w:vAlign w:val="center"/>
                </w:tcPr>
                <w:p w:rsidR="00F86A13" w:rsidRPr="00DA080C" w:rsidRDefault="00F86A13">
                  <w:pPr>
                    <w:pStyle w:val="BodyText"/>
                    <w:rPr>
                      <w:rFonts w:cs="Arial"/>
                      <w:szCs w:val="20"/>
                    </w:rPr>
                  </w:pPr>
                  <w:r w:rsidRPr="00DA080C">
                    <w:rPr>
                      <w:rFonts w:cs="Arial"/>
                      <w:szCs w:val="20"/>
                    </w:rPr>
                    <w:t xml:space="preserve">ARK Levetiracetam Assay reagents are provided liquid, ready to use and may be used directly from the refrigerator </w:t>
                  </w:r>
                </w:p>
                <w:p w:rsidR="00F86A13" w:rsidRPr="00DA080C" w:rsidRDefault="00F86A13">
                  <w:pPr>
                    <w:pStyle w:val="BodyText"/>
                    <w:rPr>
                      <w:rFonts w:cs="Arial"/>
                      <w:szCs w:val="20"/>
                    </w:rPr>
                  </w:pPr>
                  <w:r w:rsidRPr="00DA080C">
                    <w:rPr>
                      <w:rFonts w:cs="Arial"/>
                      <w:szCs w:val="20"/>
                    </w:rPr>
                    <w:t xml:space="preserve">Do not freeze. </w:t>
                  </w:r>
                </w:p>
                <w:p w:rsidR="00F86A13" w:rsidRPr="00DA080C" w:rsidRDefault="00F86A13">
                  <w:pPr>
                    <w:pStyle w:val="BodyText"/>
                    <w:rPr>
                      <w:rFonts w:cs="Arial"/>
                      <w:szCs w:val="20"/>
                    </w:rPr>
                  </w:pPr>
                  <w:r w:rsidRPr="00DA080C">
                    <w:rPr>
                      <w:rFonts w:cs="Arial"/>
                      <w:szCs w:val="20"/>
                    </w:rPr>
                    <w:t xml:space="preserve">Do not expose to temperatures above 32°C. </w:t>
                  </w:r>
                </w:p>
              </w:tc>
              <w:tc>
                <w:tcPr>
                  <w:tcW w:w="1800" w:type="dxa"/>
                  <w:vAlign w:val="center"/>
                </w:tcPr>
                <w:p w:rsidR="00F86A13" w:rsidRPr="00DA080C" w:rsidRDefault="00F86A13">
                  <w:pPr>
                    <w:pStyle w:val="BodyText"/>
                    <w:rPr>
                      <w:rFonts w:cs="Arial"/>
                      <w:szCs w:val="20"/>
                    </w:rPr>
                  </w:pPr>
                  <w:r w:rsidRPr="00DA080C">
                    <w:rPr>
                      <w:rFonts w:cs="Arial"/>
                      <w:szCs w:val="20"/>
                    </w:rPr>
                    <w:t>2–8°C/ expiration date printed on the label when stored upright and tightly capped.</w:t>
                  </w:r>
                </w:p>
              </w:tc>
            </w:tr>
            <w:tr w:rsidR="00F86A13" w:rsidRPr="00DA080C" w:rsidTr="00F86A13">
              <w:trPr>
                <w:cantSplit/>
                <w:trHeight w:val="1439"/>
              </w:trPr>
              <w:tc>
                <w:tcPr>
                  <w:tcW w:w="2160" w:type="dxa"/>
                  <w:vAlign w:val="center"/>
                </w:tcPr>
                <w:p w:rsidR="00F86A13" w:rsidRPr="00DA080C" w:rsidRDefault="00F86A13">
                  <w:pPr>
                    <w:pStyle w:val="BodyText"/>
                    <w:rPr>
                      <w:rFonts w:cs="Arial"/>
                      <w:szCs w:val="20"/>
                    </w:rPr>
                  </w:pPr>
                  <w:r w:rsidRPr="00DA080C">
                    <w:rPr>
                      <w:rFonts w:cs="Arial"/>
                      <w:b/>
                      <w:szCs w:val="20"/>
                    </w:rPr>
                    <w:t>ARK Levetiracetam</w:t>
                  </w:r>
                  <w:r w:rsidRPr="00DA080C">
                    <w:rPr>
                      <w:rFonts w:cs="Arial"/>
                      <w:szCs w:val="20"/>
                    </w:rPr>
                    <w:t xml:space="preserve"> </w:t>
                  </w:r>
                  <w:r w:rsidRPr="00DA080C">
                    <w:rPr>
                      <w:rFonts w:cs="Arial"/>
                      <w:b/>
                      <w:bCs/>
                      <w:szCs w:val="20"/>
                    </w:rPr>
                    <w:t>Calibrator</w:t>
                  </w:r>
                  <w:r w:rsidRPr="00DA080C">
                    <w:rPr>
                      <w:rFonts w:cs="Arial"/>
                      <w:szCs w:val="20"/>
                    </w:rPr>
                    <w:t xml:space="preserve"> – </w:t>
                  </w:r>
                  <w:r w:rsidR="00DA080C" w:rsidRPr="00DA080C">
                    <w:rPr>
                      <w:rFonts w:cs="Arial"/>
                      <w:szCs w:val="20"/>
                    </w:rPr>
                    <w:t xml:space="preserve">     </w:t>
                  </w:r>
                  <w:r w:rsidRPr="00DA080C">
                    <w:rPr>
                      <w:rFonts w:cs="Arial"/>
                      <w:szCs w:val="20"/>
                    </w:rPr>
                    <w:t>5024-0002-00</w:t>
                  </w:r>
                </w:p>
              </w:tc>
              <w:tc>
                <w:tcPr>
                  <w:tcW w:w="2880" w:type="dxa"/>
                  <w:vAlign w:val="center"/>
                </w:tcPr>
                <w:p w:rsidR="00F86A13" w:rsidRPr="00DA080C" w:rsidRDefault="00F86A13">
                  <w:pPr>
                    <w:pStyle w:val="BodyText"/>
                    <w:rPr>
                      <w:rFonts w:cs="Arial"/>
                      <w:szCs w:val="20"/>
                    </w:rPr>
                  </w:pPr>
                  <w:r w:rsidRPr="00DA080C">
                    <w:rPr>
                      <w:rFonts w:cs="Arial"/>
                      <w:szCs w:val="20"/>
                    </w:rPr>
                    <w:t>Calibrators are ready to use. Mix each level by gentle inversion before dispensing. Squeeze 2 - 4 drops into individual sample cups for each level.</w:t>
                  </w:r>
                </w:p>
              </w:tc>
              <w:tc>
                <w:tcPr>
                  <w:tcW w:w="1800" w:type="dxa"/>
                  <w:vAlign w:val="center"/>
                </w:tcPr>
                <w:p w:rsidR="00F86A13" w:rsidRPr="00DA080C" w:rsidRDefault="00F86A13">
                  <w:pPr>
                    <w:pStyle w:val="BodyText"/>
                    <w:rPr>
                      <w:rFonts w:cs="Arial"/>
                      <w:szCs w:val="20"/>
                    </w:rPr>
                  </w:pPr>
                  <w:r w:rsidRPr="00DA080C">
                    <w:rPr>
                      <w:rFonts w:cs="Arial"/>
                      <w:szCs w:val="20"/>
                    </w:rPr>
                    <w:t>2–8°C/ expiration date printed on the label when stored tightly capped</w:t>
                  </w:r>
                </w:p>
              </w:tc>
            </w:tr>
          </w:tbl>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Improper storage of reagents can affect assay performance</w:t>
            </w:r>
          </w:p>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Do not mix reagents for ARK Levetiracetam between different kits. Use all reagents within the same kit lot together, or discard.</w:t>
            </w:r>
          </w:p>
        </w:tc>
      </w:tr>
      <w:tr w:rsidR="00C23349" w:rsidTr="00262974">
        <w:trPr>
          <w:cantSplit/>
          <w:tblHeader/>
        </w:trPr>
        <w:tc>
          <w:tcPr>
            <w:tcW w:w="1800" w:type="dxa"/>
            <w:vMerge/>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pStyle w:val="Reagents"/>
              <w:rPr>
                <w:rFonts w:ascii="Arial" w:hAnsi="Arial" w:cs="Arial"/>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Risk and Safety</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 xml:space="preserve">For </w:t>
            </w:r>
            <w:r w:rsidRPr="00DA080C">
              <w:rPr>
                <w:rFonts w:cs="Arial"/>
                <w:i/>
                <w:iCs/>
                <w:szCs w:val="20"/>
              </w:rPr>
              <w:t xml:space="preserve">In Vitro Diagnostic </w:t>
            </w:r>
            <w:r w:rsidRPr="00DA080C">
              <w:rPr>
                <w:rFonts w:cs="Arial"/>
                <w:szCs w:val="20"/>
              </w:rPr>
              <w:t xml:space="preserve">Use. </w:t>
            </w:r>
            <w:r w:rsidR="00DA080C">
              <w:rPr>
                <w:rFonts w:cs="Arial"/>
                <w:szCs w:val="20"/>
              </w:rPr>
              <w:t xml:space="preserve"> </w:t>
            </w:r>
            <w:r w:rsidRPr="00DA080C">
              <w:rPr>
                <w:rFonts w:cs="Arial"/>
                <w:szCs w:val="20"/>
              </w:rPr>
              <w:t>For prescription use only.</w:t>
            </w:r>
          </w:p>
          <w:p w:rsidR="00C23349" w:rsidRPr="00DA080C" w:rsidRDefault="00C23349">
            <w:pPr>
              <w:pStyle w:val="BodyText"/>
              <w:rPr>
                <w:rFonts w:cs="Arial"/>
                <w:szCs w:val="20"/>
              </w:rPr>
            </w:pPr>
            <w:r w:rsidRPr="00DA080C">
              <w:rPr>
                <w:rFonts w:cs="Arial"/>
                <w:szCs w:val="20"/>
              </w:rPr>
              <w:t>Reagents and are provided as a matched set and should not be interchanged with reagents from different lot numbers.</w:t>
            </w:r>
            <w:r w:rsidR="00DA080C">
              <w:rPr>
                <w:rFonts w:cs="Arial"/>
                <w:szCs w:val="20"/>
              </w:rPr>
              <w:t xml:space="preserve">  </w:t>
            </w:r>
            <w:r w:rsidRPr="00DA080C">
              <w:rPr>
                <w:rFonts w:cs="Arial"/>
                <w:szCs w:val="20"/>
              </w:rPr>
              <w:t>Handle all patient specimens as if they were potentially infectious.</w:t>
            </w:r>
          </w:p>
          <w:p w:rsidR="00C23349" w:rsidRPr="00DA080C" w:rsidRDefault="00C23349">
            <w:pPr>
              <w:pStyle w:val="BodyText"/>
              <w:rPr>
                <w:rFonts w:cs="Arial"/>
                <w:szCs w:val="20"/>
              </w:rPr>
            </w:pPr>
          </w:p>
        </w:tc>
      </w:tr>
      <w:tr w:rsidR="00C23349" w:rsidTr="00262974">
        <w:trPr>
          <w:tblHeader/>
        </w:trPr>
        <w:tc>
          <w:tcPr>
            <w:tcW w:w="1800" w:type="dxa"/>
          </w:tcPr>
          <w:p w:rsidR="00C23349" w:rsidRDefault="00C23349">
            <w:pPr>
              <w:ind w:right="-108"/>
              <w:rPr>
                <w:rFonts w:cs="Arial"/>
                <w:b/>
                <w:bCs/>
                <w:color w:val="0000FF"/>
              </w:rPr>
            </w:pPr>
          </w:p>
        </w:tc>
        <w:tc>
          <w:tcPr>
            <w:tcW w:w="9360" w:type="dxa"/>
            <w:gridSpan w:val="6"/>
            <w:tcBorders>
              <w:top w:val="single" w:sz="4" w:space="0" w:color="auto"/>
            </w:tcBorders>
          </w:tcPr>
          <w:p w:rsidR="00C23349" w:rsidRPr="00DA080C" w:rsidRDefault="00C23349">
            <w:pPr>
              <w:rPr>
                <w:rFonts w:cs="Arial"/>
                <w:szCs w:val="20"/>
              </w:rPr>
            </w:pPr>
          </w:p>
        </w:tc>
      </w:tr>
      <w:tr w:rsidR="00C23349" w:rsidTr="00A659DE">
        <w:trPr>
          <w:trHeight w:val="305"/>
          <w:tblHeader/>
        </w:trPr>
        <w:tc>
          <w:tcPr>
            <w:tcW w:w="1800" w:type="dxa"/>
            <w:tcBorders>
              <w:right w:val="single" w:sz="4" w:space="0" w:color="auto"/>
            </w:tcBorders>
          </w:tcPr>
          <w:p w:rsidR="00C23349" w:rsidRDefault="00C23349" w:rsidP="00EB0635">
            <w:pPr>
              <w:ind w:right="-108"/>
              <w:rPr>
                <w:rFonts w:cs="Arial"/>
                <w:b/>
                <w:bCs/>
                <w:color w:val="0000FF"/>
              </w:rPr>
            </w:pPr>
            <w:r>
              <w:rPr>
                <w:rFonts w:cs="Arial"/>
                <w:b/>
                <w:bCs/>
                <w:color w:val="0000FF"/>
              </w:rPr>
              <w:lastRenderedPageBreak/>
              <w:t xml:space="preserve">Preparing </w:t>
            </w:r>
            <w:r w:rsidR="00DA080C">
              <w:rPr>
                <w:rFonts w:cs="Arial"/>
                <w:b/>
                <w:bCs/>
                <w:color w:val="0000FF"/>
              </w:rPr>
              <w:t>/L</w:t>
            </w:r>
            <w:r w:rsidR="00D50F5C">
              <w:rPr>
                <w:rFonts w:cs="Arial"/>
                <w:b/>
                <w:bCs/>
                <w:color w:val="0000FF"/>
              </w:rPr>
              <w:t xml:space="preserve">oading </w:t>
            </w:r>
            <w:r>
              <w:rPr>
                <w:rFonts w:cs="Arial"/>
                <w:b/>
                <w:bCs/>
                <w:color w:val="0000FF"/>
              </w:rPr>
              <w:t xml:space="preserve">the Reagent </w:t>
            </w:r>
            <w:r w:rsidR="00EB0635">
              <w:rPr>
                <w:rFonts w:cs="Arial"/>
                <w:b/>
                <w:bCs/>
                <w:color w:val="0000FF"/>
              </w:rPr>
              <w:t>Cartridges</w:t>
            </w:r>
          </w:p>
        </w:tc>
        <w:tc>
          <w:tcPr>
            <w:tcW w:w="900" w:type="dxa"/>
            <w:tcBorders>
              <w:top w:val="single" w:sz="4" w:space="0" w:color="auto"/>
              <w:left w:val="single" w:sz="4" w:space="0" w:color="auto"/>
              <w:bottom w:val="single" w:sz="4" w:space="0" w:color="auto"/>
              <w:right w:val="single" w:sz="4" w:space="0" w:color="auto"/>
            </w:tcBorders>
          </w:tcPr>
          <w:p w:rsidR="00C23349" w:rsidRDefault="00C23349">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460" w:type="dxa"/>
            <w:gridSpan w:val="5"/>
            <w:tcBorders>
              <w:top w:val="single" w:sz="4" w:space="0" w:color="auto"/>
              <w:left w:val="single" w:sz="4" w:space="0" w:color="auto"/>
              <w:bottom w:val="single" w:sz="4" w:space="0" w:color="auto"/>
              <w:right w:val="single" w:sz="4" w:space="0" w:color="auto"/>
            </w:tcBorders>
          </w:tcPr>
          <w:p w:rsidR="00C23349" w:rsidRDefault="00C23349">
            <w:pPr>
              <w:pStyle w:val="Default"/>
              <w:rPr>
                <w:rFonts w:ascii="Arial" w:hAnsi="Arial" w:cs="Arial"/>
                <w:b/>
                <w:bCs/>
                <w:color w:val="0000FF"/>
                <w:sz w:val="20"/>
                <w:szCs w:val="20"/>
              </w:rPr>
            </w:pPr>
            <w:r w:rsidRPr="00DA080C">
              <w:rPr>
                <w:rFonts w:ascii="Arial" w:hAnsi="Arial" w:cs="Arial"/>
                <w:b/>
                <w:bCs/>
                <w:color w:val="0000FF"/>
                <w:sz w:val="20"/>
                <w:szCs w:val="20"/>
              </w:rPr>
              <w:t xml:space="preserve">ACTION </w:t>
            </w:r>
          </w:p>
          <w:p w:rsidR="0009695F" w:rsidRPr="00DA080C" w:rsidRDefault="0009695F">
            <w:pPr>
              <w:pStyle w:val="Default"/>
              <w:rPr>
                <w:rFonts w:ascii="Arial" w:hAnsi="Arial" w:cs="Arial"/>
                <w:color w:val="0000FF"/>
                <w:sz w:val="20"/>
                <w:szCs w:val="20"/>
              </w:rPr>
            </w:pPr>
            <w:r>
              <w:rPr>
                <w:rFonts w:ascii="Arial" w:hAnsi="Arial" w:cs="Arial"/>
                <w:b/>
                <w:bCs/>
                <w:color w:val="0000FF"/>
                <w:sz w:val="20"/>
                <w:szCs w:val="20"/>
              </w:rPr>
              <w:t>Architect c4000</w:t>
            </w:r>
          </w:p>
        </w:tc>
      </w:tr>
      <w:tr w:rsidR="00C23349" w:rsidTr="00262974">
        <w:trPr>
          <w:cantSplit/>
          <w:trHeight w:val="683"/>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C23349">
            <w:pPr>
              <w:pStyle w:val="Default"/>
              <w:numPr>
                <w:ilvl w:val="0"/>
                <w:numId w:val="15"/>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tcPr>
          <w:p w:rsidR="00C23349" w:rsidRPr="00DA080C" w:rsidRDefault="00C23349">
            <w:pPr>
              <w:pStyle w:val="Default"/>
              <w:rPr>
                <w:rFonts w:ascii="Arial" w:hAnsi="Arial" w:cs="Arial"/>
                <w:sz w:val="20"/>
                <w:szCs w:val="20"/>
              </w:rPr>
            </w:pPr>
            <w:r w:rsidRPr="00DA080C">
              <w:rPr>
                <w:rFonts w:ascii="Arial" w:hAnsi="Arial" w:cs="Arial"/>
                <w:sz w:val="20"/>
                <w:szCs w:val="20"/>
              </w:rPr>
              <w:t xml:space="preserve">Label the outside of the ARK Diagnostics Levetiracetam kit with the following information </w:t>
            </w:r>
          </w:p>
          <w:p w:rsidR="00C23349" w:rsidRPr="00DA080C" w:rsidRDefault="00C23349" w:rsidP="00EB0635">
            <w:pPr>
              <w:pStyle w:val="Default"/>
              <w:numPr>
                <w:ilvl w:val="0"/>
                <w:numId w:val="5"/>
              </w:numPr>
              <w:rPr>
                <w:rFonts w:ascii="Arial" w:hAnsi="Arial" w:cs="Arial"/>
                <w:sz w:val="20"/>
                <w:szCs w:val="20"/>
              </w:rPr>
            </w:pPr>
            <w:r w:rsidRPr="00DA080C">
              <w:rPr>
                <w:rFonts w:ascii="Arial" w:hAnsi="Arial" w:cs="Arial"/>
                <w:sz w:val="20"/>
                <w:szCs w:val="20"/>
              </w:rPr>
              <w:t>Expiration date of the kit</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C23349">
            <w:pPr>
              <w:pStyle w:val="Default"/>
              <w:numPr>
                <w:ilvl w:val="0"/>
                <w:numId w:val="15"/>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tcPr>
          <w:p w:rsidR="00EB0635" w:rsidRPr="00DA080C" w:rsidRDefault="00EB0635" w:rsidP="00EB0635">
            <w:pPr>
              <w:pStyle w:val="Default"/>
              <w:rPr>
                <w:rFonts w:ascii="Arial" w:hAnsi="Arial" w:cs="Arial"/>
                <w:sz w:val="20"/>
                <w:szCs w:val="20"/>
              </w:rPr>
            </w:pPr>
            <w:r w:rsidRPr="00DA080C">
              <w:rPr>
                <w:rFonts w:ascii="Arial" w:hAnsi="Arial" w:cs="Arial"/>
                <w:sz w:val="20"/>
                <w:szCs w:val="20"/>
              </w:rPr>
              <w:t>Preparing Reagent R1:</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Obtain a small 55mL cartridge</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Label cartridge with Assay name, Lot number, R1 and date made</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Pour 14mL of R1 into the small 55mL cartridge</w:t>
            </w:r>
          </w:p>
        </w:tc>
      </w:tr>
      <w:tr w:rsidR="00C23349" w:rsidTr="00262974">
        <w:trPr>
          <w:cantSplit/>
          <w:trHeight w:val="49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Pr="00DA080C" w:rsidRDefault="00EB0635" w:rsidP="00EB0635">
            <w:pPr>
              <w:pStyle w:val="Default"/>
              <w:rPr>
                <w:rFonts w:ascii="Arial" w:hAnsi="Arial" w:cs="Arial"/>
                <w:sz w:val="20"/>
                <w:szCs w:val="20"/>
              </w:rPr>
            </w:pPr>
            <w:r w:rsidRPr="00DA080C">
              <w:rPr>
                <w:rFonts w:ascii="Arial" w:hAnsi="Arial" w:cs="Arial"/>
                <w:sz w:val="20"/>
                <w:szCs w:val="20"/>
              </w:rPr>
              <w:t>Preparing Reagent R2</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Obtain a 20mL cartridge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Label cartridge with Assay name, Lot number, R2 and date made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Pour 7mL of R2 into the 20mL Cartridge</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Pr="00DA080C" w:rsidRDefault="00825626">
            <w:pPr>
              <w:pStyle w:val="Default"/>
              <w:rPr>
                <w:rFonts w:ascii="Arial" w:hAnsi="Arial" w:cs="Arial"/>
                <w:sz w:val="20"/>
                <w:szCs w:val="20"/>
              </w:rPr>
            </w:pPr>
            <w:r w:rsidRPr="00DA080C">
              <w:rPr>
                <w:rFonts w:ascii="Arial" w:hAnsi="Arial" w:cs="Arial"/>
                <w:sz w:val="20"/>
                <w:szCs w:val="20"/>
              </w:rPr>
              <w:t>Refer to the operating procedure for instructions on how to Configure and load the reagent in the following sections</w:t>
            </w:r>
            <w:r w:rsidR="00EB0635" w:rsidRPr="00DA080C">
              <w:rPr>
                <w:rFonts w:ascii="Arial" w:hAnsi="Arial" w:cs="Arial"/>
                <w:sz w:val="20"/>
                <w:szCs w:val="20"/>
              </w:rPr>
              <w:t xml:space="preserve"> </w:t>
            </w:r>
            <w:bookmarkStart w:id="0" w:name="Configurationnonbarcodedreagent"/>
            <w:r w:rsidR="00EB0635" w:rsidRPr="00DA080C">
              <w:rPr>
                <w:rFonts w:ascii="Arial" w:hAnsi="Arial" w:cs="Arial"/>
                <w:b/>
                <w:bCs/>
                <w:color w:val="0000FF"/>
                <w:sz w:val="20"/>
                <w:szCs w:val="20"/>
              </w:rPr>
              <w:t xml:space="preserve">Configuration </w:t>
            </w:r>
            <w:bookmarkEnd w:id="0"/>
            <w:r w:rsidR="00EB0635" w:rsidRPr="00DA080C">
              <w:rPr>
                <w:rFonts w:ascii="Arial" w:hAnsi="Arial" w:cs="Arial"/>
                <w:b/>
                <w:bCs/>
                <w:color w:val="0000FF"/>
                <w:sz w:val="20"/>
                <w:szCs w:val="20"/>
              </w:rPr>
              <w:t xml:space="preserve">of Non-barcoded Reagents and Diluents and </w:t>
            </w:r>
            <w:bookmarkStart w:id="1" w:name="Loadingnonbarcodedreagent"/>
            <w:r w:rsidRPr="00DA080C">
              <w:rPr>
                <w:rFonts w:ascii="Arial" w:hAnsi="Arial" w:cs="Arial"/>
                <w:b/>
                <w:bCs/>
                <w:color w:val="0000FF"/>
                <w:sz w:val="20"/>
                <w:szCs w:val="20"/>
              </w:rPr>
              <w:t xml:space="preserve">Loading </w:t>
            </w:r>
            <w:bookmarkEnd w:id="1"/>
            <w:r w:rsidRPr="00DA080C">
              <w:rPr>
                <w:rFonts w:ascii="Arial" w:hAnsi="Arial" w:cs="Arial"/>
                <w:b/>
                <w:bCs/>
                <w:color w:val="0000FF"/>
                <w:sz w:val="20"/>
                <w:szCs w:val="20"/>
              </w:rPr>
              <w:t>Non-barcoded Reagent</w:t>
            </w:r>
          </w:p>
        </w:tc>
      </w:tr>
      <w:tr w:rsidR="0009695F" w:rsidTr="00262974">
        <w:trPr>
          <w:cantSplit/>
          <w:trHeight w:val="764"/>
          <w:tblHeader/>
        </w:trPr>
        <w:tc>
          <w:tcPr>
            <w:tcW w:w="1800" w:type="dxa"/>
            <w:tcBorders>
              <w:right w:val="single" w:sz="4" w:space="0" w:color="auto"/>
            </w:tcBorders>
          </w:tcPr>
          <w:p w:rsidR="0009695F" w:rsidRDefault="0009695F">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09695F" w:rsidRDefault="0009695F" w:rsidP="0009695F">
            <w:pPr>
              <w:pStyle w:val="Default"/>
              <w:ind w:left="720"/>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09695F" w:rsidRPr="0009695F" w:rsidRDefault="0009695F">
            <w:pPr>
              <w:pStyle w:val="Default"/>
              <w:rPr>
                <w:rFonts w:ascii="Arial" w:hAnsi="Arial" w:cs="Arial"/>
                <w:b/>
                <w:sz w:val="22"/>
                <w:szCs w:val="22"/>
              </w:rPr>
            </w:pPr>
            <w:r w:rsidRPr="0009695F">
              <w:rPr>
                <w:rFonts w:ascii="Arial" w:hAnsi="Arial" w:cs="Arial"/>
                <w:b/>
                <w:sz w:val="22"/>
                <w:szCs w:val="22"/>
              </w:rPr>
              <w:t>Alinity c</w:t>
            </w:r>
          </w:p>
        </w:tc>
      </w:tr>
      <w:tr w:rsidR="0009695F" w:rsidTr="00262974">
        <w:trPr>
          <w:cantSplit/>
          <w:trHeight w:val="764"/>
          <w:tblHeader/>
        </w:trPr>
        <w:tc>
          <w:tcPr>
            <w:tcW w:w="1800" w:type="dxa"/>
            <w:tcBorders>
              <w:right w:val="single" w:sz="4" w:space="0" w:color="auto"/>
            </w:tcBorders>
          </w:tcPr>
          <w:p w:rsidR="0009695F" w:rsidRDefault="0009695F">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09695F" w:rsidRDefault="0009695F" w:rsidP="0009695F">
            <w:pPr>
              <w:pStyle w:val="Default"/>
              <w:numPr>
                <w:ilvl w:val="0"/>
                <w:numId w:val="24"/>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09695F" w:rsidRPr="00DA080C" w:rsidRDefault="0009695F">
            <w:pPr>
              <w:pStyle w:val="Default"/>
              <w:rPr>
                <w:rFonts w:ascii="Arial" w:hAnsi="Arial" w:cs="Arial"/>
                <w:sz w:val="20"/>
                <w:szCs w:val="20"/>
              </w:rPr>
            </w:pPr>
            <w:r w:rsidRPr="0009695F">
              <w:rPr>
                <w:rFonts w:ascii="Arial" w:hAnsi="Arial" w:cs="Arial"/>
                <w:sz w:val="20"/>
                <w:szCs w:val="20"/>
              </w:rPr>
              <w:t>Obtain an empty, black Alinity cartridge.</w:t>
            </w:r>
          </w:p>
        </w:tc>
      </w:tr>
      <w:tr w:rsidR="0009695F" w:rsidTr="00262974">
        <w:trPr>
          <w:cantSplit/>
          <w:trHeight w:val="764"/>
          <w:tblHeader/>
        </w:trPr>
        <w:tc>
          <w:tcPr>
            <w:tcW w:w="1800" w:type="dxa"/>
            <w:tcBorders>
              <w:right w:val="single" w:sz="4" w:space="0" w:color="auto"/>
            </w:tcBorders>
          </w:tcPr>
          <w:p w:rsidR="0009695F" w:rsidRDefault="0009695F">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09695F" w:rsidRDefault="0009695F" w:rsidP="0009695F">
            <w:pPr>
              <w:pStyle w:val="Default"/>
              <w:numPr>
                <w:ilvl w:val="0"/>
                <w:numId w:val="24"/>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09695F" w:rsidRPr="00DA080C" w:rsidRDefault="0009695F">
            <w:pPr>
              <w:pStyle w:val="Default"/>
              <w:rPr>
                <w:rFonts w:ascii="Arial" w:hAnsi="Arial" w:cs="Arial"/>
                <w:sz w:val="20"/>
                <w:szCs w:val="20"/>
              </w:rPr>
            </w:pPr>
            <w:r w:rsidRPr="0009695F">
              <w:rPr>
                <w:rFonts w:ascii="Arial" w:hAnsi="Arial" w:cs="Arial"/>
                <w:sz w:val="20"/>
                <w:szCs w:val="20"/>
              </w:rPr>
              <w:t>Pour the entire R1 bottle (28 mL) into the larger of the two bottles of the cartridge</w:t>
            </w:r>
          </w:p>
        </w:tc>
      </w:tr>
      <w:tr w:rsidR="0009695F" w:rsidTr="00262974">
        <w:trPr>
          <w:cantSplit/>
          <w:trHeight w:val="764"/>
          <w:tblHeader/>
        </w:trPr>
        <w:tc>
          <w:tcPr>
            <w:tcW w:w="1800" w:type="dxa"/>
            <w:tcBorders>
              <w:right w:val="single" w:sz="4" w:space="0" w:color="auto"/>
            </w:tcBorders>
          </w:tcPr>
          <w:p w:rsidR="0009695F" w:rsidRDefault="0009695F">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09695F" w:rsidRDefault="0009695F" w:rsidP="0009695F">
            <w:pPr>
              <w:pStyle w:val="Default"/>
              <w:numPr>
                <w:ilvl w:val="0"/>
                <w:numId w:val="24"/>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09695F" w:rsidRPr="00DA080C" w:rsidRDefault="0009695F">
            <w:pPr>
              <w:pStyle w:val="Default"/>
              <w:rPr>
                <w:rFonts w:ascii="Arial" w:hAnsi="Arial" w:cs="Arial"/>
                <w:sz w:val="20"/>
                <w:szCs w:val="20"/>
              </w:rPr>
            </w:pPr>
            <w:r w:rsidRPr="0009695F">
              <w:rPr>
                <w:rFonts w:ascii="Arial" w:hAnsi="Arial" w:cs="Arial"/>
                <w:sz w:val="20"/>
                <w:szCs w:val="20"/>
              </w:rPr>
              <w:t>Pour the entire R2 bottle (14 mL) into the smaller of the two bottles of the cartridge</w:t>
            </w:r>
          </w:p>
        </w:tc>
      </w:tr>
      <w:tr w:rsidR="0009695F" w:rsidTr="00262974">
        <w:trPr>
          <w:cantSplit/>
          <w:trHeight w:val="764"/>
          <w:tblHeader/>
        </w:trPr>
        <w:tc>
          <w:tcPr>
            <w:tcW w:w="1800" w:type="dxa"/>
            <w:tcBorders>
              <w:right w:val="single" w:sz="4" w:space="0" w:color="auto"/>
            </w:tcBorders>
          </w:tcPr>
          <w:p w:rsidR="0009695F" w:rsidRDefault="0009695F">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09695F" w:rsidRDefault="0009695F" w:rsidP="0009695F">
            <w:pPr>
              <w:pStyle w:val="Default"/>
              <w:numPr>
                <w:ilvl w:val="0"/>
                <w:numId w:val="24"/>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09695F" w:rsidRPr="00DA080C" w:rsidRDefault="0009695F">
            <w:pPr>
              <w:pStyle w:val="Default"/>
              <w:rPr>
                <w:rFonts w:ascii="Arial" w:hAnsi="Arial" w:cs="Arial"/>
                <w:sz w:val="20"/>
                <w:szCs w:val="20"/>
              </w:rPr>
            </w:pPr>
            <w:r w:rsidRPr="0009695F">
              <w:rPr>
                <w:rFonts w:ascii="Arial" w:hAnsi="Arial" w:cs="Arial"/>
                <w:sz w:val="20"/>
                <w:szCs w:val="20"/>
              </w:rPr>
              <w:t>Print a 1D barcode in the instrument software according to the Alinity operating procedure.  Affix the barcode to the outside of the cartridge according to the depiction.  Load the cartridge onto the Alinity c RSM as directed.</w:t>
            </w:r>
          </w:p>
        </w:tc>
      </w:tr>
      <w:tr w:rsidR="00C23349" w:rsidTr="00262974">
        <w:trPr>
          <w:tblHeader/>
        </w:trPr>
        <w:tc>
          <w:tcPr>
            <w:tcW w:w="1800" w:type="dxa"/>
          </w:tcPr>
          <w:p w:rsidR="00C23349" w:rsidRDefault="00C23349" w:rsidP="008635DD">
            <w:pPr>
              <w:ind w:right="-108"/>
              <w:rPr>
                <w:rFonts w:cs="Arial"/>
                <w:b/>
                <w:bCs/>
                <w:color w:val="0000FF"/>
              </w:rPr>
            </w:pPr>
            <w:r>
              <w:rPr>
                <w:rFonts w:cs="Arial"/>
                <w:b/>
                <w:bCs/>
                <w:color w:val="0000FF"/>
              </w:rPr>
              <w:lastRenderedPageBreak/>
              <w:t>Calibration</w:t>
            </w:r>
          </w:p>
        </w:tc>
        <w:tc>
          <w:tcPr>
            <w:tcW w:w="9360" w:type="dxa"/>
            <w:gridSpan w:val="6"/>
            <w:tcBorders>
              <w:top w:val="single" w:sz="4" w:space="0" w:color="auto"/>
              <w:bottom w:val="single" w:sz="4" w:space="0" w:color="auto"/>
            </w:tcBorders>
          </w:tcPr>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63"/>
              <w:gridCol w:w="6120"/>
              <w:gridCol w:w="152"/>
            </w:tblGrid>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Assay Range:</w:t>
                  </w:r>
                </w:p>
              </w:tc>
              <w:tc>
                <w:tcPr>
                  <w:tcW w:w="6272" w:type="dxa"/>
                  <w:gridSpan w:val="2"/>
                </w:tcPr>
                <w:p w:rsidR="00C23349" w:rsidRPr="00DA080C" w:rsidRDefault="00C23349">
                  <w:pPr>
                    <w:pStyle w:val="CalVerTable"/>
                    <w:ind w:left="0" w:firstLine="0"/>
                    <w:rPr>
                      <w:rFonts w:ascii="Arial" w:hAnsi="Arial" w:cs="Arial"/>
                    </w:rPr>
                  </w:pPr>
                  <w:r w:rsidRPr="00DA080C">
                    <w:rPr>
                      <w:rFonts w:ascii="Arial" w:hAnsi="Arial" w:cs="Arial"/>
                    </w:rPr>
                    <w:t>2.0 to 100.0 μg/mL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Reference Material:</w:t>
                  </w:r>
                </w:p>
              </w:tc>
              <w:tc>
                <w:tcPr>
                  <w:tcW w:w="6272" w:type="dxa"/>
                  <w:gridSpan w:val="2"/>
                </w:tcPr>
                <w:p w:rsidR="00C23349" w:rsidRPr="00DA080C" w:rsidRDefault="00C23349">
                  <w:pPr>
                    <w:pStyle w:val="Header"/>
                    <w:tabs>
                      <w:tab w:val="clear" w:pos="4320"/>
                      <w:tab w:val="clear" w:pos="8640"/>
                    </w:tabs>
                    <w:autoSpaceDE w:val="0"/>
                    <w:autoSpaceDN w:val="0"/>
                    <w:adjustRightInd w:val="0"/>
                    <w:rPr>
                      <w:rFonts w:cs="Arial"/>
                      <w:szCs w:val="20"/>
                    </w:rPr>
                  </w:pPr>
                  <w:r w:rsidRPr="00DA080C">
                    <w:rPr>
                      <w:rFonts w:cs="Arial"/>
                      <w:szCs w:val="20"/>
                    </w:rPr>
                    <w:t xml:space="preserve">ARK Levetiracetam Calibrators </w:t>
                  </w:r>
                  <w:r w:rsidR="00D50F5C" w:rsidRPr="00DA080C">
                    <w:rPr>
                      <w:rFonts w:cs="Arial"/>
                      <w:szCs w:val="20"/>
                    </w:rPr>
                    <w:t xml:space="preserve">A, </w:t>
                  </w:r>
                  <w:r w:rsidRPr="00DA080C">
                    <w:rPr>
                      <w:rFonts w:cs="Arial"/>
                      <w:szCs w:val="20"/>
                    </w:rPr>
                    <w:t>B, C, D, E, and F</w:t>
                  </w:r>
                </w:p>
                <w:p w:rsidR="00C23349" w:rsidRPr="00DA080C" w:rsidRDefault="00C23349">
                  <w:pPr>
                    <w:pStyle w:val="Header"/>
                    <w:tabs>
                      <w:tab w:val="clear" w:pos="4320"/>
                      <w:tab w:val="clear" w:pos="8640"/>
                    </w:tabs>
                    <w:autoSpaceDE w:val="0"/>
                    <w:autoSpaceDN w:val="0"/>
                    <w:adjustRightInd w:val="0"/>
                    <w:rPr>
                      <w:rFonts w:cs="Arial"/>
                      <w:szCs w:val="20"/>
                    </w:rPr>
                  </w:pP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Suggested Calibration Levels:</w:t>
                  </w:r>
                </w:p>
              </w:tc>
              <w:tc>
                <w:tcPr>
                  <w:tcW w:w="6272" w:type="dxa"/>
                  <w:gridSpan w:val="2"/>
                </w:tcPr>
                <w:p w:rsidR="00D50F5C" w:rsidRPr="00DA080C" w:rsidRDefault="00D50F5C">
                  <w:pPr>
                    <w:autoSpaceDE w:val="0"/>
                    <w:autoSpaceDN w:val="0"/>
                    <w:adjustRightInd w:val="0"/>
                    <w:spacing w:after="120"/>
                    <w:rPr>
                      <w:rFonts w:cs="Arial"/>
                      <w:b/>
                      <w:bCs/>
                      <w:szCs w:val="20"/>
                    </w:rPr>
                  </w:pPr>
                  <w:r w:rsidRPr="00DA080C">
                    <w:rPr>
                      <w:rFonts w:cs="Arial"/>
                      <w:b/>
                      <w:bCs/>
                      <w:szCs w:val="20"/>
                    </w:rPr>
                    <w:t>A</w:t>
                  </w:r>
                  <w:r w:rsidRPr="00DA080C">
                    <w:rPr>
                      <w:rFonts w:cs="Arial"/>
                      <w:b/>
                      <w:bCs/>
                      <w:szCs w:val="20"/>
                    </w:rPr>
                    <w:tab/>
                  </w:r>
                  <w:r w:rsidRPr="00DA080C">
                    <w:rPr>
                      <w:rFonts w:cs="Arial"/>
                      <w:bCs/>
                      <w:szCs w:val="20"/>
                    </w:rPr>
                    <w:t>0.0</w:t>
                  </w:r>
                  <w:r w:rsidRPr="00DA080C">
                    <w:rPr>
                      <w:rFonts w:cs="Arial"/>
                      <w:b/>
                      <w:bCs/>
                      <w:szCs w:val="20"/>
                    </w:rPr>
                    <w:t xml:space="preserve"> </w:t>
                  </w:r>
                  <w:r w:rsidRPr="00DA080C">
                    <w:rPr>
                      <w:rFonts w:cs="Arial"/>
                      <w:szCs w:val="20"/>
                    </w:rPr>
                    <w:t>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B </w:t>
                  </w:r>
                  <w:r w:rsidRPr="00DA080C">
                    <w:rPr>
                      <w:rFonts w:cs="Arial"/>
                      <w:b/>
                      <w:bCs/>
                      <w:szCs w:val="20"/>
                    </w:rPr>
                    <w:tab/>
                  </w:r>
                  <w:r w:rsidRPr="00DA080C">
                    <w:rPr>
                      <w:rFonts w:cs="Arial"/>
                      <w:szCs w:val="20"/>
                    </w:rPr>
                    <w:t>5.0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C </w:t>
                  </w:r>
                  <w:r w:rsidRPr="00DA080C">
                    <w:rPr>
                      <w:rFonts w:cs="Arial"/>
                      <w:b/>
                      <w:bCs/>
                      <w:szCs w:val="20"/>
                    </w:rPr>
                    <w:tab/>
                  </w:r>
                  <w:r w:rsidRPr="00DA080C">
                    <w:rPr>
                      <w:rFonts w:cs="Arial"/>
                      <w:szCs w:val="20"/>
                    </w:rPr>
                    <w:t>12.5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D </w:t>
                  </w:r>
                  <w:r w:rsidRPr="00DA080C">
                    <w:rPr>
                      <w:rFonts w:cs="Arial"/>
                      <w:b/>
                      <w:bCs/>
                      <w:szCs w:val="20"/>
                    </w:rPr>
                    <w:tab/>
                  </w:r>
                  <w:r w:rsidRPr="00DA080C">
                    <w:rPr>
                      <w:rFonts w:cs="Arial"/>
                      <w:szCs w:val="20"/>
                    </w:rPr>
                    <w:t>25.0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E </w:t>
                  </w:r>
                  <w:r w:rsidRPr="00DA080C">
                    <w:rPr>
                      <w:rFonts w:cs="Arial"/>
                      <w:b/>
                      <w:bCs/>
                      <w:szCs w:val="20"/>
                    </w:rPr>
                    <w:tab/>
                  </w:r>
                  <w:r w:rsidRPr="00DA080C">
                    <w:rPr>
                      <w:rFonts w:cs="Arial"/>
                      <w:szCs w:val="20"/>
                    </w:rPr>
                    <w:t>50.0 μg/mL 1 X 2 mL</w:t>
                  </w:r>
                </w:p>
                <w:p w:rsidR="00C23349" w:rsidRPr="00DA080C" w:rsidRDefault="00C23349">
                  <w:pPr>
                    <w:pStyle w:val="CalVerTable"/>
                    <w:spacing w:after="120"/>
                    <w:ind w:left="0" w:firstLine="0"/>
                    <w:rPr>
                      <w:rFonts w:ascii="Arial" w:hAnsi="Arial" w:cs="Arial"/>
                    </w:rPr>
                  </w:pPr>
                  <w:r w:rsidRPr="00DA080C">
                    <w:rPr>
                      <w:rFonts w:ascii="Arial" w:hAnsi="Arial" w:cs="Arial"/>
                      <w:b/>
                      <w:bCs/>
                    </w:rPr>
                    <w:t xml:space="preserve">F </w:t>
                  </w:r>
                  <w:r w:rsidRPr="00DA080C">
                    <w:rPr>
                      <w:rFonts w:ascii="Arial" w:hAnsi="Arial" w:cs="Arial"/>
                      <w:b/>
                      <w:bCs/>
                    </w:rPr>
                    <w:tab/>
                  </w:r>
                  <w:r w:rsidRPr="00DA080C">
                    <w:rPr>
                      <w:rFonts w:ascii="Arial" w:hAnsi="Arial" w:cs="Arial"/>
                    </w:rPr>
                    <w:t>100.0 μg/mL 1 X 2 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Scheme:</w:t>
                  </w:r>
                </w:p>
              </w:tc>
              <w:tc>
                <w:tcPr>
                  <w:tcW w:w="6272" w:type="dxa"/>
                  <w:gridSpan w:val="2"/>
                </w:tcPr>
                <w:p w:rsidR="00C23349" w:rsidRPr="00DA080C" w:rsidRDefault="00D50F5C">
                  <w:pPr>
                    <w:pStyle w:val="CalVerTable"/>
                    <w:ind w:left="0" w:firstLine="0"/>
                    <w:rPr>
                      <w:rFonts w:ascii="Arial" w:hAnsi="Arial" w:cs="Arial"/>
                    </w:rPr>
                  </w:pPr>
                  <w:r w:rsidRPr="00DA080C">
                    <w:rPr>
                      <w:rFonts w:ascii="Arial" w:hAnsi="Arial" w:cs="Arial"/>
                    </w:rPr>
                    <w:t>Six</w:t>
                  </w:r>
                  <w:r w:rsidR="00C23349" w:rsidRPr="00DA080C">
                    <w:rPr>
                      <w:rFonts w:ascii="Arial" w:hAnsi="Arial" w:cs="Arial"/>
                    </w:rPr>
                    <w:t xml:space="preserve"> levels in duplicate</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Frequency:</w:t>
                  </w:r>
                </w:p>
              </w:tc>
              <w:tc>
                <w:tcPr>
                  <w:tcW w:w="6272" w:type="dxa"/>
                  <w:gridSpan w:val="2"/>
                </w:tcPr>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a new lot number of reagents is used</w:t>
                  </w:r>
                </w:p>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indicated by quality control results</w:t>
                  </w:r>
                </w:p>
                <w:p w:rsidR="00C23349" w:rsidRPr="00DA080C" w:rsidRDefault="00C23349" w:rsidP="00C23349">
                  <w:pPr>
                    <w:pStyle w:val="Pa20"/>
                    <w:numPr>
                      <w:ilvl w:val="0"/>
                      <w:numId w:val="8"/>
                    </w:numPr>
                    <w:rPr>
                      <w:rFonts w:ascii="Arial" w:hAnsi="Arial" w:cs="Arial"/>
                      <w:sz w:val="20"/>
                      <w:szCs w:val="20"/>
                    </w:rPr>
                  </w:pPr>
                  <w:r w:rsidRPr="00DA080C">
                    <w:rPr>
                      <w:rFonts w:ascii="Arial" w:hAnsi="Arial" w:cs="Arial"/>
                      <w:sz w:val="20"/>
                      <w:szCs w:val="20"/>
                    </w:rPr>
                    <w:t>Whenever required by standard laboratory protocols</w:t>
                  </w:r>
                </w:p>
                <w:p w:rsidR="00C23349" w:rsidRPr="00DA080C" w:rsidRDefault="00C23349" w:rsidP="00C23349">
                  <w:pPr>
                    <w:numPr>
                      <w:ilvl w:val="0"/>
                      <w:numId w:val="8"/>
                    </w:numPr>
                    <w:rPr>
                      <w:rFonts w:cs="Arial"/>
                      <w:szCs w:val="20"/>
                    </w:rPr>
                  </w:pPr>
                  <w:r w:rsidRPr="00DA080C">
                    <w:rPr>
                      <w:rFonts w:cs="Arial"/>
                      <w:szCs w:val="20"/>
                    </w:rPr>
                    <w:t xml:space="preserve">Once every </w:t>
                  </w:r>
                  <w:r w:rsidR="00D50F5C" w:rsidRPr="00DA080C">
                    <w:rPr>
                      <w:rFonts w:cs="Arial"/>
                      <w:szCs w:val="20"/>
                    </w:rPr>
                    <w:t>960</w:t>
                  </w:r>
                  <w:r w:rsidRPr="00DA080C">
                    <w:rPr>
                      <w:rFonts w:cs="Arial"/>
                      <w:szCs w:val="20"/>
                    </w:rPr>
                    <w:t xml:space="preserve"> </w:t>
                  </w:r>
                  <w:r w:rsidR="00D50F5C" w:rsidRPr="00DA080C">
                    <w:rPr>
                      <w:rFonts w:cs="Arial"/>
                      <w:szCs w:val="20"/>
                    </w:rPr>
                    <w:t>hours</w:t>
                  </w:r>
                </w:p>
                <w:p w:rsidR="00C23349" w:rsidRPr="00DA080C" w:rsidRDefault="00C23349">
                  <w:pPr>
                    <w:autoSpaceDE w:val="0"/>
                    <w:autoSpaceDN w:val="0"/>
                    <w:adjustRightInd w:val="0"/>
                    <w:rPr>
                      <w:rFonts w:cs="Arial"/>
                      <w:szCs w:val="20"/>
                    </w:rPr>
                  </w:pPr>
                </w:p>
              </w:tc>
            </w:tr>
            <w:tr w:rsidR="00C23349" w:rsidRPr="00DA080C">
              <w:tc>
                <w:tcPr>
                  <w:tcW w:w="2947" w:type="dxa"/>
                  <w:gridSpan w:val="2"/>
                </w:tcPr>
                <w:p w:rsidR="00C23349" w:rsidRPr="00DA080C" w:rsidRDefault="00C23349">
                  <w:pPr>
                    <w:rPr>
                      <w:rFonts w:cs="Arial"/>
                      <w:szCs w:val="20"/>
                    </w:rPr>
                  </w:pPr>
                  <w:r w:rsidRPr="00DA080C">
                    <w:rPr>
                      <w:rFonts w:cs="Arial"/>
                      <w:szCs w:val="20"/>
                    </w:rPr>
                    <w:t>Assigned Coefficients:</w:t>
                  </w:r>
                </w:p>
              </w:tc>
              <w:tc>
                <w:tcPr>
                  <w:tcW w:w="6272" w:type="dxa"/>
                  <w:gridSpan w:val="2"/>
                </w:tcPr>
                <w:p w:rsidR="00C23349" w:rsidRPr="00DA080C" w:rsidRDefault="00C23349">
                  <w:pPr>
                    <w:rPr>
                      <w:rFonts w:cs="Arial"/>
                      <w:szCs w:val="20"/>
                    </w:rPr>
                  </w:pPr>
                  <w:r w:rsidRPr="00DA080C">
                    <w:rPr>
                      <w:rFonts w:cs="Arial"/>
                      <w:szCs w:val="20"/>
                    </w:rPr>
                    <w:t>C0  0.000     C1  1.000</w:t>
                  </w:r>
                </w:p>
              </w:tc>
            </w:tr>
            <w:tr w:rsidR="00C23349" w:rsidRPr="00DA080C">
              <w:trPr>
                <w:trHeight w:val="1196"/>
              </w:trPr>
              <w:tc>
                <w:tcPr>
                  <w:tcW w:w="2947" w:type="dxa"/>
                  <w:gridSpan w:val="2"/>
                </w:tcPr>
                <w:p w:rsidR="00C23349" w:rsidRPr="00DA080C" w:rsidRDefault="00C23349">
                  <w:pPr>
                    <w:rPr>
                      <w:rFonts w:cs="Arial"/>
                      <w:szCs w:val="20"/>
                    </w:rPr>
                  </w:pPr>
                  <w:r w:rsidRPr="00DA080C">
                    <w:rPr>
                      <w:rFonts w:cs="Arial"/>
                      <w:szCs w:val="20"/>
                    </w:rPr>
                    <w:t>Analytical Measuring Range</w:t>
                  </w:r>
                </w:p>
              </w:tc>
              <w:tc>
                <w:tcPr>
                  <w:tcW w:w="6272" w:type="dxa"/>
                  <w:gridSpan w:val="2"/>
                </w:tcPr>
                <w:p w:rsidR="00C23349" w:rsidRPr="00DA080C" w:rsidRDefault="00C23349">
                  <w:pPr>
                    <w:rPr>
                      <w:rFonts w:eastAsia="HelenPro-Cond" w:cs="Arial"/>
                      <w:szCs w:val="20"/>
                    </w:rPr>
                  </w:pPr>
                  <w:r w:rsidRPr="00DA080C">
                    <w:rPr>
                      <w:rFonts w:cs="Arial"/>
                      <w:szCs w:val="20"/>
                    </w:rPr>
                    <w:t>2.0 to 100.0 μg/mL</w:t>
                  </w:r>
                </w:p>
                <w:p w:rsidR="00C23349" w:rsidRPr="00DA080C" w:rsidRDefault="00C23349">
                  <w:pPr>
                    <w:rPr>
                      <w:rFonts w:eastAsia="HelenPro-Cond" w:cs="Arial"/>
                      <w:szCs w:val="20"/>
                    </w:rPr>
                  </w:pPr>
                  <w:r w:rsidRPr="00DA080C">
                    <w:rPr>
                      <w:rFonts w:eastAsia="HelenPro-Cond" w:cs="Arial"/>
                      <w:szCs w:val="20"/>
                    </w:rPr>
                    <w:t>The AMR is verifi</w:t>
                  </w:r>
                  <w:r w:rsidR="00D50F5C" w:rsidRPr="00DA080C">
                    <w:rPr>
                      <w:rFonts w:eastAsia="HelenPro-Cond" w:cs="Arial"/>
                      <w:szCs w:val="20"/>
                    </w:rPr>
                    <w:t>ed with each calibration using 6</w:t>
                  </w:r>
                  <w:r w:rsidRPr="00DA080C">
                    <w:rPr>
                      <w:rFonts w:eastAsia="HelenPro-Cond" w:cs="Arial"/>
                      <w:szCs w:val="20"/>
                    </w:rPr>
                    <w:t xml:space="preserve"> levels of calibrator that</w:t>
                  </w:r>
                  <w:r w:rsidR="00A659DE">
                    <w:rPr>
                      <w:rFonts w:eastAsia="HelenPro-Cond" w:cs="Arial"/>
                      <w:szCs w:val="20"/>
                    </w:rPr>
                    <w:t xml:space="preserve"> span the full reportable range. </w:t>
                  </w:r>
                  <w:r w:rsidRPr="00DA080C">
                    <w:rPr>
                      <w:rFonts w:eastAsia="HelenPro-Cond" w:cs="Arial"/>
                      <w:szCs w:val="20"/>
                    </w:rPr>
                    <w:t xml:space="preserve"> Further studies are not necessary.</w:t>
                  </w:r>
                </w:p>
                <w:p w:rsidR="00C23349" w:rsidRPr="00DA080C" w:rsidRDefault="00C23349">
                  <w:pPr>
                    <w:rPr>
                      <w:rFonts w:cs="Arial"/>
                      <w:szCs w:val="20"/>
                    </w:rPr>
                  </w:pPr>
                  <w:r w:rsidRPr="00DA080C">
                    <w:rPr>
                      <w:rFonts w:eastAsia="HelenPro-Cond" w:cs="Arial"/>
                      <w:szCs w:val="20"/>
                    </w:rPr>
                    <w:t xml:space="preserve"> </w:t>
                  </w:r>
                </w:p>
              </w:tc>
            </w:tr>
            <w:tr w:rsidR="00C23349" w:rsidRPr="00DA080C">
              <w:tblPrEx>
                <w:tblCellMar>
                  <w:left w:w="115" w:type="dxa"/>
                  <w:right w:w="115" w:type="dxa"/>
                </w:tblCellMar>
              </w:tblPrEx>
              <w:trPr>
                <w:gridAfter w:val="1"/>
                <w:wAfter w:w="152" w:type="dxa"/>
                <w:trHeight w:val="159"/>
              </w:trPr>
              <w:tc>
                <w:tcPr>
                  <w:tcW w:w="784" w:type="dxa"/>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c>
                <w:tcPr>
                  <w:tcW w:w="8283" w:type="dxa"/>
                  <w:gridSpan w:val="2"/>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r>
            <w:tr w:rsidR="00C23349" w:rsidRPr="00DA080C">
              <w:tblPrEx>
                <w:tblCellMar>
                  <w:left w:w="115" w:type="dxa"/>
                  <w:right w:w="115" w:type="dxa"/>
                </w:tblCellMar>
              </w:tblPrEx>
              <w:trPr>
                <w:gridAfter w:val="1"/>
                <w:wAfter w:w="152" w:type="dxa"/>
                <w:trHeight w:val="159"/>
              </w:trPr>
              <w:tc>
                <w:tcPr>
                  <w:tcW w:w="784" w:type="dxa"/>
                  <w:tcBorders>
                    <w:top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STEP </w:t>
                  </w:r>
                </w:p>
              </w:tc>
              <w:tc>
                <w:tcPr>
                  <w:tcW w:w="8283" w:type="dxa"/>
                  <w:gridSpan w:val="2"/>
                  <w:tcBorders>
                    <w:top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ACTION </w:t>
                  </w:r>
                </w:p>
              </w:tc>
            </w:tr>
            <w:tr w:rsidR="00C23349" w:rsidRPr="00DA080C">
              <w:tblPrEx>
                <w:tblCellMar>
                  <w:left w:w="115" w:type="dxa"/>
                  <w:right w:w="115" w:type="dxa"/>
                </w:tblCellMar>
              </w:tblPrEx>
              <w:trPr>
                <w:gridAfter w:val="1"/>
                <w:wAfter w:w="152" w:type="dxa"/>
                <w:trHeight w:val="159"/>
              </w:trPr>
              <w:tc>
                <w:tcPr>
                  <w:tcW w:w="784" w:type="dxa"/>
                </w:tcPr>
                <w:p w:rsidR="00C23349" w:rsidRPr="00DA080C" w:rsidRDefault="00C23349" w:rsidP="00C23349">
                  <w:pPr>
                    <w:pStyle w:val="Default"/>
                    <w:numPr>
                      <w:ilvl w:val="0"/>
                      <w:numId w:val="4"/>
                    </w:numPr>
                    <w:rPr>
                      <w:rFonts w:ascii="Arial" w:hAnsi="Arial" w:cs="Arial"/>
                      <w:sz w:val="20"/>
                      <w:szCs w:val="20"/>
                    </w:rPr>
                  </w:pPr>
                </w:p>
              </w:tc>
              <w:tc>
                <w:tcPr>
                  <w:tcW w:w="8283" w:type="dxa"/>
                  <w:gridSpan w:val="2"/>
                </w:tcPr>
                <w:p w:rsidR="00904CA9" w:rsidRPr="00DA080C" w:rsidRDefault="00904CA9">
                  <w:pPr>
                    <w:pStyle w:val="Default"/>
                    <w:rPr>
                      <w:rFonts w:ascii="Arial" w:hAnsi="Arial" w:cs="Arial"/>
                      <w:sz w:val="20"/>
                      <w:szCs w:val="20"/>
                    </w:rPr>
                  </w:pPr>
                  <w:r w:rsidRPr="00DA080C">
                    <w:rPr>
                      <w:rFonts w:ascii="Arial" w:hAnsi="Arial" w:cs="Arial"/>
                      <w:sz w:val="20"/>
                      <w:szCs w:val="20"/>
                    </w:rPr>
                    <w:t xml:space="preserve">Two </w:t>
                  </w:r>
                  <w:r w:rsidR="001C146E" w:rsidRPr="00DA080C">
                    <w:rPr>
                      <w:rFonts w:ascii="Arial" w:hAnsi="Arial" w:cs="Arial"/>
                      <w:sz w:val="20"/>
                      <w:szCs w:val="20"/>
                    </w:rPr>
                    <w:t>racks with sequential numbers are</w:t>
                  </w:r>
                  <w:r w:rsidR="0009695F">
                    <w:rPr>
                      <w:rFonts w:ascii="Arial" w:hAnsi="Arial" w:cs="Arial"/>
                      <w:sz w:val="20"/>
                      <w:szCs w:val="20"/>
                    </w:rPr>
                    <w:t xml:space="preserve"> required for Architect c4000.</w:t>
                  </w:r>
                </w:p>
                <w:p w:rsidR="00C23349" w:rsidRPr="00DA080C" w:rsidRDefault="00904CA9">
                  <w:pPr>
                    <w:pStyle w:val="Default"/>
                    <w:rPr>
                      <w:rFonts w:ascii="Arial" w:hAnsi="Arial" w:cs="Arial"/>
                      <w:sz w:val="20"/>
                      <w:szCs w:val="20"/>
                    </w:rPr>
                  </w:pPr>
                  <w:r w:rsidRPr="00DA080C">
                    <w:rPr>
                      <w:rFonts w:ascii="Arial" w:hAnsi="Arial" w:cs="Arial"/>
                      <w:sz w:val="20"/>
                      <w:szCs w:val="20"/>
                    </w:rPr>
                    <w:t>Example N350 and N351</w:t>
                  </w:r>
                </w:p>
                <w:p w:rsidR="00904CA9" w:rsidRPr="00DA080C" w:rsidRDefault="00904CA9">
                  <w:pPr>
                    <w:pStyle w:val="Default"/>
                    <w:rPr>
                      <w:rFonts w:ascii="Arial" w:hAnsi="Arial" w:cs="Arial"/>
                      <w:sz w:val="20"/>
                      <w:szCs w:val="20"/>
                    </w:rPr>
                  </w:pPr>
                  <w:r w:rsidRPr="00DA080C">
                    <w:rPr>
                      <w:rFonts w:ascii="Arial" w:hAnsi="Arial" w:cs="Arial"/>
                      <w:sz w:val="20"/>
                      <w:szCs w:val="20"/>
                    </w:rPr>
                    <w:t>A = rack N350 position 1</w:t>
                  </w:r>
                </w:p>
                <w:p w:rsidR="00904CA9" w:rsidRPr="00DA080C" w:rsidRDefault="00904CA9">
                  <w:pPr>
                    <w:pStyle w:val="Default"/>
                    <w:rPr>
                      <w:rFonts w:ascii="Arial" w:hAnsi="Arial" w:cs="Arial"/>
                      <w:sz w:val="20"/>
                      <w:szCs w:val="20"/>
                    </w:rPr>
                  </w:pPr>
                  <w:r w:rsidRPr="00DA080C">
                    <w:rPr>
                      <w:rFonts w:ascii="Arial" w:hAnsi="Arial" w:cs="Arial"/>
                      <w:sz w:val="20"/>
                      <w:szCs w:val="20"/>
                    </w:rPr>
                    <w:t>B = rack N350 position 2</w:t>
                  </w:r>
                </w:p>
                <w:p w:rsidR="001C146E" w:rsidRPr="00DA080C" w:rsidRDefault="001C146E">
                  <w:pPr>
                    <w:pStyle w:val="Default"/>
                    <w:rPr>
                      <w:rFonts w:ascii="Arial" w:hAnsi="Arial" w:cs="Arial"/>
                      <w:sz w:val="20"/>
                      <w:szCs w:val="20"/>
                    </w:rPr>
                  </w:pPr>
                  <w:r w:rsidRPr="00DA080C">
                    <w:rPr>
                      <w:rFonts w:ascii="Arial" w:hAnsi="Arial" w:cs="Arial"/>
                      <w:sz w:val="20"/>
                      <w:szCs w:val="20"/>
                    </w:rPr>
                    <w:t>C = rack N350 position 3</w:t>
                  </w:r>
                </w:p>
                <w:p w:rsidR="001C146E" w:rsidRPr="00DA080C" w:rsidRDefault="001C146E">
                  <w:pPr>
                    <w:pStyle w:val="Default"/>
                    <w:rPr>
                      <w:rFonts w:ascii="Arial" w:hAnsi="Arial" w:cs="Arial"/>
                      <w:sz w:val="20"/>
                      <w:szCs w:val="20"/>
                    </w:rPr>
                  </w:pPr>
                  <w:r w:rsidRPr="00DA080C">
                    <w:rPr>
                      <w:rFonts w:ascii="Arial" w:hAnsi="Arial" w:cs="Arial"/>
                      <w:sz w:val="20"/>
                      <w:szCs w:val="20"/>
                    </w:rPr>
                    <w:t>D = rack N350 position 4</w:t>
                  </w:r>
                </w:p>
                <w:p w:rsidR="001C146E" w:rsidRPr="00DA080C" w:rsidRDefault="001C146E">
                  <w:pPr>
                    <w:pStyle w:val="Default"/>
                    <w:rPr>
                      <w:rFonts w:ascii="Arial" w:hAnsi="Arial" w:cs="Arial"/>
                      <w:sz w:val="20"/>
                      <w:szCs w:val="20"/>
                    </w:rPr>
                  </w:pPr>
                  <w:r w:rsidRPr="00DA080C">
                    <w:rPr>
                      <w:rFonts w:ascii="Arial" w:hAnsi="Arial" w:cs="Arial"/>
                      <w:sz w:val="20"/>
                      <w:szCs w:val="20"/>
                    </w:rPr>
                    <w:t>E = rack N350 position 5</w:t>
                  </w:r>
                </w:p>
                <w:p w:rsidR="001C146E" w:rsidRDefault="001C146E" w:rsidP="001C146E">
                  <w:pPr>
                    <w:pStyle w:val="Default"/>
                    <w:rPr>
                      <w:rFonts w:ascii="Arial" w:hAnsi="Arial" w:cs="Arial"/>
                      <w:sz w:val="20"/>
                      <w:szCs w:val="20"/>
                    </w:rPr>
                  </w:pPr>
                  <w:r w:rsidRPr="00DA080C">
                    <w:rPr>
                      <w:rFonts w:ascii="Arial" w:hAnsi="Arial" w:cs="Arial"/>
                      <w:sz w:val="20"/>
                      <w:szCs w:val="20"/>
                    </w:rPr>
                    <w:t>F = rack N351 position 1</w:t>
                  </w:r>
                </w:p>
                <w:p w:rsidR="00DA080C" w:rsidRPr="00DA080C" w:rsidRDefault="00DA080C" w:rsidP="001C146E">
                  <w:pPr>
                    <w:pStyle w:val="Default"/>
                    <w:rPr>
                      <w:rFonts w:ascii="Arial" w:hAnsi="Arial" w:cs="Arial"/>
                      <w:sz w:val="20"/>
                      <w:szCs w:val="20"/>
                    </w:rPr>
                  </w:pPr>
                </w:p>
              </w:tc>
            </w:tr>
            <w:tr w:rsidR="00C23349" w:rsidRPr="00DA080C">
              <w:tblPrEx>
                <w:tblCellMar>
                  <w:left w:w="115" w:type="dxa"/>
                  <w:right w:w="115" w:type="dxa"/>
                </w:tblCellMar>
              </w:tblPrEx>
              <w:trPr>
                <w:gridAfter w:val="1"/>
                <w:wAfter w:w="152" w:type="dxa"/>
                <w:trHeight w:val="159"/>
              </w:trPr>
              <w:tc>
                <w:tcPr>
                  <w:tcW w:w="784" w:type="dxa"/>
                </w:tcPr>
                <w:p w:rsidR="00C23349" w:rsidRPr="00DA080C" w:rsidRDefault="00C23349" w:rsidP="00C23349">
                  <w:pPr>
                    <w:pStyle w:val="Default"/>
                    <w:numPr>
                      <w:ilvl w:val="0"/>
                      <w:numId w:val="4"/>
                    </w:numPr>
                    <w:rPr>
                      <w:rFonts w:ascii="Arial" w:hAnsi="Arial" w:cs="Arial"/>
                      <w:sz w:val="20"/>
                      <w:szCs w:val="20"/>
                    </w:rPr>
                  </w:pPr>
                </w:p>
              </w:tc>
              <w:tc>
                <w:tcPr>
                  <w:tcW w:w="8283" w:type="dxa"/>
                  <w:gridSpan w:val="2"/>
                </w:tcPr>
                <w:p w:rsidR="00C23349" w:rsidRPr="00DA080C" w:rsidRDefault="001C146E">
                  <w:pPr>
                    <w:pStyle w:val="Default"/>
                    <w:rPr>
                      <w:rFonts w:ascii="Arial" w:hAnsi="Arial" w:cs="Arial"/>
                      <w:sz w:val="20"/>
                      <w:szCs w:val="20"/>
                    </w:rPr>
                  </w:pPr>
                  <w:r w:rsidRPr="00DA080C">
                    <w:rPr>
                      <w:rFonts w:ascii="Arial" w:hAnsi="Arial" w:cs="Arial"/>
                      <w:sz w:val="20"/>
                      <w:szCs w:val="20"/>
                    </w:rPr>
                    <w:t>Refer to the</w:t>
                  </w:r>
                  <w:r w:rsidR="0009695F">
                    <w:rPr>
                      <w:rFonts w:ascii="Arial" w:hAnsi="Arial" w:cs="Arial"/>
                      <w:sz w:val="20"/>
                      <w:szCs w:val="20"/>
                    </w:rPr>
                    <w:t xml:space="preserve"> calibration sections of the Operating Procedures for directions on calibrations.</w:t>
                  </w:r>
                </w:p>
                <w:p w:rsidR="001C146E" w:rsidRPr="00DA080C" w:rsidRDefault="001C146E">
                  <w:pPr>
                    <w:pStyle w:val="Default"/>
                    <w:rPr>
                      <w:rFonts w:ascii="Arial" w:hAnsi="Arial" w:cs="Arial"/>
                      <w:sz w:val="20"/>
                      <w:szCs w:val="20"/>
                    </w:rPr>
                  </w:pPr>
                </w:p>
              </w:tc>
            </w:tr>
          </w:tbl>
          <w:p w:rsidR="00C23349" w:rsidRPr="00DA080C" w:rsidRDefault="00C23349">
            <w:pPr>
              <w:rPr>
                <w:rFonts w:cs="Arial"/>
                <w:szCs w:val="20"/>
              </w:rPr>
            </w:pPr>
          </w:p>
        </w:tc>
      </w:tr>
      <w:tr w:rsidR="00C23349" w:rsidTr="00262974">
        <w:trPr>
          <w:cantSplit/>
          <w:trHeight w:val="1860"/>
          <w:tblHeader/>
        </w:trPr>
        <w:tc>
          <w:tcPr>
            <w:tcW w:w="1800" w:type="dxa"/>
          </w:tcPr>
          <w:p w:rsidR="00C23349" w:rsidRDefault="00C23349">
            <w:pPr>
              <w:ind w:right="-108"/>
              <w:rPr>
                <w:rFonts w:cs="Arial"/>
                <w:b/>
                <w:bCs/>
                <w:color w:val="0000FF"/>
              </w:rPr>
            </w:pPr>
            <w:r>
              <w:rPr>
                <w:rFonts w:cs="Arial"/>
                <w:b/>
                <w:bCs/>
                <w:color w:val="0000FF"/>
              </w:rPr>
              <w:lastRenderedPageBreak/>
              <w:t>Quality Control</w:t>
            </w:r>
          </w:p>
        </w:tc>
        <w:tc>
          <w:tcPr>
            <w:tcW w:w="9360" w:type="dxa"/>
            <w:gridSpan w:val="6"/>
            <w:tcBorders>
              <w:top w:val="single" w:sz="4" w:space="0" w:color="auto"/>
              <w:bottom w:val="single" w:sz="4" w:space="0" w:color="auto"/>
            </w:tcBorders>
          </w:tcPr>
          <w:p w:rsidR="00C23349" w:rsidRDefault="00C23349">
            <w:pPr>
              <w:pStyle w:val="BodyText"/>
              <w:rPr>
                <w:rFonts w:cs="Arial"/>
              </w:rPr>
            </w:pPr>
            <w:r>
              <w:rPr>
                <w:rFonts w:cs="Arial"/>
              </w:rPr>
              <w:t>ARK Lev</w:t>
            </w:r>
            <w:r w:rsidR="00DA080C">
              <w:rPr>
                <w:rFonts w:cs="Arial"/>
              </w:rPr>
              <w:t>etiracetam Controls</w:t>
            </w:r>
          </w:p>
          <w:p w:rsidR="00C23349" w:rsidRDefault="00C23349" w:rsidP="00C23349">
            <w:pPr>
              <w:pStyle w:val="BodyText"/>
              <w:numPr>
                <w:ilvl w:val="0"/>
                <w:numId w:val="13"/>
              </w:numPr>
              <w:rPr>
                <w:rFonts w:cs="Arial"/>
              </w:rPr>
            </w:pPr>
            <w:r>
              <w:rPr>
                <w:rFonts w:cs="Arial"/>
                <w:b/>
                <w:bCs/>
              </w:rPr>
              <w:t>LOW</w:t>
            </w:r>
            <w:r>
              <w:rPr>
                <w:rFonts w:cs="Arial"/>
              </w:rPr>
              <w:t xml:space="preserve"> (7.5 μg/mL) 1 X 4 mL</w:t>
            </w:r>
          </w:p>
          <w:p w:rsidR="00C23349" w:rsidRDefault="00C23349" w:rsidP="00C23349">
            <w:pPr>
              <w:pStyle w:val="BodyText"/>
              <w:numPr>
                <w:ilvl w:val="0"/>
                <w:numId w:val="13"/>
              </w:numPr>
              <w:rPr>
                <w:rFonts w:cs="Arial"/>
                <w:szCs w:val="23"/>
              </w:rPr>
            </w:pPr>
            <w:r>
              <w:rPr>
                <w:rFonts w:cs="Arial"/>
                <w:b/>
                <w:bCs/>
              </w:rPr>
              <w:t>HIGH</w:t>
            </w:r>
            <w:r>
              <w:rPr>
                <w:rFonts w:cs="Arial"/>
              </w:rPr>
              <w:t xml:space="preserve"> (75.0 μg/mL) 1 X 4 mL</w:t>
            </w:r>
            <w:r w:rsidR="0009695F">
              <w:rPr>
                <w:rFonts w:cs="Arial"/>
              </w:rPr>
              <w:t xml:space="preserve"> (Level 2 in URT)</w:t>
            </w:r>
          </w:p>
          <w:p w:rsidR="00C23349" w:rsidRDefault="00C23349">
            <w:pPr>
              <w:pStyle w:val="BodyText"/>
              <w:rPr>
                <w:rFonts w:cs="Arial"/>
                <w:szCs w:val="23"/>
              </w:rPr>
            </w:pPr>
            <w:r>
              <w:rPr>
                <w:rFonts w:cs="Arial"/>
              </w:rPr>
              <w:t>Use each lot as a set</w:t>
            </w:r>
            <w:r>
              <w:rPr>
                <w:rFonts w:cs="Arial"/>
                <w:szCs w:val="23"/>
              </w:rPr>
              <w:t xml:space="preserve"> </w:t>
            </w:r>
          </w:p>
          <w:p w:rsidR="0009695F" w:rsidRDefault="0009695F">
            <w:pPr>
              <w:pStyle w:val="BodyText"/>
              <w:rPr>
                <w:rFonts w:cs="Arial"/>
                <w:szCs w:val="23"/>
              </w:rPr>
            </w:pPr>
            <w:r>
              <w:rPr>
                <w:rFonts w:cs="Arial"/>
                <w:szCs w:val="23"/>
              </w:rPr>
              <w:t>“MID” control is not used.</w:t>
            </w:r>
          </w:p>
          <w:p w:rsidR="00C23349" w:rsidRDefault="00C23349">
            <w:pPr>
              <w:pStyle w:val="BodyText"/>
              <w:rPr>
                <w:rFonts w:cs="Arial"/>
                <w:szCs w:val="23"/>
              </w:rPr>
            </w:pPr>
          </w:p>
          <w:p w:rsidR="00C23349" w:rsidRDefault="00C23349">
            <w:pPr>
              <w:pStyle w:val="BodyText"/>
              <w:rPr>
                <w:rFonts w:cs="Arial"/>
                <w:b/>
                <w:bCs/>
                <w:szCs w:val="23"/>
              </w:rPr>
            </w:pPr>
            <w:r>
              <w:rPr>
                <w:rFonts w:cs="Arial"/>
                <w:b/>
                <w:bCs/>
                <w:szCs w:val="23"/>
              </w:rPr>
              <w:t xml:space="preserve">Frequency: </w:t>
            </w:r>
          </w:p>
          <w:p w:rsidR="00C23349" w:rsidRDefault="00C23349" w:rsidP="00C23349">
            <w:pPr>
              <w:pStyle w:val="BodyText"/>
              <w:numPr>
                <w:ilvl w:val="0"/>
                <w:numId w:val="12"/>
              </w:numPr>
              <w:rPr>
                <w:rFonts w:cs="Arial"/>
                <w:szCs w:val="23"/>
              </w:rPr>
            </w:pPr>
            <w:r>
              <w:rPr>
                <w:rFonts w:cs="Arial"/>
                <w:szCs w:val="23"/>
              </w:rPr>
              <w:t xml:space="preserve">Two levels of controls must be run every 24 hours </w:t>
            </w:r>
          </w:p>
          <w:p w:rsidR="00C23349" w:rsidRDefault="00C23349" w:rsidP="00C23349">
            <w:pPr>
              <w:pStyle w:val="BodyText"/>
              <w:numPr>
                <w:ilvl w:val="0"/>
                <w:numId w:val="12"/>
              </w:numPr>
              <w:rPr>
                <w:rFonts w:cs="Arial"/>
                <w:szCs w:val="23"/>
              </w:rPr>
            </w:pPr>
            <w:r>
              <w:rPr>
                <w:rFonts w:cs="Arial"/>
                <w:szCs w:val="23"/>
              </w:rPr>
              <w:t xml:space="preserve">After loading a new </w:t>
            </w:r>
            <w:r w:rsidR="00D70981">
              <w:rPr>
                <w:rFonts w:cs="Arial"/>
                <w:szCs w:val="23"/>
              </w:rPr>
              <w:t>set of reagents</w:t>
            </w:r>
            <w:r>
              <w:rPr>
                <w:rFonts w:cs="Arial"/>
                <w:szCs w:val="23"/>
              </w:rPr>
              <w:t xml:space="preserve"> </w:t>
            </w:r>
          </w:p>
          <w:p w:rsidR="00C23349" w:rsidRDefault="00C23349" w:rsidP="00C23349">
            <w:pPr>
              <w:pStyle w:val="BodyText"/>
              <w:numPr>
                <w:ilvl w:val="0"/>
                <w:numId w:val="12"/>
              </w:numPr>
              <w:rPr>
                <w:rFonts w:cs="Arial"/>
                <w:szCs w:val="23"/>
              </w:rPr>
            </w:pPr>
            <w:r>
              <w:rPr>
                <w:rFonts w:cs="Arial"/>
                <w:szCs w:val="23"/>
              </w:rPr>
              <w:t xml:space="preserve">After calibration </w:t>
            </w:r>
          </w:p>
          <w:p w:rsidR="00C23349" w:rsidRDefault="00C23349" w:rsidP="00C23349">
            <w:pPr>
              <w:pStyle w:val="BodyText"/>
              <w:numPr>
                <w:ilvl w:val="0"/>
                <w:numId w:val="12"/>
              </w:numPr>
              <w:rPr>
                <w:rFonts w:cs="Arial"/>
                <w:szCs w:val="23"/>
              </w:rPr>
            </w:pPr>
            <w:r>
              <w:rPr>
                <w:rFonts w:cs="Arial"/>
                <w:szCs w:val="23"/>
              </w:rPr>
              <w:t xml:space="preserve">After any major maintenance/ repairs have been performed on the analyzer </w:t>
            </w:r>
          </w:p>
          <w:p w:rsidR="00C23349" w:rsidRDefault="00C23349" w:rsidP="00C23349">
            <w:pPr>
              <w:pStyle w:val="BodyText"/>
              <w:numPr>
                <w:ilvl w:val="0"/>
                <w:numId w:val="12"/>
              </w:numPr>
              <w:rPr>
                <w:rFonts w:cs="Arial"/>
                <w:szCs w:val="23"/>
              </w:rPr>
            </w:pPr>
            <w:r>
              <w:rPr>
                <w:rFonts w:cs="Arial"/>
                <w:szCs w:val="23"/>
              </w:rPr>
              <w:t>When indicated by QC results</w:t>
            </w:r>
          </w:p>
          <w:p w:rsidR="00C23349" w:rsidRDefault="00C23349">
            <w:pPr>
              <w:pStyle w:val="BodyText"/>
              <w:rPr>
                <w:rFonts w:cs="Arial"/>
                <w:szCs w:val="23"/>
              </w:rPr>
            </w:pPr>
          </w:p>
          <w:p w:rsidR="00C23349" w:rsidRDefault="00C23349">
            <w:pPr>
              <w:pStyle w:val="BodyText"/>
              <w:rPr>
                <w:rFonts w:cs="Arial"/>
                <w:szCs w:val="18"/>
              </w:rPr>
            </w:pPr>
            <w:r>
              <w:rPr>
                <w:rFonts w:cs="Arial"/>
                <w:b/>
                <w:bCs/>
                <w:szCs w:val="18"/>
              </w:rPr>
              <w:t>Storage and Stability</w:t>
            </w:r>
            <w:r>
              <w:rPr>
                <w:rFonts w:cs="Arial"/>
                <w:szCs w:val="18"/>
              </w:rPr>
              <w:t xml:space="preserve">: </w:t>
            </w:r>
          </w:p>
          <w:p w:rsidR="00C23349" w:rsidRDefault="00C23349">
            <w:pPr>
              <w:pStyle w:val="BodyText"/>
              <w:rPr>
                <w:rFonts w:cs="Arial"/>
                <w:szCs w:val="18"/>
              </w:rPr>
            </w:pPr>
            <w:r>
              <w:rPr>
                <w:rFonts w:cs="Arial"/>
                <w:szCs w:val="18"/>
              </w:rPr>
              <w:t>Unopened: 2°- 8°C.</w:t>
            </w:r>
          </w:p>
          <w:p w:rsidR="00C23349" w:rsidRDefault="00C23349">
            <w:pPr>
              <w:pStyle w:val="BodyText"/>
              <w:rPr>
                <w:rFonts w:cs="Arial"/>
                <w:szCs w:val="18"/>
              </w:rPr>
            </w:pPr>
            <w:r>
              <w:rPr>
                <w:rFonts w:cs="Arial"/>
                <w:szCs w:val="18"/>
              </w:rPr>
              <w:t>Open: until expiration date on label when stored tightly capped at 2°- 8°C</w:t>
            </w:r>
          </w:p>
          <w:p w:rsidR="00C23349" w:rsidRDefault="00C23349">
            <w:pPr>
              <w:pStyle w:val="BodyText"/>
              <w:rPr>
                <w:rFonts w:cs="Arial"/>
                <w:szCs w:val="18"/>
              </w:rPr>
            </w:pPr>
          </w:p>
          <w:p w:rsidR="00C23349" w:rsidRDefault="00C23349">
            <w:pPr>
              <w:pStyle w:val="BodyText"/>
              <w:rPr>
                <w:rFonts w:cs="Arial"/>
                <w:b/>
                <w:bCs/>
                <w:szCs w:val="18"/>
              </w:rPr>
            </w:pPr>
            <w:r>
              <w:rPr>
                <w:rFonts w:cs="Arial"/>
                <w:b/>
                <w:bCs/>
                <w:szCs w:val="18"/>
              </w:rPr>
              <w:t>Procedure</w:t>
            </w:r>
          </w:p>
          <w:p w:rsidR="00C23349" w:rsidRDefault="00C23349">
            <w:pPr>
              <w:pStyle w:val="BodyText"/>
              <w:rPr>
                <w:rFonts w:cs="Arial"/>
              </w:rPr>
            </w:pPr>
            <w:r>
              <w:rPr>
                <w:rFonts w:cs="Arial"/>
              </w:rPr>
              <w:t xml:space="preserve">Controls are ready to use. </w:t>
            </w:r>
            <w:r w:rsidR="00D70981">
              <w:rPr>
                <w:rFonts w:cs="Arial"/>
              </w:rPr>
              <w:t xml:space="preserve"> </w:t>
            </w:r>
            <w:r>
              <w:rPr>
                <w:rFonts w:cs="Arial"/>
              </w:rPr>
              <w:t>Mix each level by gentle inversion before dispensing.</w:t>
            </w:r>
          </w:p>
          <w:p w:rsidR="00C23349" w:rsidRDefault="00C23349">
            <w:pPr>
              <w:pStyle w:val="BodyText"/>
              <w:rPr>
                <w:rFonts w:cs="Arial"/>
              </w:rPr>
            </w:pPr>
            <w:r>
              <w:rPr>
                <w:rFonts w:cs="Arial"/>
              </w:rPr>
              <w:t>Waste 1 drop of control before dispensing.</w:t>
            </w:r>
          </w:p>
          <w:p w:rsidR="00C23349" w:rsidRDefault="00C23349">
            <w:pPr>
              <w:pStyle w:val="BodyText"/>
              <w:rPr>
                <w:rFonts w:cs="Arial"/>
              </w:rPr>
            </w:pPr>
            <w:r>
              <w:rPr>
                <w:rFonts w:cs="Arial"/>
              </w:rPr>
              <w:t>Squeeze sufficient volume (~40μL/drop) into individual sample cups for each level.</w:t>
            </w:r>
          </w:p>
          <w:p w:rsidR="00C23349" w:rsidRDefault="00C23349">
            <w:pPr>
              <w:pStyle w:val="BodyText"/>
              <w:rPr>
                <w:rFonts w:cs="Arial"/>
              </w:rPr>
            </w:pPr>
          </w:p>
          <w:p w:rsidR="00D50F5C" w:rsidRDefault="00D50F5C" w:rsidP="00D50F5C">
            <w:pPr>
              <w:jc w:val="both"/>
              <w:rPr>
                <w:rFonts w:cs="Arial"/>
              </w:rPr>
            </w:pPr>
            <w:r>
              <w:rPr>
                <w:rFonts w:cs="Arial"/>
                <w:b/>
                <w:bCs/>
              </w:rPr>
              <w:t>Acceptable ranges:</w:t>
            </w:r>
            <w:r>
              <w:rPr>
                <w:rFonts w:cs="Arial"/>
              </w:rPr>
              <w:t xml:space="preserve"> </w:t>
            </w:r>
          </w:p>
          <w:p w:rsidR="00D50F5C" w:rsidRDefault="00D50F5C" w:rsidP="00D50F5C">
            <w:pPr>
              <w:pStyle w:val="ListParagraph"/>
              <w:numPr>
                <w:ilvl w:val="0"/>
                <w:numId w:val="22"/>
              </w:numPr>
              <w:jc w:val="both"/>
              <w:rPr>
                <w:rFonts w:cs="Arial"/>
              </w:rPr>
            </w:pPr>
            <w:r>
              <w:rPr>
                <w:rFonts w:cs="Arial"/>
              </w:rPr>
              <w:t xml:space="preserve">Non-Bio-Rad controls will utilize manufacturer ranges and 2 SD Westgard rules.  </w:t>
            </w:r>
          </w:p>
          <w:p w:rsidR="00D50F5C" w:rsidRDefault="00D50F5C" w:rsidP="00D50F5C">
            <w:pPr>
              <w:pStyle w:val="ListParagraph"/>
              <w:numPr>
                <w:ilvl w:val="0"/>
                <w:numId w:val="22"/>
              </w:numPr>
              <w:jc w:val="both"/>
              <w:rPr>
                <w:rFonts w:cs="Arial"/>
              </w:rPr>
            </w:pPr>
            <w:r>
              <w:rPr>
                <w:rFonts w:cs="Arial"/>
              </w:rPr>
              <w:t xml:space="preserve">New lots of Bio-Rad controls should be run for 20 days in parallel with the current lot whenever possible prior to switching to the new lot.  </w:t>
            </w:r>
          </w:p>
          <w:p w:rsidR="00D50F5C" w:rsidRPr="00AD2383" w:rsidRDefault="00D50F5C" w:rsidP="00D50F5C">
            <w:pPr>
              <w:pStyle w:val="ListParagraph"/>
              <w:numPr>
                <w:ilvl w:val="0"/>
                <w:numId w:val="22"/>
              </w:numPr>
              <w:jc w:val="both"/>
              <w:rPr>
                <w:rFonts w:cs="Arial"/>
              </w:rPr>
            </w:pPr>
            <w:r>
              <w:rPr>
                <w:rFonts w:cs="Arial"/>
              </w:rPr>
              <w:t xml:space="preserve">Refer to the </w:t>
            </w:r>
            <w:hyperlink r:id="rId7" w:history="1">
              <w:r w:rsidRPr="008D768B">
                <w:rPr>
                  <w:rStyle w:val="Hyperlink"/>
                  <w:rFonts w:cs="Arial"/>
                </w:rPr>
                <w:t>Westgard Rules in Chemistry procedure</w:t>
              </w:r>
            </w:hyperlink>
            <w:r>
              <w:rPr>
                <w:rFonts w:cs="Arial"/>
              </w:rPr>
              <w:t xml:space="preserve"> for current Westgard rules in place for each analyte.  </w:t>
            </w:r>
          </w:p>
          <w:p w:rsidR="00D50F5C" w:rsidRDefault="00D50F5C" w:rsidP="00D50F5C">
            <w:pPr>
              <w:numPr>
                <w:ilvl w:val="0"/>
                <w:numId w:val="22"/>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D50F5C" w:rsidRDefault="00D50F5C" w:rsidP="00D50F5C">
            <w:pPr>
              <w:numPr>
                <w:ilvl w:val="0"/>
                <w:numId w:val="22"/>
              </w:numPr>
              <w:autoSpaceDE w:val="0"/>
              <w:autoSpaceDN w:val="0"/>
              <w:adjustRightInd w:val="0"/>
              <w:jc w:val="both"/>
              <w:rPr>
                <w:rFonts w:cs="Arial"/>
                <w:color w:val="000000"/>
                <w:szCs w:val="20"/>
              </w:rPr>
            </w:pPr>
            <w:r>
              <w:rPr>
                <w:rFonts w:cs="Arial"/>
                <w:szCs w:val="20"/>
              </w:rPr>
              <w:t xml:space="preserve">In the event of a QC failure, refer to the </w:t>
            </w:r>
            <w:hyperlink r:id="rId8" w:history="1">
              <w:r w:rsidRPr="00AD2383">
                <w:rPr>
                  <w:rStyle w:val="Hyperlink"/>
                  <w:rFonts w:cs="Arial"/>
                  <w:szCs w:val="20"/>
                </w:rPr>
                <w:t>Unity Real Time QC Review, General User</w:t>
              </w:r>
            </w:hyperlink>
            <w:r>
              <w:rPr>
                <w:rFonts w:cs="Arial"/>
                <w:szCs w:val="20"/>
              </w:rPr>
              <w:t xml:space="preserve"> and navigate to the QC Troubleshooting section.</w:t>
            </w:r>
          </w:p>
          <w:p w:rsidR="00C23349" w:rsidRDefault="00D50F5C" w:rsidP="00D50F5C">
            <w:pPr>
              <w:rPr>
                <w:rFonts w:cs="Arial"/>
              </w:rPr>
            </w:pPr>
            <w:r>
              <w:rPr>
                <w:rFonts w:cs="Arial"/>
                <w:szCs w:val="20"/>
              </w:rPr>
              <w:t>Do not load or release patients until QC is acceptable in Unity Real Time.</w:t>
            </w: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Interferences</w:t>
            </w:r>
          </w:p>
        </w:tc>
        <w:tc>
          <w:tcPr>
            <w:tcW w:w="9180" w:type="dxa"/>
            <w:gridSpan w:val="5"/>
            <w:tcBorders>
              <w:top w:val="single" w:sz="4" w:space="0" w:color="auto"/>
              <w:bottom w:val="single" w:sz="4" w:space="0" w:color="auto"/>
            </w:tcBorders>
          </w:tcPr>
          <w:p w:rsidR="00C23349" w:rsidRDefault="00C23349">
            <w:pPr>
              <w:autoSpaceDE w:val="0"/>
              <w:autoSpaceDN w:val="0"/>
              <w:adjustRightInd w:val="0"/>
              <w:rPr>
                <w:rFonts w:cs="Arial"/>
                <w:szCs w:val="16"/>
              </w:rPr>
            </w:pPr>
            <w:r>
              <w:rPr>
                <w:rFonts w:cs="Arial"/>
                <w:szCs w:val="16"/>
              </w:rPr>
              <w:t>Interference studies were conducted using CLSI/NCCLS Protocol EP7-A2 as a guideline.</w:t>
            </w:r>
          </w:p>
          <w:p w:rsidR="00C23349" w:rsidRDefault="00C23349">
            <w:pPr>
              <w:autoSpaceDE w:val="0"/>
              <w:autoSpaceDN w:val="0"/>
              <w:adjustRightInd w:val="0"/>
              <w:rPr>
                <w:rFonts w:cs="Arial"/>
                <w:i/>
                <w:iCs/>
                <w:szCs w:val="16"/>
              </w:rPr>
            </w:pPr>
          </w:p>
          <w:p w:rsidR="00C23349" w:rsidRDefault="00C23349">
            <w:pPr>
              <w:autoSpaceDE w:val="0"/>
              <w:autoSpaceDN w:val="0"/>
              <w:adjustRightInd w:val="0"/>
              <w:rPr>
                <w:rFonts w:cs="Arial"/>
                <w:i/>
                <w:iCs/>
                <w:szCs w:val="16"/>
              </w:rPr>
            </w:pPr>
            <w:r>
              <w:rPr>
                <w:rFonts w:cs="Arial"/>
                <w:i/>
                <w:iCs/>
                <w:szCs w:val="16"/>
              </w:rPr>
              <w:t>Drug Interference</w:t>
            </w:r>
          </w:p>
          <w:p w:rsidR="00C23349" w:rsidRDefault="00C23349">
            <w:pPr>
              <w:autoSpaceDE w:val="0"/>
              <w:autoSpaceDN w:val="0"/>
              <w:adjustRightInd w:val="0"/>
              <w:rPr>
                <w:rFonts w:cs="Arial"/>
                <w:szCs w:val="16"/>
              </w:rPr>
            </w:pPr>
            <w:r>
              <w:rPr>
                <w:rFonts w:cs="Arial"/>
                <w:szCs w:val="16"/>
              </w:rPr>
              <w:t>Levetiracetam-selective antibody did not cross-react with other anti-epileptic or co-administered drugs tested. A high concentration of each compound was spiked into normal human serum with known levels of Levetiracetam. Measurement of levetiracetam resulted in ≤10% error in the presence of drug compounds at the levels tested.</w:t>
            </w:r>
          </w:p>
          <w:p w:rsidR="00C23349" w:rsidRDefault="00C23349">
            <w:pPr>
              <w:rPr>
                <w:rFonts w:cs="Arial"/>
                <w:szCs w:val="16"/>
              </w:rPr>
            </w:pPr>
          </w:p>
          <w:p w:rsidR="00C23349" w:rsidRDefault="00C23349">
            <w:pPr>
              <w:autoSpaceDE w:val="0"/>
              <w:autoSpaceDN w:val="0"/>
              <w:adjustRightInd w:val="0"/>
              <w:rPr>
                <w:rFonts w:cs="Arial"/>
                <w:b/>
                <w:bCs/>
                <w:szCs w:val="16"/>
              </w:rPr>
            </w:pPr>
            <w:r>
              <w:rPr>
                <w:rFonts w:cs="Arial"/>
                <w:b/>
                <w:bCs/>
                <w:szCs w:val="16"/>
              </w:rPr>
              <w:t>Specificity</w:t>
            </w:r>
          </w:p>
          <w:p w:rsidR="00C23349" w:rsidRDefault="00C23349">
            <w:pPr>
              <w:autoSpaceDE w:val="0"/>
              <w:autoSpaceDN w:val="0"/>
              <w:adjustRightInd w:val="0"/>
              <w:rPr>
                <w:rFonts w:cs="Arial"/>
                <w:i/>
                <w:iCs/>
                <w:szCs w:val="16"/>
              </w:rPr>
            </w:pPr>
            <w:r>
              <w:rPr>
                <w:rFonts w:cs="Arial"/>
                <w:i/>
                <w:iCs/>
                <w:szCs w:val="16"/>
              </w:rPr>
              <w:t>Metabolites</w:t>
            </w:r>
          </w:p>
          <w:p w:rsidR="00C23349" w:rsidRDefault="00C23349">
            <w:pPr>
              <w:autoSpaceDE w:val="0"/>
              <w:autoSpaceDN w:val="0"/>
              <w:adjustRightInd w:val="0"/>
              <w:rPr>
                <w:rFonts w:cs="Arial"/>
                <w:szCs w:val="16"/>
              </w:rPr>
            </w:pPr>
            <w:r>
              <w:rPr>
                <w:rFonts w:cs="Arial"/>
                <w:szCs w:val="16"/>
              </w:rPr>
              <w:t>Levetiracetam is hydrolyzed to its major metabolite 2-pyrrolidone-N-butyric acid (</w:t>
            </w:r>
            <w:proofErr w:type="spellStart"/>
            <w:r>
              <w:rPr>
                <w:rFonts w:cs="Arial"/>
                <w:szCs w:val="16"/>
              </w:rPr>
              <w:t>ucb</w:t>
            </w:r>
            <w:proofErr w:type="spellEnd"/>
            <w:r>
              <w:rPr>
                <w:rFonts w:cs="Arial"/>
                <w:szCs w:val="16"/>
              </w:rPr>
              <w:t xml:space="preserve"> L057)</w:t>
            </w:r>
            <w:r w:rsidR="00DA080C">
              <w:rPr>
                <w:rFonts w:cs="Arial"/>
                <w:szCs w:val="16"/>
              </w:rPr>
              <w:t xml:space="preserve"> </w:t>
            </w:r>
            <w:r>
              <w:rPr>
                <w:rFonts w:cs="Arial"/>
                <w:szCs w:val="16"/>
              </w:rPr>
              <w:t xml:space="preserve">and two minor metabolites. The metabolite </w:t>
            </w:r>
            <w:proofErr w:type="spellStart"/>
            <w:r>
              <w:rPr>
                <w:rFonts w:cs="Arial"/>
                <w:szCs w:val="16"/>
              </w:rPr>
              <w:t>ucb</w:t>
            </w:r>
            <w:proofErr w:type="spellEnd"/>
            <w:r>
              <w:rPr>
                <w:rFonts w:cs="Arial"/>
                <w:szCs w:val="16"/>
              </w:rPr>
              <w:t xml:space="preserve"> L057 was tested for cross-reactivity and demonstrated &lt;10% interference and cross reactivity.</w:t>
            </w:r>
          </w:p>
          <w:p w:rsidR="00C23349" w:rsidRDefault="00C23349">
            <w:pPr>
              <w:rPr>
                <w:rFonts w:cs="Arial"/>
              </w:rPr>
            </w:pPr>
          </w:p>
          <w:p w:rsidR="00C23349" w:rsidRDefault="00C23349">
            <w:pPr>
              <w:pStyle w:val="BodyText2"/>
              <w:autoSpaceDE/>
              <w:autoSpaceDN/>
              <w:adjustRightInd/>
            </w:pPr>
            <w:r>
              <w:t>See the product insert for a list of substances for which no significant interference was noted.</w:t>
            </w:r>
          </w:p>
          <w:p w:rsidR="00C23349" w:rsidRDefault="00C23349">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Reference Range</w:t>
            </w:r>
          </w:p>
        </w:tc>
        <w:tc>
          <w:tcPr>
            <w:tcW w:w="9180" w:type="dxa"/>
            <w:gridSpan w:val="5"/>
            <w:tcBorders>
              <w:top w:val="single" w:sz="4" w:space="0" w:color="auto"/>
              <w:bottom w:val="single" w:sz="4" w:space="0" w:color="auto"/>
            </w:tcBorders>
          </w:tcPr>
          <w:p w:rsidR="00C23349" w:rsidRDefault="00C23349">
            <w:pPr>
              <w:autoSpaceDE w:val="0"/>
              <w:autoSpaceDN w:val="0"/>
              <w:adjustRightInd w:val="0"/>
              <w:rPr>
                <w:rFonts w:cs="Arial"/>
                <w:b/>
                <w:bCs/>
                <w:szCs w:val="16"/>
              </w:rPr>
            </w:pPr>
            <w:r>
              <w:rPr>
                <w:rFonts w:cs="Arial"/>
                <w:b/>
                <w:bCs/>
                <w:szCs w:val="23"/>
              </w:rPr>
              <w:t xml:space="preserve">5 – 45 </w:t>
            </w:r>
            <w:r>
              <w:rPr>
                <w:rFonts w:cs="Arial"/>
                <w:b/>
                <w:bCs/>
                <w:szCs w:val="16"/>
              </w:rPr>
              <w:t xml:space="preserve">mcg/mL </w:t>
            </w:r>
          </w:p>
          <w:p w:rsidR="00C23349" w:rsidRDefault="00C23349">
            <w:pPr>
              <w:rPr>
                <w:rFonts w:cs="Arial"/>
                <w:szCs w:val="16"/>
              </w:rPr>
            </w:pPr>
            <w:r>
              <w:rPr>
                <w:rFonts w:cs="Arial"/>
                <w:szCs w:val="16"/>
              </w:rPr>
              <w:t>Levetiracetam drug concentrations should be used in conjunction with information available from clinical evaluations. Circulating levels of levetiracetam may be affected by compliance, renal function, pregnancy, drug-drug interactions and timing of the sample draw.</w:t>
            </w:r>
          </w:p>
          <w:p w:rsidR="00C23349" w:rsidRDefault="00C23349">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Critical Values</w:t>
            </w:r>
          </w:p>
        </w:tc>
        <w:tc>
          <w:tcPr>
            <w:tcW w:w="9180" w:type="dxa"/>
            <w:gridSpan w:val="5"/>
            <w:tcBorders>
              <w:top w:val="single" w:sz="4" w:space="0" w:color="auto"/>
              <w:bottom w:val="single" w:sz="4" w:space="0" w:color="auto"/>
            </w:tcBorders>
          </w:tcPr>
          <w:p w:rsidR="00C23349" w:rsidRDefault="00C23349">
            <w:pPr>
              <w:rPr>
                <w:rFonts w:cs="Arial"/>
              </w:rPr>
            </w:pPr>
            <w:r>
              <w:rPr>
                <w:rFonts w:cs="Arial"/>
              </w:rPr>
              <w:t>None defined.</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lastRenderedPageBreak/>
              <w:t>Limitations</w:t>
            </w:r>
          </w:p>
        </w:tc>
        <w:tc>
          <w:tcPr>
            <w:tcW w:w="9180" w:type="dxa"/>
            <w:gridSpan w:val="5"/>
            <w:tcBorders>
              <w:top w:val="single" w:sz="4" w:space="0" w:color="auto"/>
              <w:bottom w:val="single" w:sz="4" w:space="0" w:color="auto"/>
            </w:tcBorders>
          </w:tcPr>
          <w:p w:rsidR="00C23349" w:rsidRDefault="00C23349">
            <w:pPr>
              <w:spacing w:after="100" w:afterAutospacing="1"/>
              <w:rPr>
                <w:rFonts w:cs="Arial"/>
              </w:rPr>
            </w:pPr>
            <w:r>
              <w:rPr>
                <w:rFonts w:cs="Arial"/>
                <w:szCs w:val="12"/>
              </w:rPr>
              <w:t xml:space="preserve">Linear range of detection: </w:t>
            </w:r>
            <w:r>
              <w:rPr>
                <w:rFonts w:cs="Arial"/>
                <w:b/>
                <w:bCs/>
                <w:szCs w:val="16"/>
              </w:rPr>
              <w:t>2.0 to 100.0 mcg/mL</w:t>
            </w:r>
          </w:p>
          <w:p w:rsidR="00C23349" w:rsidRDefault="00C23349">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results. Refer to your </w:t>
            </w:r>
            <w:r w:rsidR="0009695F">
              <w:rPr>
                <w:rFonts w:eastAsia="HelenPro-Cond" w:cs="Arial"/>
                <w:szCs w:val="15"/>
              </w:rPr>
              <w:t>Abbott</w:t>
            </w:r>
            <w:r>
              <w:rPr>
                <w:rFonts w:eastAsia="HelenPro-Cond" w:cs="Arial"/>
                <w:szCs w:val="15"/>
              </w:rPr>
              <w:t xml:space="preserve"> Operator</w:t>
            </w:r>
            <w:r w:rsidR="00DA080C">
              <w:rPr>
                <w:rFonts w:eastAsia="HelenPro-Cond" w:cs="Arial"/>
                <w:szCs w:val="15"/>
              </w:rPr>
              <w:t>’</w:t>
            </w:r>
            <w:r>
              <w:rPr>
                <w:rFonts w:eastAsia="HelenPro-Cond" w:cs="Arial"/>
                <w:szCs w:val="15"/>
              </w:rPr>
              <w:t>s Guide for the meaning of report flags and comments. Any report containing flags and/or comments must be resolved prior to reporting.</w:t>
            </w:r>
            <w:r>
              <w:rPr>
                <w:rFonts w:cs="Arial"/>
              </w:rPr>
              <w:t xml:space="preserve"> </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Dilutions</w:t>
            </w:r>
          </w:p>
        </w:tc>
        <w:tc>
          <w:tcPr>
            <w:tcW w:w="9180" w:type="dxa"/>
            <w:gridSpan w:val="5"/>
            <w:tcBorders>
              <w:top w:val="single" w:sz="4" w:space="0" w:color="auto"/>
              <w:bottom w:val="single" w:sz="4" w:space="0" w:color="auto"/>
            </w:tcBorders>
          </w:tcPr>
          <w:p w:rsidR="00C23349" w:rsidRPr="00AB6A5C" w:rsidRDefault="00C23349" w:rsidP="00C23349">
            <w:pPr>
              <w:numPr>
                <w:ilvl w:val="0"/>
                <w:numId w:val="1"/>
              </w:numPr>
              <w:rPr>
                <w:rFonts w:cs="Arial"/>
              </w:rPr>
            </w:pPr>
            <w:r w:rsidRPr="00AB6A5C">
              <w:rPr>
                <w:rFonts w:cs="Arial"/>
                <w:b/>
                <w:bCs/>
              </w:rPr>
              <w:t xml:space="preserve">Above </w:t>
            </w:r>
            <w:r w:rsidRPr="00AB6A5C">
              <w:rPr>
                <w:rFonts w:cs="Arial"/>
                <w:b/>
                <w:bCs/>
                <w:szCs w:val="16"/>
              </w:rPr>
              <w:t>100.0 mcg/mL</w:t>
            </w:r>
            <w:r w:rsidRPr="00AB6A5C">
              <w:rPr>
                <w:rFonts w:cs="Arial"/>
              </w:rPr>
              <w:t>:</w:t>
            </w:r>
          </w:p>
          <w:p w:rsidR="00C23349" w:rsidRPr="00AB6A5C" w:rsidRDefault="00C23349" w:rsidP="00C23349">
            <w:pPr>
              <w:numPr>
                <w:ilvl w:val="0"/>
                <w:numId w:val="1"/>
              </w:numPr>
              <w:rPr>
                <w:rFonts w:cs="Arial"/>
              </w:rPr>
            </w:pPr>
            <w:r w:rsidRPr="00AB6A5C">
              <w:rPr>
                <w:rFonts w:cs="Arial"/>
              </w:rPr>
              <w:t xml:space="preserve">Dilute results with “assay range” appended. </w:t>
            </w:r>
          </w:p>
          <w:p w:rsidR="00C23349" w:rsidRPr="00AB6A5C" w:rsidRDefault="00C23349" w:rsidP="00C23349">
            <w:pPr>
              <w:numPr>
                <w:ilvl w:val="1"/>
                <w:numId w:val="1"/>
              </w:numPr>
              <w:rPr>
                <w:rFonts w:cs="Arial"/>
              </w:rPr>
            </w:pPr>
            <w:r w:rsidRPr="00AB6A5C">
              <w:rPr>
                <w:rFonts w:cs="Arial"/>
                <w:szCs w:val="12"/>
              </w:rPr>
              <w:t xml:space="preserve">Make appropriate dilution with the </w:t>
            </w:r>
            <w:r w:rsidRPr="00AB6A5C">
              <w:rPr>
                <w:rFonts w:cs="Arial"/>
                <w:szCs w:val="16"/>
              </w:rPr>
              <w:t>zero calibrator (CAL A)</w:t>
            </w:r>
            <w:r w:rsidRPr="00AB6A5C">
              <w:rPr>
                <w:rFonts w:cs="Arial"/>
                <w:szCs w:val="12"/>
              </w:rPr>
              <w:t>, to obtain results within the assay range</w:t>
            </w:r>
            <w:r w:rsidRPr="00AB6A5C">
              <w:rPr>
                <w:rFonts w:cs="Arial"/>
              </w:rPr>
              <w:t xml:space="preserve">. Determine optimum dilution by dividing </w:t>
            </w:r>
            <w:r w:rsidR="002B381E">
              <w:rPr>
                <w:rFonts w:cs="Arial"/>
              </w:rPr>
              <w:t>C4000</w:t>
            </w:r>
            <w:r w:rsidRPr="00AB6A5C">
              <w:rPr>
                <w:rFonts w:cs="Arial"/>
              </w:rPr>
              <w:t xml:space="preserve"> result obtained by 100 (the measuring range) and rounding up to the next whole number. The maximum dilution is 1:3. </w:t>
            </w:r>
          </w:p>
          <w:p w:rsidR="00C23349" w:rsidRPr="00AB6A5C" w:rsidRDefault="00C23349" w:rsidP="00C23349">
            <w:pPr>
              <w:numPr>
                <w:ilvl w:val="1"/>
                <w:numId w:val="1"/>
              </w:numPr>
              <w:rPr>
                <w:rFonts w:cs="Arial"/>
              </w:rPr>
            </w:pPr>
            <w:r w:rsidRPr="00AB6A5C">
              <w:rPr>
                <w:rFonts w:cs="Arial"/>
              </w:rPr>
              <w:t>Label diluted sample with “label foot” or Accession number, and dilution factor.</w:t>
            </w:r>
          </w:p>
          <w:p w:rsidR="00C23349" w:rsidRPr="00AB6A5C" w:rsidRDefault="00C23349" w:rsidP="00C23349">
            <w:pPr>
              <w:numPr>
                <w:ilvl w:val="1"/>
                <w:numId w:val="1"/>
              </w:numPr>
              <w:rPr>
                <w:rFonts w:cs="Arial"/>
              </w:rPr>
            </w:pPr>
            <w:r w:rsidRPr="00AB6A5C">
              <w:rPr>
                <w:rFonts w:cs="Arial"/>
              </w:rPr>
              <w:t xml:space="preserve">Program dilution factor in </w:t>
            </w:r>
            <w:r w:rsidR="00AB6A5C" w:rsidRPr="00AB6A5C">
              <w:rPr>
                <w:rFonts w:cs="Arial"/>
              </w:rPr>
              <w:t>c4000</w:t>
            </w:r>
            <w:r w:rsidRPr="00AB6A5C">
              <w:rPr>
                <w:rFonts w:cs="Arial"/>
              </w:rPr>
              <w:t>. Resulting readout is corrected for dilution.</w:t>
            </w:r>
          </w:p>
          <w:p w:rsidR="00C23349" w:rsidRPr="00AB6A5C" w:rsidRDefault="00C23349" w:rsidP="00C23349">
            <w:pPr>
              <w:pStyle w:val="CalVerTable"/>
              <w:numPr>
                <w:ilvl w:val="1"/>
                <w:numId w:val="1"/>
              </w:numPr>
              <w:rPr>
                <w:rFonts w:ascii="Arial" w:hAnsi="Arial" w:cs="Arial"/>
              </w:rPr>
            </w:pPr>
            <w:r w:rsidRPr="00AB6A5C">
              <w:rPr>
                <w:rFonts w:ascii="Arial" w:hAnsi="Arial" w:cs="Arial"/>
              </w:rPr>
              <w:t>Document dilutions and calculations, and have results checked prior to reporting</w:t>
            </w:r>
            <w:r w:rsidR="00AB6A5C" w:rsidRPr="00AB6A5C">
              <w:rPr>
                <w:rFonts w:ascii="Arial" w:hAnsi="Arial" w:cs="Arial"/>
              </w:rPr>
              <w:t xml:space="preserve">. </w:t>
            </w:r>
          </w:p>
          <w:p w:rsidR="00C23349" w:rsidRDefault="00C23349">
            <w:pPr>
              <w:pStyle w:val="CalVerTable"/>
              <w:ind w:left="0" w:firstLine="0"/>
              <w:rPr>
                <w:rFonts w:ascii="Arial" w:hAnsi="Arial"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Result Reporting</w:t>
            </w:r>
          </w:p>
        </w:tc>
        <w:tc>
          <w:tcPr>
            <w:tcW w:w="9180" w:type="dxa"/>
            <w:gridSpan w:val="5"/>
            <w:tcBorders>
              <w:top w:val="single" w:sz="4" w:space="0" w:color="auto"/>
              <w:bottom w:val="single" w:sz="4" w:space="0" w:color="auto"/>
            </w:tcBorders>
          </w:tcPr>
          <w:p w:rsidR="00C23349" w:rsidRDefault="00C23349" w:rsidP="00C23349">
            <w:pPr>
              <w:pStyle w:val="BodyText"/>
              <w:numPr>
                <w:ilvl w:val="0"/>
                <w:numId w:val="14"/>
              </w:numPr>
              <w:rPr>
                <w:rFonts w:cs="Arial"/>
              </w:rPr>
            </w:pPr>
            <w:r>
              <w:rPr>
                <w:rFonts w:cs="Arial"/>
              </w:rPr>
              <w:t xml:space="preserve">Results between </w:t>
            </w:r>
            <w:r>
              <w:rPr>
                <w:rFonts w:cs="Arial"/>
                <w:b/>
                <w:bCs/>
                <w:szCs w:val="16"/>
              </w:rPr>
              <w:t>2.0 to 100.0 mcg/mL</w:t>
            </w:r>
            <w:r>
              <w:rPr>
                <w:rFonts w:cs="Arial"/>
              </w:rPr>
              <w:t xml:space="preserve"> without error messages are released</w:t>
            </w:r>
          </w:p>
          <w:p w:rsidR="00C23349" w:rsidRDefault="00C23349" w:rsidP="00C23349">
            <w:pPr>
              <w:pStyle w:val="BodyText"/>
              <w:numPr>
                <w:ilvl w:val="0"/>
                <w:numId w:val="14"/>
              </w:numPr>
              <w:rPr>
                <w:rFonts w:cs="Arial"/>
              </w:rPr>
            </w:pPr>
            <w:r>
              <w:rPr>
                <w:rFonts w:cs="Arial"/>
              </w:rPr>
              <w:t xml:space="preserve">Results below </w:t>
            </w:r>
            <w:r>
              <w:rPr>
                <w:rFonts w:cs="Arial"/>
                <w:b/>
                <w:bCs/>
                <w:szCs w:val="16"/>
              </w:rPr>
              <w:t>2.0 mcg/mL</w:t>
            </w:r>
            <w:r>
              <w:rPr>
                <w:rFonts w:cs="Arial"/>
              </w:rPr>
              <w:t xml:space="preserve">: report as &lt; </w:t>
            </w:r>
            <w:r>
              <w:rPr>
                <w:rFonts w:cs="Arial"/>
                <w:b/>
                <w:bCs/>
                <w:szCs w:val="16"/>
              </w:rPr>
              <w:t>2.0 mcg/mL</w:t>
            </w:r>
            <w:r>
              <w:rPr>
                <w:rFonts w:cs="Arial"/>
              </w:rPr>
              <w:t xml:space="preserve"> instead of the numerical value.</w:t>
            </w:r>
          </w:p>
          <w:p w:rsidR="00C23349" w:rsidRPr="00AB6A5C" w:rsidRDefault="00C23349" w:rsidP="00C23349">
            <w:pPr>
              <w:pStyle w:val="BodyText"/>
              <w:numPr>
                <w:ilvl w:val="0"/>
                <w:numId w:val="14"/>
              </w:numPr>
              <w:rPr>
                <w:rFonts w:cs="Arial"/>
              </w:rPr>
            </w:pPr>
            <w:r w:rsidRPr="00AB6A5C">
              <w:rPr>
                <w:rFonts w:cs="Arial"/>
              </w:rPr>
              <w:t>Results &gt;</w:t>
            </w:r>
            <w:r w:rsidRPr="00AB6A5C">
              <w:rPr>
                <w:rFonts w:cs="Arial"/>
                <w:b/>
                <w:bCs/>
                <w:szCs w:val="16"/>
              </w:rPr>
              <w:t>100.0 mcg/mL</w:t>
            </w:r>
            <w:r w:rsidRPr="00AB6A5C">
              <w:rPr>
                <w:rFonts w:cs="Arial"/>
              </w:rPr>
              <w:t xml:space="preserve"> are reported as the numerical result following a maximum dilution of 1:3</w:t>
            </w:r>
          </w:p>
          <w:p w:rsidR="00C23349" w:rsidRPr="00AB6A5C" w:rsidRDefault="00C23349" w:rsidP="00C23349">
            <w:pPr>
              <w:pStyle w:val="BodyText"/>
              <w:numPr>
                <w:ilvl w:val="0"/>
                <w:numId w:val="14"/>
              </w:numPr>
              <w:rPr>
                <w:rFonts w:cs="Arial"/>
                <w:szCs w:val="16"/>
              </w:rPr>
            </w:pPr>
            <w:r w:rsidRPr="00AB6A5C">
              <w:rPr>
                <w:rFonts w:cs="Arial"/>
              </w:rPr>
              <w:t>Results that exceed the assay range following the maximum dilution are reported as &gt;</w:t>
            </w:r>
            <w:r w:rsidRPr="00AB6A5C">
              <w:rPr>
                <w:rFonts w:cs="Arial"/>
                <w:b/>
                <w:bCs/>
                <w:szCs w:val="16"/>
              </w:rPr>
              <w:t>300.0 mcg/mL</w:t>
            </w:r>
            <w:r w:rsidRPr="00AB6A5C">
              <w:rPr>
                <w:rFonts w:cs="Arial"/>
              </w:rPr>
              <w:t>.</w:t>
            </w:r>
            <w:r w:rsidRPr="00AB6A5C">
              <w:rPr>
                <w:rFonts w:cs="Arial"/>
                <w:szCs w:val="16"/>
              </w:rPr>
              <w:t xml:space="preserve"> </w:t>
            </w:r>
          </w:p>
          <w:p w:rsidR="00C23349" w:rsidRDefault="00C23349" w:rsidP="00C23349">
            <w:pPr>
              <w:pStyle w:val="BodyText"/>
              <w:numPr>
                <w:ilvl w:val="0"/>
                <w:numId w:val="14"/>
              </w:numPr>
            </w:pPr>
            <w:r>
              <w:rPr>
                <w:rFonts w:cs="Arial"/>
                <w:szCs w:val="16"/>
              </w:rPr>
              <w:t>To convert results from mcg/mL levetiracetam to μmol/L levetiracetam, multiply mcg/mL by 5.88</w:t>
            </w:r>
          </w:p>
          <w:p w:rsidR="00C23349" w:rsidRDefault="00C23349">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Specimen Storage</w:t>
            </w:r>
          </w:p>
        </w:tc>
        <w:tc>
          <w:tcPr>
            <w:tcW w:w="9180" w:type="dxa"/>
            <w:gridSpan w:val="5"/>
            <w:tcBorders>
              <w:top w:val="single" w:sz="4" w:space="0" w:color="auto"/>
              <w:bottom w:val="single" w:sz="4" w:space="0" w:color="auto"/>
            </w:tcBorders>
          </w:tcPr>
          <w:p w:rsidR="00C23349" w:rsidRDefault="00C23349">
            <w:pPr>
              <w:pStyle w:val="Header"/>
              <w:tabs>
                <w:tab w:val="clear" w:pos="4320"/>
                <w:tab w:val="clear" w:pos="8640"/>
              </w:tabs>
              <w:rPr>
                <w:rFonts w:cs="Arial"/>
              </w:rPr>
            </w:pPr>
            <w:r>
              <w:rPr>
                <w:rFonts w:cs="Arial"/>
              </w:rPr>
              <w:t xml:space="preserve">Promptly stopper tested specimen and store upright in specimen rack. Every 8 hours </w:t>
            </w:r>
            <w:r w:rsidR="00DA080C">
              <w:rPr>
                <w:rFonts w:cs="Arial"/>
              </w:rPr>
              <w:t>remove specimens to refrigerator</w:t>
            </w:r>
            <w:r>
              <w:rPr>
                <w:rFonts w:cs="Arial"/>
              </w:rPr>
              <w:t>/freezer storage. Samples are retained 7 days in specimen storage freezer.</w:t>
            </w:r>
          </w:p>
          <w:p w:rsidR="008635DD" w:rsidRDefault="008635DD">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pPr>
              <w:ind w:right="-108"/>
              <w:rPr>
                <w:rFonts w:cs="Arial"/>
                <w:b/>
                <w:bCs/>
                <w:color w:val="0000FF"/>
              </w:rPr>
            </w:pPr>
            <w:r>
              <w:rPr>
                <w:rFonts w:cs="Arial"/>
                <w:b/>
                <w:bCs/>
                <w:color w:val="0000FF"/>
              </w:rPr>
              <w:t>References</w:t>
            </w:r>
          </w:p>
        </w:tc>
        <w:tc>
          <w:tcPr>
            <w:tcW w:w="9180" w:type="dxa"/>
            <w:gridSpan w:val="5"/>
            <w:tcBorders>
              <w:top w:val="single" w:sz="4" w:space="0" w:color="auto"/>
              <w:bottom w:val="single" w:sz="4" w:space="0" w:color="auto"/>
            </w:tcBorders>
          </w:tcPr>
          <w:p w:rsidR="00C23349" w:rsidRDefault="00C23349" w:rsidP="00C23349">
            <w:pPr>
              <w:numPr>
                <w:ilvl w:val="0"/>
                <w:numId w:val="10"/>
              </w:numPr>
              <w:spacing w:after="120"/>
              <w:rPr>
                <w:rFonts w:cs="Arial"/>
              </w:rPr>
            </w:pPr>
            <w:r>
              <w:rPr>
                <w:rFonts w:cs="Arial"/>
              </w:rPr>
              <w:t xml:space="preserve">ARK Diagnostics, Inc. package insert for the ARK Levetiracetam Assay, </w:t>
            </w:r>
            <w:r>
              <w:rPr>
                <w:rFonts w:cs="Arial"/>
                <w:szCs w:val="20"/>
              </w:rPr>
              <w:t>A</w:t>
            </w:r>
            <w:r>
              <w:rPr>
                <w:rFonts w:cs="Arial"/>
              </w:rPr>
              <w:t>RK Diagnostics, Inc., Sunnyvale, CA 94089 USA, 1600-0169-00 Rev 01, Printed in USA, Revised November 2009</w:t>
            </w:r>
          </w:p>
          <w:p w:rsidR="00C23349" w:rsidRDefault="00C23349" w:rsidP="00C23349">
            <w:pPr>
              <w:numPr>
                <w:ilvl w:val="0"/>
                <w:numId w:val="10"/>
              </w:numPr>
              <w:spacing w:after="120"/>
              <w:rPr>
                <w:rFonts w:cs="Arial"/>
              </w:rPr>
            </w:pPr>
            <w:r>
              <w:rPr>
                <w:rFonts w:cs="Arial"/>
              </w:rPr>
              <w:t xml:space="preserve">ARK Diagnostics, Inc. package insert for the ARK Levetiracetam Calibrator, </w:t>
            </w:r>
            <w:r>
              <w:rPr>
                <w:rFonts w:cs="Arial"/>
                <w:szCs w:val="20"/>
              </w:rPr>
              <w:t>A</w:t>
            </w:r>
            <w:r>
              <w:rPr>
                <w:rFonts w:cs="Arial"/>
              </w:rPr>
              <w:t>RK Diagnostics, Inc., Sunnyvale, CA 94089 USA, 1600-0170-00 Rev 01, Printed in USA, Revised November 2009</w:t>
            </w:r>
          </w:p>
          <w:p w:rsidR="00C23349" w:rsidRPr="002B381E" w:rsidRDefault="00C23349" w:rsidP="002B381E">
            <w:pPr>
              <w:numPr>
                <w:ilvl w:val="0"/>
                <w:numId w:val="10"/>
              </w:numPr>
              <w:spacing w:after="120"/>
              <w:rPr>
                <w:rFonts w:cs="Arial"/>
              </w:rPr>
            </w:pPr>
            <w:r>
              <w:rPr>
                <w:rFonts w:cs="Arial"/>
              </w:rPr>
              <w:t xml:space="preserve">ARK Diagnostics, Inc. package insert for the ARK Levetiracetam Control, </w:t>
            </w:r>
            <w:r>
              <w:rPr>
                <w:rFonts w:cs="Arial"/>
                <w:szCs w:val="20"/>
              </w:rPr>
              <w:t>A</w:t>
            </w:r>
            <w:r>
              <w:rPr>
                <w:rFonts w:cs="Arial"/>
              </w:rPr>
              <w:t>RK Diagnostics, Inc., Sunnyvale, CA 94089 USA, 1600-0171-00 Rev 01, Printed in USA, Revised November 2009</w:t>
            </w:r>
          </w:p>
          <w:p w:rsidR="00C23349" w:rsidRDefault="00C23349" w:rsidP="00C23349">
            <w:pPr>
              <w:numPr>
                <w:ilvl w:val="0"/>
                <w:numId w:val="10"/>
              </w:numPr>
              <w:spacing w:after="120"/>
              <w:rPr>
                <w:rFonts w:cs="Arial"/>
              </w:rPr>
            </w:pPr>
            <w:r>
              <w:rPr>
                <w:rFonts w:cs="Arial"/>
              </w:rPr>
              <w:t xml:space="preserve">Epilepsia, </w:t>
            </w:r>
            <w:r>
              <w:rPr>
                <w:rStyle w:val="maintitle"/>
                <w:rFonts w:cs="Arial"/>
              </w:rPr>
              <w:t xml:space="preserve">Sunday, December 3, 2006 Poster Session II 7:30 a.m.–4:30 p.m. </w:t>
            </w:r>
            <w:r>
              <w:rPr>
                <w:rFonts w:cs="Arial"/>
              </w:rPr>
              <w:t>Article first published online: 30 OCT 2006</w:t>
            </w:r>
          </w:p>
          <w:p w:rsidR="00C23349" w:rsidRDefault="00C23349" w:rsidP="00C23349">
            <w:pPr>
              <w:numPr>
                <w:ilvl w:val="0"/>
                <w:numId w:val="10"/>
              </w:numPr>
              <w:spacing w:after="120"/>
            </w:pPr>
            <w:r>
              <w:t xml:space="preserve">Medtox Laboratories Test Catalogue, </w:t>
            </w:r>
            <w:r>
              <w:rPr>
                <w:rStyle w:val="Strong"/>
                <w:rFonts w:cs="Arial"/>
                <w:b w:val="0"/>
                <w:bCs w:val="0"/>
                <w:szCs w:val="17"/>
              </w:rPr>
              <w:t xml:space="preserve">MEDTOX Scientific, Inc. </w:t>
            </w:r>
            <w:r>
              <w:t>402 West County Road D, St. Paul, MN 55112, Phone: (800) 832-3244, (651) 636-7466</w:t>
            </w:r>
          </w:p>
          <w:p w:rsidR="008635DD" w:rsidRDefault="008635DD" w:rsidP="008635DD">
            <w:pPr>
              <w:spacing w:after="120"/>
              <w:ind w:left="360"/>
            </w:pPr>
          </w:p>
        </w:tc>
      </w:tr>
      <w:tr w:rsidR="00C23349" w:rsidTr="00262974">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C23349" w:rsidRDefault="00C23349">
            <w:pPr>
              <w:rPr>
                <w:rFonts w:cs="Arial"/>
                <w:b/>
                <w:bCs/>
                <w:color w:val="3366FF"/>
              </w:rPr>
            </w:pPr>
            <w:r>
              <w:rPr>
                <w:rFonts w:cs="Arial"/>
                <w:b/>
                <w:bCs/>
                <w:color w:val="0000FF"/>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Effective Date:</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Summary of Revisions</w:t>
            </w:r>
          </w:p>
        </w:tc>
      </w:tr>
      <w:tr w:rsidR="00C23349" w:rsidTr="0026297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numPr>
                <w:ilvl w:val="0"/>
                <w:numId w:val="1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7/16/2012</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New test</w:t>
            </w: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10/8/2012</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Set reference range, defined QC</w:t>
            </w: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6/28/13</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Add policy, do not mix kit components</w:t>
            </w:r>
          </w:p>
        </w:tc>
      </w:tr>
      <w:tr w:rsidR="002773BF" w:rsidTr="00262974">
        <w:tblPrEx>
          <w:tblBorders>
            <w:bottom w:val="single" w:sz="4" w:space="0" w:color="auto"/>
          </w:tblBorders>
        </w:tblPrEx>
        <w:trPr>
          <w:gridAfter w:val="1"/>
          <w:wAfter w:w="180" w:type="dxa"/>
          <w:cantSplit/>
          <w:trHeight w:val="255"/>
        </w:trPr>
        <w:tc>
          <w:tcPr>
            <w:tcW w:w="1800" w:type="dxa"/>
            <w:tcBorders>
              <w:left w:val="nil"/>
              <w:right w:val="single" w:sz="4" w:space="0" w:color="auto"/>
            </w:tcBorders>
          </w:tcPr>
          <w:p w:rsidR="002773BF" w:rsidRDefault="002773BF">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773BF" w:rsidRDefault="002773BF"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r>
              <w:rPr>
                <w:rFonts w:cs="Arial"/>
                <w:iCs/>
              </w:rPr>
              <w:t>12/16/2016</w:t>
            </w:r>
          </w:p>
        </w:tc>
        <w:tc>
          <w:tcPr>
            <w:tcW w:w="3600" w:type="dxa"/>
            <w:tcBorders>
              <w:top w:val="single" w:sz="4" w:space="0" w:color="auto"/>
              <w:left w:val="single" w:sz="4" w:space="0" w:color="auto"/>
              <w:bottom w:val="single" w:sz="4" w:space="0" w:color="auto"/>
              <w:right w:val="single" w:sz="4" w:space="0" w:color="auto"/>
            </w:tcBorders>
          </w:tcPr>
          <w:p w:rsidR="002773BF" w:rsidRDefault="002773BF">
            <w:pPr>
              <w:rPr>
                <w:rFonts w:cs="Arial"/>
                <w:iCs/>
              </w:rPr>
            </w:pPr>
            <w:r>
              <w:rPr>
                <w:rFonts w:cs="Arial"/>
                <w:iCs/>
              </w:rPr>
              <w:t>Added #10 to preparing the flex</w:t>
            </w:r>
          </w:p>
        </w:tc>
      </w:tr>
      <w:tr w:rsidR="003C07FC" w:rsidTr="0009695F">
        <w:tblPrEx>
          <w:tblBorders>
            <w:bottom w:val="single" w:sz="4" w:space="0" w:color="auto"/>
          </w:tblBorders>
        </w:tblPrEx>
        <w:trPr>
          <w:gridAfter w:val="1"/>
          <w:wAfter w:w="180" w:type="dxa"/>
          <w:cantSplit/>
          <w:trHeight w:val="255"/>
        </w:trPr>
        <w:tc>
          <w:tcPr>
            <w:tcW w:w="1800" w:type="dxa"/>
            <w:tcBorders>
              <w:left w:val="nil"/>
              <w:right w:val="single" w:sz="4" w:space="0" w:color="auto"/>
            </w:tcBorders>
          </w:tcPr>
          <w:p w:rsidR="003C07FC" w:rsidRDefault="003C07FC">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3C07FC" w:rsidRDefault="003C07FC"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r>
              <w:rPr>
                <w:rFonts w:cs="Arial"/>
                <w:iCs/>
              </w:rPr>
              <w:t>Stephen Gripentrog</w:t>
            </w:r>
            <w:r w:rsidR="0093272C">
              <w:rPr>
                <w:rFonts w:cs="Arial"/>
                <w:iCs/>
              </w:rPr>
              <w:t>, Erin Bartos</w:t>
            </w:r>
          </w:p>
        </w:tc>
        <w:tc>
          <w:tcPr>
            <w:tcW w:w="180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r>
              <w:rPr>
                <w:rFonts w:cs="Arial"/>
                <w:iCs/>
              </w:rPr>
              <w:t>10/15/19</w:t>
            </w:r>
          </w:p>
        </w:tc>
        <w:tc>
          <w:tcPr>
            <w:tcW w:w="3600" w:type="dxa"/>
            <w:tcBorders>
              <w:top w:val="single" w:sz="4" w:space="0" w:color="auto"/>
              <w:left w:val="single" w:sz="4" w:space="0" w:color="auto"/>
              <w:bottom w:val="single" w:sz="4" w:space="0" w:color="auto"/>
              <w:right w:val="single" w:sz="4" w:space="0" w:color="auto"/>
            </w:tcBorders>
          </w:tcPr>
          <w:p w:rsidR="003C07FC" w:rsidRDefault="003C07FC" w:rsidP="003C07FC">
            <w:pPr>
              <w:rPr>
                <w:rFonts w:cs="Arial"/>
                <w:iCs/>
              </w:rPr>
            </w:pPr>
            <w:r>
              <w:rPr>
                <w:rFonts w:cs="Arial"/>
                <w:iCs/>
              </w:rPr>
              <w:t xml:space="preserve">Converted procedure to reflect </w:t>
            </w:r>
            <w:r>
              <w:rPr>
                <w:rFonts w:cs="Arial"/>
                <w:szCs w:val="20"/>
              </w:rPr>
              <w:t xml:space="preserve">Abbott Architect c4000. </w:t>
            </w:r>
          </w:p>
        </w:tc>
      </w:tr>
      <w:tr w:rsidR="0009695F" w:rsidTr="00262974">
        <w:tblPrEx>
          <w:tblBorders>
            <w:bottom w:val="single" w:sz="4" w:space="0" w:color="auto"/>
          </w:tblBorders>
        </w:tblPrEx>
        <w:trPr>
          <w:gridAfter w:val="1"/>
          <w:wAfter w:w="180" w:type="dxa"/>
          <w:cantSplit/>
          <w:trHeight w:val="255"/>
        </w:trPr>
        <w:tc>
          <w:tcPr>
            <w:tcW w:w="1800" w:type="dxa"/>
            <w:tcBorders>
              <w:left w:val="nil"/>
              <w:bottom w:val="nil"/>
              <w:right w:val="single" w:sz="4" w:space="0" w:color="auto"/>
            </w:tcBorders>
          </w:tcPr>
          <w:p w:rsidR="0009695F" w:rsidRDefault="0009695F">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695F" w:rsidRDefault="0009695F"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9695F" w:rsidRDefault="0009695F">
            <w:pPr>
              <w:pStyle w:val="Header"/>
              <w:tabs>
                <w:tab w:val="clear" w:pos="4320"/>
                <w:tab w:val="clear" w:pos="8640"/>
              </w:tabs>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09695F" w:rsidRDefault="0009695F">
            <w:pPr>
              <w:pStyle w:val="Header"/>
              <w:tabs>
                <w:tab w:val="clear" w:pos="4320"/>
                <w:tab w:val="clear" w:pos="8640"/>
              </w:tabs>
              <w:rPr>
                <w:rFonts w:cs="Arial"/>
                <w:iCs/>
              </w:rPr>
            </w:pPr>
            <w:r>
              <w:rPr>
                <w:rFonts w:cs="Arial"/>
                <w:iCs/>
              </w:rPr>
              <w:t>10/28/2020</w:t>
            </w:r>
          </w:p>
        </w:tc>
        <w:tc>
          <w:tcPr>
            <w:tcW w:w="3600" w:type="dxa"/>
            <w:tcBorders>
              <w:top w:val="single" w:sz="4" w:space="0" w:color="auto"/>
              <w:left w:val="single" w:sz="4" w:space="0" w:color="auto"/>
              <w:bottom w:val="single" w:sz="4" w:space="0" w:color="auto"/>
              <w:right w:val="single" w:sz="4" w:space="0" w:color="auto"/>
            </w:tcBorders>
          </w:tcPr>
          <w:p w:rsidR="0009695F" w:rsidRDefault="0009695F" w:rsidP="003C07FC">
            <w:pPr>
              <w:rPr>
                <w:rFonts w:cs="Arial"/>
                <w:iCs/>
              </w:rPr>
            </w:pPr>
            <w:r>
              <w:rPr>
                <w:rFonts w:cs="Arial"/>
                <w:iCs/>
              </w:rPr>
              <w:t xml:space="preserve">Added </w:t>
            </w:r>
            <w:proofErr w:type="spellStart"/>
            <w:r>
              <w:rPr>
                <w:rFonts w:cs="Arial"/>
                <w:iCs/>
              </w:rPr>
              <w:t>alinity</w:t>
            </w:r>
            <w:proofErr w:type="spellEnd"/>
            <w:r>
              <w:rPr>
                <w:rFonts w:cs="Arial"/>
                <w:iCs/>
              </w:rPr>
              <w:t xml:space="preserve"> c</w:t>
            </w:r>
          </w:p>
        </w:tc>
      </w:tr>
    </w:tbl>
    <w:p w:rsidR="00C23349" w:rsidRDefault="00C23349" w:rsidP="00262974">
      <w:pPr>
        <w:rPr>
          <w:rFonts w:cs="Arial"/>
          <w:b/>
          <w:bCs/>
        </w:rPr>
      </w:pPr>
    </w:p>
    <w:sectPr w:rsidR="00C23349">
      <w:headerReference w:type="even" r:id="rId9"/>
      <w:headerReference w:type="default" r:id="rId10"/>
      <w:footerReference w:type="even" r:id="rId11"/>
      <w:footerReference w:type="default" r:id="rId12"/>
      <w:headerReference w:type="first" r:id="rId13"/>
      <w:footerReference w:type="first" r:id="rId14"/>
      <w:pgSz w:w="12240" w:h="15840" w:code="1"/>
      <w:pgMar w:top="576" w:right="1800" w:bottom="576"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4E" w:rsidRDefault="00A6644E">
      <w:r>
        <w:separator/>
      </w:r>
    </w:p>
  </w:endnote>
  <w:endnote w:type="continuationSeparator" w:id="0">
    <w:p w:rsidR="00A6644E" w:rsidRDefault="00A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5C" w:rsidRDefault="008D5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A6644E">
    <w:pPr>
      <w:ind w:left="-1260" w:right="-1260"/>
      <w:rPr>
        <w:rFonts w:cs="Arial"/>
        <w:sz w:val="16"/>
      </w:rPr>
    </w:pPr>
    <w:r>
      <w:rPr>
        <w:rFonts w:cs="Arial"/>
        <w:sz w:val="16"/>
      </w:rPr>
      <w:t>Laboratory, Children’s Hospitals and Clinics of Minnesota, Minneapolis/St. Paul, MN</w:t>
    </w:r>
  </w:p>
  <w:p w:rsidR="00A6644E" w:rsidRDefault="00A6644E">
    <w:pPr>
      <w:pStyle w:val="Footer"/>
      <w:ind w:left="-1260"/>
      <w:rPr>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8D5B5C">
      <w:rPr>
        <w:rFonts w:cs="Arial"/>
        <w:noProof/>
        <w:sz w:val="16"/>
      </w:rPr>
      <w:t>6</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8D5B5C">
      <w:rPr>
        <w:rFonts w:cs="Arial"/>
        <w:noProof/>
        <w:sz w:val="16"/>
      </w:rPr>
      <w:t>6</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5C" w:rsidRDefault="008D5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4E" w:rsidRDefault="00A6644E">
      <w:r>
        <w:separator/>
      </w:r>
    </w:p>
  </w:footnote>
  <w:footnote w:type="continuationSeparator" w:id="0">
    <w:p w:rsidR="00A6644E" w:rsidRDefault="00A6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5C" w:rsidRDefault="008D5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B47D63">
    <w:pPr>
      <w:ind w:left="-1260" w:right="-1260"/>
      <w:rPr>
        <w:rFonts w:cs="Arial"/>
        <w:sz w:val="18"/>
      </w:rPr>
    </w:pPr>
    <w:r>
      <w:rPr>
        <w:rFonts w:cs="Arial"/>
        <w:noProof/>
        <w:szCs w:val="20"/>
      </w:rPr>
      <w:drawing>
        <wp:anchor distT="0" distB="0" distL="114300" distR="114300" simplePos="0" relativeHeight="251659264" behindDoc="1" locked="0" layoutInCell="1" allowOverlap="1" wp14:anchorId="5A4417AA" wp14:editId="014CC022">
          <wp:simplePos x="0" y="0"/>
          <wp:positionH relativeFrom="column">
            <wp:posOffset>4772025</wp:posOffset>
          </wp:positionH>
          <wp:positionV relativeFrom="paragraph">
            <wp:posOffset>-133350</wp:posOffset>
          </wp:positionV>
          <wp:extent cx="1697990" cy="544195"/>
          <wp:effectExtent l="0" t="0" r="0" b="8255"/>
          <wp:wrapTight wrapText="bothSides">
            <wp:wrapPolygon edited="0">
              <wp:start x="0" y="0"/>
              <wp:lineTo x="0" y="21172"/>
              <wp:lineTo x="21325" y="21172"/>
              <wp:lineTo x="21325" y="0"/>
              <wp:lineTo x="0"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44195"/>
                  </a:xfrm>
                  <a:prstGeom prst="rect">
                    <a:avLst/>
                  </a:prstGeom>
                  <a:noFill/>
                </pic:spPr>
              </pic:pic>
            </a:graphicData>
          </a:graphic>
          <wp14:sizeRelH relativeFrom="page">
            <wp14:pctWidth>0</wp14:pctWidth>
          </wp14:sizeRelH>
          <wp14:sizeRelV relativeFrom="page">
            <wp14:pctHeight>0</wp14:pctHeight>
          </wp14:sizeRelV>
        </wp:anchor>
      </w:drawing>
    </w:r>
    <w:r w:rsidR="00A6644E">
      <w:rPr>
        <w:rFonts w:cs="Arial"/>
        <w:sz w:val="18"/>
      </w:rPr>
      <w:t>CH 6.107 Levetiracetam</w:t>
    </w:r>
  </w:p>
  <w:p w:rsidR="00A6644E" w:rsidRDefault="008D5B5C">
    <w:pPr>
      <w:ind w:left="-1260" w:right="-1260"/>
      <w:rPr>
        <w:rFonts w:cs="Arial"/>
        <w:sz w:val="18"/>
      </w:rPr>
    </w:pPr>
    <w:r>
      <w:rPr>
        <w:rFonts w:cs="Arial"/>
        <w:sz w:val="18"/>
      </w:rPr>
      <w:t xml:space="preserve">Version </w:t>
    </w:r>
    <w:r>
      <w:rPr>
        <w:rFonts w:cs="Arial"/>
        <w:sz w:val="18"/>
      </w:rPr>
      <w:t>6</w:t>
    </w:r>
    <w:bookmarkStart w:id="2" w:name="_GoBack"/>
    <w:bookmarkEnd w:id="2"/>
    <w:r w:rsidR="00A6644E">
      <w:rPr>
        <w:rFonts w:cs="Arial"/>
        <w:sz w:val="18"/>
      </w:rPr>
      <w:tab/>
    </w:r>
  </w:p>
  <w:p w:rsidR="00A6644E" w:rsidRDefault="0009695F">
    <w:pPr>
      <w:ind w:left="-1260" w:right="-1260"/>
      <w:rPr>
        <w:rFonts w:cs="Arial"/>
        <w:sz w:val="18"/>
      </w:rPr>
    </w:pPr>
    <w:r>
      <w:rPr>
        <w:rFonts w:cs="Arial"/>
        <w:sz w:val="18"/>
      </w:rPr>
      <w:t>Effective Date: October 28, 2020</w:t>
    </w:r>
  </w:p>
  <w:p w:rsidR="00A6644E" w:rsidRDefault="00A6644E">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5C" w:rsidRDefault="008D5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24585"/>
    <w:multiLevelType w:val="hybridMultilevel"/>
    <w:tmpl w:val="A134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52448"/>
    <w:multiLevelType w:val="hybridMultilevel"/>
    <w:tmpl w:val="29EA6A76"/>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D38B5"/>
    <w:multiLevelType w:val="hybridMultilevel"/>
    <w:tmpl w:val="4F804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FC647B"/>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460C0"/>
    <w:multiLevelType w:val="hybridMultilevel"/>
    <w:tmpl w:val="DAEE9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F0613"/>
    <w:multiLevelType w:val="hybridMultilevel"/>
    <w:tmpl w:val="1D3ABFD6"/>
    <w:lvl w:ilvl="0" w:tplc="B9E652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865496"/>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52416"/>
    <w:multiLevelType w:val="hybridMultilevel"/>
    <w:tmpl w:val="47F87594"/>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7"/>
  </w:num>
  <w:num w:numId="4">
    <w:abstractNumId w:val="16"/>
  </w:num>
  <w:num w:numId="5">
    <w:abstractNumId w:val="19"/>
  </w:num>
  <w:num w:numId="6">
    <w:abstractNumId w:val="15"/>
  </w:num>
  <w:num w:numId="7">
    <w:abstractNumId w:val="7"/>
  </w:num>
  <w:num w:numId="8">
    <w:abstractNumId w:val="10"/>
  </w:num>
  <w:num w:numId="9">
    <w:abstractNumId w:val="0"/>
  </w:num>
  <w:num w:numId="10">
    <w:abstractNumId w:val="21"/>
  </w:num>
  <w:num w:numId="11">
    <w:abstractNumId w:val="4"/>
  </w:num>
  <w:num w:numId="12">
    <w:abstractNumId w:val="13"/>
  </w:num>
  <w:num w:numId="13">
    <w:abstractNumId w:val="2"/>
  </w:num>
  <w:num w:numId="14">
    <w:abstractNumId w:val="9"/>
  </w:num>
  <w:num w:numId="15">
    <w:abstractNumId w:val="11"/>
  </w:num>
  <w:num w:numId="16">
    <w:abstractNumId w:val="20"/>
  </w:num>
  <w:num w:numId="17">
    <w:abstractNumId w:val="8"/>
  </w:num>
  <w:num w:numId="18">
    <w:abstractNumId w:val="12"/>
  </w:num>
  <w:num w:numId="19">
    <w:abstractNumId w:val="5"/>
  </w:num>
  <w:num w:numId="20">
    <w:abstractNumId w:val="1"/>
  </w:num>
  <w:num w:numId="21">
    <w:abstractNumId w:val="23"/>
  </w:num>
  <w:num w:numId="22">
    <w:abstractNumId w:val="6"/>
  </w:num>
  <w:num w:numId="23">
    <w:abstractNumId w:val="14"/>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D"/>
    <w:rsid w:val="0009695F"/>
    <w:rsid w:val="0012646F"/>
    <w:rsid w:val="00182225"/>
    <w:rsid w:val="001B34B3"/>
    <w:rsid w:val="001C146E"/>
    <w:rsid w:val="001E43C6"/>
    <w:rsid w:val="00262974"/>
    <w:rsid w:val="002755F0"/>
    <w:rsid w:val="002773BF"/>
    <w:rsid w:val="002B381E"/>
    <w:rsid w:val="003C07FC"/>
    <w:rsid w:val="003C37B2"/>
    <w:rsid w:val="004D4F58"/>
    <w:rsid w:val="005C7C66"/>
    <w:rsid w:val="006F50E3"/>
    <w:rsid w:val="00825626"/>
    <w:rsid w:val="008635DD"/>
    <w:rsid w:val="008D5B5C"/>
    <w:rsid w:val="00904CA9"/>
    <w:rsid w:val="0093272C"/>
    <w:rsid w:val="00A659DE"/>
    <w:rsid w:val="00A6644E"/>
    <w:rsid w:val="00AB6A5C"/>
    <w:rsid w:val="00AD0C1D"/>
    <w:rsid w:val="00B47D63"/>
    <w:rsid w:val="00BE6ADA"/>
    <w:rsid w:val="00C23349"/>
    <w:rsid w:val="00D50F5C"/>
    <w:rsid w:val="00D70981"/>
    <w:rsid w:val="00DA080C"/>
    <w:rsid w:val="00EB0635"/>
    <w:rsid w:val="00F8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9E03E5-87D6-4487-98D3-833F46D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9"/>
      </w:numPr>
      <w:jc w:val="both"/>
      <w:outlineLvl w:val="6"/>
    </w:pPr>
    <w:rPr>
      <w:rFonts w:ascii="Times New Roman" w:hAnsi="Times New Roman"/>
      <w:sz w:val="28"/>
    </w:rPr>
  </w:style>
  <w:style w:type="paragraph" w:styleId="Heading8">
    <w:name w:val="heading 8"/>
    <w:basedOn w:val="Normal"/>
    <w:next w:val="Normal"/>
    <w:qFormat/>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link w:val="BodyTextChar"/>
    <w:semiHidden/>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character" w:customStyle="1" w:styleId="maintitle">
    <w:name w:val="maintitle"/>
    <w:basedOn w:val="DefaultParagraphFont"/>
  </w:style>
  <w:style w:type="paragraph" w:styleId="BodyText3">
    <w:name w:val="Body Text 3"/>
    <w:basedOn w:val="Normal"/>
    <w:semiHidden/>
    <w:rPr>
      <w:smallCaps/>
      <w:sz w:val="16"/>
    </w:rPr>
  </w:style>
  <w:style w:type="character" w:styleId="Strong">
    <w:name w:val="Strong"/>
    <w:basedOn w:val="DefaultParagraphFont"/>
    <w:qFormat/>
    <w:rPr>
      <w:b/>
      <w:bCs/>
    </w:rPr>
  </w:style>
  <w:style w:type="paragraph" w:styleId="ListParagraph">
    <w:name w:val="List Paragraph"/>
    <w:basedOn w:val="Normal"/>
    <w:uiPriority w:val="34"/>
    <w:qFormat/>
    <w:rsid w:val="00D50F5C"/>
    <w:pPr>
      <w:ind w:left="720"/>
      <w:contextualSpacing/>
    </w:pPr>
  </w:style>
  <w:style w:type="character" w:customStyle="1" w:styleId="BodyTextChar">
    <w:name w:val="Body Text Char"/>
    <w:basedOn w:val="DefaultParagraphFont"/>
    <w:link w:val="BodyText"/>
    <w:semiHidden/>
    <w:rsid w:val="0009695F"/>
    <w:rPr>
      <w:rFonts w:ascii="Arial" w:hAnsi="Arial"/>
      <w:szCs w:val="24"/>
    </w:rPr>
  </w:style>
  <w:style w:type="table" w:styleId="TableGrid">
    <w:name w:val="Table Grid"/>
    <w:basedOn w:val="TableNormal"/>
    <w:uiPriority w:val="59"/>
    <w:rsid w:val="0009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09695F"/>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Metro Intercon, Inc.</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2012-07-05T22:56:00Z</cp:lastPrinted>
  <dcterms:created xsi:type="dcterms:W3CDTF">2020-10-25T17:35:00Z</dcterms:created>
  <dcterms:modified xsi:type="dcterms:W3CDTF">2020-10-25T17:37:00Z</dcterms:modified>
</cp:coreProperties>
</file>