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07" w:type="dxa"/>
        <w:tblInd w:w="-1152" w:type="dxa"/>
        <w:tblLayout w:type="fixed"/>
        <w:tblLook w:val="0000" w:firstRow="0" w:lastRow="0" w:firstColumn="0" w:lastColumn="0" w:noHBand="0" w:noVBand="0"/>
      </w:tblPr>
      <w:tblGrid>
        <w:gridCol w:w="1803"/>
        <w:gridCol w:w="73"/>
        <w:gridCol w:w="829"/>
        <w:gridCol w:w="180"/>
        <w:gridCol w:w="359"/>
        <w:gridCol w:w="1586"/>
        <w:gridCol w:w="492"/>
        <w:gridCol w:w="264"/>
        <w:gridCol w:w="1802"/>
        <w:gridCol w:w="3603"/>
        <w:gridCol w:w="16"/>
      </w:tblGrid>
      <w:tr w:rsidR="00E93DD3" w14:paraId="17CA1BEF" w14:textId="77777777" w:rsidTr="00AD6032">
        <w:trPr>
          <w:cantSplit/>
          <w:trHeight w:val="71"/>
          <w:tblHeader/>
        </w:trPr>
        <w:tc>
          <w:tcPr>
            <w:tcW w:w="11007" w:type="dxa"/>
            <w:gridSpan w:val="11"/>
          </w:tcPr>
          <w:p w14:paraId="17CA1BEE" w14:textId="33B78A94" w:rsidR="00E93DD3" w:rsidRPr="00AD6032" w:rsidRDefault="006B3B06">
            <w:pPr>
              <w:pStyle w:val="Header"/>
              <w:tabs>
                <w:tab w:val="clear" w:pos="4320"/>
                <w:tab w:val="clear" w:pos="8640"/>
                <w:tab w:val="left" w:pos="11520"/>
              </w:tabs>
              <w:jc w:val="both"/>
              <w:rPr>
                <w:rFonts w:cs="Arial"/>
                <w:b/>
                <w:bCs/>
                <w:color w:val="0000FF"/>
                <w:sz w:val="36"/>
              </w:rPr>
            </w:pPr>
            <w:r>
              <w:rPr>
                <w:rFonts w:cs="Arial"/>
                <w:b/>
                <w:bCs/>
                <w:color w:val="0000FF"/>
                <w:sz w:val="36"/>
              </w:rPr>
              <w:t>Methotrexate</w:t>
            </w:r>
          </w:p>
        </w:tc>
      </w:tr>
      <w:tr w:rsidR="00E93DD3" w14:paraId="17CA1BF3" w14:textId="77777777" w:rsidTr="00AD6032">
        <w:trPr>
          <w:trHeight w:val="989"/>
          <w:tblHeader/>
        </w:trPr>
        <w:tc>
          <w:tcPr>
            <w:tcW w:w="1803" w:type="dxa"/>
          </w:tcPr>
          <w:p w14:paraId="17CA1BF0" w14:textId="77777777" w:rsidR="00E93DD3" w:rsidRDefault="00E93DD3">
            <w:pPr>
              <w:rPr>
                <w:rFonts w:cs="Arial"/>
                <w:b/>
                <w:bCs/>
                <w:color w:val="0000FF"/>
              </w:rPr>
            </w:pPr>
          </w:p>
          <w:p w14:paraId="17CA1BF1" w14:textId="77777777" w:rsidR="00E93DD3" w:rsidRDefault="00E93DD3">
            <w:pPr>
              <w:rPr>
                <w:rFonts w:cs="Arial"/>
                <w:b/>
                <w:bCs/>
                <w:color w:val="0000FF"/>
              </w:rPr>
            </w:pPr>
            <w:r>
              <w:rPr>
                <w:rFonts w:cs="Arial"/>
                <w:b/>
                <w:bCs/>
                <w:color w:val="0000FF"/>
              </w:rPr>
              <w:t>Purpose</w:t>
            </w: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BF2" w14:textId="6C02BA39" w:rsidR="00E93DD3" w:rsidRPr="00A42418" w:rsidRDefault="00E93DD3" w:rsidP="00A81CB4">
            <w:pPr>
              <w:jc w:val="both"/>
              <w:rPr>
                <w:rFonts w:cs="Arial"/>
                <w:szCs w:val="20"/>
              </w:rPr>
            </w:pPr>
            <w:r w:rsidRPr="00A42418">
              <w:rPr>
                <w:rFonts w:cs="Arial"/>
                <w:szCs w:val="20"/>
              </w:rPr>
              <w:t xml:space="preserve">This procedure provides instructions for performing </w:t>
            </w:r>
            <w:r w:rsidR="00A42418" w:rsidRPr="00A42418">
              <w:rPr>
                <w:rFonts w:cs="Arial"/>
                <w:szCs w:val="20"/>
              </w:rPr>
              <w:t>Methotrexate</w:t>
            </w:r>
            <w:r w:rsidRPr="00A42418">
              <w:rPr>
                <w:rFonts w:cs="Arial"/>
                <w:szCs w:val="20"/>
              </w:rPr>
              <w:t xml:space="preserve"> on </w:t>
            </w:r>
            <w:r w:rsidR="00AA7091" w:rsidRPr="00A42418">
              <w:rPr>
                <w:rFonts w:cs="Arial"/>
                <w:szCs w:val="20"/>
              </w:rPr>
              <w:t xml:space="preserve">plasma or </w:t>
            </w:r>
            <w:r w:rsidRPr="00A42418">
              <w:rPr>
                <w:rFonts w:cs="Arial"/>
                <w:szCs w:val="20"/>
              </w:rPr>
              <w:t xml:space="preserve">serum in Children’s </w:t>
            </w:r>
            <w:r w:rsidR="00AA7091" w:rsidRPr="00A42418">
              <w:rPr>
                <w:rFonts w:cs="Arial"/>
                <w:szCs w:val="20"/>
              </w:rPr>
              <w:t xml:space="preserve">Minnesota </w:t>
            </w:r>
            <w:r w:rsidR="006B3B06">
              <w:rPr>
                <w:rFonts w:cs="Arial"/>
                <w:szCs w:val="20"/>
              </w:rPr>
              <w:t>Laboratory- Minneapolis on Abbott Alinity c systems.</w:t>
            </w:r>
          </w:p>
        </w:tc>
      </w:tr>
      <w:tr w:rsidR="00E93DD3" w14:paraId="17CA1BF8" w14:textId="77777777" w:rsidTr="00AD6032">
        <w:trPr>
          <w:trHeight w:val="457"/>
          <w:tblHeader/>
        </w:trPr>
        <w:tc>
          <w:tcPr>
            <w:tcW w:w="1803" w:type="dxa"/>
            <w:vAlign w:val="center"/>
          </w:tcPr>
          <w:p w14:paraId="17CA1BF4" w14:textId="77777777" w:rsidR="00E93DD3" w:rsidRDefault="00E93DD3">
            <w:pPr>
              <w:rPr>
                <w:rFonts w:cs="Arial"/>
                <w:b/>
                <w:bCs/>
                <w:color w:val="0000FF"/>
              </w:rPr>
            </w:pPr>
            <w:r>
              <w:rPr>
                <w:rFonts w:cs="Arial"/>
                <w:b/>
                <w:bCs/>
                <w:color w:val="0000FF"/>
              </w:rPr>
              <w:t>Policy Statements</w:t>
            </w: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BF5" w14:textId="77777777" w:rsidR="00AD6032" w:rsidRDefault="00AD6032" w:rsidP="00A42418">
            <w:pPr>
              <w:pStyle w:val="Default"/>
              <w:rPr>
                <w:rFonts w:ascii="Arial" w:hAnsi="Arial" w:cs="Arial"/>
                <w:sz w:val="20"/>
                <w:szCs w:val="20"/>
              </w:rPr>
            </w:pPr>
          </w:p>
          <w:p w14:paraId="17CA1BF6" w14:textId="2FDE144B" w:rsidR="00E93DD3" w:rsidRDefault="00A42418" w:rsidP="00A42418">
            <w:pPr>
              <w:pStyle w:val="Default"/>
              <w:rPr>
                <w:rFonts w:ascii="Arial" w:hAnsi="Arial" w:cs="Arial"/>
                <w:sz w:val="20"/>
                <w:szCs w:val="20"/>
              </w:rPr>
            </w:pPr>
            <w:r w:rsidRPr="00A42418">
              <w:rPr>
                <w:rFonts w:ascii="Arial" w:hAnsi="Arial" w:cs="Arial"/>
                <w:sz w:val="20"/>
                <w:szCs w:val="20"/>
              </w:rPr>
              <w:t xml:space="preserve">This procedure applies to </w:t>
            </w:r>
            <w:r w:rsidR="006B3B06">
              <w:rPr>
                <w:rFonts w:ascii="Arial" w:hAnsi="Arial" w:cs="Arial"/>
                <w:sz w:val="20"/>
                <w:szCs w:val="20"/>
              </w:rPr>
              <w:t xml:space="preserve">all </w:t>
            </w:r>
            <w:r w:rsidRPr="00A42418">
              <w:rPr>
                <w:rFonts w:ascii="Arial" w:hAnsi="Arial" w:cs="Arial"/>
                <w:sz w:val="20"/>
                <w:szCs w:val="20"/>
              </w:rPr>
              <w:t>chemistry staff responsible for analyzing and reporting Methotrexate in serum or p</w:t>
            </w:r>
            <w:r w:rsidR="006B3B06">
              <w:rPr>
                <w:rFonts w:ascii="Arial" w:hAnsi="Arial" w:cs="Arial"/>
                <w:sz w:val="20"/>
                <w:szCs w:val="20"/>
              </w:rPr>
              <w:t>lasma on the Abbott Alinity c systems.</w:t>
            </w:r>
          </w:p>
          <w:p w14:paraId="17CA1BF7" w14:textId="77777777" w:rsidR="00AD6032" w:rsidRPr="00A42418" w:rsidRDefault="00AD6032" w:rsidP="00A42418">
            <w:pPr>
              <w:pStyle w:val="Default"/>
              <w:rPr>
                <w:rFonts w:ascii="Arial" w:hAnsi="Arial" w:cs="Arial"/>
                <w:sz w:val="20"/>
                <w:szCs w:val="20"/>
              </w:rPr>
            </w:pPr>
          </w:p>
        </w:tc>
      </w:tr>
      <w:tr w:rsidR="00E93DD3" w14:paraId="17CA1BFF" w14:textId="77777777" w:rsidTr="00AD6032">
        <w:trPr>
          <w:trHeight w:val="1046"/>
          <w:tblHeader/>
        </w:trPr>
        <w:tc>
          <w:tcPr>
            <w:tcW w:w="1803" w:type="dxa"/>
          </w:tcPr>
          <w:p w14:paraId="17CA1BF9" w14:textId="77777777" w:rsidR="00E93DD3" w:rsidRDefault="00E93DD3">
            <w:pPr>
              <w:rPr>
                <w:rFonts w:cs="Arial"/>
                <w:b/>
                <w:bCs/>
                <w:color w:val="0000FF"/>
              </w:rPr>
            </w:pPr>
          </w:p>
          <w:p w14:paraId="17CA1BFA" w14:textId="77777777" w:rsidR="00E93DD3" w:rsidRDefault="00E93DD3">
            <w:pPr>
              <w:rPr>
                <w:rFonts w:cs="Arial"/>
                <w:b/>
                <w:bCs/>
                <w:color w:val="0000FF"/>
              </w:rPr>
            </w:pPr>
            <w:r>
              <w:rPr>
                <w:rFonts w:cs="Arial"/>
                <w:b/>
                <w:bCs/>
                <w:color w:val="0000FF"/>
              </w:rPr>
              <w:t>Principle</w:t>
            </w:r>
          </w:p>
          <w:p w14:paraId="17CA1BFB" w14:textId="77777777" w:rsidR="00E93DD3" w:rsidRDefault="00E93DD3">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BFC" w14:textId="77777777" w:rsidR="00AD6032" w:rsidRDefault="00AD6032" w:rsidP="00861FE0">
            <w:pPr>
              <w:autoSpaceDE w:val="0"/>
              <w:autoSpaceDN w:val="0"/>
              <w:adjustRightInd w:val="0"/>
              <w:jc w:val="both"/>
              <w:rPr>
                <w:rFonts w:cs="Arial"/>
                <w:szCs w:val="20"/>
              </w:rPr>
            </w:pPr>
          </w:p>
          <w:p w14:paraId="17CA1BFD" w14:textId="77777777" w:rsidR="002D38B5" w:rsidRDefault="008F6FE0" w:rsidP="00861FE0">
            <w:pPr>
              <w:autoSpaceDE w:val="0"/>
              <w:autoSpaceDN w:val="0"/>
              <w:adjustRightInd w:val="0"/>
              <w:jc w:val="both"/>
              <w:rPr>
                <w:rFonts w:cs="Arial"/>
                <w:szCs w:val="20"/>
              </w:rPr>
            </w:pPr>
            <w:r w:rsidRPr="00861FE0">
              <w:rPr>
                <w:rFonts w:cs="Arial"/>
                <w:szCs w:val="20"/>
              </w:rPr>
              <w:t>ARK Methotrexate Assay is a homogeneous immunoassay based on competition between</w:t>
            </w:r>
            <w:r w:rsidR="003D578F" w:rsidRPr="00861FE0">
              <w:rPr>
                <w:rFonts w:cs="Arial"/>
                <w:szCs w:val="20"/>
              </w:rPr>
              <w:t xml:space="preserve"> </w:t>
            </w:r>
            <w:r w:rsidRPr="00861FE0">
              <w:rPr>
                <w:rFonts w:cs="Arial"/>
                <w:szCs w:val="20"/>
              </w:rPr>
              <w:t>drug in the specimen and methotrexate labeled with the enzyme glucose-6-phosphate</w:t>
            </w:r>
            <w:r w:rsidR="003D578F" w:rsidRPr="00861FE0">
              <w:rPr>
                <w:rFonts w:cs="Arial"/>
                <w:szCs w:val="20"/>
              </w:rPr>
              <w:t xml:space="preserve"> </w:t>
            </w:r>
            <w:r w:rsidRPr="00861FE0">
              <w:rPr>
                <w:rFonts w:cs="Arial"/>
                <w:szCs w:val="20"/>
              </w:rPr>
              <w:t>dehydrogenase (G6PDH) for binding to the antibody reagent. As the latter binds antibody,</w:t>
            </w:r>
            <w:r w:rsidR="003D578F" w:rsidRPr="00861FE0">
              <w:rPr>
                <w:rFonts w:cs="Arial"/>
                <w:szCs w:val="20"/>
              </w:rPr>
              <w:t xml:space="preserve"> </w:t>
            </w:r>
            <w:r w:rsidRPr="00861FE0">
              <w:rPr>
                <w:rFonts w:cs="Arial"/>
                <w:szCs w:val="20"/>
              </w:rPr>
              <w:t>enzyme activity decreases. In the presence of drug from the specimen, enzyme activity increases</w:t>
            </w:r>
            <w:r w:rsidR="003D578F" w:rsidRPr="00861FE0">
              <w:rPr>
                <w:rFonts w:cs="Arial"/>
                <w:szCs w:val="20"/>
              </w:rPr>
              <w:t xml:space="preserve"> </w:t>
            </w:r>
            <w:r w:rsidRPr="00861FE0">
              <w:rPr>
                <w:rFonts w:cs="Arial"/>
                <w:szCs w:val="20"/>
              </w:rPr>
              <w:t>and is directly proportional to the drug concentration. Active enzyme converts the coenzyme</w:t>
            </w:r>
            <w:r w:rsidR="003D578F" w:rsidRPr="00861FE0">
              <w:rPr>
                <w:rFonts w:cs="Arial"/>
                <w:szCs w:val="20"/>
              </w:rPr>
              <w:t xml:space="preserve"> </w:t>
            </w:r>
            <w:r w:rsidRPr="00861FE0">
              <w:rPr>
                <w:rFonts w:cs="Arial"/>
                <w:szCs w:val="20"/>
              </w:rPr>
              <w:t>nicotinamide adenine dinucleotide (NAD) to NADH that is measured spectrophotometrically as</w:t>
            </w:r>
            <w:r w:rsidR="003D578F" w:rsidRPr="00861FE0">
              <w:rPr>
                <w:rFonts w:cs="Arial"/>
                <w:szCs w:val="20"/>
              </w:rPr>
              <w:t xml:space="preserve"> </w:t>
            </w:r>
            <w:r w:rsidRPr="00861FE0">
              <w:rPr>
                <w:rFonts w:cs="Arial"/>
                <w:szCs w:val="20"/>
              </w:rPr>
              <w:t>a rate of change in absorbance. Endogenous serum G6PDH does not interfere with the results</w:t>
            </w:r>
            <w:r w:rsidR="003D578F" w:rsidRPr="00861FE0">
              <w:rPr>
                <w:rFonts w:cs="Arial"/>
                <w:szCs w:val="20"/>
              </w:rPr>
              <w:t xml:space="preserve"> </w:t>
            </w:r>
            <w:r w:rsidRPr="00861FE0">
              <w:rPr>
                <w:rFonts w:cs="Arial"/>
                <w:szCs w:val="20"/>
              </w:rPr>
              <w:t>because the coenyzme NAD functions only with the bacterial enzyme used in the assay.</w:t>
            </w:r>
          </w:p>
          <w:p w14:paraId="17CA1BFE" w14:textId="77777777" w:rsidR="00AD6032" w:rsidRPr="00861FE0" w:rsidRDefault="00AD6032" w:rsidP="00861FE0">
            <w:pPr>
              <w:autoSpaceDE w:val="0"/>
              <w:autoSpaceDN w:val="0"/>
              <w:adjustRightInd w:val="0"/>
              <w:jc w:val="both"/>
              <w:rPr>
                <w:rFonts w:cs="Arial"/>
                <w:szCs w:val="20"/>
              </w:rPr>
            </w:pPr>
          </w:p>
        </w:tc>
      </w:tr>
      <w:tr w:rsidR="00882388" w14:paraId="17CA1C0E" w14:textId="77777777" w:rsidTr="00AD6032">
        <w:trPr>
          <w:trHeight w:val="2788"/>
          <w:tblHeader/>
        </w:trPr>
        <w:tc>
          <w:tcPr>
            <w:tcW w:w="1803" w:type="dxa"/>
          </w:tcPr>
          <w:p w14:paraId="17CA1C00" w14:textId="77777777" w:rsidR="00882388" w:rsidRDefault="00882388" w:rsidP="00A91B9C">
            <w:pPr>
              <w:rPr>
                <w:rFonts w:cs="Arial"/>
                <w:b/>
                <w:bCs/>
                <w:color w:val="0000FF"/>
              </w:rPr>
            </w:pPr>
          </w:p>
          <w:p w14:paraId="17CA1C01" w14:textId="77777777" w:rsidR="00882388" w:rsidRDefault="00882388" w:rsidP="00A91B9C">
            <w:pPr>
              <w:rPr>
                <w:rFonts w:cs="Arial"/>
                <w:b/>
                <w:bCs/>
                <w:color w:val="0000FF"/>
              </w:rPr>
            </w:pPr>
            <w:r>
              <w:rPr>
                <w:rFonts w:cs="Arial"/>
                <w:b/>
                <w:bCs/>
                <w:color w:val="0000FF"/>
              </w:rPr>
              <w:t>Clinical Significance</w:t>
            </w:r>
          </w:p>
          <w:p w14:paraId="17CA1C02" w14:textId="77777777" w:rsidR="00882388" w:rsidRDefault="00882388" w:rsidP="00A91B9C">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C03" w14:textId="77777777" w:rsidR="00AD6032" w:rsidRDefault="00AD6032" w:rsidP="008236BF">
            <w:pPr>
              <w:autoSpaceDE w:val="0"/>
              <w:autoSpaceDN w:val="0"/>
              <w:adjustRightInd w:val="0"/>
              <w:jc w:val="both"/>
              <w:rPr>
                <w:rFonts w:cs="Arial"/>
                <w:color w:val="000000"/>
                <w:szCs w:val="20"/>
              </w:rPr>
            </w:pPr>
          </w:p>
          <w:p w14:paraId="17CA1C04" w14:textId="77777777" w:rsidR="00882388" w:rsidRPr="000C4831" w:rsidRDefault="00882388" w:rsidP="008236BF">
            <w:pPr>
              <w:autoSpaceDE w:val="0"/>
              <w:autoSpaceDN w:val="0"/>
              <w:adjustRightInd w:val="0"/>
              <w:jc w:val="both"/>
              <w:rPr>
                <w:rFonts w:cs="Arial"/>
                <w:color w:val="000000"/>
                <w:szCs w:val="20"/>
              </w:rPr>
            </w:pPr>
            <w:r w:rsidRPr="000C4831">
              <w:rPr>
                <w:rFonts w:cs="Arial"/>
                <w:color w:val="000000"/>
                <w:szCs w:val="20"/>
              </w:rPr>
              <w:t>Methotrexate is an anti-neoplastic drug used solely or in combination with other anti-neoplastic drugs for the treatment of leukemia and other diseases. Relatively low doses of methotrexate (7.5 – 25 mg/week) have been used in the treatment of nonmalignant diseases such as severe psoriasis, asthma, rheumatoid arthritis, sarcoidosis, and transplantation therapy. Intermediate to high doses of methotrexate (35 mg/m</w:t>
            </w:r>
            <w:r w:rsidRPr="00C23FA0">
              <w:rPr>
                <w:rFonts w:cs="Arial"/>
                <w:color w:val="000000"/>
                <w:szCs w:val="20"/>
                <w:vertAlign w:val="superscript"/>
              </w:rPr>
              <w:t>2</w:t>
            </w:r>
            <w:r w:rsidRPr="000C4831">
              <w:rPr>
                <w:rFonts w:cs="Arial"/>
                <w:color w:val="000000"/>
                <w:szCs w:val="20"/>
              </w:rPr>
              <w:t xml:space="preserve"> – 12 g/m</w:t>
            </w:r>
            <w:r w:rsidRPr="00C23FA0">
              <w:rPr>
                <w:rFonts w:cs="Arial"/>
                <w:color w:val="000000"/>
                <w:szCs w:val="20"/>
                <w:vertAlign w:val="superscript"/>
              </w:rPr>
              <w:t>2</w:t>
            </w:r>
            <w:r w:rsidRPr="000C4831">
              <w:rPr>
                <w:rFonts w:cs="Arial"/>
                <w:color w:val="000000"/>
                <w:szCs w:val="20"/>
              </w:rPr>
              <w:t xml:space="preserve">) with leucovorin (citrovorum-factor) rescue have been used with favorable results in the treatment of osteogenic sarcoma, leukemia, non-Hodgkin’s lymphoma, lung and breast cancer. </w:t>
            </w:r>
            <w:r w:rsidRPr="000C4831">
              <w:rPr>
                <w:rFonts w:cs="Arial"/>
                <w:szCs w:val="20"/>
              </w:rPr>
              <w:t>Patients undergoing methotrexate therapy should be closely monitored so that toxic effects are detected promptly.</w:t>
            </w:r>
          </w:p>
          <w:p w14:paraId="17CA1C05" w14:textId="77777777" w:rsidR="00882388" w:rsidRPr="000C4831" w:rsidRDefault="00882388" w:rsidP="008236BF">
            <w:pPr>
              <w:autoSpaceDE w:val="0"/>
              <w:autoSpaceDN w:val="0"/>
              <w:adjustRightInd w:val="0"/>
              <w:jc w:val="both"/>
              <w:rPr>
                <w:rFonts w:cs="Arial"/>
                <w:color w:val="000000"/>
                <w:szCs w:val="20"/>
              </w:rPr>
            </w:pPr>
          </w:p>
          <w:p w14:paraId="17CA1C06" w14:textId="77777777" w:rsidR="00882388" w:rsidRDefault="00882388" w:rsidP="008236BF">
            <w:pPr>
              <w:autoSpaceDE w:val="0"/>
              <w:autoSpaceDN w:val="0"/>
              <w:adjustRightInd w:val="0"/>
              <w:jc w:val="both"/>
              <w:rPr>
                <w:rFonts w:cs="Arial"/>
                <w:szCs w:val="20"/>
              </w:rPr>
            </w:pPr>
            <w:r w:rsidRPr="000C4831">
              <w:rPr>
                <w:rFonts w:cs="Arial"/>
                <w:szCs w:val="20"/>
              </w:rPr>
              <w:t>Methotrexate serum lev</w:t>
            </w:r>
            <w:r w:rsidR="00A81CB4">
              <w:rPr>
                <w:rFonts w:cs="Arial"/>
                <w:szCs w:val="20"/>
              </w:rPr>
              <w:t>els depend on</w:t>
            </w:r>
            <w:r w:rsidRPr="000C4831">
              <w:rPr>
                <w:rFonts w:cs="Arial"/>
                <w:szCs w:val="20"/>
              </w:rPr>
              <w:t xml:space="preserve"> dosage, mode of administration, treatment regimen, individual pharmacokinetics, metabolis</w:t>
            </w:r>
            <w:r>
              <w:rPr>
                <w:rFonts w:cs="Arial"/>
                <w:szCs w:val="20"/>
              </w:rPr>
              <w:t>m and other clinical factors.</w:t>
            </w:r>
            <w:r w:rsidRPr="000C4831">
              <w:rPr>
                <w:rFonts w:cs="Arial"/>
                <w:szCs w:val="20"/>
              </w:rPr>
              <w:t xml:space="preserve"> While the serum level may typically reach 10 to 100 μmol/L, 15 concent</w:t>
            </w:r>
            <w:r>
              <w:rPr>
                <w:rFonts w:cs="Arial"/>
                <w:szCs w:val="20"/>
              </w:rPr>
              <w:t>rations may exceed 1000 μmol/L</w:t>
            </w:r>
            <w:r w:rsidRPr="000C4831">
              <w:rPr>
                <w:rFonts w:cs="Arial"/>
                <w:szCs w:val="20"/>
              </w:rPr>
              <w:t xml:space="preserve"> with high dose therapy for osteosarcoma, and up to 3100 μmol/L methotrexate was reached following a 4-hour infusion in pediatric patients with osteos</w:t>
            </w:r>
            <w:r>
              <w:rPr>
                <w:rFonts w:cs="Arial"/>
                <w:szCs w:val="20"/>
              </w:rPr>
              <w:t>arcoma.</w:t>
            </w:r>
            <w:r w:rsidRPr="000C4831">
              <w:rPr>
                <w:rFonts w:cs="Arial"/>
                <w:szCs w:val="20"/>
              </w:rPr>
              <w:t xml:space="preserve"> </w:t>
            </w:r>
          </w:p>
          <w:p w14:paraId="17CA1C07" w14:textId="77777777" w:rsidR="00882388" w:rsidRDefault="00882388" w:rsidP="008236BF">
            <w:pPr>
              <w:autoSpaceDE w:val="0"/>
              <w:autoSpaceDN w:val="0"/>
              <w:adjustRightInd w:val="0"/>
              <w:jc w:val="both"/>
              <w:rPr>
                <w:rFonts w:cs="Arial"/>
                <w:szCs w:val="20"/>
              </w:rPr>
            </w:pPr>
          </w:p>
          <w:p w14:paraId="17CA1C08" w14:textId="77777777" w:rsidR="00AD6032" w:rsidRDefault="00882388" w:rsidP="008236BF">
            <w:pPr>
              <w:autoSpaceDE w:val="0"/>
              <w:autoSpaceDN w:val="0"/>
              <w:adjustRightInd w:val="0"/>
              <w:jc w:val="both"/>
              <w:rPr>
                <w:rFonts w:cs="Arial"/>
                <w:szCs w:val="20"/>
              </w:rPr>
            </w:pPr>
            <w:r>
              <w:rPr>
                <w:rFonts w:cs="Arial"/>
                <w:szCs w:val="20"/>
              </w:rPr>
              <w:t>For treatment of osteosarcoma,</w:t>
            </w:r>
            <w:r w:rsidRPr="000C4831">
              <w:rPr>
                <w:rFonts w:cs="Arial"/>
                <w:szCs w:val="20"/>
              </w:rPr>
              <w:t xml:space="preserve"> the methotrexate decay curve has wide variability: 24 hours, 30 to 300 μmol/L; 48 hours, 3 to 30 μmol/L; and 72 hours, </w:t>
            </w:r>
            <w:r>
              <w:rPr>
                <w:rFonts w:cs="Arial"/>
                <w:szCs w:val="20"/>
              </w:rPr>
              <w:t>&lt;</w:t>
            </w:r>
            <w:r w:rsidRPr="000C4831">
              <w:rPr>
                <w:rFonts w:cs="Arial"/>
                <w:szCs w:val="20"/>
              </w:rPr>
              <w:t xml:space="preserve"> 0.3 μmol/L. A dose of 10 mg of leucovorin is usually administered intravenously 24 hours after initiation of the MTX infusion. Subsequent doses are adjusted and administered according to the MTX levels obtained at 24, 48, and 72 hours. Methotrexate levels in excess of 50 μmol/L at 24 hours, 10 μmol/L at 48 hours, and 0.5 μmol/L at 72 hours portend potential toxicity and are usually treated with an increase in the dose of leucovorin. Guidelines for methotrexate therapy with leucovorin rescue usually recommend continuance of leucovorin until the methotrexate level </w:t>
            </w:r>
            <w:r>
              <w:rPr>
                <w:rFonts w:cs="Arial"/>
                <w:szCs w:val="20"/>
              </w:rPr>
              <w:t>falls below 0.05 μmol/L.</w:t>
            </w:r>
            <w:r w:rsidRPr="000C4831">
              <w:rPr>
                <w:rFonts w:cs="Arial"/>
                <w:szCs w:val="20"/>
              </w:rPr>
              <w:t xml:space="preserve"> </w:t>
            </w:r>
          </w:p>
          <w:p w14:paraId="17CA1C09" w14:textId="77777777" w:rsidR="00AD6032" w:rsidRDefault="00AD6032" w:rsidP="008236BF">
            <w:pPr>
              <w:autoSpaceDE w:val="0"/>
              <w:autoSpaceDN w:val="0"/>
              <w:adjustRightInd w:val="0"/>
              <w:jc w:val="both"/>
              <w:rPr>
                <w:rFonts w:cs="Arial"/>
                <w:szCs w:val="20"/>
              </w:rPr>
            </w:pPr>
          </w:p>
          <w:p w14:paraId="17CA1C0A" w14:textId="77777777" w:rsidR="00AD6032" w:rsidRDefault="00AD6032" w:rsidP="00AD6032">
            <w:pPr>
              <w:autoSpaceDE w:val="0"/>
              <w:autoSpaceDN w:val="0"/>
              <w:adjustRightInd w:val="0"/>
              <w:jc w:val="both"/>
              <w:rPr>
                <w:rFonts w:cs="Arial"/>
                <w:szCs w:val="20"/>
              </w:rPr>
            </w:pPr>
            <w:r w:rsidRPr="000C4831">
              <w:rPr>
                <w:rFonts w:cs="Arial"/>
                <w:szCs w:val="20"/>
              </w:rPr>
              <w:t xml:space="preserve">Renal toxicity is a significant risk and may be exacerbated by coadministration of other </w:t>
            </w:r>
            <w:r>
              <w:rPr>
                <w:rFonts w:cs="Arial"/>
                <w:szCs w:val="20"/>
              </w:rPr>
              <w:t>drugs, for example vancomycin.</w:t>
            </w:r>
            <w:r w:rsidRPr="000C4831">
              <w:rPr>
                <w:rFonts w:cs="Arial"/>
                <w:szCs w:val="20"/>
              </w:rPr>
              <w:t xml:space="preserve"> Other forms of toxicity can occur, including digestive disorders (e.g., nausea, vomiting, abdominal pain), cutaneous–mucous disorders (especially mucositis), haematological abnormalities (e.g., neutropenia and thrombocytopenia), liver function test disturbances, and neurotoxicity. </w:t>
            </w:r>
          </w:p>
          <w:p w14:paraId="17CA1C0B" w14:textId="77777777" w:rsidR="00AD6032" w:rsidRDefault="00AD6032" w:rsidP="00AD6032">
            <w:pPr>
              <w:autoSpaceDE w:val="0"/>
              <w:autoSpaceDN w:val="0"/>
              <w:adjustRightInd w:val="0"/>
              <w:jc w:val="both"/>
              <w:rPr>
                <w:rFonts w:cs="Arial"/>
                <w:szCs w:val="20"/>
              </w:rPr>
            </w:pPr>
          </w:p>
          <w:p w14:paraId="17CA1C0C" w14:textId="75BD60A0" w:rsidR="00AD6032" w:rsidRDefault="00AD6032" w:rsidP="00AD6032">
            <w:pPr>
              <w:autoSpaceDE w:val="0"/>
              <w:autoSpaceDN w:val="0"/>
              <w:adjustRightInd w:val="0"/>
              <w:jc w:val="both"/>
              <w:rPr>
                <w:rFonts w:cs="Arial"/>
                <w:szCs w:val="20"/>
              </w:rPr>
            </w:pPr>
            <w:r w:rsidRPr="000C4831">
              <w:rPr>
                <w:rFonts w:cs="Arial"/>
                <w:szCs w:val="20"/>
              </w:rPr>
              <w:t>Given the profile of the appearance of the 7-hydroxymethotrexate metabolite, its molar ratio to methotrexate of up to approximately 100-fold, and relative insolubility versus the parent drug, possible nephrotoxicity due to precipitation of t</w:t>
            </w:r>
            <w:r>
              <w:rPr>
                <w:rFonts w:cs="Arial"/>
                <w:szCs w:val="20"/>
              </w:rPr>
              <w:t>he metabolite in renal tubules</w:t>
            </w:r>
            <w:r w:rsidRPr="000C4831">
              <w:rPr>
                <w:rFonts w:cs="Arial"/>
                <w:szCs w:val="20"/>
              </w:rPr>
              <w:t xml:space="preserve"> may delay elimination of methotrexate itself. Glucarpidase therapy (available for compassionate use) reduces the circulating level of methotrexate rapidly, not </w:t>
            </w:r>
            <w:r>
              <w:rPr>
                <w:rFonts w:cs="Arial"/>
                <w:szCs w:val="20"/>
              </w:rPr>
              <w:t xml:space="preserve">the </w:t>
            </w:r>
            <w:r w:rsidRPr="000C4831">
              <w:rPr>
                <w:rFonts w:cs="Arial"/>
                <w:szCs w:val="20"/>
              </w:rPr>
              <w:t>intracellular drug. A rebound effect in the serum level of methotrexate following glucarpidase therapy has been observed</w:t>
            </w:r>
            <w:r w:rsidR="006B3B06">
              <w:rPr>
                <w:rFonts w:cs="Arial"/>
                <w:szCs w:val="20"/>
              </w:rPr>
              <w:t>.</w:t>
            </w:r>
          </w:p>
          <w:p w14:paraId="17CA1C0D" w14:textId="77777777" w:rsidR="00AD6032" w:rsidRPr="00861FE0" w:rsidRDefault="00AD6032" w:rsidP="008236BF">
            <w:pPr>
              <w:autoSpaceDE w:val="0"/>
              <w:autoSpaceDN w:val="0"/>
              <w:adjustRightInd w:val="0"/>
              <w:jc w:val="both"/>
              <w:rPr>
                <w:rFonts w:cs="Arial"/>
                <w:szCs w:val="20"/>
              </w:rPr>
            </w:pPr>
          </w:p>
        </w:tc>
      </w:tr>
      <w:tr w:rsidR="00882388" w14:paraId="17CA1C12" w14:textId="77777777" w:rsidTr="00AD6032">
        <w:trPr>
          <w:trHeight w:val="301"/>
          <w:tblHeader/>
        </w:trPr>
        <w:tc>
          <w:tcPr>
            <w:tcW w:w="1803" w:type="dxa"/>
          </w:tcPr>
          <w:p w14:paraId="17CA1C10" w14:textId="77777777" w:rsidR="00882388" w:rsidRDefault="00882388">
            <w:pPr>
              <w:rPr>
                <w:rFonts w:cs="Arial"/>
                <w:b/>
                <w:bCs/>
                <w:color w:val="0000FF"/>
              </w:rPr>
            </w:pPr>
            <w:r>
              <w:rPr>
                <w:rFonts w:cs="Arial"/>
                <w:b/>
                <w:bCs/>
                <w:color w:val="0000FF"/>
              </w:rPr>
              <w:t>Analyzer</w:t>
            </w: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C11" w14:textId="213A621D" w:rsidR="00882388" w:rsidRPr="00882388" w:rsidRDefault="006B3B06" w:rsidP="00A91B9C">
            <w:pPr>
              <w:autoSpaceDE w:val="0"/>
              <w:autoSpaceDN w:val="0"/>
              <w:adjustRightInd w:val="0"/>
              <w:rPr>
                <w:rFonts w:cs="Arial"/>
                <w:szCs w:val="15"/>
              </w:rPr>
            </w:pPr>
            <w:r>
              <w:rPr>
                <w:rFonts w:cs="Arial"/>
                <w:szCs w:val="15"/>
              </w:rPr>
              <w:t>Abbott Alinity ci or Abbott Alinity c system, Minneapolis Lab</w:t>
            </w:r>
          </w:p>
        </w:tc>
      </w:tr>
      <w:tr w:rsidR="00882388" w14:paraId="17CA1C15" w14:textId="77777777" w:rsidTr="00AD6032">
        <w:trPr>
          <w:trHeight w:val="305"/>
          <w:tblHeader/>
        </w:trPr>
        <w:tc>
          <w:tcPr>
            <w:tcW w:w="1803" w:type="dxa"/>
            <w:vAlign w:val="center"/>
          </w:tcPr>
          <w:p w14:paraId="17CA1C13" w14:textId="77777777" w:rsidR="00882388" w:rsidRDefault="00882388">
            <w:pPr>
              <w:rPr>
                <w:rFonts w:cs="Arial"/>
                <w:b/>
                <w:bCs/>
                <w:color w:val="0000FF"/>
              </w:rPr>
            </w:pPr>
            <w:r>
              <w:rPr>
                <w:rFonts w:cs="Arial"/>
                <w:b/>
                <w:bCs/>
                <w:color w:val="0000FF"/>
              </w:rPr>
              <w:lastRenderedPageBreak/>
              <w:t>Sunquest Test Codes</w:t>
            </w: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C14" w14:textId="77777777" w:rsidR="00882388" w:rsidRPr="009A6EB0" w:rsidRDefault="00882388" w:rsidP="000C7CA7">
            <w:pPr>
              <w:shd w:val="clear" w:color="auto" w:fill="FFFFFF"/>
              <w:rPr>
                <w:rFonts w:cs="Arial"/>
                <w:sz w:val="12"/>
                <w:szCs w:val="12"/>
              </w:rPr>
            </w:pPr>
            <w:r>
              <w:rPr>
                <w:rFonts w:cs="Arial"/>
                <w:iCs/>
              </w:rPr>
              <w:t>MTX</w:t>
            </w:r>
            <w:r w:rsidRPr="009A6EB0">
              <w:rPr>
                <w:rFonts w:cs="Arial"/>
                <w:iCs/>
                <w:sz w:val="18"/>
              </w:rPr>
              <w:tab/>
            </w:r>
            <w:r>
              <w:rPr>
                <w:rFonts w:cs="Arial"/>
              </w:rPr>
              <w:t>Methotrexate</w:t>
            </w:r>
            <w:r w:rsidRPr="009A6EB0">
              <w:rPr>
                <w:rFonts w:cs="Arial"/>
              </w:rPr>
              <w:tab/>
              <w:t xml:space="preserve">CPT: </w:t>
            </w:r>
            <w:r w:rsidRPr="009A6EB0">
              <w:rPr>
                <w:rFonts w:cs="Arial"/>
                <w:szCs w:val="20"/>
              </w:rPr>
              <w:t>80</w:t>
            </w:r>
            <w:r>
              <w:rPr>
                <w:rFonts w:cs="Arial"/>
                <w:szCs w:val="20"/>
              </w:rPr>
              <w:t>299</w:t>
            </w:r>
          </w:p>
        </w:tc>
      </w:tr>
      <w:tr w:rsidR="00882388" w14:paraId="17CA1C2E" w14:textId="77777777" w:rsidTr="00AD6032">
        <w:trPr>
          <w:cantSplit/>
          <w:trHeight w:val="3803"/>
          <w:tblHeader/>
        </w:trPr>
        <w:tc>
          <w:tcPr>
            <w:tcW w:w="1803" w:type="dxa"/>
          </w:tcPr>
          <w:p w14:paraId="17CA1C16" w14:textId="77777777" w:rsidR="00882388" w:rsidRDefault="00882388">
            <w:pPr>
              <w:rPr>
                <w:rFonts w:cs="Arial"/>
                <w:b/>
                <w:bCs/>
                <w:color w:val="0000FF"/>
              </w:rPr>
            </w:pPr>
          </w:p>
          <w:p w14:paraId="17CA1C17" w14:textId="77777777" w:rsidR="00882388" w:rsidRDefault="00882388">
            <w:pPr>
              <w:rPr>
                <w:rFonts w:cs="Arial"/>
                <w:b/>
                <w:bCs/>
                <w:color w:val="0000FF"/>
              </w:rPr>
            </w:pPr>
            <w:r>
              <w:rPr>
                <w:rFonts w:cs="Arial"/>
                <w:b/>
                <w:bCs/>
                <w:color w:val="0000FF"/>
              </w:rPr>
              <w:t>Sample</w:t>
            </w: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C18" w14:textId="77777777" w:rsidR="00D32CB8" w:rsidRPr="00264B2E" w:rsidRDefault="008236BF" w:rsidP="000C7CA7">
            <w:pPr>
              <w:autoSpaceDE w:val="0"/>
              <w:autoSpaceDN w:val="0"/>
              <w:adjustRightInd w:val="0"/>
              <w:rPr>
                <w:rFonts w:cs="Arial"/>
                <w:szCs w:val="20"/>
              </w:rPr>
            </w:pPr>
            <w:r w:rsidRPr="00264B2E">
              <w:rPr>
                <w:rFonts w:cs="Arial"/>
                <w:b/>
                <w:szCs w:val="20"/>
              </w:rPr>
              <w:t>Sample:</w:t>
            </w:r>
            <w:r w:rsidRPr="00264B2E">
              <w:rPr>
                <w:rFonts w:cs="Arial"/>
                <w:szCs w:val="20"/>
              </w:rPr>
              <w:t xml:space="preserve"> </w:t>
            </w:r>
            <w:r w:rsidR="00DB163C">
              <w:rPr>
                <w:rFonts w:cs="Arial"/>
                <w:color w:val="000000"/>
                <w:szCs w:val="20"/>
              </w:rPr>
              <w:t>Serum, no gel</w:t>
            </w:r>
          </w:p>
          <w:p w14:paraId="17CA1C19" w14:textId="77777777" w:rsidR="009D24CE" w:rsidRPr="00264B2E" w:rsidRDefault="009D24CE" w:rsidP="000C7CA7">
            <w:pPr>
              <w:autoSpaceDE w:val="0"/>
              <w:autoSpaceDN w:val="0"/>
              <w:adjustRightInd w:val="0"/>
              <w:rPr>
                <w:rFonts w:cs="Arial"/>
                <w:szCs w:val="20"/>
              </w:rPr>
            </w:pPr>
          </w:p>
          <w:p w14:paraId="40F73B4D" w14:textId="77777777" w:rsidR="0063494A" w:rsidRDefault="0063494A" w:rsidP="000C7CA7">
            <w:pPr>
              <w:autoSpaceDE w:val="0"/>
              <w:autoSpaceDN w:val="0"/>
              <w:adjustRightInd w:val="0"/>
              <w:rPr>
                <w:rFonts w:cs="Arial"/>
                <w:b/>
                <w:bCs/>
                <w:szCs w:val="20"/>
              </w:rPr>
            </w:pPr>
            <w:r>
              <w:rPr>
                <w:rFonts w:cs="Arial"/>
                <w:b/>
                <w:bCs/>
                <w:szCs w:val="20"/>
              </w:rPr>
              <w:t>Draw volume: 2.5 mL blood</w:t>
            </w:r>
          </w:p>
          <w:p w14:paraId="17CA1C1A" w14:textId="1D134202" w:rsidR="003C4E3B" w:rsidRPr="00264B2E" w:rsidRDefault="0063494A" w:rsidP="000C7CA7">
            <w:pPr>
              <w:autoSpaceDE w:val="0"/>
              <w:autoSpaceDN w:val="0"/>
              <w:adjustRightInd w:val="0"/>
              <w:rPr>
                <w:rFonts w:cs="Arial"/>
                <w:color w:val="000000"/>
                <w:szCs w:val="20"/>
              </w:rPr>
            </w:pPr>
            <w:r>
              <w:rPr>
                <w:rFonts w:cs="Arial"/>
                <w:b/>
                <w:bCs/>
                <w:szCs w:val="20"/>
              </w:rPr>
              <w:t>Preferred</w:t>
            </w:r>
            <w:r w:rsidR="00A81CB4">
              <w:rPr>
                <w:rFonts w:cs="Arial"/>
                <w:b/>
                <w:bCs/>
                <w:szCs w:val="20"/>
              </w:rPr>
              <w:t xml:space="preserve"> </w:t>
            </w:r>
            <w:r>
              <w:rPr>
                <w:rFonts w:cs="Arial"/>
                <w:b/>
                <w:bCs/>
                <w:szCs w:val="20"/>
              </w:rPr>
              <w:t xml:space="preserve">sample </w:t>
            </w:r>
            <w:r w:rsidR="00A81CB4">
              <w:rPr>
                <w:rFonts w:cs="Arial"/>
                <w:b/>
                <w:bCs/>
                <w:szCs w:val="20"/>
              </w:rPr>
              <w:t>volume: 500</w:t>
            </w:r>
            <w:r w:rsidR="00A81CB4" w:rsidRPr="00264B2E">
              <w:rPr>
                <w:rFonts w:cs="Arial"/>
                <w:color w:val="000000"/>
                <w:szCs w:val="20"/>
              </w:rPr>
              <w:t xml:space="preserve"> µL</w:t>
            </w:r>
            <w:r w:rsidR="00A81CB4" w:rsidRPr="00264B2E">
              <w:rPr>
                <w:rFonts w:cs="Arial"/>
                <w:b/>
                <w:bCs/>
                <w:szCs w:val="20"/>
              </w:rPr>
              <w:t xml:space="preserve"> </w:t>
            </w:r>
            <w:r w:rsidR="00A81CB4">
              <w:rPr>
                <w:rFonts w:cs="Arial"/>
                <w:b/>
                <w:bCs/>
                <w:szCs w:val="20"/>
              </w:rPr>
              <w:t xml:space="preserve">  </w:t>
            </w:r>
            <w:r w:rsidR="003C4E3B" w:rsidRPr="00264B2E">
              <w:rPr>
                <w:rFonts w:cs="Arial"/>
                <w:b/>
                <w:bCs/>
                <w:szCs w:val="20"/>
              </w:rPr>
              <w:t>Minimum volume:</w:t>
            </w:r>
            <w:r w:rsidR="003C4E3B" w:rsidRPr="00264B2E">
              <w:rPr>
                <w:rFonts w:cs="Arial"/>
                <w:szCs w:val="20"/>
              </w:rPr>
              <w:t xml:space="preserve"> 2</w:t>
            </w:r>
            <w:r w:rsidR="008236BF" w:rsidRPr="00264B2E">
              <w:rPr>
                <w:rFonts w:cs="Arial"/>
                <w:color w:val="000000"/>
                <w:szCs w:val="20"/>
              </w:rPr>
              <w:t>00 µL</w:t>
            </w:r>
            <w:r w:rsidR="003C4E3B" w:rsidRPr="00264B2E">
              <w:rPr>
                <w:rFonts w:cs="Arial"/>
                <w:szCs w:val="20"/>
              </w:rPr>
              <w:tab/>
            </w:r>
            <w:r w:rsidR="003C4E3B" w:rsidRPr="00264B2E">
              <w:rPr>
                <w:rFonts w:cs="Arial"/>
                <w:b/>
                <w:szCs w:val="20"/>
              </w:rPr>
              <w:t>Actual sample volume</w:t>
            </w:r>
            <w:r w:rsidR="003C4E3B" w:rsidRPr="00264B2E">
              <w:rPr>
                <w:rFonts w:cs="Arial"/>
                <w:szCs w:val="20"/>
              </w:rPr>
              <w:t xml:space="preserve">: 5 </w:t>
            </w:r>
            <w:r w:rsidR="003C4E3B" w:rsidRPr="00264B2E">
              <w:rPr>
                <w:rFonts w:cs="Arial"/>
                <w:color w:val="000000"/>
                <w:szCs w:val="20"/>
              </w:rPr>
              <w:t>µL</w:t>
            </w:r>
          </w:p>
          <w:p w14:paraId="17CA1C1B" w14:textId="77777777" w:rsidR="00044871" w:rsidRPr="00264B2E" w:rsidRDefault="00044871" w:rsidP="00044871">
            <w:pPr>
              <w:pStyle w:val="BodyText"/>
              <w:numPr>
                <w:ilvl w:val="0"/>
                <w:numId w:val="35"/>
              </w:numPr>
              <w:jc w:val="both"/>
              <w:rPr>
                <w:rFonts w:cs="Arial"/>
                <w:b/>
                <w:bCs/>
                <w:szCs w:val="20"/>
              </w:rPr>
            </w:pPr>
            <w:r w:rsidRPr="00264B2E">
              <w:rPr>
                <w:rFonts w:cs="Arial"/>
                <w:szCs w:val="20"/>
              </w:rPr>
              <w:t>Refer to specimen collection procedures</w:t>
            </w:r>
            <w:r w:rsidRPr="00264B2E">
              <w:rPr>
                <w:rFonts w:eastAsia="HelenPro-Cond" w:cs="Arial"/>
                <w:szCs w:val="20"/>
              </w:rPr>
              <w:t xml:space="preserve"> for collection of diagnostic blood specimens</w:t>
            </w:r>
          </w:p>
          <w:p w14:paraId="17CA1C1C" w14:textId="77777777" w:rsidR="00882388" w:rsidRPr="00264B2E" w:rsidRDefault="008236BF" w:rsidP="003C4E3B">
            <w:pPr>
              <w:numPr>
                <w:ilvl w:val="0"/>
                <w:numId w:val="35"/>
              </w:numPr>
              <w:autoSpaceDE w:val="0"/>
              <w:autoSpaceDN w:val="0"/>
              <w:adjustRightInd w:val="0"/>
              <w:rPr>
                <w:rFonts w:cs="Arial"/>
                <w:szCs w:val="20"/>
              </w:rPr>
            </w:pPr>
            <w:r w:rsidRPr="00264B2E">
              <w:rPr>
                <w:rFonts w:cs="Arial"/>
                <w:szCs w:val="20"/>
              </w:rPr>
              <w:t>U</w:t>
            </w:r>
            <w:r w:rsidR="003C4E3B" w:rsidRPr="00264B2E">
              <w:rPr>
                <w:rFonts w:cs="Arial"/>
                <w:szCs w:val="20"/>
              </w:rPr>
              <w:t>se</w:t>
            </w:r>
            <w:r w:rsidR="00882388" w:rsidRPr="00264B2E">
              <w:rPr>
                <w:rFonts w:cs="Arial"/>
                <w:szCs w:val="20"/>
              </w:rPr>
              <w:t xml:space="preserve"> the same specimen</w:t>
            </w:r>
            <w:r w:rsidR="003C4E3B" w:rsidRPr="00264B2E">
              <w:rPr>
                <w:rFonts w:cs="Arial"/>
                <w:szCs w:val="20"/>
              </w:rPr>
              <w:t xml:space="preserve"> matrix for individual patients</w:t>
            </w:r>
          </w:p>
          <w:p w14:paraId="17CA1C1D" w14:textId="18F01401" w:rsidR="008236BF" w:rsidRPr="00264B2E" w:rsidRDefault="008236BF" w:rsidP="008236BF">
            <w:pPr>
              <w:numPr>
                <w:ilvl w:val="0"/>
                <w:numId w:val="35"/>
              </w:numPr>
              <w:autoSpaceDE w:val="0"/>
              <w:autoSpaceDN w:val="0"/>
              <w:adjustRightInd w:val="0"/>
              <w:rPr>
                <w:rFonts w:cs="Arial"/>
                <w:color w:val="000000"/>
                <w:szCs w:val="20"/>
              </w:rPr>
            </w:pPr>
            <w:r w:rsidRPr="00264B2E">
              <w:rPr>
                <w:rFonts w:cs="Arial"/>
                <w:color w:val="000000"/>
                <w:szCs w:val="20"/>
              </w:rPr>
              <w:t xml:space="preserve">The sampling time of methotrexate is dependent on dose, duration of infusion, and clinical status of the </w:t>
            </w:r>
            <w:r w:rsidR="006B3B06">
              <w:rPr>
                <w:rFonts w:cs="Arial"/>
                <w:color w:val="000000"/>
                <w:szCs w:val="20"/>
              </w:rPr>
              <w:t>patient. Consult specific Heme/</w:t>
            </w:r>
            <w:r w:rsidRPr="00264B2E">
              <w:rPr>
                <w:rFonts w:cs="Arial"/>
                <w:color w:val="000000"/>
                <w:szCs w:val="20"/>
              </w:rPr>
              <w:t>Onc treatment protocols and Physicians’ Desk Reference (PDR) for sampling time</w:t>
            </w:r>
            <w:r w:rsidR="00044871" w:rsidRPr="00264B2E">
              <w:rPr>
                <w:rFonts w:cs="Arial"/>
                <w:color w:val="000000"/>
                <w:szCs w:val="20"/>
              </w:rPr>
              <w:t xml:space="preserve"> information</w:t>
            </w:r>
            <w:r w:rsidRPr="00264B2E">
              <w:rPr>
                <w:rFonts w:cs="Arial"/>
                <w:color w:val="000000"/>
                <w:szCs w:val="20"/>
              </w:rPr>
              <w:t xml:space="preserve"> </w:t>
            </w:r>
          </w:p>
          <w:p w14:paraId="17CA1C1E" w14:textId="16575286" w:rsidR="00D32CB8" w:rsidRPr="00264B2E" w:rsidRDefault="006B3B06" w:rsidP="008236BF">
            <w:pPr>
              <w:numPr>
                <w:ilvl w:val="0"/>
                <w:numId w:val="35"/>
              </w:numPr>
              <w:autoSpaceDE w:val="0"/>
              <w:autoSpaceDN w:val="0"/>
              <w:adjustRightInd w:val="0"/>
              <w:rPr>
                <w:rFonts w:cs="Arial"/>
                <w:szCs w:val="20"/>
              </w:rPr>
            </w:pPr>
            <w:r>
              <w:rPr>
                <w:rFonts w:cs="Arial"/>
                <w:szCs w:val="20"/>
              </w:rPr>
              <w:t>Do not shake, create foam, or bubbles.</w:t>
            </w:r>
            <w:r w:rsidR="00882388" w:rsidRPr="00264B2E">
              <w:rPr>
                <w:rFonts w:cs="Arial"/>
                <w:szCs w:val="20"/>
              </w:rPr>
              <w:t xml:space="preserve"> </w:t>
            </w:r>
          </w:p>
          <w:p w14:paraId="17CA1C1F" w14:textId="77777777" w:rsidR="00DB163C" w:rsidRPr="00DB163C" w:rsidRDefault="00882388" w:rsidP="00DB163C">
            <w:pPr>
              <w:numPr>
                <w:ilvl w:val="0"/>
                <w:numId w:val="35"/>
              </w:numPr>
              <w:autoSpaceDE w:val="0"/>
              <w:autoSpaceDN w:val="0"/>
              <w:adjustRightInd w:val="0"/>
              <w:rPr>
                <w:rFonts w:cs="Arial"/>
                <w:szCs w:val="20"/>
              </w:rPr>
            </w:pPr>
            <w:r w:rsidRPr="00264B2E">
              <w:rPr>
                <w:rFonts w:cs="Arial"/>
                <w:szCs w:val="20"/>
              </w:rPr>
              <w:t>Fibrin, red blood cells, and other particulate matter may cause an erroneous result. Ensure adequate centrifugation.</w:t>
            </w:r>
          </w:p>
          <w:p w14:paraId="17CA1C20" w14:textId="77777777" w:rsidR="008236BF" w:rsidRPr="00264B2E" w:rsidRDefault="008236BF" w:rsidP="000C7CA7">
            <w:pPr>
              <w:autoSpaceDE w:val="0"/>
              <w:autoSpaceDN w:val="0"/>
              <w:adjustRightInd w:val="0"/>
              <w:rPr>
                <w:rFonts w:cs="Arial"/>
                <w:szCs w:val="20"/>
              </w:rPr>
            </w:pPr>
          </w:p>
          <w:p w14:paraId="17CA1C21" w14:textId="77777777" w:rsidR="00D32CB8" w:rsidRPr="00264B2E" w:rsidRDefault="00D32CB8" w:rsidP="00A82AC3">
            <w:pPr>
              <w:autoSpaceDE w:val="0"/>
              <w:autoSpaceDN w:val="0"/>
              <w:adjustRightInd w:val="0"/>
              <w:rPr>
                <w:rFonts w:cs="Arial"/>
                <w:b/>
                <w:szCs w:val="20"/>
              </w:rPr>
            </w:pPr>
            <w:r w:rsidRPr="00264B2E">
              <w:rPr>
                <w:rFonts w:cs="Arial"/>
                <w:b/>
                <w:szCs w:val="20"/>
              </w:rPr>
              <w:t>Stability:</w:t>
            </w:r>
          </w:p>
          <w:p w14:paraId="17CA1C22" w14:textId="77777777" w:rsidR="00D32CB8" w:rsidRPr="00264B2E" w:rsidRDefault="00D32CB8" w:rsidP="00A82AC3">
            <w:pPr>
              <w:autoSpaceDE w:val="0"/>
              <w:autoSpaceDN w:val="0"/>
              <w:adjustRightInd w:val="0"/>
              <w:rPr>
                <w:rFonts w:cs="Arial"/>
                <w:szCs w:val="20"/>
              </w:rPr>
            </w:pPr>
            <w:r w:rsidRPr="00264B2E">
              <w:rPr>
                <w:rFonts w:cs="Arial"/>
                <w:szCs w:val="20"/>
              </w:rPr>
              <w:t>2 to 8°C /</w:t>
            </w:r>
            <w:r w:rsidR="00882388" w:rsidRPr="00264B2E">
              <w:rPr>
                <w:rFonts w:cs="Arial"/>
                <w:szCs w:val="20"/>
              </w:rPr>
              <w:t xml:space="preserve"> two weeks</w:t>
            </w:r>
            <w:r w:rsidRPr="00264B2E">
              <w:rPr>
                <w:rFonts w:cs="Arial"/>
                <w:szCs w:val="20"/>
              </w:rPr>
              <w:t xml:space="preserve"> </w:t>
            </w:r>
          </w:p>
          <w:p w14:paraId="17CA1C23" w14:textId="77777777" w:rsidR="00882388" w:rsidRPr="00264B2E" w:rsidRDefault="00D32CB8" w:rsidP="00A82AC3">
            <w:pPr>
              <w:autoSpaceDE w:val="0"/>
              <w:autoSpaceDN w:val="0"/>
              <w:adjustRightInd w:val="0"/>
              <w:rPr>
                <w:rFonts w:cs="Arial"/>
                <w:szCs w:val="20"/>
              </w:rPr>
            </w:pPr>
            <w:r w:rsidRPr="00264B2E">
              <w:rPr>
                <w:rFonts w:cs="Arial"/>
                <w:szCs w:val="20"/>
              </w:rPr>
              <w:t>-20°C /</w:t>
            </w:r>
            <w:r w:rsidR="00882388" w:rsidRPr="00264B2E">
              <w:rPr>
                <w:rFonts w:cs="Arial"/>
                <w:szCs w:val="20"/>
              </w:rPr>
              <w:t xml:space="preserve">3 freeze-thaw cycles </w:t>
            </w:r>
          </w:p>
          <w:p w14:paraId="17CA1C24" w14:textId="77777777" w:rsidR="00882388" w:rsidRPr="00264B2E" w:rsidRDefault="00882388" w:rsidP="00BB3C96">
            <w:pPr>
              <w:autoSpaceDE w:val="0"/>
              <w:autoSpaceDN w:val="0"/>
              <w:adjustRightInd w:val="0"/>
              <w:rPr>
                <w:rFonts w:cs="Arial"/>
                <w:szCs w:val="20"/>
              </w:rPr>
            </w:pPr>
          </w:p>
          <w:p w14:paraId="17CA1C25" w14:textId="77777777" w:rsidR="00882388" w:rsidRPr="00264B2E" w:rsidRDefault="006A40ED" w:rsidP="000F37C1">
            <w:pPr>
              <w:pStyle w:val="BodyText"/>
              <w:jc w:val="both"/>
              <w:rPr>
                <w:rFonts w:cs="Arial"/>
                <w:szCs w:val="20"/>
              </w:rPr>
            </w:pPr>
            <w:r w:rsidRPr="00264B2E">
              <w:rPr>
                <w:rFonts w:cs="Arial"/>
                <w:b/>
                <w:bCs/>
                <w:szCs w:val="20"/>
              </w:rPr>
              <w:t>R</w:t>
            </w:r>
            <w:r w:rsidR="00882388" w:rsidRPr="00264B2E">
              <w:rPr>
                <w:rFonts w:cs="Arial"/>
                <w:b/>
                <w:bCs/>
                <w:szCs w:val="20"/>
              </w:rPr>
              <w:t>ejection criteria</w:t>
            </w:r>
            <w:r w:rsidR="00282710">
              <w:rPr>
                <w:rFonts w:cs="Arial"/>
                <w:szCs w:val="20"/>
              </w:rPr>
              <w:t>: Unlabe</w:t>
            </w:r>
            <w:r w:rsidR="00882388" w:rsidRPr="00264B2E">
              <w:rPr>
                <w:rFonts w:cs="Arial"/>
                <w:szCs w:val="20"/>
              </w:rPr>
              <w:t>led specimens,</w:t>
            </w:r>
            <w:r w:rsidR="00282710">
              <w:rPr>
                <w:rFonts w:cs="Arial"/>
                <w:szCs w:val="20"/>
              </w:rPr>
              <w:t xml:space="preserve"> samples</w:t>
            </w:r>
            <w:r w:rsidR="00882388" w:rsidRPr="00264B2E">
              <w:rPr>
                <w:rFonts w:cs="Arial"/>
                <w:szCs w:val="20"/>
              </w:rPr>
              <w:t xml:space="preserve"> other </w:t>
            </w:r>
            <w:r w:rsidR="00DB163C">
              <w:rPr>
                <w:rFonts w:cs="Arial"/>
                <w:szCs w:val="20"/>
              </w:rPr>
              <w:t>than serum without gel</w:t>
            </w:r>
            <w:r w:rsidR="00882388" w:rsidRPr="00264B2E">
              <w:rPr>
                <w:rFonts w:cs="Arial"/>
                <w:szCs w:val="20"/>
              </w:rPr>
              <w:t xml:space="preserve">. </w:t>
            </w:r>
          </w:p>
          <w:p w14:paraId="17CA1C26" w14:textId="77777777" w:rsidR="00044871" w:rsidRPr="00264B2E" w:rsidRDefault="00044871" w:rsidP="000F37C1">
            <w:pPr>
              <w:pStyle w:val="BodyText"/>
              <w:jc w:val="both"/>
              <w:rPr>
                <w:rFonts w:cs="Arial"/>
                <w:b/>
                <w:bCs/>
                <w:szCs w:val="20"/>
              </w:rPr>
            </w:pPr>
          </w:p>
          <w:p w14:paraId="17CA1C27" w14:textId="77777777" w:rsidR="00882388" w:rsidRPr="00264B2E" w:rsidRDefault="00882388" w:rsidP="000F37C1">
            <w:pPr>
              <w:autoSpaceDE w:val="0"/>
              <w:autoSpaceDN w:val="0"/>
              <w:adjustRightInd w:val="0"/>
              <w:jc w:val="both"/>
              <w:rPr>
                <w:rFonts w:cs="Arial"/>
                <w:b/>
                <w:bCs/>
                <w:szCs w:val="20"/>
              </w:rPr>
            </w:pPr>
            <w:r w:rsidRPr="00264B2E">
              <w:rPr>
                <w:rFonts w:cs="Arial"/>
                <w:b/>
                <w:bCs/>
                <w:szCs w:val="20"/>
              </w:rPr>
              <w:t>Preparation:</w:t>
            </w:r>
          </w:p>
          <w:p w14:paraId="17CA1C28" w14:textId="77777777" w:rsidR="00882388" w:rsidRPr="00264B2E" w:rsidRDefault="00882388" w:rsidP="000F37C1">
            <w:pPr>
              <w:numPr>
                <w:ilvl w:val="0"/>
                <w:numId w:val="25"/>
              </w:numPr>
              <w:jc w:val="both"/>
              <w:rPr>
                <w:rFonts w:cs="Arial"/>
                <w:szCs w:val="20"/>
              </w:rPr>
            </w:pPr>
            <w:r w:rsidRPr="00264B2E">
              <w:rPr>
                <w:rFonts w:cs="Arial"/>
                <w:szCs w:val="20"/>
              </w:rPr>
              <w:t>Whole blood specimens should be centrifuged fo</w:t>
            </w:r>
            <w:r w:rsidR="009D24CE" w:rsidRPr="00264B2E">
              <w:rPr>
                <w:rFonts w:cs="Arial"/>
                <w:szCs w:val="20"/>
              </w:rPr>
              <w:t>llowing complete clot formation</w:t>
            </w:r>
            <w:r w:rsidRPr="00264B2E">
              <w:rPr>
                <w:rFonts w:cs="Arial"/>
                <w:szCs w:val="20"/>
              </w:rPr>
              <w:t xml:space="preserve"> according to Specimen Processi</w:t>
            </w:r>
            <w:r w:rsidR="009D24CE" w:rsidRPr="00264B2E">
              <w:rPr>
                <w:rFonts w:cs="Arial"/>
                <w:szCs w:val="20"/>
              </w:rPr>
              <w:t>ng procedures prior to analysis</w:t>
            </w:r>
          </w:p>
          <w:p w14:paraId="17CA1C29" w14:textId="77777777" w:rsidR="00282710" w:rsidRDefault="00A81CB4" w:rsidP="000F37C1">
            <w:pPr>
              <w:numPr>
                <w:ilvl w:val="0"/>
                <w:numId w:val="25"/>
              </w:numPr>
              <w:autoSpaceDE w:val="0"/>
              <w:autoSpaceDN w:val="0"/>
              <w:adjustRightInd w:val="0"/>
              <w:jc w:val="both"/>
              <w:rPr>
                <w:rFonts w:cs="Arial"/>
                <w:szCs w:val="20"/>
              </w:rPr>
            </w:pPr>
            <w:r>
              <w:rPr>
                <w:rFonts w:cs="Arial"/>
                <w:szCs w:val="20"/>
              </w:rPr>
              <w:t xml:space="preserve">Serum </w:t>
            </w:r>
            <w:r w:rsidR="00882388" w:rsidRPr="00264B2E">
              <w:rPr>
                <w:rFonts w:cs="Arial"/>
                <w:szCs w:val="20"/>
              </w:rPr>
              <w:t>should be physically separated from cells as soon as possible with a maximum limit of two hours from the time of collectio</w:t>
            </w:r>
            <w:r w:rsidR="00882388" w:rsidRPr="009A1BDE">
              <w:rPr>
                <w:rFonts w:cs="Arial"/>
                <w:szCs w:val="20"/>
              </w:rPr>
              <w:t>n.</w:t>
            </w:r>
            <w:r w:rsidR="00282710">
              <w:rPr>
                <w:rFonts w:cs="Arial"/>
                <w:szCs w:val="20"/>
              </w:rPr>
              <w:t xml:space="preserve">  </w:t>
            </w:r>
          </w:p>
          <w:p w14:paraId="17CA1C2A" w14:textId="77777777" w:rsidR="00882388" w:rsidRPr="009A1BDE" w:rsidRDefault="00282710" w:rsidP="000F37C1">
            <w:pPr>
              <w:numPr>
                <w:ilvl w:val="0"/>
                <w:numId w:val="25"/>
              </w:numPr>
              <w:autoSpaceDE w:val="0"/>
              <w:autoSpaceDN w:val="0"/>
              <w:adjustRightInd w:val="0"/>
              <w:jc w:val="both"/>
              <w:rPr>
                <w:rFonts w:cs="Arial"/>
                <w:szCs w:val="20"/>
              </w:rPr>
            </w:pPr>
            <w:r>
              <w:rPr>
                <w:rFonts w:cs="Arial"/>
                <w:szCs w:val="20"/>
              </w:rPr>
              <w:t xml:space="preserve">Samples may still be run if unprotected from light for up to 5 hours.  </w:t>
            </w:r>
          </w:p>
          <w:p w14:paraId="17CA1C2B" w14:textId="77777777" w:rsidR="00882388" w:rsidRPr="009A1BDE" w:rsidRDefault="00882388" w:rsidP="000F37C1">
            <w:pPr>
              <w:numPr>
                <w:ilvl w:val="0"/>
                <w:numId w:val="25"/>
              </w:numPr>
              <w:autoSpaceDE w:val="0"/>
              <w:autoSpaceDN w:val="0"/>
              <w:adjustRightInd w:val="0"/>
              <w:jc w:val="both"/>
              <w:rPr>
                <w:rFonts w:cs="Arial"/>
                <w:szCs w:val="20"/>
              </w:rPr>
            </w:pPr>
            <w:r w:rsidRPr="009A1BDE">
              <w:rPr>
                <w:rFonts w:cs="Arial"/>
                <w:szCs w:val="20"/>
              </w:rPr>
              <w:t xml:space="preserve">Lipemic samples </w:t>
            </w:r>
            <w:r w:rsidR="009A1BDE" w:rsidRPr="009A1BDE">
              <w:rPr>
                <w:rFonts w:cs="Arial"/>
                <w:szCs w:val="20"/>
              </w:rPr>
              <w:t>may</w:t>
            </w:r>
            <w:r w:rsidRPr="009A1BDE">
              <w:rPr>
                <w:rFonts w:cs="Arial"/>
                <w:szCs w:val="20"/>
              </w:rPr>
              <w:t xml:space="preserve"> be ultrafuged.</w:t>
            </w:r>
          </w:p>
          <w:p w14:paraId="17CA1C2C" w14:textId="77777777" w:rsidR="00882388" w:rsidRPr="00264B2E" w:rsidRDefault="00882388" w:rsidP="000F37C1">
            <w:pPr>
              <w:numPr>
                <w:ilvl w:val="0"/>
                <w:numId w:val="25"/>
              </w:numPr>
              <w:autoSpaceDE w:val="0"/>
              <w:autoSpaceDN w:val="0"/>
              <w:adjustRightInd w:val="0"/>
              <w:jc w:val="both"/>
              <w:rPr>
                <w:rFonts w:cs="Arial"/>
                <w:szCs w:val="20"/>
              </w:rPr>
            </w:pPr>
            <w:r w:rsidRPr="00264B2E">
              <w:rPr>
                <w:rFonts w:cs="Arial"/>
                <w:szCs w:val="20"/>
              </w:rPr>
              <w:t xml:space="preserve">Specimens should be free of particulate matter. </w:t>
            </w:r>
          </w:p>
          <w:p w14:paraId="17CA1C2D" w14:textId="77777777" w:rsidR="00882388" w:rsidRPr="00264B2E" w:rsidRDefault="00A81CB4" w:rsidP="006479AA">
            <w:pPr>
              <w:numPr>
                <w:ilvl w:val="0"/>
                <w:numId w:val="25"/>
              </w:numPr>
              <w:jc w:val="both"/>
              <w:rPr>
                <w:rFonts w:cs="Arial"/>
                <w:szCs w:val="20"/>
              </w:rPr>
            </w:pPr>
            <w:r>
              <w:rPr>
                <w:rFonts w:cs="Arial"/>
                <w:szCs w:val="20"/>
              </w:rPr>
              <w:t xml:space="preserve">Transfer </w:t>
            </w:r>
            <w:r w:rsidR="00882388" w:rsidRPr="00264B2E">
              <w:rPr>
                <w:rFonts w:cs="Arial"/>
                <w:szCs w:val="20"/>
              </w:rPr>
              <w:t>serum to a properly labeled Siemens SSC nested on a bar-coded pilot tube. Minimum labeling includes sample accession ID, and/ or patient name, medical record number, collection date and time.</w:t>
            </w:r>
          </w:p>
        </w:tc>
      </w:tr>
      <w:tr w:rsidR="00882388" w14:paraId="17CA1C40" w14:textId="77777777" w:rsidTr="00AD6032">
        <w:trPr>
          <w:cantSplit/>
          <w:trHeight w:val="1259"/>
          <w:tblHeader/>
        </w:trPr>
        <w:tc>
          <w:tcPr>
            <w:tcW w:w="1803" w:type="dxa"/>
          </w:tcPr>
          <w:p w14:paraId="17CA1C32" w14:textId="67AAC34D" w:rsidR="00882388" w:rsidRDefault="00882388">
            <w:pPr>
              <w:rPr>
                <w:rFonts w:cs="Arial"/>
                <w:b/>
                <w:bCs/>
                <w:color w:val="0000FF"/>
              </w:rPr>
            </w:pPr>
          </w:p>
          <w:p w14:paraId="17CA1C33" w14:textId="77777777" w:rsidR="00882388" w:rsidRDefault="00882388">
            <w:pPr>
              <w:rPr>
                <w:rFonts w:cs="Arial"/>
                <w:b/>
                <w:bCs/>
                <w:color w:val="0000FF"/>
              </w:rPr>
            </w:pPr>
            <w:r>
              <w:rPr>
                <w:rFonts w:cs="Arial"/>
                <w:b/>
                <w:bCs/>
                <w:color w:val="0000FF"/>
              </w:rPr>
              <w:t>Materials</w:t>
            </w:r>
          </w:p>
        </w:tc>
        <w:tc>
          <w:tcPr>
            <w:tcW w:w="9204" w:type="dxa"/>
            <w:gridSpan w:val="10"/>
            <w:tcBorders>
              <w:bottom w:val="single" w:sz="18" w:space="0" w:color="A6A6A6" w:themeColor="background1" w:themeShade="A6"/>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0"/>
              <w:gridCol w:w="189"/>
            </w:tblGrid>
            <w:tr w:rsidR="00882388" w14:paraId="17CA1C35" w14:textId="77777777" w:rsidTr="00A56CF1">
              <w:trPr>
                <w:trHeight w:val="92"/>
              </w:trPr>
              <w:tc>
                <w:tcPr>
                  <w:tcW w:w="9269" w:type="dxa"/>
                  <w:gridSpan w:val="2"/>
                  <w:tcBorders>
                    <w:top w:val="single" w:sz="18" w:space="0" w:color="A6A6A6" w:themeColor="background1" w:themeShade="A6"/>
                    <w:left w:val="nil"/>
                    <w:bottom w:val="single" w:sz="4" w:space="0" w:color="auto"/>
                    <w:right w:val="nil"/>
                  </w:tcBorders>
                  <w:vAlign w:val="center"/>
                </w:tcPr>
                <w:p w14:paraId="17CA1C34" w14:textId="77777777" w:rsidR="00882388" w:rsidRDefault="00882388" w:rsidP="00F43459">
                  <w:pPr>
                    <w:pStyle w:val="BodyText"/>
                    <w:rPr>
                      <w:rFonts w:ascii="Arial Narrow" w:hAnsi="Arial Narrow" w:cs="Arial"/>
                      <w:b/>
                      <w:bCs/>
                      <w:color w:val="0000FF"/>
                    </w:rPr>
                  </w:pPr>
                </w:p>
              </w:tc>
            </w:tr>
            <w:tr w:rsidR="00882388" w14:paraId="17CA1C37" w14:textId="77777777" w:rsidTr="00A56CF1">
              <w:trPr>
                <w:gridAfter w:val="1"/>
                <w:wAfter w:w="189" w:type="dxa"/>
                <w:trHeight w:val="212"/>
              </w:trPr>
              <w:tc>
                <w:tcPr>
                  <w:tcW w:w="9080" w:type="dxa"/>
                  <w:tcBorders>
                    <w:top w:val="single" w:sz="4" w:space="0" w:color="auto"/>
                    <w:bottom w:val="single" w:sz="4" w:space="0" w:color="auto"/>
                  </w:tcBorders>
                  <w:vAlign w:val="center"/>
                </w:tcPr>
                <w:p w14:paraId="17CA1C36" w14:textId="77777777" w:rsidR="00882388" w:rsidRDefault="00882388" w:rsidP="00F43459">
                  <w:pPr>
                    <w:pStyle w:val="BodyText"/>
                    <w:rPr>
                      <w:rFonts w:ascii="Arial Narrow" w:hAnsi="Arial Narrow" w:cs="Arial"/>
                      <w:b/>
                      <w:bCs/>
                      <w:color w:val="0000FF"/>
                      <w:szCs w:val="23"/>
                    </w:rPr>
                  </w:pPr>
                  <w:r>
                    <w:rPr>
                      <w:rFonts w:ascii="Arial Narrow" w:hAnsi="Arial Narrow" w:cs="Arial"/>
                      <w:b/>
                      <w:bCs/>
                      <w:color w:val="0000FF"/>
                    </w:rPr>
                    <w:t>Supplies</w:t>
                  </w:r>
                </w:p>
              </w:tc>
            </w:tr>
            <w:tr w:rsidR="00882388" w:rsidRPr="00926470" w14:paraId="17CA1C3E" w14:textId="77777777" w:rsidTr="00A56CF1">
              <w:trPr>
                <w:gridAfter w:val="1"/>
                <w:wAfter w:w="189" w:type="dxa"/>
              </w:trPr>
              <w:tc>
                <w:tcPr>
                  <w:tcW w:w="9080" w:type="dxa"/>
                </w:tcPr>
                <w:p w14:paraId="17CA1C38" w14:textId="3A0BDAF7" w:rsidR="00882388" w:rsidRPr="00926470" w:rsidRDefault="006B3B06" w:rsidP="00F43459">
                  <w:pPr>
                    <w:pStyle w:val="BodyText"/>
                    <w:numPr>
                      <w:ilvl w:val="0"/>
                      <w:numId w:val="11"/>
                    </w:numPr>
                    <w:rPr>
                      <w:rFonts w:cs="Arial"/>
                      <w:szCs w:val="20"/>
                    </w:rPr>
                  </w:pPr>
                  <w:r>
                    <w:rPr>
                      <w:rFonts w:cs="Arial"/>
                      <w:szCs w:val="20"/>
                    </w:rPr>
                    <w:t>Empty Black Alinity cartridge</w:t>
                  </w:r>
                </w:p>
                <w:p w14:paraId="17CA1C39" w14:textId="209656D6" w:rsidR="00882388" w:rsidRPr="00926470" w:rsidRDefault="00A56CF1" w:rsidP="00F43459">
                  <w:pPr>
                    <w:pStyle w:val="BodyText"/>
                    <w:numPr>
                      <w:ilvl w:val="0"/>
                      <w:numId w:val="11"/>
                    </w:numPr>
                    <w:rPr>
                      <w:rFonts w:cs="Arial"/>
                      <w:szCs w:val="20"/>
                    </w:rPr>
                  </w:pPr>
                  <w:r>
                    <w:rPr>
                      <w:rFonts w:cs="Arial"/>
                      <w:szCs w:val="20"/>
                    </w:rPr>
                    <w:t>Transfer pipettes</w:t>
                  </w:r>
                </w:p>
                <w:p w14:paraId="17CA1C3D" w14:textId="2C0BF250" w:rsidR="00882388" w:rsidRPr="00A56CF1" w:rsidRDefault="006B3B06" w:rsidP="00A56CF1">
                  <w:pPr>
                    <w:pStyle w:val="BodyText"/>
                    <w:numPr>
                      <w:ilvl w:val="0"/>
                      <w:numId w:val="11"/>
                    </w:numPr>
                    <w:rPr>
                      <w:rFonts w:cs="Arial"/>
                      <w:szCs w:val="20"/>
                    </w:rPr>
                  </w:pPr>
                  <w:r>
                    <w:rPr>
                      <w:rFonts w:cs="Arial"/>
                      <w:szCs w:val="20"/>
                    </w:rPr>
                    <w:t>Sample Cups, send</w:t>
                  </w:r>
                  <w:r w:rsidR="00A56CF1">
                    <w:rPr>
                      <w:rFonts w:cs="Arial"/>
                      <w:szCs w:val="20"/>
                    </w:rPr>
                    <w:t>out tube with cap</w:t>
                  </w:r>
                </w:p>
              </w:tc>
            </w:tr>
          </w:tbl>
          <w:p w14:paraId="17CA1C3F" w14:textId="77777777" w:rsidR="00882388" w:rsidRDefault="00882388">
            <w:pPr>
              <w:pStyle w:val="BodyText"/>
              <w:rPr>
                <w:rFonts w:cs="Arial"/>
              </w:rPr>
            </w:pPr>
          </w:p>
        </w:tc>
      </w:tr>
      <w:tr w:rsidR="00882388" w14:paraId="17CA1C73" w14:textId="77777777" w:rsidTr="00AD6032">
        <w:trPr>
          <w:cantSplit/>
          <w:trHeight w:val="3690"/>
          <w:tblHeader/>
        </w:trPr>
        <w:tc>
          <w:tcPr>
            <w:tcW w:w="1803" w:type="dxa"/>
          </w:tcPr>
          <w:p w14:paraId="17CA1C41" w14:textId="515D7FAD" w:rsidR="00882388" w:rsidRDefault="00AD6032" w:rsidP="00AD6032">
            <w:pPr>
              <w:rPr>
                <w:rFonts w:cs="Arial"/>
                <w:b/>
                <w:bCs/>
                <w:color w:val="0000FF"/>
              </w:rPr>
            </w:pPr>
            <w:r>
              <w:rPr>
                <w:rFonts w:cs="Arial"/>
                <w:b/>
                <w:bCs/>
                <w:color w:val="0000FF"/>
              </w:rPr>
              <w:lastRenderedPageBreak/>
              <w:t xml:space="preserve">Reagent </w:t>
            </w:r>
            <w:r w:rsidR="00021AF6">
              <w:rPr>
                <w:rFonts w:cs="Arial"/>
                <w:b/>
                <w:bCs/>
                <w:color w:val="0000FF"/>
              </w:rPr>
              <w:t>Preparation</w:t>
            </w:r>
          </w:p>
        </w:tc>
        <w:tc>
          <w:tcPr>
            <w:tcW w:w="9204" w:type="dxa"/>
            <w:gridSpan w:val="10"/>
            <w:tcBorders>
              <w:top w:val="single" w:sz="18" w:space="0" w:color="A6A6A6" w:themeColor="background1" w:themeShade="A6"/>
              <w:bottom w:val="single" w:sz="18" w:space="0" w:color="A6A6A6" w:themeColor="background1" w:themeShade="A6"/>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3333"/>
              <w:gridCol w:w="2892"/>
            </w:tblGrid>
            <w:tr w:rsidR="00882388" w:rsidRPr="00341369" w14:paraId="17CA1C45" w14:textId="77777777" w:rsidTr="00A56CF1">
              <w:tc>
                <w:tcPr>
                  <w:tcW w:w="9089" w:type="dxa"/>
                  <w:gridSpan w:val="3"/>
                  <w:tcBorders>
                    <w:top w:val="nil"/>
                    <w:left w:val="nil"/>
                    <w:right w:val="nil"/>
                  </w:tcBorders>
                  <w:vAlign w:val="center"/>
                </w:tcPr>
                <w:p w14:paraId="17CA1C42" w14:textId="77777777" w:rsidR="00882388" w:rsidRPr="00341369" w:rsidRDefault="00882388" w:rsidP="00F50B67">
                  <w:pPr>
                    <w:pStyle w:val="BodyText"/>
                    <w:rPr>
                      <w:rFonts w:cs="Arial"/>
                      <w:szCs w:val="20"/>
                    </w:rPr>
                  </w:pPr>
                  <w:r w:rsidRPr="00341369">
                    <w:rPr>
                      <w:rFonts w:cs="Arial"/>
                      <w:szCs w:val="20"/>
                    </w:rPr>
                    <w:t xml:space="preserve">Reagents R1 and R2 need to be transferred to </w:t>
                  </w:r>
                  <w:r w:rsidR="009D24CE" w:rsidRPr="00341369">
                    <w:rPr>
                      <w:rFonts w:cs="Arial"/>
                      <w:szCs w:val="20"/>
                    </w:rPr>
                    <w:t>Vista</w:t>
                  </w:r>
                  <w:r w:rsidRPr="00341369">
                    <w:rPr>
                      <w:rFonts w:cs="Arial"/>
                      <w:szCs w:val="20"/>
                    </w:rPr>
                    <w:t>-specific reagent containers prior to</w:t>
                  </w:r>
                  <w:r w:rsidR="008A0433">
                    <w:rPr>
                      <w:rFonts w:cs="Arial"/>
                      <w:szCs w:val="20"/>
                    </w:rPr>
                    <w:t xml:space="preserve"> use.</w:t>
                  </w:r>
                </w:p>
                <w:p w14:paraId="17CA1C43" w14:textId="77777777" w:rsidR="00882388" w:rsidRDefault="00882388" w:rsidP="00F50B67">
                  <w:pPr>
                    <w:pStyle w:val="BodyText"/>
                    <w:rPr>
                      <w:rFonts w:cs="Arial"/>
                      <w:szCs w:val="20"/>
                    </w:rPr>
                  </w:pPr>
                  <w:r w:rsidRPr="00341369">
                    <w:rPr>
                      <w:rFonts w:cs="Arial"/>
                      <w:szCs w:val="20"/>
                    </w:rPr>
                    <w:t>Avoid cross-contamination of R1 and R2</w:t>
                  </w:r>
                </w:p>
                <w:p w14:paraId="17CA1C44" w14:textId="77777777" w:rsidR="00AD6032" w:rsidRPr="00F50B67" w:rsidRDefault="00AD6032" w:rsidP="00F50B67">
                  <w:pPr>
                    <w:pStyle w:val="BodyText"/>
                    <w:rPr>
                      <w:rFonts w:cs="Arial"/>
                      <w:szCs w:val="20"/>
                    </w:rPr>
                  </w:pPr>
                </w:p>
              </w:tc>
            </w:tr>
            <w:tr w:rsidR="00882388" w:rsidRPr="00341369" w14:paraId="17CA1C49" w14:textId="77777777" w:rsidTr="00A56CF1">
              <w:trPr>
                <w:trHeight w:val="212"/>
              </w:trPr>
              <w:tc>
                <w:tcPr>
                  <w:tcW w:w="2864" w:type="dxa"/>
                  <w:tcBorders>
                    <w:top w:val="single" w:sz="4" w:space="0" w:color="auto"/>
                  </w:tcBorders>
                  <w:vAlign w:val="center"/>
                </w:tcPr>
                <w:p w14:paraId="17CA1C46" w14:textId="77777777" w:rsidR="00882388" w:rsidRPr="00341369" w:rsidRDefault="00882388" w:rsidP="00F50B67">
                  <w:pPr>
                    <w:pStyle w:val="BodyText"/>
                    <w:rPr>
                      <w:rFonts w:cs="Arial"/>
                      <w:b/>
                      <w:bCs/>
                      <w:color w:val="0000FF"/>
                      <w:szCs w:val="20"/>
                    </w:rPr>
                  </w:pPr>
                  <w:r w:rsidRPr="00341369">
                    <w:rPr>
                      <w:rFonts w:cs="Arial"/>
                      <w:b/>
                      <w:bCs/>
                      <w:color w:val="0000FF"/>
                      <w:szCs w:val="20"/>
                    </w:rPr>
                    <w:t>Reagents</w:t>
                  </w:r>
                </w:p>
              </w:tc>
              <w:tc>
                <w:tcPr>
                  <w:tcW w:w="3333" w:type="dxa"/>
                  <w:tcBorders>
                    <w:top w:val="single" w:sz="4" w:space="0" w:color="auto"/>
                    <w:right w:val="single" w:sz="4" w:space="0" w:color="auto"/>
                  </w:tcBorders>
                  <w:vAlign w:val="center"/>
                </w:tcPr>
                <w:p w14:paraId="17CA1C47" w14:textId="77777777" w:rsidR="00882388" w:rsidRPr="00341369" w:rsidRDefault="00882388" w:rsidP="00F50B67">
                  <w:pPr>
                    <w:pStyle w:val="BodyText"/>
                    <w:rPr>
                      <w:rFonts w:cs="Arial"/>
                      <w:b/>
                      <w:bCs/>
                      <w:color w:val="0000FF"/>
                      <w:szCs w:val="20"/>
                    </w:rPr>
                  </w:pPr>
                  <w:r w:rsidRPr="00341369">
                    <w:rPr>
                      <w:rFonts w:cs="Arial"/>
                      <w:b/>
                      <w:bCs/>
                      <w:color w:val="0000FF"/>
                      <w:szCs w:val="20"/>
                    </w:rPr>
                    <w:t>Stability</w:t>
                  </w:r>
                </w:p>
              </w:tc>
              <w:tc>
                <w:tcPr>
                  <w:tcW w:w="2892" w:type="dxa"/>
                  <w:tcBorders>
                    <w:top w:val="single" w:sz="4" w:space="0" w:color="auto"/>
                    <w:right w:val="single" w:sz="4" w:space="0" w:color="auto"/>
                  </w:tcBorders>
                  <w:vAlign w:val="center"/>
                </w:tcPr>
                <w:p w14:paraId="17CA1C48" w14:textId="77777777" w:rsidR="00882388" w:rsidRPr="00341369" w:rsidRDefault="00882388" w:rsidP="00F50B67">
                  <w:pPr>
                    <w:pStyle w:val="BodyText"/>
                    <w:rPr>
                      <w:rFonts w:cs="Arial"/>
                      <w:b/>
                      <w:bCs/>
                      <w:color w:val="0000FF"/>
                      <w:szCs w:val="20"/>
                    </w:rPr>
                  </w:pPr>
                  <w:r w:rsidRPr="00341369">
                    <w:rPr>
                      <w:rFonts w:cs="Arial"/>
                      <w:b/>
                      <w:bCs/>
                      <w:color w:val="0000FF"/>
                      <w:szCs w:val="20"/>
                    </w:rPr>
                    <w:t>Preparation</w:t>
                  </w:r>
                </w:p>
              </w:tc>
            </w:tr>
            <w:tr w:rsidR="00882388" w:rsidRPr="00341369" w14:paraId="17CA1C55" w14:textId="77777777" w:rsidTr="00A56CF1">
              <w:trPr>
                <w:cantSplit/>
                <w:trHeight w:val="753"/>
              </w:trPr>
              <w:tc>
                <w:tcPr>
                  <w:tcW w:w="2864" w:type="dxa"/>
                  <w:vAlign w:val="center"/>
                </w:tcPr>
                <w:p w14:paraId="17CA1C4A" w14:textId="77777777" w:rsidR="00882388" w:rsidRPr="00341369" w:rsidRDefault="00882388" w:rsidP="00F50B67">
                  <w:pPr>
                    <w:autoSpaceDE w:val="0"/>
                    <w:autoSpaceDN w:val="0"/>
                    <w:adjustRightInd w:val="0"/>
                    <w:rPr>
                      <w:rFonts w:cs="Arial"/>
                      <w:b/>
                      <w:bCs/>
                      <w:szCs w:val="20"/>
                    </w:rPr>
                  </w:pPr>
                  <w:r w:rsidRPr="00341369">
                    <w:rPr>
                      <w:rFonts w:cs="Arial"/>
                      <w:b/>
                      <w:bCs/>
                      <w:szCs w:val="20"/>
                    </w:rPr>
                    <w:t>ARK Methotrexate Assay</w:t>
                  </w:r>
                </w:p>
                <w:p w14:paraId="17CA1C4B" w14:textId="77777777" w:rsidR="00882388" w:rsidRPr="00341369" w:rsidRDefault="00882388" w:rsidP="00F50B67">
                  <w:pPr>
                    <w:autoSpaceDE w:val="0"/>
                    <w:autoSpaceDN w:val="0"/>
                    <w:adjustRightInd w:val="0"/>
                    <w:rPr>
                      <w:rFonts w:cs="Arial"/>
                      <w:b/>
                      <w:bCs/>
                      <w:szCs w:val="20"/>
                    </w:rPr>
                  </w:pPr>
                  <w:r w:rsidRPr="00341369">
                    <w:rPr>
                      <w:rFonts w:cs="Arial"/>
                      <w:b/>
                      <w:bCs/>
                      <w:szCs w:val="20"/>
                    </w:rPr>
                    <w:t>Reagent – Antibody/Substrate</w:t>
                  </w:r>
                  <w:r w:rsidR="009D24CE" w:rsidRPr="00341369">
                    <w:rPr>
                      <w:rFonts w:cs="Arial"/>
                      <w:b/>
                      <w:bCs/>
                      <w:szCs w:val="20"/>
                    </w:rPr>
                    <w:t xml:space="preserve"> R1</w:t>
                  </w:r>
                </w:p>
                <w:p w14:paraId="17CA1C4C" w14:textId="77777777" w:rsidR="009D24CE" w:rsidRPr="00341369" w:rsidRDefault="009D24CE" w:rsidP="00F50B67">
                  <w:pPr>
                    <w:autoSpaceDE w:val="0"/>
                    <w:autoSpaceDN w:val="0"/>
                    <w:adjustRightInd w:val="0"/>
                    <w:rPr>
                      <w:rFonts w:cs="Arial"/>
                      <w:b/>
                      <w:bCs/>
                      <w:szCs w:val="20"/>
                    </w:rPr>
                  </w:pPr>
                </w:p>
                <w:p w14:paraId="17CA1C4D" w14:textId="77777777" w:rsidR="00882388" w:rsidRPr="00341369" w:rsidRDefault="00882388" w:rsidP="00F50B67">
                  <w:pPr>
                    <w:autoSpaceDE w:val="0"/>
                    <w:autoSpaceDN w:val="0"/>
                    <w:adjustRightInd w:val="0"/>
                    <w:rPr>
                      <w:rFonts w:cs="Arial"/>
                      <w:b/>
                      <w:bCs/>
                      <w:szCs w:val="20"/>
                    </w:rPr>
                  </w:pPr>
                  <w:r w:rsidRPr="00341369">
                    <w:rPr>
                      <w:rFonts w:cs="Arial"/>
                      <w:b/>
                      <w:bCs/>
                      <w:szCs w:val="20"/>
                    </w:rPr>
                    <w:t>5026-0001-00</w:t>
                  </w:r>
                </w:p>
                <w:p w14:paraId="17CA1C4E" w14:textId="77777777" w:rsidR="00882388" w:rsidRPr="00341369" w:rsidRDefault="00882388" w:rsidP="00F50B67">
                  <w:pPr>
                    <w:pStyle w:val="BodyText"/>
                    <w:rPr>
                      <w:rFonts w:cs="Arial"/>
                      <w:szCs w:val="20"/>
                    </w:rPr>
                  </w:pPr>
                  <w:r w:rsidRPr="00341369">
                    <w:rPr>
                      <w:rFonts w:cs="Arial"/>
                      <w:szCs w:val="20"/>
                    </w:rPr>
                    <w:t>1 X 16 mL</w:t>
                  </w:r>
                </w:p>
              </w:tc>
              <w:tc>
                <w:tcPr>
                  <w:tcW w:w="3333" w:type="dxa"/>
                  <w:vMerge w:val="restart"/>
                  <w:tcBorders>
                    <w:right w:val="single" w:sz="4" w:space="0" w:color="auto"/>
                  </w:tcBorders>
                  <w:vAlign w:val="center"/>
                </w:tcPr>
                <w:p w14:paraId="17CA1C4F" w14:textId="77777777" w:rsidR="00882388" w:rsidRPr="00341369" w:rsidRDefault="00882388" w:rsidP="00F50B67">
                  <w:pPr>
                    <w:pStyle w:val="BodyText"/>
                    <w:spacing w:after="120"/>
                    <w:jc w:val="both"/>
                    <w:rPr>
                      <w:rFonts w:cs="Arial"/>
                      <w:szCs w:val="20"/>
                    </w:rPr>
                  </w:pPr>
                  <w:r w:rsidRPr="00341369">
                    <w:rPr>
                      <w:rFonts w:cs="Arial"/>
                      <w:b/>
                      <w:szCs w:val="20"/>
                    </w:rPr>
                    <w:t>Unopened:</w:t>
                  </w:r>
                  <w:r w:rsidRPr="00341369">
                    <w:rPr>
                      <w:rFonts w:cs="Arial"/>
                      <w:szCs w:val="20"/>
                    </w:rPr>
                    <w:t xml:space="preserve"> 2–8°C, upright and tightly closed, expiration date printed on the label </w:t>
                  </w:r>
                </w:p>
                <w:p w14:paraId="17CA1C50" w14:textId="77777777" w:rsidR="00882388" w:rsidRPr="00341369" w:rsidRDefault="00882388" w:rsidP="00F50B67">
                  <w:pPr>
                    <w:pStyle w:val="BodyText"/>
                    <w:spacing w:after="120"/>
                    <w:jc w:val="both"/>
                    <w:rPr>
                      <w:rFonts w:cs="Arial"/>
                      <w:szCs w:val="20"/>
                    </w:rPr>
                  </w:pPr>
                  <w:r w:rsidRPr="00341369">
                    <w:rPr>
                      <w:rFonts w:cs="Arial"/>
                      <w:szCs w:val="20"/>
                    </w:rPr>
                    <w:t>Do not freeze reagents. Avoid prolonged exposure to temperatures above 32°C</w:t>
                  </w:r>
                </w:p>
                <w:p w14:paraId="17CA1C51" w14:textId="77777777" w:rsidR="00882388" w:rsidRPr="00341369" w:rsidRDefault="00882388" w:rsidP="00F50B67">
                  <w:pPr>
                    <w:pStyle w:val="BodyText"/>
                    <w:spacing w:after="120"/>
                    <w:jc w:val="both"/>
                    <w:rPr>
                      <w:rFonts w:cs="Arial"/>
                      <w:szCs w:val="20"/>
                    </w:rPr>
                  </w:pPr>
                  <w:r w:rsidRPr="00341369">
                    <w:rPr>
                      <w:rFonts w:cs="Arial"/>
                      <w:szCs w:val="20"/>
                    </w:rPr>
                    <w:t>Improper storage of reagents can affect assay performance</w:t>
                  </w:r>
                </w:p>
              </w:tc>
              <w:tc>
                <w:tcPr>
                  <w:tcW w:w="2892" w:type="dxa"/>
                  <w:vMerge w:val="restart"/>
                  <w:tcBorders>
                    <w:right w:val="single" w:sz="4" w:space="0" w:color="auto"/>
                  </w:tcBorders>
                  <w:vAlign w:val="center"/>
                </w:tcPr>
                <w:p w14:paraId="17CA1C52" w14:textId="77777777" w:rsidR="004E472D" w:rsidRPr="00341369" w:rsidRDefault="00882388" w:rsidP="00F50B67">
                  <w:pPr>
                    <w:autoSpaceDE w:val="0"/>
                    <w:autoSpaceDN w:val="0"/>
                    <w:adjustRightInd w:val="0"/>
                    <w:jc w:val="both"/>
                    <w:rPr>
                      <w:rFonts w:cs="Arial"/>
                      <w:szCs w:val="20"/>
                    </w:rPr>
                  </w:pPr>
                  <w:r w:rsidRPr="00341369">
                    <w:rPr>
                      <w:rFonts w:cs="Arial"/>
                      <w:szCs w:val="20"/>
                    </w:rPr>
                    <w:t>Liquid, ready to use, may be used directly from the refrigerator</w:t>
                  </w:r>
                  <w:r w:rsidR="004E472D" w:rsidRPr="00341369">
                    <w:rPr>
                      <w:rFonts w:cs="Arial"/>
                      <w:szCs w:val="20"/>
                    </w:rPr>
                    <w:t xml:space="preserve"> </w:t>
                  </w:r>
                </w:p>
                <w:p w14:paraId="17CA1C53" w14:textId="77777777" w:rsidR="004E472D" w:rsidRPr="00341369" w:rsidRDefault="004E472D" w:rsidP="00F50B67">
                  <w:pPr>
                    <w:autoSpaceDE w:val="0"/>
                    <w:autoSpaceDN w:val="0"/>
                    <w:adjustRightInd w:val="0"/>
                    <w:jc w:val="both"/>
                    <w:rPr>
                      <w:rFonts w:cs="Arial"/>
                      <w:szCs w:val="20"/>
                    </w:rPr>
                  </w:pPr>
                </w:p>
                <w:p w14:paraId="17CA1C54" w14:textId="77777777" w:rsidR="00882388" w:rsidRPr="00341369" w:rsidRDefault="004E472D" w:rsidP="00F50B67">
                  <w:pPr>
                    <w:autoSpaceDE w:val="0"/>
                    <w:autoSpaceDN w:val="0"/>
                    <w:adjustRightInd w:val="0"/>
                    <w:jc w:val="both"/>
                    <w:rPr>
                      <w:rFonts w:cs="Arial"/>
                      <w:szCs w:val="20"/>
                    </w:rPr>
                  </w:pPr>
                  <w:r w:rsidRPr="00341369">
                    <w:rPr>
                      <w:rFonts w:cs="Arial"/>
                      <w:szCs w:val="20"/>
                    </w:rPr>
                    <w:t xml:space="preserve">Reagents </w:t>
                  </w:r>
                  <w:r w:rsidRPr="00341369">
                    <w:rPr>
                      <w:rFonts w:cs="Arial"/>
                      <w:b/>
                      <w:szCs w:val="20"/>
                    </w:rPr>
                    <w:t>R1</w:t>
                  </w:r>
                  <w:r w:rsidRPr="00341369">
                    <w:rPr>
                      <w:rFonts w:cs="Arial"/>
                      <w:szCs w:val="20"/>
                    </w:rPr>
                    <w:t xml:space="preserve"> and </w:t>
                  </w:r>
                  <w:r w:rsidRPr="00341369">
                    <w:rPr>
                      <w:rFonts w:cs="Arial"/>
                      <w:b/>
                      <w:szCs w:val="20"/>
                    </w:rPr>
                    <w:t>R2</w:t>
                  </w:r>
                  <w:r w:rsidRPr="00341369">
                    <w:rPr>
                      <w:rFonts w:cs="Arial"/>
                      <w:szCs w:val="20"/>
                    </w:rPr>
                    <w:t xml:space="preserve"> are provided as a matched set and should not be interchanged with reagents from different lot numbers.</w:t>
                  </w:r>
                </w:p>
              </w:tc>
            </w:tr>
            <w:tr w:rsidR="00882388" w:rsidRPr="00341369" w14:paraId="17CA1C5C" w14:textId="77777777" w:rsidTr="00A56CF1">
              <w:trPr>
                <w:cantSplit/>
                <w:trHeight w:val="514"/>
              </w:trPr>
              <w:tc>
                <w:tcPr>
                  <w:tcW w:w="2864" w:type="dxa"/>
                  <w:vAlign w:val="center"/>
                </w:tcPr>
                <w:p w14:paraId="17CA1C56" w14:textId="77777777" w:rsidR="00882388" w:rsidRPr="00341369" w:rsidRDefault="00882388" w:rsidP="00F50B67">
                  <w:pPr>
                    <w:autoSpaceDE w:val="0"/>
                    <w:autoSpaceDN w:val="0"/>
                    <w:adjustRightInd w:val="0"/>
                    <w:rPr>
                      <w:rFonts w:cs="Arial"/>
                      <w:b/>
                      <w:bCs/>
                      <w:szCs w:val="20"/>
                    </w:rPr>
                  </w:pPr>
                  <w:r w:rsidRPr="00341369">
                    <w:rPr>
                      <w:rFonts w:cs="Arial"/>
                      <w:b/>
                      <w:bCs/>
                      <w:szCs w:val="20"/>
                    </w:rPr>
                    <w:t>Reagent – Enzyme</w:t>
                  </w:r>
                  <w:r w:rsidR="009D24CE" w:rsidRPr="00341369">
                    <w:rPr>
                      <w:rFonts w:cs="Arial"/>
                      <w:b/>
                      <w:bCs/>
                      <w:szCs w:val="20"/>
                    </w:rPr>
                    <w:t xml:space="preserve"> R2</w:t>
                  </w:r>
                </w:p>
                <w:p w14:paraId="17CA1C57" w14:textId="77777777" w:rsidR="00882388" w:rsidRPr="00341369" w:rsidRDefault="00882388" w:rsidP="00F50B67">
                  <w:pPr>
                    <w:pStyle w:val="BodyText"/>
                    <w:rPr>
                      <w:rFonts w:cs="Arial"/>
                      <w:szCs w:val="20"/>
                    </w:rPr>
                  </w:pPr>
                </w:p>
                <w:p w14:paraId="17CA1C58" w14:textId="77777777" w:rsidR="00882388" w:rsidRPr="00341369" w:rsidRDefault="00882388" w:rsidP="00F50B67">
                  <w:pPr>
                    <w:pStyle w:val="BodyText"/>
                    <w:rPr>
                      <w:rFonts w:cs="Arial"/>
                      <w:szCs w:val="20"/>
                    </w:rPr>
                  </w:pPr>
                  <w:r w:rsidRPr="00341369">
                    <w:rPr>
                      <w:rFonts w:cs="Arial"/>
                      <w:b/>
                      <w:bCs/>
                      <w:szCs w:val="20"/>
                    </w:rPr>
                    <w:t>5026-0001-02</w:t>
                  </w:r>
                </w:p>
                <w:p w14:paraId="17CA1C59" w14:textId="77777777" w:rsidR="00882388" w:rsidRPr="00341369" w:rsidRDefault="00882388" w:rsidP="00F50B67">
                  <w:pPr>
                    <w:pStyle w:val="BodyText"/>
                    <w:rPr>
                      <w:rFonts w:cs="Arial"/>
                      <w:szCs w:val="20"/>
                    </w:rPr>
                  </w:pPr>
                  <w:r w:rsidRPr="00341369">
                    <w:rPr>
                      <w:rFonts w:cs="Arial"/>
                      <w:szCs w:val="20"/>
                    </w:rPr>
                    <w:t>1 X 8 mL</w:t>
                  </w:r>
                </w:p>
              </w:tc>
              <w:tc>
                <w:tcPr>
                  <w:tcW w:w="3333" w:type="dxa"/>
                  <w:vMerge/>
                  <w:tcBorders>
                    <w:right w:val="single" w:sz="4" w:space="0" w:color="auto"/>
                  </w:tcBorders>
                  <w:vAlign w:val="center"/>
                </w:tcPr>
                <w:p w14:paraId="17CA1C5A" w14:textId="77777777" w:rsidR="00882388" w:rsidRPr="00341369" w:rsidRDefault="00882388" w:rsidP="00F50B67">
                  <w:pPr>
                    <w:pStyle w:val="BodyText"/>
                    <w:jc w:val="both"/>
                    <w:rPr>
                      <w:rFonts w:cs="Arial"/>
                      <w:szCs w:val="20"/>
                    </w:rPr>
                  </w:pPr>
                </w:p>
              </w:tc>
              <w:tc>
                <w:tcPr>
                  <w:tcW w:w="2892" w:type="dxa"/>
                  <w:vMerge/>
                  <w:tcBorders>
                    <w:right w:val="single" w:sz="4" w:space="0" w:color="auto"/>
                  </w:tcBorders>
                  <w:vAlign w:val="center"/>
                </w:tcPr>
                <w:p w14:paraId="17CA1C5B" w14:textId="77777777" w:rsidR="00882388" w:rsidRPr="00341369" w:rsidRDefault="00882388" w:rsidP="00F50B67">
                  <w:pPr>
                    <w:pStyle w:val="BodyText"/>
                    <w:jc w:val="both"/>
                    <w:rPr>
                      <w:rFonts w:cs="Arial"/>
                      <w:szCs w:val="20"/>
                    </w:rPr>
                  </w:pPr>
                </w:p>
              </w:tc>
            </w:tr>
            <w:tr w:rsidR="00882388" w:rsidRPr="00341369" w14:paraId="17CA1C62" w14:textId="77777777" w:rsidTr="00A56CF1">
              <w:trPr>
                <w:cantSplit/>
                <w:trHeight w:val="479"/>
              </w:trPr>
              <w:tc>
                <w:tcPr>
                  <w:tcW w:w="2864" w:type="dxa"/>
                  <w:vAlign w:val="center"/>
                </w:tcPr>
                <w:p w14:paraId="17CA1C5D" w14:textId="77777777" w:rsidR="009D24CE" w:rsidRPr="00341369" w:rsidRDefault="00882388" w:rsidP="00F50B67">
                  <w:pPr>
                    <w:autoSpaceDE w:val="0"/>
                    <w:autoSpaceDN w:val="0"/>
                    <w:adjustRightInd w:val="0"/>
                    <w:spacing w:after="120"/>
                    <w:rPr>
                      <w:rFonts w:cs="Arial"/>
                      <w:b/>
                      <w:bCs/>
                      <w:szCs w:val="20"/>
                    </w:rPr>
                  </w:pPr>
                  <w:r w:rsidRPr="00341369">
                    <w:rPr>
                      <w:rFonts w:cs="Arial"/>
                      <w:b/>
                      <w:bCs/>
                      <w:szCs w:val="20"/>
                    </w:rPr>
                    <w:t xml:space="preserve">ARK </w:t>
                  </w:r>
                  <w:r w:rsidR="00AB51A0" w:rsidRPr="000E7C87">
                    <w:rPr>
                      <w:rFonts w:cs="Arial"/>
                      <w:b/>
                      <w:szCs w:val="20"/>
                    </w:rPr>
                    <w:t>Methotrexate</w:t>
                  </w:r>
                  <w:r w:rsidRPr="00341369">
                    <w:rPr>
                      <w:rFonts w:cs="Arial"/>
                      <w:b/>
                      <w:bCs/>
                      <w:szCs w:val="20"/>
                    </w:rPr>
                    <w:t xml:space="preserve"> Calibrator</w:t>
                  </w:r>
                </w:p>
                <w:p w14:paraId="17CA1C5E" w14:textId="77777777" w:rsidR="00882388" w:rsidRPr="00341369" w:rsidRDefault="00882388" w:rsidP="00F50B67">
                  <w:pPr>
                    <w:autoSpaceDE w:val="0"/>
                    <w:autoSpaceDN w:val="0"/>
                    <w:adjustRightInd w:val="0"/>
                    <w:rPr>
                      <w:rFonts w:cs="Arial"/>
                      <w:b/>
                      <w:bCs/>
                      <w:szCs w:val="20"/>
                    </w:rPr>
                  </w:pPr>
                  <w:r w:rsidRPr="00341369">
                    <w:rPr>
                      <w:rFonts w:cs="Arial"/>
                      <w:b/>
                      <w:bCs/>
                      <w:szCs w:val="20"/>
                    </w:rPr>
                    <w:t>5023-0002-00</w:t>
                  </w:r>
                </w:p>
              </w:tc>
              <w:tc>
                <w:tcPr>
                  <w:tcW w:w="3333" w:type="dxa"/>
                  <w:tcBorders>
                    <w:right w:val="single" w:sz="4" w:space="0" w:color="auto"/>
                  </w:tcBorders>
                  <w:vAlign w:val="center"/>
                </w:tcPr>
                <w:p w14:paraId="17CA1C5F" w14:textId="77777777" w:rsidR="00882388" w:rsidRPr="00341369" w:rsidRDefault="00882388" w:rsidP="00F50B67">
                  <w:pPr>
                    <w:autoSpaceDE w:val="0"/>
                    <w:autoSpaceDN w:val="0"/>
                    <w:adjustRightInd w:val="0"/>
                    <w:spacing w:after="120"/>
                    <w:jc w:val="both"/>
                    <w:rPr>
                      <w:rFonts w:cs="Arial"/>
                      <w:szCs w:val="20"/>
                    </w:rPr>
                  </w:pPr>
                  <w:r w:rsidRPr="00341369">
                    <w:rPr>
                      <w:rFonts w:cs="Arial"/>
                      <w:b/>
                      <w:szCs w:val="20"/>
                    </w:rPr>
                    <w:t>Unopened</w:t>
                  </w:r>
                  <w:r w:rsidRPr="00341369">
                    <w:rPr>
                      <w:rFonts w:cs="Arial"/>
                      <w:szCs w:val="20"/>
                    </w:rPr>
                    <w:t>: 2-8°C, date on vial</w:t>
                  </w:r>
                </w:p>
                <w:p w14:paraId="17CA1C60" w14:textId="77777777" w:rsidR="00882388" w:rsidRPr="00341369" w:rsidRDefault="00882388" w:rsidP="00F50B67">
                  <w:pPr>
                    <w:autoSpaceDE w:val="0"/>
                    <w:autoSpaceDN w:val="0"/>
                    <w:adjustRightInd w:val="0"/>
                    <w:spacing w:after="120"/>
                    <w:jc w:val="both"/>
                    <w:rPr>
                      <w:rFonts w:cs="Arial"/>
                      <w:szCs w:val="20"/>
                    </w:rPr>
                  </w:pPr>
                  <w:r w:rsidRPr="00341369">
                    <w:rPr>
                      <w:rFonts w:cs="Arial"/>
                      <w:b/>
                      <w:szCs w:val="20"/>
                    </w:rPr>
                    <w:t>Opened</w:t>
                  </w:r>
                  <w:r w:rsidRPr="00341369">
                    <w:rPr>
                      <w:rFonts w:cs="Arial"/>
                      <w:szCs w:val="20"/>
                    </w:rPr>
                    <w:t>: 2-8°C and tightly capped, 12 months or date on vial</w:t>
                  </w:r>
                </w:p>
              </w:tc>
              <w:tc>
                <w:tcPr>
                  <w:tcW w:w="2892" w:type="dxa"/>
                  <w:tcBorders>
                    <w:right w:val="single" w:sz="4" w:space="0" w:color="auto"/>
                  </w:tcBorders>
                  <w:vAlign w:val="center"/>
                </w:tcPr>
                <w:p w14:paraId="17CA1C61" w14:textId="77777777" w:rsidR="00882388" w:rsidRPr="00341369" w:rsidRDefault="00882388" w:rsidP="00F50B67">
                  <w:pPr>
                    <w:autoSpaceDE w:val="0"/>
                    <w:autoSpaceDN w:val="0"/>
                    <w:adjustRightInd w:val="0"/>
                    <w:jc w:val="both"/>
                    <w:rPr>
                      <w:rFonts w:cs="Arial"/>
                      <w:szCs w:val="20"/>
                    </w:rPr>
                  </w:pPr>
                  <w:r w:rsidRPr="00341369">
                    <w:rPr>
                      <w:rFonts w:cs="Arial"/>
                      <w:szCs w:val="20"/>
                    </w:rPr>
                    <w:t xml:space="preserve">Ready to use. Mix by gentle inversion before dispensing. </w:t>
                  </w:r>
                </w:p>
              </w:tc>
            </w:tr>
            <w:tr w:rsidR="00882388" w:rsidRPr="00341369" w14:paraId="17CA1C69" w14:textId="77777777" w:rsidTr="00A56CF1">
              <w:trPr>
                <w:cantSplit/>
                <w:trHeight w:val="479"/>
              </w:trPr>
              <w:tc>
                <w:tcPr>
                  <w:tcW w:w="2864" w:type="dxa"/>
                  <w:vAlign w:val="center"/>
                </w:tcPr>
                <w:p w14:paraId="17CA1C63" w14:textId="77777777" w:rsidR="000E7C87" w:rsidRDefault="00AE4826" w:rsidP="00F50B67">
                  <w:pPr>
                    <w:pStyle w:val="Default"/>
                    <w:rPr>
                      <w:rFonts w:ascii="Arial" w:hAnsi="Arial" w:cs="Arial"/>
                      <w:b/>
                      <w:bCs/>
                      <w:sz w:val="20"/>
                      <w:szCs w:val="20"/>
                    </w:rPr>
                  </w:pPr>
                  <w:r w:rsidRPr="000E7C87">
                    <w:rPr>
                      <w:rFonts w:ascii="Arial" w:hAnsi="Arial" w:cs="Arial"/>
                      <w:b/>
                      <w:sz w:val="20"/>
                      <w:szCs w:val="20"/>
                    </w:rPr>
                    <w:t xml:space="preserve">ARK Methotrexate </w:t>
                  </w:r>
                  <w:r w:rsidR="00341369" w:rsidRPr="000E7C87">
                    <w:rPr>
                      <w:rFonts w:ascii="Arial" w:hAnsi="Arial" w:cs="Arial"/>
                      <w:b/>
                      <w:bCs/>
                      <w:sz w:val="20"/>
                      <w:szCs w:val="20"/>
                    </w:rPr>
                    <w:t>Calibration Range Controls</w:t>
                  </w:r>
                </w:p>
                <w:p w14:paraId="17CA1C64" w14:textId="77777777" w:rsidR="000E7C87" w:rsidRDefault="000E7C87" w:rsidP="00F50B67">
                  <w:pPr>
                    <w:pStyle w:val="Default"/>
                    <w:rPr>
                      <w:rFonts w:ascii="Arial" w:hAnsi="Arial" w:cs="Arial"/>
                      <w:b/>
                      <w:bCs/>
                      <w:sz w:val="20"/>
                      <w:szCs w:val="20"/>
                    </w:rPr>
                  </w:pPr>
                </w:p>
                <w:p w14:paraId="17CA1C65" w14:textId="77777777" w:rsidR="00882388" w:rsidRPr="00341369" w:rsidRDefault="00AE4826" w:rsidP="00F50B67">
                  <w:pPr>
                    <w:pStyle w:val="Default"/>
                    <w:rPr>
                      <w:rFonts w:ascii="Arial" w:hAnsi="Arial" w:cs="Arial"/>
                      <w:sz w:val="20"/>
                      <w:szCs w:val="20"/>
                    </w:rPr>
                  </w:pPr>
                  <w:r w:rsidRPr="00341369">
                    <w:rPr>
                      <w:rFonts w:ascii="Arial" w:hAnsi="Arial" w:cs="Arial"/>
                      <w:b/>
                      <w:bCs/>
                      <w:sz w:val="20"/>
                      <w:szCs w:val="20"/>
                    </w:rPr>
                    <w:t xml:space="preserve">25026-0003-01 </w:t>
                  </w:r>
                </w:p>
              </w:tc>
              <w:tc>
                <w:tcPr>
                  <w:tcW w:w="3333" w:type="dxa"/>
                  <w:tcBorders>
                    <w:right w:val="single" w:sz="4" w:space="0" w:color="auto"/>
                  </w:tcBorders>
                  <w:vAlign w:val="center"/>
                </w:tcPr>
                <w:p w14:paraId="17CA1C66" w14:textId="77777777" w:rsidR="00341369" w:rsidRPr="00341369" w:rsidRDefault="00341369" w:rsidP="00F50B67">
                  <w:pPr>
                    <w:autoSpaceDE w:val="0"/>
                    <w:autoSpaceDN w:val="0"/>
                    <w:adjustRightInd w:val="0"/>
                    <w:spacing w:after="120"/>
                    <w:jc w:val="both"/>
                    <w:rPr>
                      <w:rFonts w:cs="Arial"/>
                      <w:szCs w:val="20"/>
                    </w:rPr>
                  </w:pPr>
                  <w:r w:rsidRPr="00341369">
                    <w:rPr>
                      <w:rFonts w:cs="Arial"/>
                      <w:b/>
                      <w:szCs w:val="20"/>
                    </w:rPr>
                    <w:t>Unopened</w:t>
                  </w:r>
                  <w:r w:rsidRPr="00341369">
                    <w:rPr>
                      <w:rFonts w:cs="Arial"/>
                      <w:szCs w:val="20"/>
                    </w:rPr>
                    <w:t>: 2-8°C, date on vial</w:t>
                  </w:r>
                </w:p>
                <w:p w14:paraId="17CA1C67" w14:textId="77777777" w:rsidR="00882388" w:rsidRPr="00341369" w:rsidRDefault="00341369" w:rsidP="00F50B67">
                  <w:pPr>
                    <w:autoSpaceDE w:val="0"/>
                    <w:autoSpaceDN w:val="0"/>
                    <w:adjustRightInd w:val="0"/>
                    <w:spacing w:after="120"/>
                    <w:jc w:val="both"/>
                    <w:rPr>
                      <w:rFonts w:cs="Arial"/>
                      <w:b/>
                      <w:szCs w:val="20"/>
                    </w:rPr>
                  </w:pPr>
                  <w:r w:rsidRPr="00341369">
                    <w:rPr>
                      <w:rFonts w:cs="Arial"/>
                      <w:b/>
                      <w:szCs w:val="20"/>
                    </w:rPr>
                    <w:t>Opened</w:t>
                  </w:r>
                  <w:r w:rsidRPr="00341369">
                    <w:rPr>
                      <w:rFonts w:cs="Arial"/>
                      <w:szCs w:val="20"/>
                    </w:rPr>
                    <w:t>: 2-8°C and tightly capped, 12 months or date on vial</w:t>
                  </w:r>
                </w:p>
              </w:tc>
              <w:tc>
                <w:tcPr>
                  <w:tcW w:w="2892" w:type="dxa"/>
                  <w:tcBorders>
                    <w:right w:val="single" w:sz="4" w:space="0" w:color="auto"/>
                  </w:tcBorders>
                  <w:vAlign w:val="center"/>
                </w:tcPr>
                <w:p w14:paraId="17CA1C68" w14:textId="77777777" w:rsidR="00560587" w:rsidRPr="00AB51A0" w:rsidRDefault="00AE4826" w:rsidP="00F50B67">
                  <w:pPr>
                    <w:autoSpaceDE w:val="0"/>
                    <w:autoSpaceDN w:val="0"/>
                    <w:adjustRightInd w:val="0"/>
                    <w:jc w:val="both"/>
                    <w:rPr>
                      <w:rFonts w:cs="Arial"/>
                      <w:color w:val="000000"/>
                      <w:szCs w:val="20"/>
                    </w:rPr>
                  </w:pPr>
                  <w:r w:rsidRPr="00341369">
                    <w:rPr>
                      <w:rFonts w:cs="Arial"/>
                      <w:color w:val="000000"/>
                      <w:szCs w:val="20"/>
                    </w:rPr>
                    <w:t>Controls are ready to use. Mix each level by gentle inversion before dispensing.</w:t>
                  </w:r>
                </w:p>
              </w:tc>
            </w:tr>
            <w:tr w:rsidR="00882388" w:rsidRPr="00341369" w14:paraId="17CA1C71" w14:textId="77777777" w:rsidTr="00A56CF1">
              <w:trPr>
                <w:cantSplit/>
                <w:trHeight w:val="479"/>
              </w:trPr>
              <w:tc>
                <w:tcPr>
                  <w:tcW w:w="2864" w:type="dxa"/>
                  <w:vAlign w:val="center"/>
                </w:tcPr>
                <w:p w14:paraId="17CA1C6A" w14:textId="77777777" w:rsidR="000E7C87" w:rsidRDefault="00882388" w:rsidP="00F50B67">
                  <w:pPr>
                    <w:autoSpaceDE w:val="0"/>
                    <w:autoSpaceDN w:val="0"/>
                    <w:adjustRightInd w:val="0"/>
                    <w:rPr>
                      <w:rFonts w:cs="Arial"/>
                      <w:szCs w:val="20"/>
                    </w:rPr>
                  </w:pPr>
                  <w:r w:rsidRPr="000E7C87">
                    <w:rPr>
                      <w:rFonts w:cs="Arial"/>
                      <w:b/>
                      <w:szCs w:val="20"/>
                    </w:rPr>
                    <w:t>ARK Methotrexate Dilution Buffer</w:t>
                  </w:r>
                  <w:r w:rsidRPr="00341369">
                    <w:rPr>
                      <w:rFonts w:cs="Arial"/>
                      <w:szCs w:val="20"/>
                    </w:rPr>
                    <w:t xml:space="preserve"> </w:t>
                  </w:r>
                </w:p>
                <w:p w14:paraId="17CA1C6B" w14:textId="77777777" w:rsidR="000E7C87" w:rsidRDefault="000E7C87" w:rsidP="00F50B67">
                  <w:pPr>
                    <w:autoSpaceDE w:val="0"/>
                    <w:autoSpaceDN w:val="0"/>
                    <w:adjustRightInd w:val="0"/>
                    <w:rPr>
                      <w:rFonts w:cs="Arial"/>
                      <w:szCs w:val="20"/>
                    </w:rPr>
                  </w:pPr>
                </w:p>
                <w:p w14:paraId="17CA1C6C" w14:textId="77777777" w:rsidR="00341369" w:rsidRPr="00341369" w:rsidRDefault="00882388" w:rsidP="00F50B67">
                  <w:pPr>
                    <w:autoSpaceDE w:val="0"/>
                    <w:autoSpaceDN w:val="0"/>
                    <w:adjustRightInd w:val="0"/>
                    <w:rPr>
                      <w:rFonts w:cs="Arial"/>
                      <w:szCs w:val="20"/>
                    </w:rPr>
                  </w:pPr>
                  <w:r w:rsidRPr="00341369">
                    <w:rPr>
                      <w:rFonts w:cs="Arial"/>
                      <w:szCs w:val="20"/>
                    </w:rPr>
                    <w:t>5026-0004-00</w:t>
                  </w:r>
                </w:p>
              </w:tc>
              <w:tc>
                <w:tcPr>
                  <w:tcW w:w="3333" w:type="dxa"/>
                  <w:tcBorders>
                    <w:right w:val="single" w:sz="4" w:space="0" w:color="auto"/>
                  </w:tcBorders>
                  <w:vAlign w:val="center"/>
                </w:tcPr>
                <w:p w14:paraId="17CA1C6D" w14:textId="77777777" w:rsidR="000E7C87" w:rsidRPr="00341369" w:rsidRDefault="000E7C87" w:rsidP="00F50B67">
                  <w:pPr>
                    <w:autoSpaceDE w:val="0"/>
                    <w:autoSpaceDN w:val="0"/>
                    <w:adjustRightInd w:val="0"/>
                    <w:spacing w:after="120"/>
                    <w:jc w:val="both"/>
                    <w:rPr>
                      <w:rFonts w:cs="Arial"/>
                      <w:szCs w:val="20"/>
                    </w:rPr>
                  </w:pPr>
                  <w:r w:rsidRPr="00341369">
                    <w:rPr>
                      <w:rFonts w:cs="Arial"/>
                      <w:b/>
                      <w:szCs w:val="20"/>
                    </w:rPr>
                    <w:t>Unopened</w:t>
                  </w:r>
                  <w:r w:rsidRPr="00341369">
                    <w:rPr>
                      <w:rFonts w:cs="Arial"/>
                      <w:szCs w:val="20"/>
                    </w:rPr>
                    <w:t>: 2-8°C, date on vial</w:t>
                  </w:r>
                </w:p>
                <w:p w14:paraId="17CA1C6E" w14:textId="77777777" w:rsidR="00882388" w:rsidRPr="000E7C87" w:rsidRDefault="000E7C87" w:rsidP="00F50B67">
                  <w:pPr>
                    <w:autoSpaceDE w:val="0"/>
                    <w:autoSpaceDN w:val="0"/>
                    <w:adjustRightInd w:val="0"/>
                    <w:jc w:val="both"/>
                    <w:rPr>
                      <w:rFonts w:cs="Arial"/>
                      <w:color w:val="000000"/>
                      <w:szCs w:val="20"/>
                    </w:rPr>
                  </w:pPr>
                  <w:r w:rsidRPr="00341369">
                    <w:rPr>
                      <w:rFonts w:cs="Arial"/>
                      <w:b/>
                      <w:szCs w:val="20"/>
                    </w:rPr>
                    <w:t>Opened</w:t>
                  </w:r>
                  <w:r w:rsidRPr="00341369">
                    <w:rPr>
                      <w:rFonts w:cs="Arial"/>
                      <w:szCs w:val="20"/>
                    </w:rPr>
                    <w:t>: 2-8°C and tightly capped, 12 months or date on vial</w:t>
                  </w:r>
                </w:p>
              </w:tc>
              <w:tc>
                <w:tcPr>
                  <w:tcW w:w="2892" w:type="dxa"/>
                  <w:tcBorders>
                    <w:right w:val="single" w:sz="4" w:space="0" w:color="auto"/>
                  </w:tcBorders>
                  <w:vAlign w:val="center"/>
                </w:tcPr>
                <w:p w14:paraId="17CA1C6F" w14:textId="77777777" w:rsidR="000E7C87" w:rsidRDefault="00341369" w:rsidP="00F50B67">
                  <w:pPr>
                    <w:autoSpaceDE w:val="0"/>
                    <w:autoSpaceDN w:val="0"/>
                    <w:adjustRightInd w:val="0"/>
                    <w:spacing w:after="120"/>
                    <w:jc w:val="both"/>
                    <w:rPr>
                      <w:rFonts w:cs="Arial"/>
                      <w:color w:val="000000"/>
                      <w:szCs w:val="20"/>
                    </w:rPr>
                  </w:pPr>
                  <w:r w:rsidRPr="00341369">
                    <w:rPr>
                      <w:rFonts w:cs="Arial"/>
                      <w:color w:val="000000"/>
                      <w:szCs w:val="20"/>
                    </w:rPr>
                    <w:t>Dilution Buffer is ready to use. Mix by gentle inversion before dispensing.</w:t>
                  </w:r>
                </w:p>
                <w:p w14:paraId="17CA1C70" w14:textId="77777777" w:rsidR="00882388" w:rsidRPr="00341369" w:rsidRDefault="000E7C87" w:rsidP="00F50B67">
                  <w:pPr>
                    <w:autoSpaceDE w:val="0"/>
                    <w:autoSpaceDN w:val="0"/>
                    <w:adjustRightInd w:val="0"/>
                    <w:jc w:val="both"/>
                    <w:rPr>
                      <w:rFonts w:cs="Arial"/>
                      <w:szCs w:val="20"/>
                    </w:rPr>
                  </w:pPr>
                  <w:r>
                    <w:rPr>
                      <w:rFonts w:cs="Arial"/>
                      <w:color w:val="000000"/>
                      <w:szCs w:val="20"/>
                    </w:rPr>
                    <w:t>C</w:t>
                  </w:r>
                  <w:r w:rsidRPr="00341369">
                    <w:rPr>
                      <w:rFonts w:cs="Arial"/>
                      <w:color w:val="000000"/>
                      <w:szCs w:val="20"/>
                    </w:rPr>
                    <w:t>omposition is equivalent to Calibrator A (zero)</w:t>
                  </w:r>
                </w:p>
              </w:tc>
            </w:tr>
          </w:tbl>
          <w:p w14:paraId="17CA1C72" w14:textId="77777777" w:rsidR="00882388" w:rsidRPr="00341369" w:rsidRDefault="00882388" w:rsidP="00F50B67">
            <w:pPr>
              <w:pStyle w:val="Reagents"/>
              <w:rPr>
                <w:rFonts w:ascii="Arial" w:hAnsi="Arial" w:cs="Arial"/>
              </w:rPr>
            </w:pPr>
          </w:p>
        </w:tc>
      </w:tr>
      <w:tr w:rsidR="00882388" w14:paraId="17CA1C76" w14:textId="77777777" w:rsidTr="00AD6032">
        <w:trPr>
          <w:trHeight w:val="133"/>
          <w:tblHeader/>
        </w:trPr>
        <w:tc>
          <w:tcPr>
            <w:tcW w:w="1803" w:type="dxa"/>
          </w:tcPr>
          <w:p w14:paraId="17CA1C74" w14:textId="77777777" w:rsidR="00882388" w:rsidRDefault="00882388">
            <w:pPr>
              <w:ind w:right="-108"/>
              <w:rPr>
                <w:rFonts w:cs="Arial"/>
                <w:b/>
                <w:bCs/>
                <w:color w:val="0000FF"/>
              </w:rPr>
            </w:pPr>
          </w:p>
        </w:tc>
        <w:tc>
          <w:tcPr>
            <w:tcW w:w="9204" w:type="dxa"/>
            <w:gridSpan w:val="10"/>
            <w:tcBorders>
              <w:top w:val="single" w:sz="18" w:space="0" w:color="A6A6A6" w:themeColor="background1" w:themeShade="A6"/>
            </w:tcBorders>
          </w:tcPr>
          <w:p w14:paraId="17CA1C75" w14:textId="77777777" w:rsidR="00882388" w:rsidRDefault="00882388"/>
        </w:tc>
      </w:tr>
      <w:tr w:rsidR="00882388" w14:paraId="17CA1C7B" w14:textId="77777777" w:rsidTr="00AD6032">
        <w:trPr>
          <w:cantSplit/>
          <w:trHeight w:val="234"/>
          <w:tblHeader/>
        </w:trPr>
        <w:tc>
          <w:tcPr>
            <w:tcW w:w="1803" w:type="dxa"/>
            <w:vMerge w:val="restart"/>
            <w:tcBorders>
              <w:bottom w:val="nil"/>
              <w:right w:val="single" w:sz="4" w:space="0" w:color="auto"/>
            </w:tcBorders>
          </w:tcPr>
          <w:p w14:paraId="17CA1C77" w14:textId="5F49140E" w:rsidR="00882388" w:rsidRDefault="00A56CF1">
            <w:pPr>
              <w:ind w:right="-108"/>
              <w:rPr>
                <w:rFonts w:cs="Arial"/>
                <w:b/>
                <w:bCs/>
                <w:color w:val="0000FF"/>
              </w:rPr>
            </w:pPr>
            <w:r>
              <w:rPr>
                <w:rFonts w:cs="Arial"/>
                <w:b/>
                <w:bCs/>
                <w:color w:val="0000FF"/>
              </w:rPr>
              <w:t>Filling the Reagent Cartridge</w:t>
            </w:r>
          </w:p>
          <w:p w14:paraId="17CA1C78" w14:textId="77777777" w:rsidR="00882388" w:rsidRDefault="00882388">
            <w:pPr>
              <w:ind w:right="-108"/>
              <w:rPr>
                <w:rFonts w:cs="Arial"/>
                <w:b/>
                <w:bCs/>
                <w:color w:val="0000FF"/>
              </w:rPr>
            </w:pPr>
          </w:p>
        </w:tc>
        <w:tc>
          <w:tcPr>
            <w:tcW w:w="902" w:type="dxa"/>
            <w:gridSpan w:val="2"/>
            <w:tcBorders>
              <w:top w:val="single" w:sz="4" w:space="0" w:color="auto"/>
              <w:left w:val="single" w:sz="4" w:space="0" w:color="auto"/>
              <w:bottom w:val="single" w:sz="4" w:space="0" w:color="auto"/>
              <w:right w:val="single" w:sz="4" w:space="0" w:color="auto"/>
            </w:tcBorders>
          </w:tcPr>
          <w:p w14:paraId="17CA1C79" w14:textId="77777777" w:rsidR="00882388" w:rsidRDefault="00882388">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302" w:type="dxa"/>
            <w:gridSpan w:val="8"/>
            <w:tcBorders>
              <w:top w:val="single" w:sz="4" w:space="0" w:color="auto"/>
              <w:left w:val="single" w:sz="4" w:space="0" w:color="auto"/>
              <w:bottom w:val="single" w:sz="4" w:space="0" w:color="auto"/>
              <w:right w:val="single" w:sz="4" w:space="0" w:color="auto"/>
            </w:tcBorders>
          </w:tcPr>
          <w:p w14:paraId="17CA1C7A" w14:textId="77777777" w:rsidR="00882388" w:rsidRDefault="00882388">
            <w:pPr>
              <w:pStyle w:val="Default"/>
              <w:rPr>
                <w:rFonts w:ascii="Arial" w:hAnsi="Arial" w:cs="Arial"/>
                <w:color w:val="0000FF"/>
                <w:sz w:val="20"/>
                <w:szCs w:val="23"/>
              </w:rPr>
            </w:pPr>
            <w:r>
              <w:rPr>
                <w:rFonts w:ascii="Arial" w:hAnsi="Arial" w:cs="Arial"/>
                <w:b/>
                <w:bCs/>
                <w:color w:val="0000FF"/>
                <w:sz w:val="20"/>
                <w:szCs w:val="23"/>
              </w:rPr>
              <w:t xml:space="preserve">ACTION </w:t>
            </w:r>
          </w:p>
        </w:tc>
      </w:tr>
      <w:tr w:rsidR="00882388" w14:paraId="17CA1C80" w14:textId="77777777" w:rsidTr="00A56CF1">
        <w:trPr>
          <w:cantSplit/>
          <w:trHeight w:val="404"/>
          <w:tblHeader/>
        </w:trPr>
        <w:tc>
          <w:tcPr>
            <w:tcW w:w="1803" w:type="dxa"/>
            <w:vMerge/>
            <w:tcBorders>
              <w:right w:val="single" w:sz="4" w:space="0" w:color="auto"/>
            </w:tcBorders>
          </w:tcPr>
          <w:p w14:paraId="17CA1C7C" w14:textId="77777777" w:rsidR="00882388" w:rsidRDefault="00882388">
            <w:pPr>
              <w:ind w:right="-108"/>
              <w:rPr>
                <w:rFonts w:cs="Arial"/>
                <w:b/>
                <w:bCs/>
                <w:color w:val="0000FF"/>
              </w:rPr>
            </w:pPr>
          </w:p>
        </w:tc>
        <w:tc>
          <w:tcPr>
            <w:tcW w:w="902" w:type="dxa"/>
            <w:gridSpan w:val="2"/>
            <w:tcBorders>
              <w:top w:val="single" w:sz="4" w:space="0" w:color="auto"/>
              <w:left w:val="single" w:sz="4" w:space="0" w:color="auto"/>
              <w:bottom w:val="single" w:sz="4" w:space="0" w:color="auto"/>
              <w:right w:val="single" w:sz="4" w:space="0" w:color="auto"/>
            </w:tcBorders>
          </w:tcPr>
          <w:p w14:paraId="17CA1C7D" w14:textId="77777777" w:rsidR="00882388" w:rsidRDefault="00882388" w:rsidP="00E63733">
            <w:pPr>
              <w:pStyle w:val="Default"/>
              <w:numPr>
                <w:ilvl w:val="0"/>
                <w:numId w:val="34"/>
              </w:numPr>
              <w:ind w:left="288" w:firstLine="0"/>
              <w:rPr>
                <w:rFonts w:ascii="Arial" w:hAnsi="Arial" w:cs="Arial"/>
                <w:sz w:val="20"/>
                <w:szCs w:val="23"/>
              </w:rPr>
            </w:pPr>
          </w:p>
        </w:tc>
        <w:tc>
          <w:tcPr>
            <w:tcW w:w="830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8E9546A" w14:textId="2E026639" w:rsidR="006F4862" w:rsidRDefault="00882388" w:rsidP="000F1D14">
            <w:pPr>
              <w:pStyle w:val="BodyText"/>
              <w:rPr>
                <w:rFonts w:cs="Arial"/>
                <w:szCs w:val="23"/>
              </w:rPr>
            </w:pPr>
            <w:r>
              <w:rPr>
                <w:rFonts w:cs="Arial"/>
                <w:szCs w:val="23"/>
              </w:rPr>
              <w:t>Obtai</w:t>
            </w:r>
            <w:r w:rsidR="00A56CF1">
              <w:rPr>
                <w:rFonts w:cs="Arial"/>
                <w:szCs w:val="23"/>
              </w:rPr>
              <w:t>n an empty, black Alinity reagent cartridge and remove the caps.</w:t>
            </w:r>
          </w:p>
          <w:p w14:paraId="17CA1C7F" w14:textId="21DBFC15" w:rsidR="00882388" w:rsidRDefault="00882388" w:rsidP="000F1D14">
            <w:pPr>
              <w:pStyle w:val="BodyText"/>
              <w:rPr>
                <w:rFonts w:cs="Arial"/>
                <w:szCs w:val="23"/>
              </w:rPr>
            </w:pPr>
          </w:p>
        </w:tc>
      </w:tr>
      <w:tr w:rsidR="00882388" w:rsidRPr="00926470" w14:paraId="17CA1C84" w14:textId="77777777" w:rsidTr="00AD6032">
        <w:trPr>
          <w:cantSplit/>
          <w:trHeight w:val="305"/>
          <w:tblHeader/>
        </w:trPr>
        <w:tc>
          <w:tcPr>
            <w:tcW w:w="1803" w:type="dxa"/>
            <w:tcBorders>
              <w:right w:val="single" w:sz="4" w:space="0" w:color="auto"/>
            </w:tcBorders>
          </w:tcPr>
          <w:p w14:paraId="17CA1C81" w14:textId="77777777" w:rsidR="00882388" w:rsidRPr="00926470" w:rsidRDefault="00882388">
            <w:pPr>
              <w:ind w:right="-108"/>
              <w:rPr>
                <w:rFonts w:cs="Arial"/>
                <w:b/>
                <w:bCs/>
                <w:color w:val="0000FF"/>
                <w:szCs w:val="20"/>
              </w:rPr>
            </w:pPr>
          </w:p>
        </w:tc>
        <w:tc>
          <w:tcPr>
            <w:tcW w:w="902" w:type="dxa"/>
            <w:gridSpan w:val="2"/>
            <w:tcBorders>
              <w:top w:val="single" w:sz="4" w:space="0" w:color="auto"/>
              <w:left w:val="single" w:sz="4" w:space="0" w:color="auto"/>
              <w:bottom w:val="single" w:sz="4" w:space="0" w:color="auto"/>
              <w:right w:val="single" w:sz="4" w:space="0" w:color="auto"/>
            </w:tcBorders>
          </w:tcPr>
          <w:p w14:paraId="17CA1C82" w14:textId="77777777" w:rsidR="00882388" w:rsidRPr="00926470" w:rsidRDefault="00882388" w:rsidP="00E63733">
            <w:pPr>
              <w:pStyle w:val="Default"/>
              <w:numPr>
                <w:ilvl w:val="0"/>
                <w:numId w:val="34"/>
              </w:numPr>
              <w:ind w:left="288" w:firstLine="0"/>
              <w:rPr>
                <w:rFonts w:ascii="Arial" w:hAnsi="Arial" w:cs="Arial"/>
                <w:sz w:val="20"/>
                <w:szCs w:val="20"/>
              </w:rPr>
            </w:pPr>
          </w:p>
        </w:tc>
        <w:tc>
          <w:tcPr>
            <w:tcW w:w="8302" w:type="dxa"/>
            <w:gridSpan w:val="8"/>
            <w:tcBorders>
              <w:top w:val="single" w:sz="4" w:space="0" w:color="auto"/>
              <w:left w:val="single" w:sz="4" w:space="0" w:color="auto"/>
              <w:bottom w:val="single" w:sz="4" w:space="0" w:color="auto"/>
              <w:right w:val="single" w:sz="4" w:space="0" w:color="auto"/>
            </w:tcBorders>
            <w:vAlign w:val="center"/>
          </w:tcPr>
          <w:p w14:paraId="17CA1C83" w14:textId="5AC72A4D" w:rsidR="00882388" w:rsidRPr="00926470" w:rsidRDefault="00882388" w:rsidP="003A7143">
            <w:pPr>
              <w:pStyle w:val="BodyText"/>
              <w:jc w:val="both"/>
              <w:rPr>
                <w:rFonts w:cs="Arial"/>
                <w:szCs w:val="20"/>
              </w:rPr>
            </w:pPr>
            <w:r w:rsidRPr="00926470">
              <w:rPr>
                <w:rFonts w:cs="Arial"/>
                <w:szCs w:val="20"/>
              </w:rPr>
              <w:t xml:space="preserve">Add </w:t>
            </w:r>
            <w:r>
              <w:rPr>
                <w:rFonts w:cs="Arial"/>
                <w:szCs w:val="20"/>
              </w:rPr>
              <w:t>Methotrexate</w:t>
            </w:r>
            <w:r w:rsidRPr="00926470">
              <w:rPr>
                <w:rFonts w:cs="Arial"/>
                <w:szCs w:val="20"/>
              </w:rPr>
              <w:t xml:space="preserve"> Reagent 1 and Reagent 2 by following steps 3-</w:t>
            </w:r>
            <w:r w:rsidR="00A56CF1">
              <w:rPr>
                <w:rFonts w:cs="Arial"/>
                <w:szCs w:val="20"/>
              </w:rPr>
              <w:t>4</w:t>
            </w:r>
          </w:p>
        </w:tc>
      </w:tr>
      <w:tr w:rsidR="00882388" w:rsidRPr="00926470" w14:paraId="17CA1C88" w14:textId="77777777" w:rsidTr="00AD6032">
        <w:trPr>
          <w:cantSplit/>
          <w:trHeight w:val="332"/>
          <w:tblHeader/>
        </w:trPr>
        <w:tc>
          <w:tcPr>
            <w:tcW w:w="1803" w:type="dxa"/>
            <w:tcBorders>
              <w:right w:val="single" w:sz="4" w:space="0" w:color="auto"/>
            </w:tcBorders>
          </w:tcPr>
          <w:p w14:paraId="17CA1C85" w14:textId="77777777" w:rsidR="00882388" w:rsidRPr="00926470" w:rsidRDefault="00882388">
            <w:pPr>
              <w:ind w:right="-108"/>
              <w:rPr>
                <w:rFonts w:cs="Arial"/>
                <w:b/>
                <w:bCs/>
                <w:color w:val="0000FF"/>
                <w:szCs w:val="20"/>
              </w:rPr>
            </w:pPr>
          </w:p>
        </w:tc>
        <w:tc>
          <w:tcPr>
            <w:tcW w:w="902" w:type="dxa"/>
            <w:gridSpan w:val="2"/>
            <w:tcBorders>
              <w:top w:val="single" w:sz="4" w:space="0" w:color="auto"/>
              <w:left w:val="single" w:sz="4" w:space="0" w:color="auto"/>
              <w:bottom w:val="single" w:sz="4" w:space="0" w:color="auto"/>
              <w:right w:val="single" w:sz="4" w:space="0" w:color="auto"/>
            </w:tcBorders>
          </w:tcPr>
          <w:p w14:paraId="17CA1C86" w14:textId="77777777" w:rsidR="00882388" w:rsidRPr="00926470" w:rsidRDefault="00882388" w:rsidP="00E63733">
            <w:pPr>
              <w:pStyle w:val="Default"/>
              <w:numPr>
                <w:ilvl w:val="0"/>
                <w:numId w:val="34"/>
              </w:numPr>
              <w:ind w:left="288" w:firstLine="0"/>
              <w:rPr>
                <w:rFonts w:ascii="Arial" w:hAnsi="Arial" w:cs="Arial"/>
                <w:sz w:val="20"/>
                <w:szCs w:val="20"/>
              </w:rPr>
            </w:pPr>
          </w:p>
        </w:tc>
        <w:tc>
          <w:tcPr>
            <w:tcW w:w="8302" w:type="dxa"/>
            <w:gridSpan w:val="8"/>
            <w:tcBorders>
              <w:top w:val="single" w:sz="4" w:space="0" w:color="auto"/>
              <w:left w:val="single" w:sz="4" w:space="0" w:color="auto"/>
              <w:bottom w:val="single" w:sz="4" w:space="0" w:color="auto"/>
              <w:right w:val="single" w:sz="4" w:space="0" w:color="auto"/>
            </w:tcBorders>
            <w:vAlign w:val="center"/>
          </w:tcPr>
          <w:p w14:paraId="17CA1C87" w14:textId="48A44979" w:rsidR="00882388" w:rsidRPr="00926470" w:rsidRDefault="00A56CF1" w:rsidP="003A7143">
            <w:pPr>
              <w:pStyle w:val="Default"/>
              <w:jc w:val="both"/>
              <w:rPr>
                <w:rFonts w:ascii="Arial" w:hAnsi="Arial" w:cs="Arial"/>
                <w:sz w:val="20"/>
                <w:szCs w:val="20"/>
              </w:rPr>
            </w:pPr>
            <w:r>
              <w:rPr>
                <w:rFonts w:ascii="Arial" w:hAnsi="Arial" w:cs="Arial"/>
                <w:sz w:val="20"/>
                <w:szCs w:val="20"/>
              </w:rPr>
              <w:t xml:space="preserve">In the larger cartridge bottle, gently pour or use a transfer pipette to transfer the entire bottle of </w:t>
            </w:r>
            <w:r w:rsidRPr="003A7143">
              <w:rPr>
                <w:rFonts w:ascii="Arial" w:hAnsi="Arial" w:cs="Arial"/>
                <w:b/>
                <w:bCs/>
                <w:sz w:val="20"/>
                <w:szCs w:val="20"/>
              </w:rPr>
              <w:t xml:space="preserve">ARK </w:t>
            </w:r>
            <w:r w:rsidRPr="00B94690">
              <w:rPr>
                <w:rFonts w:ascii="Arial" w:hAnsi="Arial" w:cs="Arial"/>
                <w:b/>
                <w:sz w:val="20"/>
                <w:szCs w:val="20"/>
              </w:rPr>
              <w:t>Methotrexate</w:t>
            </w:r>
            <w:r w:rsidRPr="003A7143">
              <w:rPr>
                <w:rFonts w:ascii="Arial" w:hAnsi="Arial" w:cs="Arial"/>
                <w:b/>
                <w:bCs/>
                <w:sz w:val="20"/>
                <w:szCs w:val="20"/>
              </w:rPr>
              <w:t xml:space="preserve"> Assay Reagent R1 –Antibody/Substrate</w:t>
            </w:r>
            <w:r>
              <w:rPr>
                <w:rFonts w:ascii="Arial" w:hAnsi="Arial" w:cs="Arial"/>
                <w:b/>
                <w:bCs/>
                <w:sz w:val="20"/>
                <w:szCs w:val="20"/>
              </w:rPr>
              <w:t xml:space="preserve"> (16 mL)</w:t>
            </w:r>
          </w:p>
        </w:tc>
      </w:tr>
      <w:tr w:rsidR="00882388" w:rsidRPr="00926470" w14:paraId="17CA1C8C" w14:textId="77777777" w:rsidTr="00AD6032">
        <w:trPr>
          <w:cantSplit/>
          <w:trHeight w:val="439"/>
          <w:tblHeader/>
        </w:trPr>
        <w:tc>
          <w:tcPr>
            <w:tcW w:w="1803" w:type="dxa"/>
            <w:tcBorders>
              <w:right w:val="single" w:sz="4" w:space="0" w:color="auto"/>
            </w:tcBorders>
          </w:tcPr>
          <w:p w14:paraId="17CA1C89" w14:textId="77777777" w:rsidR="00882388" w:rsidRPr="00926470" w:rsidRDefault="00882388">
            <w:pPr>
              <w:ind w:right="-108"/>
              <w:rPr>
                <w:rFonts w:cs="Arial"/>
                <w:b/>
                <w:bCs/>
                <w:color w:val="0000FF"/>
                <w:szCs w:val="20"/>
              </w:rPr>
            </w:pPr>
          </w:p>
        </w:tc>
        <w:tc>
          <w:tcPr>
            <w:tcW w:w="902" w:type="dxa"/>
            <w:gridSpan w:val="2"/>
            <w:tcBorders>
              <w:top w:val="single" w:sz="4" w:space="0" w:color="auto"/>
              <w:left w:val="single" w:sz="4" w:space="0" w:color="auto"/>
              <w:bottom w:val="single" w:sz="4" w:space="0" w:color="auto"/>
              <w:right w:val="single" w:sz="4" w:space="0" w:color="auto"/>
            </w:tcBorders>
          </w:tcPr>
          <w:p w14:paraId="17CA1C8A" w14:textId="77777777" w:rsidR="00882388" w:rsidRPr="00926470" w:rsidRDefault="00882388" w:rsidP="00E63733">
            <w:pPr>
              <w:pStyle w:val="Default"/>
              <w:numPr>
                <w:ilvl w:val="0"/>
                <w:numId w:val="34"/>
              </w:numPr>
              <w:ind w:left="288" w:firstLine="0"/>
              <w:rPr>
                <w:rFonts w:ascii="Arial" w:hAnsi="Arial" w:cs="Arial"/>
                <w:sz w:val="20"/>
                <w:szCs w:val="20"/>
              </w:rPr>
            </w:pPr>
          </w:p>
        </w:tc>
        <w:tc>
          <w:tcPr>
            <w:tcW w:w="8302" w:type="dxa"/>
            <w:gridSpan w:val="8"/>
            <w:tcBorders>
              <w:top w:val="single" w:sz="4" w:space="0" w:color="auto"/>
              <w:left w:val="single" w:sz="4" w:space="0" w:color="auto"/>
              <w:bottom w:val="single" w:sz="4" w:space="0" w:color="auto"/>
              <w:right w:val="single" w:sz="4" w:space="0" w:color="auto"/>
            </w:tcBorders>
            <w:vAlign w:val="center"/>
          </w:tcPr>
          <w:p w14:paraId="17CA1C8B" w14:textId="08D0ADB2" w:rsidR="00882388" w:rsidRPr="003A7143" w:rsidRDefault="00A56CF1" w:rsidP="00F34CAA">
            <w:pPr>
              <w:pStyle w:val="Default"/>
              <w:jc w:val="both"/>
              <w:rPr>
                <w:rFonts w:ascii="Arial" w:hAnsi="Arial" w:cs="Arial"/>
                <w:sz w:val="20"/>
                <w:szCs w:val="20"/>
              </w:rPr>
            </w:pPr>
            <w:r>
              <w:rPr>
                <w:rFonts w:ascii="Arial" w:hAnsi="Arial" w:cs="Arial"/>
                <w:sz w:val="20"/>
                <w:szCs w:val="20"/>
              </w:rPr>
              <w:t xml:space="preserve">In the smaller cartridge bottle, gently pour or use a transfer pipette to transfer the entire bottle of </w:t>
            </w:r>
            <w:r w:rsidRPr="00A56CF1">
              <w:rPr>
                <w:rFonts w:ascii="Arial" w:hAnsi="Arial" w:cs="Arial"/>
                <w:b/>
                <w:sz w:val="20"/>
                <w:szCs w:val="20"/>
              </w:rPr>
              <w:t>ARK Methotrexate Reagent R2–Enzyme</w:t>
            </w:r>
            <w:r>
              <w:rPr>
                <w:rFonts w:ascii="Arial" w:hAnsi="Arial" w:cs="Arial"/>
                <w:b/>
                <w:sz w:val="20"/>
                <w:szCs w:val="20"/>
              </w:rPr>
              <w:t xml:space="preserve"> (8 mL)</w:t>
            </w:r>
          </w:p>
        </w:tc>
      </w:tr>
      <w:tr w:rsidR="00882388" w:rsidRPr="00926470" w14:paraId="17CA1C90" w14:textId="77777777" w:rsidTr="00AD6032">
        <w:trPr>
          <w:cantSplit/>
          <w:trHeight w:val="301"/>
          <w:tblHeader/>
        </w:trPr>
        <w:tc>
          <w:tcPr>
            <w:tcW w:w="1803" w:type="dxa"/>
            <w:tcBorders>
              <w:right w:val="single" w:sz="4" w:space="0" w:color="auto"/>
            </w:tcBorders>
          </w:tcPr>
          <w:p w14:paraId="17CA1C8D" w14:textId="77777777" w:rsidR="00882388" w:rsidRPr="00926470" w:rsidRDefault="00882388" w:rsidP="00E63733">
            <w:pPr>
              <w:ind w:right="-108"/>
              <w:rPr>
                <w:rFonts w:cs="Arial"/>
                <w:b/>
                <w:bCs/>
                <w:color w:val="0000FF"/>
                <w:szCs w:val="20"/>
              </w:rPr>
            </w:pPr>
          </w:p>
        </w:tc>
        <w:tc>
          <w:tcPr>
            <w:tcW w:w="902" w:type="dxa"/>
            <w:gridSpan w:val="2"/>
            <w:tcBorders>
              <w:top w:val="single" w:sz="4" w:space="0" w:color="auto"/>
              <w:left w:val="single" w:sz="4" w:space="0" w:color="auto"/>
              <w:bottom w:val="single" w:sz="4" w:space="0" w:color="auto"/>
              <w:right w:val="single" w:sz="4" w:space="0" w:color="auto"/>
            </w:tcBorders>
          </w:tcPr>
          <w:p w14:paraId="17CA1C8E" w14:textId="77777777" w:rsidR="00882388" w:rsidRPr="00926470" w:rsidRDefault="00882388" w:rsidP="00E63733">
            <w:pPr>
              <w:pStyle w:val="Default"/>
              <w:numPr>
                <w:ilvl w:val="0"/>
                <w:numId w:val="34"/>
              </w:numPr>
              <w:ind w:left="288" w:firstLine="0"/>
              <w:rPr>
                <w:rFonts w:ascii="Arial" w:hAnsi="Arial" w:cs="Arial"/>
                <w:sz w:val="20"/>
                <w:szCs w:val="20"/>
              </w:rPr>
            </w:pPr>
          </w:p>
        </w:tc>
        <w:tc>
          <w:tcPr>
            <w:tcW w:w="8302" w:type="dxa"/>
            <w:gridSpan w:val="8"/>
            <w:tcBorders>
              <w:top w:val="single" w:sz="4" w:space="0" w:color="auto"/>
              <w:left w:val="single" w:sz="4" w:space="0" w:color="auto"/>
              <w:bottom w:val="single" w:sz="4" w:space="0" w:color="auto"/>
              <w:right w:val="single" w:sz="4" w:space="0" w:color="auto"/>
            </w:tcBorders>
            <w:vAlign w:val="center"/>
          </w:tcPr>
          <w:p w14:paraId="17CA1C8F" w14:textId="139840B9" w:rsidR="00882388" w:rsidRPr="00A56CF1" w:rsidRDefault="00A56CF1" w:rsidP="00E63733">
            <w:pPr>
              <w:autoSpaceDE w:val="0"/>
              <w:autoSpaceDN w:val="0"/>
              <w:adjustRightInd w:val="0"/>
              <w:jc w:val="both"/>
              <w:rPr>
                <w:rFonts w:cs="Arial"/>
                <w:bCs/>
                <w:szCs w:val="20"/>
              </w:rPr>
            </w:pPr>
            <w:r>
              <w:rPr>
                <w:rFonts w:cs="Arial"/>
                <w:bCs/>
                <w:szCs w:val="20"/>
              </w:rPr>
              <w:t xml:space="preserve">Utilizing the </w:t>
            </w:r>
            <w:hyperlink r:id="rId12" w:history="1">
              <w:r w:rsidRPr="00A56CF1">
                <w:rPr>
                  <w:rStyle w:val="Hyperlink"/>
                  <w:rFonts w:cs="Arial"/>
                  <w:bCs/>
                  <w:szCs w:val="20"/>
                </w:rPr>
                <w:t>Abbott Alinity Operating Manual</w:t>
              </w:r>
            </w:hyperlink>
            <w:r>
              <w:rPr>
                <w:rFonts w:cs="Arial"/>
                <w:bCs/>
                <w:szCs w:val="20"/>
              </w:rPr>
              <w:t xml:space="preserve">, print a 1D barcode, ensuring the lot number of the reagent matches the barcode.  </w:t>
            </w:r>
          </w:p>
        </w:tc>
      </w:tr>
      <w:tr w:rsidR="00882388" w:rsidRPr="00926470" w14:paraId="17CA1C94" w14:textId="77777777" w:rsidTr="00AD6032">
        <w:trPr>
          <w:cantSplit/>
          <w:trHeight w:val="301"/>
          <w:tblHeader/>
        </w:trPr>
        <w:tc>
          <w:tcPr>
            <w:tcW w:w="1803" w:type="dxa"/>
            <w:tcBorders>
              <w:right w:val="single" w:sz="4" w:space="0" w:color="auto"/>
            </w:tcBorders>
          </w:tcPr>
          <w:p w14:paraId="17CA1C91" w14:textId="77777777" w:rsidR="00882388" w:rsidRPr="00926470" w:rsidRDefault="00882388">
            <w:pPr>
              <w:ind w:right="-108"/>
              <w:rPr>
                <w:rFonts w:cs="Arial"/>
                <w:b/>
                <w:bCs/>
                <w:color w:val="0000FF"/>
                <w:szCs w:val="20"/>
              </w:rPr>
            </w:pPr>
          </w:p>
        </w:tc>
        <w:tc>
          <w:tcPr>
            <w:tcW w:w="902" w:type="dxa"/>
            <w:gridSpan w:val="2"/>
            <w:tcBorders>
              <w:top w:val="single" w:sz="4" w:space="0" w:color="auto"/>
              <w:left w:val="single" w:sz="4" w:space="0" w:color="auto"/>
              <w:bottom w:val="single" w:sz="4" w:space="0" w:color="auto"/>
              <w:right w:val="single" w:sz="4" w:space="0" w:color="auto"/>
            </w:tcBorders>
          </w:tcPr>
          <w:p w14:paraId="17CA1C92" w14:textId="77777777" w:rsidR="00882388" w:rsidRPr="00926470" w:rsidRDefault="00882388" w:rsidP="00E63733">
            <w:pPr>
              <w:pStyle w:val="Default"/>
              <w:numPr>
                <w:ilvl w:val="0"/>
                <w:numId w:val="34"/>
              </w:numPr>
              <w:ind w:left="288" w:firstLine="0"/>
              <w:rPr>
                <w:rFonts w:ascii="Arial" w:hAnsi="Arial" w:cs="Arial"/>
                <w:sz w:val="20"/>
                <w:szCs w:val="20"/>
              </w:rPr>
            </w:pPr>
          </w:p>
        </w:tc>
        <w:tc>
          <w:tcPr>
            <w:tcW w:w="8302" w:type="dxa"/>
            <w:gridSpan w:val="8"/>
            <w:tcBorders>
              <w:top w:val="single" w:sz="4" w:space="0" w:color="auto"/>
              <w:left w:val="single" w:sz="4" w:space="0" w:color="auto"/>
              <w:bottom w:val="single" w:sz="4" w:space="0" w:color="auto"/>
              <w:right w:val="single" w:sz="4" w:space="0" w:color="auto"/>
            </w:tcBorders>
            <w:vAlign w:val="center"/>
          </w:tcPr>
          <w:p w14:paraId="17CA1C93" w14:textId="08F988D0" w:rsidR="00882388" w:rsidRPr="00926470" w:rsidRDefault="00A56CF1" w:rsidP="00F34CAA">
            <w:pPr>
              <w:autoSpaceDE w:val="0"/>
              <w:autoSpaceDN w:val="0"/>
              <w:adjustRightInd w:val="0"/>
              <w:jc w:val="both"/>
              <w:rPr>
                <w:rFonts w:cs="Arial"/>
                <w:szCs w:val="20"/>
              </w:rPr>
            </w:pPr>
            <w:r>
              <w:rPr>
                <w:rFonts w:cs="Arial"/>
                <w:szCs w:val="20"/>
              </w:rPr>
              <w:t xml:space="preserve">Affix the barcode to the cartridge as shown in the Operating Manual.  Load the reagent on the RSM to initiate the analyzer automatic loading into the reagent wheel.  </w:t>
            </w:r>
          </w:p>
        </w:tc>
      </w:tr>
      <w:tr w:rsidR="00882388" w:rsidRPr="00926470" w14:paraId="17CA1CA3" w14:textId="77777777" w:rsidTr="00AD6032">
        <w:trPr>
          <w:cantSplit/>
          <w:trHeight w:val="150"/>
          <w:tblHeader/>
        </w:trPr>
        <w:tc>
          <w:tcPr>
            <w:tcW w:w="1803" w:type="dxa"/>
          </w:tcPr>
          <w:p w14:paraId="17CA1CA1" w14:textId="77777777" w:rsidR="00882388" w:rsidRPr="00926470" w:rsidRDefault="00882388">
            <w:pPr>
              <w:ind w:right="-108"/>
              <w:rPr>
                <w:rFonts w:cs="Arial"/>
                <w:b/>
                <w:bCs/>
                <w:color w:val="0000FF"/>
                <w:szCs w:val="20"/>
              </w:rPr>
            </w:pPr>
          </w:p>
        </w:tc>
        <w:tc>
          <w:tcPr>
            <w:tcW w:w="9204" w:type="dxa"/>
            <w:gridSpan w:val="10"/>
            <w:tcBorders>
              <w:top w:val="single" w:sz="4" w:space="0" w:color="auto"/>
              <w:bottom w:val="single" w:sz="18" w:space="0" w:color="A6A6A6" w:themeColor="background1" w:themeShade="A6"/>
            </w:tcBorders>
          </w:tcPr>
          <w:p w14:paraId="17CA1CA2" w14:textId="77777777" w:rsidR="00882388" w:rsidRPr="00926470" w:rsidRDefault="00882388">
            <w:pPr>
              <w:pStyle w:val="Pa26"/>
              <w:rPr>
                <w:rFonts w:ascii="Arial" w:hAnsi="Arial" w:cs="Arial"/>
                <w:sz w:val="20"/>
                <w:szCs w:val="20"/>
              </w:rPr>
            </w:pPr>
          </w:p>
        </w:tc>
      </w:tr>
      <w:tr w:rsidR="00882388" w:rsidRPr="00926470" w14:paraId="17CA1CA6" w14:textId="77777777" w:rsidTr="00AD6032">
        <w:trPr>
          <w:cantSplit/>
          <w:trHeight w:val="150"/>
          <w:tblHeader/>
        </w:trPr>
        <w:tc>
          <w:tcPr>
            <w:tcW w:w="1803" w:type="dxa"/>
          </w:tcPr>
          <w:p w14:paraId="17CA1CA4" w14:textId="77777777" w:rsidR="00882388" w:rsidRPr="00926470" w:rsidRDefault="00882388">
            <w:pPr>
              <w:ind w:right="-108"/>
              <w:rPr>
                <w:rFonts w:cs="Arial"/>
                <w:b/>
                <w:bCs/>
                <w:color w:val="0000FF"/>
                <w:szCs w:val="20"/>
              </w:rPr>
            </w:pPr>
          </w:p>
        </w:tc>
        <w:tc>
          <w:tcPr>
            <w:tcW w:w="9204" w:type="dxa"/>
            <w:gridSpan w:val="10"/>
            <w:tcBorders>
              <w:top w:val="single" w:sz="18" w:space="0" w:color="A6A6A6" w:themeColor="background1" w:themeShade="A6"/>
              <w:bottom w:val="single" w:sz="4" w:space="0" w:color="auto"/>
            </w:tcBorders>
          </w:tcPr>
          <w:p w14:paraId="17CA1CA5" w14:textId="77777777" w:rsidR="00882388" w:rsidRPr="00926470" w:rsidRDefault="00882388">
            <w:pPr>
              <w:pStyle w:val="Pa26"/>
              <w:rPr>
                <w:rFonts w:ascii="Arial" w:hAnsi="Arial" w:cs="Arial"/>
                <w:sz w:val="20"/>
                <w:szCs w:val="20"/>
              </w:rPr>
            </w:pPr>
          </w:p>
        </w:tc>
      </w:tr>
      <w:tr w:rsidR="00BC6906" w14:paraId="17CA1CCF" w14:textId="77777777" w:rsidTr="00AD6032">
        <w:trPr>
          <w:cantSplit/>
          <w:trHeight w:hRule="exact" w:val="311"/>
          <w:tblHeader/>
        </w:trPr>
        <w:tc>
          <w:tcPr>
            <w:tcW w:w="1803" w:type="dxa"/>
            <w:tcBorders>
              <w:right w:val="single" w:sz="4" w:space="0" w:color="auto"/>
            </w:tcBorders>
          </w:tcPr>
          <w:p w14:paraId="17CA1CCC" w14:textId="77777777" w:rsidR="00BC6906" w:rsidRDefault="00BC6906" w:rsidP="003B2616">
            <w:pPr>
              <w:rPr>
                <w:rFonts w:cs="Arial"/>
                <w:b/>
                <w:bCs/>
                <w:color w:val="0000FF"/>
              </w:rPr>
            </w:pPr>
          </w:p>
        </w:tc>
        <w:tc>
          <w:tcPr>
            <w:tcW w:w="1082" w:type="dxa"/>
            <w:gridSpan w:val="3"/>
            <w:tcBorders>
              <w:top w:val="single" w:sz="4" w:space="0" w:color="auto"/>
              <w:left w:val="single" w:sz="4" w:space="0" w:color="auto"/>
              <w:bottom w:val="single" w:sz="4" w:space="0" w:color="auto"/>
              <w:right w:val="single" w:sz="4" w:space="0" w:color="auto"/>
            </w:tcBorders>
            <w:vAlign w:val="center"/>
          </w:tcPr>
          <w:p w14:paraId="17CA1CCD" w14:textId="34BD4A9C" w:rsidR="00BC6906" w:rsidRDefault="00BC6906" w:rsidP="00A56CF1">
            <w:pPr>
              <w:pStyle w:val="Default"/>
              <w:numPr>
                <w:ilvl w:val="0"/>
                <w:numId w:val="34"/>
              </w:numPr>
              <w:rPr>
                <w:rFonts w:ascii="Arial" w:hAnsi="Arial" w:cs="Arial"/>
                <w:sz w:val="20"/>
                <w:szCs w:val="23"/>
              </w:rPr>
            </w:pPr>
          </w:p>
        </w:tc>
        <w:tc>
          <w:tcPr>
            <w:tcW w:w="8122" w:type="dxa"/>
            <w:gridSpan w:val="7"/>
            <w:tcBorders>
              <w:top w:val="single" w:sz="4" w:space="0" w:color="auto"/>
              <w:left w:val="single" w:sz="4" w:space="0" w:color="auto"/>
              <w:bottom w:val="single" w:sz="4" w:space="0" w:color="auto"/>
              <w:right w:val="single" w:sz="4" w:space="0" w:color="auto"/>
            </w:tcBorders>
            <w:vAlign w:val="center"/>
          </w:tcPr>
          <w:p w14:paraId="17CA1CCE" w14:textId="36D5F760" w:rsidR="00BC6906" w:rsidRPr="00DB163C" w:rsidRDefault="00BC6906" w:rsidP="00660A38">
            <w:pPr>
              <w:pStyle w:val="Default"/>
              <w:rPr>
                <w:rFonts w:ascii="Arial" w:hAnsi="Arial" w:cs="Arial"/>
                <w:b/>
                <w:sz w:val="20"/>
                <w:szCs w:val="23"/>
              </w:rPr>
            </w:pPr>
            <w:r w:rsidRPr="00DB163C">
              <w:rPr>
                <w:rFonts w:ascii="Arial" w:hAnsi="Arial" w:cs="Arial"/>
                <w:b/>
                <w:sz w:val="20"/>
                <w:szCs w:val="23"/>
                <w:u w:val="single"/>
              </w:rPr>
              <w:t>Run</w:t>
            </w:r>
            <w:r w:rsidR="00A56CF1">
              <w:rPr>
                <w:rFonts w:ascii="Arial" w:hAnsi="Arial" w:cs="Arial"/>
                <w:b/>
                <w:sz w:val="20"/>
                <w:szCs w:val="23"/>
                <w:u w:val="single"/>
              </w:rPr>
              <w:t xml:space="preserve"> 3 levels of QC on each new reagent cartridge</w:t>
            </w:r>
            <w:r w:rsidRPr="00DB163C">
              <w:rPr>
                <w:rFonts w:ascii="Arial" w:hAnsi="Arial" w:cs="Arial"/>
                <w:b/>
                <w:sz w:val="20"/>
                <w:szCs w:val="23"/>
                <w:u w:val="single"/>
              </w:rPr>
              <w:t xml:space="preserve"> to verify viability of reagent</w:t>
            </w:r>
            <w:r w:rsidRPr="00DB163C">
              <w:rPr>
                <w:rFonts w:ascii="Arial" w:hAnsi="Arial" w:cs="Arial"/>
                <w:b/>
                <w:sz w:val="20"/>
                <w:szCs w:val="23"/>
              </w:rPr>
              <w:t>.</w:t>
            </w:r>
          </w:p>
        </w:tc>
      </w:tr>
      <w:tr w:rsidR="00882388" w14:paraId="17CA1CD2" w14:textId="77777777" w:rsidTr="00AD6032">
        <w:trPr>
          <w:cantSplit/>
          <w:trHeight w:hRule="exact" w:val="175"/>
          <w:tblHeader/>
        </w:trPr>
        <w:tc>
          <w:tcPr>
            <w:tcW w:w="1803" w:type="dxa"/>
          </w:tcPr>
          <w:p w14:paraId="17CA1CD0" w14:textId="77777777" w:rsidR="00882388" w:rsidRDefault="00882388" w:rsidP="003B2616">
            <w:pPr>
              <w:rPr>
                <w:rFonts w:cs="Arial"/>
                <w:b/>
                <w:bCs/>
                <w:color w:val="0000FF"/>
              </w:rPr>
            </w:pPr>
          </w:p>
        </w:tc>
        <w:tc>
          <w:tcPr>
            <w:tcW w:w="9204" w:type="dxa"/>
            <w:gridSpan w:val="10"/>
            <w:tcBorders>
              <w:top w:val="single" w:sz="4" w:space="0" w:color="auto"/>
              <w:bottom w:val="single" w:sz="18" w:space="0" w:color="A6A6A6" w:themeColor="background1" w:themeShade="A6"/>
            </w:tcBorders>
            <w:vAlign w:val="center"/>
          </w:tcPr>
          <w:p w14:paraId="17CA1CD1" w14:textId="77777777" w:rsidR="00882388" w:rsidRDefault="00882388" w:rsidP="00660A38">
            <w:pPr>
              <w:pStyle w:val="Default"/>
              <w:rPr>
                <w:rFonts w:ascii="Arial" w:hAnsi="Arial" w:cs="Arial"/>
                <w:sz w:val="20"/>
                <w:szCs w:val="23"/>
              </w:rPr>
            </w:pPr>
          </w:p>
        </w:tc>
      </w:tr>
      <w:tr w:rsidR="006C6CC9" w14:paraId="17CA1CD8" w14:textId="77777777" w:rsidTr="00AD6032">
        <w:trPr>
          <w:trHeight w:val="128"/>
          <w:tblHeader/>
        </w:trPr>
        <w:tc>
          <w:tcPr>
            <w:tcW w:w="1803" w:type="dxa"/>
          </w:tcPr>
          <w:p w14:paraId="17CA1CD3" w14:textId="77777777" w:rsidR="006C6CC9" w:rsidRDefault="006C6CC9" w:rsidP="006C6CC9">
            <w:pPr>
              <w:ind w:right="-108"/>
              <w:rPr>
                <w:rFonts w:cs="Arial"/>
                <w:b/>
                <w:bCs/>
                <w:color w:val="0000FF"/>
              </w:rPr>
            </w:pPr>
          </w:p>
          <w:p w14:paraId="17CA1CD4" w14:textId="77777777" w:rsidR="006C6CC9" w:rsidRPr="001B00FF" w:rsidRDefault="006C6CC9" w:rsidP="006C6CC9">
            <w:pPr>
              <w:ind w:right="-108"/>
              <w:rPr>
                <w:rFonts w:cs="Arial"/>
                <w:b/>
                <w:bCs/>
                <w:color w:val="0000FF"/>
              </w:rPr>
            </w:pPr>
            <w:r>
              <w:rPr>
                <w:rFonts w:cs="Arial"/>
                <w:b/>
                <w:bCs/>
                <w:color w:val="0000FF"/>
              </w:rPr>
              <w:t>Calibration</w:t>
            </w:r>
          </w:p>
        </w:tc>
        <w:tc>
          <w:tcPr>
            <w:tcW w:w="9204" w:type="dxa"/>
            <w:gridSpan w:val="10"/>
            <w:tcBorders>
              <w:top w:val="single" w:sz="18" w:space="0" w:color="A6A6A6" w:themeColor="background1" w:themeShade="A6"/>
            </w:tcBorders>
          </w:tcPr>
          <w:p w14:paraId="17CA1CD5" w14:textId="77777777" w:rsidR="006C6CC9" w:rsidRDefault="006C6CC9" w:rsidP="006C6CC9">
            <w:pPr>
              <w:autoSpaceDE w:val="0"/>
              <w:autoSpaceDN w:val="0"/>
              <w:adjustRightInd w:val="0"/>
              <w:rPr>
                <w:rFonts w:cs="Arial"/>
                <w:szCs w:val="20"/>
              </w:rPr>
            </w:pPr>
          </w:p>
          <w:p w14:paraId="17CA1CD6" w14:textId="77777777" w:rsidR="006C6CC9" w:rsidRPr="00341369" w:rsidRDefault="006C6CC9" w:rsidP="006C6CC9">
            <w:pPr>
              <w:autoSpaceDE w:val="0"/>
              <w:autoSpaceDN w:val="0"/>
              <w:adjustRightInd w:val="0"/>
              <w:rPr>
                <w:rFonts w:cs="Arial"/>
                <w:szCs w:val="20"/>
              </w:rPr>
            </w:pPr>
            <w:r w:rsidRPr="00341369">
              <w:rPr>
                <w:rFonts w:cs="Arial"/>
                <w:szCs w:val="20"/>
              </w:rPr>
              <w:t>Perform a full calibration (6-point) procedure using the ARK Methotrexate Calibrators A, B, C,</w:t>
            </w:r>
          </w:p>
          <w:p w14:paraId="17CA1CD7" w14:textId="77777777" w:rsidR="006C6CC9" w:rsidRPr="00341369" w:rsidRDefault="006C6CC9" w:rsidP="006C6CC9">
            <w:pPr>
              <w:autoSpaceDE w:val="0"/>
              <w:autoSpaceDN w:val="0"/>
              <w:adjustRightInd w:val="0"/>
              <w:rPr>
                <w:rFonts w:cs="Arial"/>
                <w:szCs w:val="20"/>
              </w:rPr>
            </w:pPr>
            <w:r w:rsidRPr="00341369">
              <w:rPr>
                <w:rFonts w:cs="Arial"/>
                <w:szCs w:val="20"/>
              </w:rPr>
              <w:t xml:space="preserve">D, E, and F in duplicate. </w:t>
            </w:r>
          </w:p>
        </w:tc>
      </w:tr>
      <w:tr w:rsidR="006C6CC9" w14:paraId="17CA1CDB"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71"/>
        </w:trPr>
        <w:tc>
          <w:tcPr>
            <w:tcW w:w="2954" w:type="dxa"/>
            <w:gridSpan w:val="4"/>
          </w:tcPr>
          <w:p w14:paraId="17CA1CD9" w14:textId="77777777" w:rsidR="006C6CC9" w:rsidRPr="00341369" w:rsidRDefault="006C6CC9" w:rsidP="006C6CC9">
            <w:pPr>
              <w:pStyle w:val="CalVerTable"/>
              <w:ind w:left="0" w:firstLine="0"/>
              <w:rPr>
                <w:rFonts w:ascii="Arial" w:hAnsi="Arial" w:cs="Arial"/>
              </w:rPr>
            </w:pPr>
            <w:r w:rsidRPr="00341369">
              <w:rPr>
                <w:rFonts w:ascii="Arial" w:hAnsi="Arial" w:cs="Arial"/>
              </w:rPr>
              <w:t>Assay Range:</w:t>
            </w:r>
          </w:p>
        </w:tc>
        <w:tc>
          <w:tcPr>
            <w:tcW w:w="6177" w:type="dxa"/>
            <w:gridSpan w:val="5"/>
          </w:tcPr>
          <w:p w14:paraId="17CA1CDA" w14:textId="77777777" w:rsidR="006C6CC9" w:rsidRPr="00341369" w:rsidRDefault="006C6CC9" w:rsidP="006C6CC9">
            <w:pPr>
              <w:pStyle w:val="CalVerTable"/>
              <w:ind w:left="0" w:firstLine="0"/>
              <w:rPr>
                <w:rFonts w:ascii="Arial" w:hAnsi="Arial" w:cs="Arial"/>
              </w:rPr>
            </w:pPr>
            <w:r w:rsidRPr="00341369">
              <w:rPr>
                <w:rFonts w:ascii="Arial" w:hAnsi="Arial" w:cs="Arial"/>
              </w:rPr>
              <w:t>0.04 - 1.20 μmol/L.</w:t>
            </w:r>
          </w:p>
        </w:tc>
      </w:tr>
      <w:tr w:rsidR="006C6CC9" w14:paraId="17CA1CDF"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318"/>
        </w:trPr>
        <w:tc>
          <w:tcPr>
            <w:tcW w:w="2954" w:type="dxa"/>
            <w:gridSpan w:val="4"/>
          </w:tcPr>
          <w:p w14:paraId="17CA1CDC" w14:textId="77777777" w:rsidR="006C6CC9" w:rsidRPr="001B00FF" w:rsidRDefault="006C6CC9" w:rsidP="006C6CC9">
            <w:pPr>
              <w:pStyle w:val="CalVerTable"/>
              <w:ind w:left="0" w:firstLine="0"/>
              <w:rPr>
                <w:rFonts w:ascii="Arial" w:hAnsi="Arial" w:cs="Arial"/>
              </w:rPr>
            </w:pPr>
            <w:r w:rsidRPr="001B00FF">
              <w:rPr>
                <w:rFonts w:ascii="Arial" w:hAnsi="Arial" w:cs="Arial"/>
              </w:rPr>
              <w:t>Reference Material:</w:t>
            </w:r>
          </w:p>
        </w:tc>
        <w:tc>
          <w:tcPr>
            <w:tcW w:w="6177" w:type="dxa"/>
            <w:gridSpan w:val="5"/>
            <w:vAlign w:val="center"/>
          </w:tcPr>
          <w:p w14:paraId="17CA1CDD" w14:textId="77777777" w:rsidR="006C6CC9" w:rsidRPr="00416CBA" w:rsidRDefault="006C6CC9" w:rsidP="006C6CC9">
            <w:pPr>
              <w:pStyle w:val="Default"/>
              <w:rPr>
                <w:rFonts w:ascii="Arial" w:hAnsi="Arial" w:cs="Arial"/>
                <w:sz w:val="20"/>
                <w:szCs w:val="20"/>
              </w:rPr>
            </w:pPr>
            <w:r w:rsidRPr="00416CBA">
              <w:rPr>
                <w:rFonts w:ascii="Arial" w:hAnsi="Arial" w:cs="Arial"/>
                <w:bCs/>
                <w:sz w:val="20"/>
                <w:szCs w:val="20"/>
              </w:rPr>
              <w:t>ARK</w:t>
            </w:r>
            <w:r w:rsidRPr="00416CBA">
              <w:rPr>
                <w:rFonts w:ascii="Arial" w:hAnsi="Arial" w:cs="Arial"/>
                <w:sz w:val="20"/>
                <w:szCs w:val="20"/>
              </w:rPr>
              <w:t xml:space="preserve">™ </w:t>
            </w:r>
            <w:r w:rsidRPr="00416CBA">
              <w:rPr>
                <w:rFonts w:ascii="Arial" w:hAnsi="Arial" w:cs="Arial"/>
                <w:bCs/>
                <w:iCs/>
                <w:sz w:val="20"/>
                <w:szCs w:val="20"/>
              </w:rPr>
              <w:t>Methotrexate Calibrator</w:t>
            </w:r>
          </w:p>
          <w:p w14:paraId="17CA1CDE" w14:textId="77777777" w:rsidR="006C6CC9" w:rsidRPr="00416CBA" w:rsidRDefault="006C6CC9" w:rsidP="006C6CC9">
            <w:pPr>
              <w:autoSpaceDE w:val="0"/>
              <w:autoSpaceDN w:val="0"/>
              <w:adjustRightInd w:val="0"/>
              <w:rPr>
                <w:rFonts w:cs="Arial"/>
                <w:color w:val="000000"/>
                <w:szCs w:val="20"/>
              </w:rPr>
            </w:pPr>
            <w:r w:rsidRPr="00416CBA">
              <w:rPr>
                <w:rFonts w:cs="Arial"/>
                <w:bCs/>
                <w:color w:val="000000"/>
                <w:szCs w:val="20"/>
              </w:rPr>
              <w:t>5026-0002-00</w:t>
            </w:r>
          </w:p>
        </w:tc>
      </w:tr>
      <w:tr w:rsidR="006C6CC9" w14:paraId="17CA1CE3"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139"/>
        </w:trPr>
        <w:tc>
          <w:tcPr>
            <w:tcW w:w="2954" w:type="dxa"/>
            <w:gridSpan w:val="4"/>
            <w:vMerge w:val="restart"/>
          </w:tcPr>
          <w:p w14:paraId="17CA1CE0" w14:textId="77777777" w:rsidR="006C6CC9" w:rsidRPr="001B00FF" w:rsidRDefault="006C6CC9" w:rsidP="006C6CC9">
            <w:pPr>
              <w:pStyle w:val="CalVerTable"/>
              <w:ind w:left="0" w:firstLine="0"/>
              <w:rPr>
                <w:rFonts w:ascii="Arial" w:hAnsi="Arial" w:cs="Arial"/>
              </w:rPr>
            </w:pPr>
            <w:r w:rsidRPr="001B00FF">
              <w:rPr>
                <w:rFonts w:ascii="Arial" w:hAnsi="Arial" w:cs="Arial"/>
              </w:rPr>
              <w:t>Suggested Calibration Levels:</w:t>
            </w:r>
          </w:p>
        </w:tc>
        <w:tc>
          <w:tcPr>
            <w:tcW w:w="492" w:type="dxa"/>
          </w:tcPr>
          <w:p w14:paraId="17CA1CE1" w14:textId="77777777" w:rsidR="006C6CC9" w:rsidRPr="001B00FF" w:rsidRDefault="006C6CC9" w:rsidP="006C6CC9">
            <w:pPr>
              <w:autoSpaceDE w:val="0"/>
              <w:autoSpaceDN w:val="0"/>
              <w:adjustRightInd w:val="0"/>
              <w:rPr>
                <w:rFonts w:cs="Arial"/>
                <w:szCs w:val="20"/>
              </w:rPr>
            </w:pPr>
            <w:r w:rsidRPr="001B00FF">
              <w:rPr>
                <w:rFonts w:cs="Arial"/>
                <w:szCs w:val="20"/>
              </w:rPr>
              <w:t>A</w:t>
            </w:r>
          </w:p>
        </w:tc>
        <w:tc>
          <w:tcPr>
            <w:tcW w:w="5685" w:type="dxa"/>
            <w:gridSpan w:val="4"/>
          </w:tcPr>
          <w:p w14:paraId="17CA1CE2" w14:textId="77777777" w:rsidR="006C6CC9" w:rsidRPr="001B00FF" w:rsidRDefault="006C6CC9" w:rsidP="006C6CC9">
            <w:pPr>
              <w:autoSpaceDE w:val="0"/>
              <w:autoSpaceDN w:val="0"/>
              <w:adjustRightInd w:val="0"/>
              <w:rPr>
                <w:rFonts w:cs="Arial"/>
                <w:szCs w:val="20"/>
              </w:rPr>
            </w:pPr>
            <w:r w:rsidRPr="001B00FF">
              <w:rPr>
                <w:rFonts w:cs="Arial"/>
                <w:szCs w:val="20"/>
              </w:rPr>
              <w:t xml:space="preserve">0.00 </w:t>
            </w:r>
            <w:r>
              <w:rPr>
                <w:rFonts w:cs="Arial"/>
                <w:szCs w:val="20"/>
              </w:rPr>
              <w:t>µmol/L</w:t>
            </w:r>
          </w:p>
        </w:tc>
      </w:tr>
      <w:tr w:rsidR="006C6CC9" w14:paraId="17CA1CE7"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138"/>
        </w:trPr>
        <w:tc>
          <w:tcPr>
            <w:tcW w:w="2954" w:type="dxa"/>
            <w:gridSpan w:val="4"/>
            <w:vMerge/>
          </w:tcPr>
          <w:p w14:paraId="17CA1CE4" w14:textId="77777777" w:rsidR="006C6CC9" w:rsidRPr="001B00FF" w:rsidRDefault="006C6CC9" w:rsidP="006C6CC9">
            <w:pPr>
              <w:pStyle w:val="CalVerTable"/>
              <w:ind w:left="0" w:firstLine="0"/>
              <w:rPr>
                <w:rFonts w:ascii="Arial" w:hAnsi="Arial" w:cs="Arial"/>
              </w:rPr>
            </w:pPr>
          </w:p>
        </w:tc>
        <w:tc>
          <w:tcPr>
            <w:tcW w:w="492" w:type="dxa"/>
          </w:tcPr>
          <w:p w14:paraId="17CA1CE5" w14:textId="77777777" w:rsidR="006C6CC9" w:rsidRPr="001B00FF" w:rsidRDefault="006C6CC9" w:rsidP="006C6CC9">
            <w:pPr>
              <w:autoSpaceDE w:val="0"/>
              <w:autoSpaceDN w:val="0"/>
              <w:adjustRightInd w:val="0"/>
              <w:rPr>
                <w:rFonts w:cs="Arial"/>
                <w:szCs w:val="20"/>
              </w:rPr>
            </w:pPr>
            <w:r w:rsidRPr="001B00FF">
              <w:rPr>
                <w:rFonts w:cs="Arial"/>
                <w:szCs w:val="20"/>
              </w:rPr>
              <w:t>B</w:t>
            </w:r>
          </w:p>
        </w:tc>
        <w:tc>
          <w:tcPr>
            <w:tcW w:w="5685" w:type="dxa"/>
            <w:gridSpan w:val="4"/>
          </w:tcPr>
          <w:p w14:paraId="17CA1CE6" w14:textId="77777777" w:rsidR="006C6CC9" w:rsidRPr="001B00FF" w:rsidRDefault="006C6CC9" w:rsidP="006C6CC9">
            <w:pPr>
              <w:autoSpaceDE w:val="0"/>
              <w:autoSpaceDN w:val="0"/>
              <w:adjustRightInd w:val="0"/>
              <w:rPr>
                <w:rFonts w:cs="Arial"/>
                <w:szCs w:val="20"/>
              </w:rPr>
            </w:pPr>
            <w:r>
              <w:rPr>
                <w:rFonts w:cs="Arial"/>
                <w:szCs w:val="20"/>
              </w:rPr>
              <w:t>0.05 µmol/L</w:t>
            </w:r>
          </w:p>
        </w:tc>
      </w:tr>
      <w:tr w:rsidR="006C6CC9" w14:paraId="17CA1CEB"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138"/>
        </w:trPr>
        <w:tc>
          <w:tcPr>
            <w:tcW w:w="2954" w:type="dxa"/>
            <w:gridSpan w:val="4"/>
            <w:vMerge/>
          </w:tcPr>
          <w:p w14:paraId="17CA1CE8" w14:textId="77777777" w:rsidR="006C6CC9" w:rsidRPr="001B00FF" w:rsidRDefault="006C6CC9" w:rsidP="006C6CC9">
            <w:pPr>
              <w:pStyle w:val="CalVerTable"/>
              <w:ind w:left="0" w:firstLine="0"/>
              <w:rPr>
                <w:rFonts w:ascii="Arial" w:hAnsi="Arial" w:cs="Arial"/>
              </w:rPr>
            </w:pPr>
          </w:p>
        </w:tc>
        <w:tc>
          <w:tcPr>
            <w:tcW w:w="492" w:type="dxa"/>
          </w:tcPr>
          <w:p w14:paraId="17CA1CE9" w14:textId="77777777" w:rsidR="006C6CC9" w:rsidRPr="001B00FF" w:rsidRDefault="006C6CC9" w:rsidP="006C6CC9">
            <w:pPr>
              <w:autoSpaceDE w:val="0"/>
              <w:autoSpaceDN w:val="0"/>
              <w:adjustRightInd w:val="0"/>
              <w:rPr>
                <w:rFonts w:cs="Arial"/>
                <w:szCs w:val="20"/>
              </w:rPr>
            </w:pPr>
            <w:r w:rsidRPr="001B00FF">
              <w:rPr>
                <w:rFonts w:cs="Arial"/>
                <w:szCs w:val="20"/>
              </w:rPr>
              <w:t>C</w:t>
            </w:r>
          </w:p>
        </w:tc>
        <w:tc>
          <w:tcPr>
            <w:tcW w:w="5685" w:type="dxa"/>
            <w:gridSpan w:val="4"/>
          </w:tcPr>
          <w:p w14:paraId="17CA1CEA" w14:textId="77777777" w:rsidR="006C6CC9" w:rsidRPr="001B00FF" w:rsidRDefault="006C6CC9" w:rsidP="006C6CC9">
            <w:pPr>
              <w:autoSpaceDE w:val="0"/>
              <w:autoSpaceDN w:val="0"/>
              <w:adjustRightInd w:val="0"/>
              <w:rPr>
                <w:rFonts w:cs="Arial"/>
                <w:szCs w:val="20"/>
              </w:rPr>
            </w:pPr>
            <w:r>
              <w:rPr>
                <w:rFonts w:cs="Arial"/>
                <w:szCs w:val="20"/>
              </w:rPr>
              <w:t>0.15 µmol/L</w:t>
            </w:r>
          </w:p>
        </w:tc>
      </w:tr>
      <w:tr w:rsidR="006C6CC9" w14:paraId="17CA1CEF"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138"/>
        </w:trPr>
        <w:tc>
          <w:tcPr>
            <w:tcW w:w="2954" w:type="dxa"/>
            <w:gridSpan w:val="4"/>
            <w:vMerge/>
          </w:tcPr>
          <w:p w14:paraId="17CA1CEC" w14:textId="77777777" w:rsidR="006C6CC9" w:rsidRPr="001B00FF" w:rsidRDefault="006C6CC9" w:rsidP="006C6CC9">
            <w:pPr>
              <w:pStyle w:val="CalVerTable"/>
              <w:ind w:left="0" w:firstLine="0"/>
              <w:rPr>
                <w:rFonts w:ascii="Arial" w:hAnsi="Arial" w:cs="Arial"/>
              </w:rPr>
            </w:pPr>
          </w:p>
        </w:tc>
        <w:tc>
          <w:tcPr>
            <w:tcW w:w="492" w:type="dxa"/>
          </w:tcPr>
          <w:p w14:paraId="17CA1CED" w14:textId="77777777" w:rsidR="006C6CC9" w:rsidRPr="001B00FF" w:rsidRDefault="006C6CC9" w:rsidP="006C6CC9">
            <w:pPr>
              <w:autoSpaceDE w:val="0"/>
              <w:autoSpaceDN w:val="0"/>
              <w:adjustRightInd w:val="0"/>
              <w:rPr>
                <w:rFonts w:cs="Arial"/>
                <w:szCs w:val="20"/>
              </w:rPr>
            </w:pPr>
            <w:r w:rsidRPr="001B00FF">
              <w:rPr>
                <w:rFonts w:cs="Arial"/>
                <w:szCs w:val="20"/>
              </w:rPr>
              <w:t>D</w:t>
            </w:r>
          </w:p>
        </w:tc>
        <w:tc>
          <w:tcPr>
            <w:tcW w:w="5685" w:type="dxa"/>
            <w:gridSpan w:val="4"/>
          </w:tcPr>
          <w:p w14:paraId="17CA1CEE" w14:textId="77777777" w:rsidR="006C6CC9" w:rsidRPr="001B00FF" w:rsidRDefault="006C6CC9" w:rsidP="006C6CC9">
            <w:pPr>
              <w:autoSpaceDE w:val="0"/>
              <w:autoSpaceDN w:val="0"/>
              <w:adjustRightInd w:val="0"/>
              <w:rPr>
                <w:rFonts w:cs="Arial"/>
                <w:szCs w:val="20"/>
              </w:rPr>
            </w:pPr>
            <w:r>
              <w:rPr>
                <w:rFonts w:cs="Arial"/>
                <w:szCs w:val="20"/>
              </w:rPr>
              <w:t>0.25 µmol/L</w:t>
            </w:r>
          </w:p>
        </w:tc>
      </w:tr>
      <w:tr w:rsidR="006C6CC9" w14:paraId="17CA1CF3"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138"/>
        </w:trPr>
        <w:tc>
          <w:tcPr>
            <w:tcW w:w="2954" w:type="dxa"/>
            <w:gridSpan w:val="4"/>
            <w:vMerge/>
          </w:tcPr>
          <w:p w14:paraId="17CA1CF0" w14:textId="77777777" w:rsidR="006C6CC9" w:rsidRPr="001B00FF" w:rsidRDefault="006C6CC9" w:rsidP="006C6CC9">
            <w:pPr>
              <w:pStyle w:val="CalVerTable"/>
              <w:ind w:left="0" w:firstLine="0"/>
              <w:rPr>
                <w:rFonts w:ascii="Arial" w:hAnsi="Arial" w:cs="Arial"/>
              </w:rPr>
            </w:pPr>
          </w:p>
        </w:tc>
        <w:tc>
          <w:tcPr>
            <w:tcW w:w="492" w:type="dxa"/>
          </w:tcPr>
          <w:p w14:paraId="17CA1CF1" w14:textId="77777777" w:rsidR="006C6CC9" w:rsidRPr="001B00FF" w:rsidRDefault="006C6CC9" w:rsidP="006C6CC9">
            <w:pPr>
              <w:autoSpaceDE w:val="0"/>
              <w:autoSpaceDN w:val="0"/>
              <w:adjustRightInd w:val="0"/>
              <w:rPr>
                <w:rFonts w:cs="Arial"/>
                <w:szCs w:val="20"/>
              </w:rPr>
            </w:pPr>
            <w:r w:rsidRPr="001B00FF">
              <w:rPr>
                <w:rFonts w:cs="Arial"/>
                <w:szCs w:val="20"/>
              </w:rPr>
              <w:t>E</w:t>
            </w:r>
          </w:p>
        </w:tc>
        <w:tc>
          <w:tcPr>
            <w:tcW w:w="5685" w:type="dxa"/>
            <w:gridSpan w:val="4"/>
          </w:tcPr>
          <w:p w14:paraId="17CA1CF2" w14:textId="77777777" w:rsidR="006C6CC9" w:rsidRPr="001B00FF" w:rsidRDefault="006C6CC9" w:rsidP="006C6CC9">
            <w:pPr>
              <w:autoSpaceDE w:val="0"/>
              <w:autoSpaceDN w:val="0"/>
              <w:adjustRightInd w:val="0"/>
              <w:rPr>
                <w:rFonts w:cs="Arial"/>
                <w:szCs w:val="20"/>
              </w:rPr>
            </w:pPr>
            <w:r>
              <w:rPr>
                <w:rFonts w:cs="Arial"/>
                <w:szCs w:val="20"/>
              </w:rPr>
              <w:t>0.50 µmol/L</w:t>
            </w:r>
          </w:p>
        </w:tc>
      </w:tr>
      <w:tr w:rsidR="006C6CC9" w14:paraId="17CA1CF7"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138"/>
        </w:trPr>
        <w:tc>
          <w:tcPr>
            <w:tcW w:w="2954" w:type="dxa"/>
            <w:gridSpan w:val="4"/>
            <w:vMerge/>
          </w:tcPr>
          <w:p w14:paraId="17CA1CF4" w14:textId="77777777" w:rsidR="006C6CC9" w:rsidRPr="001B00FF" w:rsidRDefault="006C6CC9" w:rsidP="006C6CC9">
            <w:pPr>
              <w:pStyle w:val="CalVerTable"/>
              <w:ind w:left="0" w:firstLine="0"/>
              <w:rPr>
                <w:rFonts w:ascii="Arial" w:hAnsi="Arial" w:cs="Arial"/>
              </w:rPr>
            </w:pPr>
          </w:p>
        </w:tc>
        <w:tc>
          <w:tcPr>
            <w:tcW w:w="492" w:type="dxa"/>
          </w:tcPr>
          <w:p w14:paraId="17CA1CF5" w14:textId="77777777" w:rsidR="006C6CC9" w:rsidRPr="001B00FF" w:rsidRDefault="006C6CC9" w:rsidP="006C6CC9">
            <w:pPr>
              <w:autoSpaceDE w:val="0"/>
              <w:autoSpaceDN w:val="0"/>
              <w:adjustRightInd w:val="0"/>
              <w:rPr>
                <w:rFonts w:cs="Arial"/>
                <w:szCs w:val="20"/>
              </w:rPr>
            </w:pPr>
            <w:r w:rsidRPr="001B00FF">
              <w:rPr>
                <w:rFonts w:cs="Arial"/>
                <w:szCs w:val="20"/>
              </w:rPr>
              <w:t>F</w:t>
            </w:r>
          </w:p>
        </w:tc>
        <w:tc>
          <w:tcPr>
            <w:tcW w:w="5685" w:type="dxa"/>
            <w:gridSpan w:val="4"/>
          </w:tcPr>
          <w:p w14:paraId="17CA1CF6" w14:textId="77777777" w:rsidR="006C6CC9" w:rsidRPr="001B00FF" w:rsidRDefault="006C6CC9" w:rsidP="006C6CC9">
            <w:pPr>
              <w:autoSpaceDE w:val="0"/>
              <w:autoSpaceDN w:val="0"/>
              <w:adjustRightInd w:val="0"/>
              <w:rPr>
                <w:rFonts w:cs="Arial"/>
                <w:szCs w:val="20"/>
              </w:rPr>
            </w:pPr>
            <w:r>
              <w:rPr>
                <w:rFonts w:cs="Arial"/>
                <w:szCs w:val="20"/>
              </w:rPr>
              <w:t>1.20 µmol/L</w:t>
            </w:r>
          </w:p>
        </w:tc>
      </w:tr>
      <w:tr w:rsidR="006C6CC9" w14:paraId="17CA1CFB"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553"/>
        </w:trPr>
        <w:tc>
          <w:tcPr>
            <w:tcW w:w="2954" w:type="dxa"/>
            <w:gridSpan w:val="4"/>
          </w:tcPr>
          <w:p w14:paraId="17CA1CF8" w14:textId="77777777" w:rsidR="006C6CC9" w:rsidRPr="001B00FF" w:rsidRDefault="006C6CC9" w:rsidP="006C6CC9">
            <w:pPr>
              <w:pStyle w:val="CalVerTable"/>
              <w:ind w:left="0" w:firstLine="0"/>
              <w:rPr>
                <w:rFonts w:ascii="Arial" w:hAnsi="Arial" w:cs="Arial"/>
              </w:rPr>
            </w:pPr>
            <w:r w:rsidRPr="001B00FF">
              <w:rPr>
                <w:rFonts w:ascii="Arial" w:hAnsi="Arial" w:cs="Arial"/>
              </w:rPr>
              <w:lastRenderedPageBreak/>
              <w:t>Calibration Scheme:</w:t>
            </w:r>
          </w:p>
        </w:tc>
        <w:tc>
          <w:tcPr>
            <w:tcW w:w="6177" w:type="dxa"/>
            <w:gridSpan w:val="5"/>
            <w:vAlign w:val="center"/>
          </w:tcPr>
          <w:p w14:paraId="17CA1CF9" w14:textId="77777777" w:rsidR="006C6CC9" w:rsidRPr="00416CBA" w:rsidRDefault="006C6CC9" w:rsidP="006C6CC9">
            <w:pPr>
              <w:pStyle w:val="CalVerTable"/>
              <w:ind w:left="0" w:firstLine="0"/>
              <w:rPr>
                <w:rFonts w:ascii="Arial" w:hAnsi="Arial" w:cs="Arial"/>
              </w:rPr>
            </w:pPr>
            <w:r w:rsidRPr="00416CBA">
              <w:rPr>
                <w:rFonts w:ascii="Arial" w:hAnsi="Arial" w:cs="Arial"/>
              </w:rPr>
              <w:t>Six levels in duplicate. Verify the calibration with 3 levels of QC</w:t>
            </w:r>
          </w:p>
          <w:p w14:paraId="17CA1CFA" w14:textId="77777777" w:rsidR="006C6CC9" w:rsidRPr="00416CBA" w:rsidRDefault="00810139" w:rsidP="006C6CC9">
            <w:pPr>
              <w:autoSpaceDE w:val="0"/>
              <w:autoSpaceDN w:val="0"/>
              <w:adjustRightInd w:val="0"/>
              <w:spacing w:after="40" w:line="161" w:lineRule="atLeast"/>
              <w:ind w:left="180"/>
              <w:rPr>
                <w:rFonts w:cs="Arial"/>
                <w:color w:val="000000"/>
                <w:szCs w:val="20"/>
              </w:rPr>
            </w:pPr>
            <w:r>
              <w:rPr>
                <w:rFonts w:cs="Arial"/>
                <w:color w:val="000000"/>
                <w:szCs w:val="20"/>
              </w:rPr>
              <w:t>Add 200uL of calibrator</w:t>
            </w:r>
            <w:r w:rsidR="006C6CC9" w:rsidRPr="00416CBA">
              <w:rPr>
                <w:rFonts w:cs="Arial"/>
                <w:color w:val="000000"/>
                <w:szCs w:val="20"/>
              </w:rPr>
              <w:t xml:space="preserve"> into individual sample cups for each level. Return caps to their original containers and keep tight.</w:t>
            </w:r>
          </w:p>
        </w:tc>
      </w:tr>
      <w:tr w:rsidR="006C6CC9" w14:paraId="17CA1D01"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540"/>
        </w:trPr>
        <w:tc>
          <w:tcPr>
            <w:tcW w:w="2954" w:type="dxa"/>
            <w:gridSpan w:val="4"/>
          </w:tcPr>
          <w:p w14:paraId="17CA1CFC" w14:textId="77777777" w:rsidR="006C6CC9" w:rsidRPr="001B00FF" w:rsidRDefault="006C6CC9" w:rsidP="006C6CC9">
            <w:pPr>
              <w:pStyle w:val="CalVerTable"/>
              <w:ind w:left="0" w:firstLine="0"/>
              <w:rPr>
                <w:rFonts w:ascii="Arial" w:hAnsi="Arial" w:cs="Arial"/>
              </w:rPr>
            </w:pPr>
            <w:r w:rsidRPr="001B00FF">
              <w:rPr>
                <w:rFonts w:ascii="Arial" w:hAnsi="Arial" w:cs="Arial"/>
              </w:rPr>
              <w:t>Calibration Frequency:</w:t>
            </w:r>
          </w:p>
        </w:tc>
        <w:tc>
          <w:tcPr>
            <w:tcW w:w="6177" w:type="dxa"/>
            <w:gridSpan w:val="5"/>
            <w:vAlign w:val="center"/>
          </w:tcPr>
          <w:p w14:paraId="17CA1CFD" w14:textId="77777777" w:rsidR="006C6CC9" w:rsidRPr="001B00FF" w:rsidRDefault="006C6CC9" w:rsidP="006C6CC9">
            <w:pPr>
              <w:numPr>
                <w:ilvl w:val="0"/>
                <w:numId w:val="8"/>
              </w:numPr>
              <w:autoSpaceDE w:val="0"/>
              <w:autoSpaceDN w:val="0"/>
              <w:adjustRightInd w:val="0"/>
              <w:rPr>
                <w:rFonts w:cs="Arial"/>
                <w:szCs w:val="20"/>
              </w:rPr>
            </w:pPr>
            <w:r w:rsidRPr="001B00FF">
              <w:rPr>
                <w:rFonts w:cs="Arial"/>
                <w:szCs w:val="20"/>
              </w:rPr>
              <w:t>Whenever a new lot number of reagents is used</w:t>
            </w:r>
          </w:p>
          <w:p w14:paraId="17CA1CFE" w14:textId="77777777" w:rsidR="006C6CC9" w:rsidRPr="001B00FF" w:rsidRDefault="006C6CC9" w:rsidP="006C6CC9">
            <w:pPr>
              <w:numPr>
                <w:ilvl w:val="0"/>
                <w:numId w:val="8"/>
              </w:numPr>
              <w:autoSpaceDE w:val="0"/>
              <w:autoSpaceDN w:val="0"/>
              <w:adjustRightInd w:val="0"/>
              <w:rPr>
                <w:rFonts w:cs="Arial"/>
                <w:szCs w:val="20"/>
              </w:rPr>
            </w:pPr>
            <w:r w:rsidRPr="001B00FF">
              <w:rPr>
                <w:rFonts w:cs="Arial"/>
                <w:szCs w:val="20"/>
              </w:rPr>
              <w:t>Whenever indicated by quality control results</w:t>
            </w:r>
          </w:p>
          <w:p w14:paraId="17CA1CFF" w14:textId="77777777" w:rsidR="006C6CC9" w:rsidRPr="001B00FF" w:rsidRDefault="006C6CC9" w:rsidP="006C6CC9">
            <w:pPr>
              <w:pStyle w:val="Pa20"/>
              <w:numPr>
                <w:ilvl w:val="0"/>
                <w:numId w:val="8"/>
              </w:numPr>
              <w:rPr>
                <w:rFonts w:ascii="Arial" w:hAnsi="Arial" w:cs="Arial"/>
                <w:sz w:val="20"/>
                <w:szCs w:val="20"/>
              </w:rPr>
            </w:pPr>
            <w:r w:rsidRPr="001B00FF">
              <w:rPr>
                <w:rFonts w:ascii="Arial" w:hAnsi="Arial" w:cs="Arial"/>
                <w:sz w:val="20"/>
                <w:szCs w:val="20"/>
              </w:rPr>
              <w:t>Whenever required by standard laboratory protocols</w:t>
            </w:r>
          </w:p>
          <w:p w14:paraId="17CA1D00" w14:textId="77777777" w:rsidR="006C6CC9" w:rsidRPr="008A0433" w:rsidRDefault="006C6CC9" w:rsidP="006C6CC9">
            <w:pPr>
              <w:numPr>
                <w:ilvl w:val="0"/>
                <w:numId w:val="8"/>
              </w:numPr>
              <w:rPr>
                <w:rFonts w:cs="Arial"/>
                <w:szCs w:val="20"/>
              </w:rPr>
            </w:pPr>
            <w:r w:rsidRPr="001B00FF">
              <w:rPr>
                <w:rFonts w:cs="Arial"/>
                <w:szCs w:val="20"/>
              </w:rPr>
              <w:t xml:space="preserve">Once </w:t>
            </w:r>
            <w:r w:rsidR="00810139">
              <w:rPr>
                <w:rFonts w:cs="Arial"/>
                <w:szCs w:val="20"/>
              </w:rPr>
              <w:t>every 14</w:t>
            </w:r>
            <w:r w:rsidRPr="008A0433">
              <w:rPr>
                <w:rFonts w:cs="Arial"/>
                <w:szCs w:val="20"/>
              </w:rPr>
              <w:t xml:space="preserve"> days</w:t>
            </w:r>
          </w:p>
        </w:tc>
      </w:tr>
      <w:tr w:rsidR="006C6CC9" w14:paraId="17CA1D04" w14:textId="77777777" w:rsidTr="00AD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876" w:type="dxa"/>
          <w:trHeight w:val="444"/>
        </w:trPr>
        <w:tc>
          <w:tcPr>
            <w:tcW w:w="2954" w:type="dxa"/>
            <w:gridSpan w:val="4"/>
          </w:tcPr>
          <w:p w14:paraId="17CA1D02" w14:textId="77777777" w:rsidR="006C6CC9" w:rsidRPr="001B00FF" w:rsidRDefault="006C6CC9" w:rsidP="006C6CC9">
            <w:pPr>
              <w:rPr>
                <w:rFonts w:cs="Arial"/>
                <w:szCs w:val="20"/>
              </w:rPr>
            </w:pPr>
            <w:r w:rsidRPr="001B00FF">
              <w:rPr>
                <w:rFonts w:cs="Arial"/>
                <w:szCs w:val="20"/>
              </w:rPr>
              <w:t>Analytical Measuring Range</w:t>
            </w:r>
          </w:p>
        </w:tc>
        <w:tc>
          <w:tcPr>
            <w:tcW w:w="6177" w:type="dxa"/>
            <w:gridSpan w:val="5"/>
            <w:vAlign w:val="center"/>
          </w:tcPr>
          <w:p w14:paraId="17CA1D03" w14:textId="77777777" w:rsidR="006C6CC9" w:rsidRPr="00416CBA" w:rsidRDefault="006C6CC9" w:rsidP="006C6CC9">
            <w:pPr>
              <w:rPr>
                <w:rFonts w:cs="Arial"/>
                <w:szCs w:val="20"/>
              </w:rPr>
            </w:pPr>
            <w:r w:rsidRPr="00416CBA">
              <w:rPr>
                <w:rFonts w:cs="Arial"/>
                <w:szCs w:val="20"/>
              </w:rPr>
              <w:t>0.04 - 1.20 μmol/L.</w:t>
            </w:r>
            <w:r w:rsidRPr="00416CBA">
              <w:rPr>
                <w:rFonts w:eastAsia="HelenPro-Cond" w:cs="Arial"/>
                <w:szCs w:val="20"/>
              </w:rPr>
              <w:t xml:space="preserve"> The AMR is verified with each calibration using 6 levels of calibrator that span the full reportable range. Further studies are not necessary.</w:t>
            </w:r>
          </w:p>
        </w:tc>
      </w:tr>
      <w:tr w:rsidR="006C6CC9" w14:paraId="17CA1D07" w14:textId="77777777" w:rsidTr="00AD6032">
        <w:trPr>
          <w:trHeight w:val="126"/>
          <w:tblHeader/>
        </w:trPr>
        <w:tc>
          <w:tcPr>
            <w:tcW w:w="1803" w:type="dxa"/>
          </w:tcPr>
          <w:p w14:paraId="17CA1D05" w14:textId="77777777" w:rsidR="006C6CC9" w:rsidRDefault="006C6CC9" w:rsidP="006C6CC9">
            <w:pPr>
              <w:rPr>
                <w:rFonts w:cs="Arial"/>
                <w:b/>
                <w:bCs/>
                <w:color w:val="0000FF"/>
              </w:rPr>
            </w:pPr>
          </w:p>
        </w:tc>
        <w:tc>
          <w:tcPr>
            <w:tcW w:w="9204" w:type="dxa"/>
            <w:gridSpan w:val="10"/>
            <w:tcBorders>
              <w:bottom w:val="single" w:sz="18" w:space="0" w:color="A6A6A6" w:themeColor="background1" w:themeShade="A6"/>
            </w:tcBorders>
          </w:tcPr>
          <w:p w14:paraId="17CA1D06" w14:textId="77777777" w:rsidR="006C6CC9" w:rsidRDefault="006C6CC9" w:rsidP="006C6CC9">
            <w:pPr>
              <w:pStyle w:val="BodyText"/>
            </w:pPr>
          </w:p>
        </w:tc>
      </w:tr>
      <w:tr w:rsidR="00882388" w:rsidRPr="00926470" w14:paraId="17CA1D79" w14:textId="77777777" w:rsidTr="00AD6032">
        <w:trPr>
          <w:cantSplit/>
          <w:trHeight w:val="3267"/>
          <w:tblHeader/>
        </w:trPr>
        <w:tc>
          <w:tcPr>
            <w:tcW w:w="1803" w:type="dxa"/>
          </w:tcPr>
          <w:p w14:paraId="17CA1D56" w14:textId="77777777" w:rsidR="00882388" w:rsidRDefault="00882388" w:rsidP="00CC51C7">
            <w:pPr>
              <w:ind w:right="-108"/>
              <w:rPr>
                <w:rFonts w:cs="Arial"/>
                <w:b/>
                <w:bCs/>
                <w:color w:val="0000FF"/>
              </w:rPr>
            </w:pPr>
          </w:p>
          <w:p w14:paraId="17CA1D57" w14:textId="77777777" w:rsidR="00882388" w:rsidRDefault="00882388" w:rsidP="00CC51C7">
            <w:pPr>
              <w:ind w:right="-108"/>
              <w:rPr>
                <w:rFonts w:cs="Arial"/>
                <w:b/>
                <w:bCs/>
                <w:color w:val="0000FF"/>
              </w:rPr>
            </w:pPr>
          </w:p>
          <w:p w14:paraId="17CA1D58" w14:textId="77777777" w:rsidR="00E10CF8" w:rsidRDefault="00F8626A" w:rsidP="00CC51C7">
            <w:pPr>
              <w:ind w:right="-108"/>
              <w:rPr>
                <w:rFonts w:cs="Arial"/>
                <w:b/>
                <w:bCs/>
                <w:color w:val="0000FF"/>
              </w:rPr>
            </w:pPr>
            <w:r>
              <w:rPr>
                <w:rFonts w:cs="Arial"/>
                <w:b/>
                <w:bCs/>
                <w:color w:val="0000FF"/>
              </w:rPr>
              <w:t xml:space="preserve">Add a </w:t>
            </w:r>
            <w:r w:rsidR="00E10CF8">
              <w:rPr>
                <w:rFonts w:cs="Arial"/>
                <w:b/>
                <w:bCs/>
                <w:color w:val="0000FF"/>
              </w:rPr>
              <w:t>New Lot of Calibrators</w:t>
            </w:r>
          </w:p>
          <w:p w14:paraId="17CA1D59" w14:textId="77777777" w:rsidR="00882388" w:rsidRPr="00926470" w:rsidRDefault="00882388">
            <w:pPr>
              <w:ind w:right="-108"/>
              <w:rPr>
                <w:rFonts w:cs="Arial"/>
                <w:b/>
                <w:bCs/>
                <w:color w:val="0000FF"/>
                <w:szCs w:val="20"/>
              </w:rPr>
            </w:pPr>
          </w:p>
        </w:tc>
        <w:tc>
          <w:tcPr>
            <w:tcW w:w="9204" w:type="dxa"/>
            <w:gridSpan w:val="10"/>
            <w:tcBorders>
              <w:top w:val="single" w:sz="18" w:space="0" w:color="A6A6A6" w:themeColor="background1" w:themeShade="A6"/>
              <w:bottom w:val="single" w:sz="18" w:space="0" w:color="A6A6A6" w:themeColor="background1" w:themeShade="A6"/>
            </w:tcBorders>
          </w:tcPr>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86"/>
              <w:gridCol w:w="8294"/>
            </w:tblGrid>
            <w:tr w:rsidR="00882388" w14:paraId="17CA1D5B" w14:textId="77777777" w:rsidTr="00AD6032">
              <w:trPr>
                <w:trHeight w:val="143"/>
              </w:trPr>
              <w:tc>
                <w:tcPr>
                  <w:tcW w:w="9080" w:type="dxa"/>
                  <w:gridSpan w:val="2"/>
                  <w:tcBorders>
                    <w:top w:val="nil"/>
                    <w:left w:val="nil"/>
                    <w:right w:val="nil"/>
                  </w:tcBorders>
                </w:tcPr>
                <w:p w14:paraId="17CA1D5A" w14:textId="77777777" w:rsidR="00882388" w:rsidRDefault="00882388" w:rsidP="00CE2F89">
                  <w:pPr>
                    <w:pStyle w:val="Default"/>
                    <w:rPr>
                      <w:rFonts w:ascii="Arial" w:hAnsi="Arial" w:cs="Arial"/>
                      <w:b/>
                      <w:bCs/>
                      <w:color w:val="0000FF"/>
                      <w:sz w:val="20"/>
                      <w:szCs w:val="23"/>
                    </w:rPr>
                  </w:pPr>
                </w:p>
              </w:tc>
            </w:tr>
            <w:tr w:rsidR="00882388" w14:paraId="17CA1D5E" w14:textId="77777777" w:rsidTr="00AD6032">
              <w:trPr>
                <w:trHeight w:val="203"/>
              </w:trPr>
              <w:tc>
                <w:tcPr>
                  <w:tcW w:w="786" w:type="dxa"/>
                </w:tcPr>
                <w:p w14:paraId="17CA1D5C" w14:textId="77777777" w:rsidR="00882388" w:rsidRDefault="00882388" w:rsidP="00CE2F89">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294" w:type="dxa"/>
                </w:tcPr>
                <w:p w14:paraId="17CA1D5D" w14:textId="77777777" w:rsidR="00882388" w:rsidRDefault="00882388" w:rsidP="00CE2F89">
                  <w:pPr>
                    <w:pStyle w:val="Default"/>
                    <w:rPr>
                      <w:rFonts w:ascii="Arial" w:hAnsi="Arial" w:cs="Arial"/>
                      <w:color w:val="0000FF"/>
                      <w:sz w:val="20"/>
                      <w:szCs w:val="23"/>
                    </w:rPr>
                  </w:pPr>
                  <w:r>
                    <w:rPr>
                      <w:rFonts w:ascii="Arial" w:hAnsi="Arial" w:cs="Arial"/>
                      <w:b/>
                      <w:bCs/>
                      <w:color w:val="0000FF"/>
                      <w:sz w:val="20"/>
                      <w:szCs w:val="23"/>
                    </w:rPr>
                    <w:t xml:space="preserve">ACTION </w:t>
                  </w:r>
                </w:p>
              </w:tc>
            </w:tr>
            <w:tr w:rsidR="00882388" w14:paraId="17CA1D62" w14:textId="77777777" w:rsidTr="00AD6032">
              <w:trPr>
                <w:trHeight w:val="78"/>
              </w:trPr>
              <w:tc>
                <w:tcPr>
                  <w:tcW w:w="786" w:type="dxa"/>
                </w:tcPr>
                <w:p w14:paraId="17CA1D5F" w14:textId="77777777" w:rsidR="00882388" w:rsidRDefault="00882388" w:rsidP="00F8626A">
                  <w:pPr>
                    <w:pStyle w:val="Default"/>
                    <w:numPr>
                      <w:ilvl w:val="0"/>
                      <w:numId w:val="36"/>
                    </w:numPr>
                    <w:rPr>
                      <w:rFonts w:ascii="Arial" w:hAnsi="Arial" w:cs="Arial"/>
                      <w:sz w:val="20"/>
                      <w:szCs w:val="23"/>
                    </w:rPr>
                  </w:pPr>
                </w:p>
              </w:tc>
              <w:tc>
                <w:tcPr>
                  <w:tcW w:w="8294" w:type="dxa"/>
                </w:tcPr>
                <w:p w14:paraId="17CA1D60" w14:textId="04E5DC3E" w:rsidR="00882388" w:rsidRDefault="00780D90" w:rsidP="00CC51C7">
                  <w:pPr>
                    <w:pStyle w:val="Default"/>
                    <w:rPr>
                      <w:rFonts w:ascii="Arial" w:hAnsi="Arial" w:cs="Arial"/>
                      <w:b/>
                      <w:bCs/>
                      <w:sz w:val="20"/>
                      <w:szCs w:val="23"/>
                    </w:rPr>
                  </w:pPr>
                  <w:r>
                    <w:rPr>
                      <w:rFonts w:ascii="Arial" w:hAnsi="Arial" w:cs="Arial"/>
                      <w:sz w:val="20"/>
                      <w:szCs w:val="23"/>
                    </w:rPr>
                    <w:t>Log in as ADMIN (Password 8642.  If possible, start with the c-side module in Idle.</w:t>
                  </w:r>
                </w:p>
                <w:p w14:paraId="17CA1D61" w14:textId="77777777" w:rsidR="00882388" w:rsidRDefault="00882388" w:rsidP="00CC51C7">
                  <w:pPr>
                    <w:pStyle w:val="Default"/>
                    <w:rPr>
                      <w:rFonts w:ascii="Arial" w:hAnsi="Arial" w:cs="Arial"/>
                      <w:sz w:val="20"/>
                      <w:szCs w:val="23"/>
                    </w:rPr>
                  </w:pPr>
                </w:p>
              </w:tc>
            </w:tr>
            <w:tr w:rsidR="00882388" w14:paraId="17CA1D66" w14:textId="77777777" w:rsidTr="00AD6032">
              <w:trPr>
                <w:trHeight w:val="78"/>
              </w:trPr>
              <w:tc>
                <w:tcPr>
                  <w:tcW w:w="786" w:type="dxa"/>
                </w:tcPr>
                <w:p w14:paraId="17CA1D63" w14:textId="77777777" w:rsidR="00882388" w:rsidRDefault="00882388" w:rsidP="00F8626A">
                  <w:pPr>
                    <w:pStyle w:val="Default"/>
                    <w:numPr>
                      <w:ilvl w:val="0"/>
                      <w:numId w:val="36"/>
                    </w:numPr>
                    <w:rPr>
                      <w:rFonts w:ascii="Arial" w:hAnsi="Arial" w:cs="Arial"/>
                      <w:sz w:val="20"/>
                      <w:szCs w:val="23"/>
                    </w:rPr>
                  </w:pPr>
                </w:p>
              </w:tc>
              <w:tc>
                <w:tcPr>
                  <w:tcW w:w="8294" w:type="dxa"/>
                </w:tcPr>
                <w:p w14:paraId="17CA1D64" w14:textId="30F5093C" w:rsidR="00882388" w:rsidRPr="00780D90" w:rsidRDefault="00882388" w:rsidP="00CC51C7">
                  <w:pPr>
                    <w:pStyle w:val="Default"/>
                    <w:rPr>
                      <w:rFonts w:ascii="Arial" w:hAnsi="Arial" w:cs="Arial"/>
                      <w:sz w:val="20"/>
                      <w:szCs w:val="23"/>
                    </w:rPr>
                  </w:pPr>
                  <w:r>
                    <w:rPr>
                      <w:rFonts w:ascii="Arial" w:hAnsi="Arial" w:cs="Arial"/>
                      <w:sz w:val="20"/>
                      <w:szCs w:val="23"/>
                    </w:rPr>
                    <w:t xml:space="preserve">Select </w:t>
                  </w:r>
                  <w:r w:rsidR="00780D90">
                    <w:rPr>
                      <w:rFonts w:ascii="Arial" w:hAnsi="Arial" w:cs="Arial"/>
                      <w:b/>
                      <w:bCs/>
                      <w:sz w:val="20"/>
                      <w:szCs w:val="23"/>
                    </w:rPr>
                    <w:t xml:space="preserve">Configuration </w:t>
                  </w:r>
                  <w:r w:rsidR="00780D90">
                    <w:rPr>
                      <w:rFonts w:ascii="Arial" w:hAnsi="Arial" w:cs="Arial"/>
                      <w:bCs/>
                      <w:sz w:val="20"/>
                      <w:szCs w:val="23"/>
                    </w:rPr>
                    <w:t>from the drop down menu on the main screen</w:t>
                  </w:r>
                </w:p>
                <w:p w14:paraId="17CA1D65" w14:textId="77777777" w:rsidR="00882388" w:rsidRDefault="00882388" w:rsidP="00CC51C7">
                  <w:pPr>
                    <w:pStyle w:val="Default"/>
                    <w:rPr>
                      <w:rFonts w:ascii="Arial" w:hAnsi="Arial" w:cs="Arial"/>
                      <w:sz w:val="20"/>
                      <w:szCs w:val="23"/>
                    </w:rPr>
                  </w:pPr>
                </w:p>
              </w:tc>
            </w:tr>
            <w:tr w:rsidR="00882388" w14:paraId="17CA1D6A" w14:textId="77777777" w:rsidTr="00AD6032">
              <w:trPr>
                <w:trHeight w:val="78"/>
              </w:trPr>
              <w:tc>
                <w:tcPr>
                  <w:tcW w:w="786" w:type="dxa"/>
                </w:tcPr>
                <w:p w14:paraId="17CA1D67" w14:textId="77777777" w:rsidR="00882388" w:rsidRDefault="00882388" w:rsidP="00F8626A">
                  <w:pPr>
                    <w:pStyle w:val="Default"/>
                    <w:numPr>
                      <w:ilvl w:val="0"/>
                      <w:numId w:val="36"/>
                    </w:numPr>
                    <w:rPr>
                      <w:rFonts w:ascii="Arial" w:hAnsi="Arial" w:cs="Arial"/>
                      <w:sz w:val="20"/>
                      <w:szCs w:val="23"/>
                    </w:rPr>
                  </w:pPr>
                </w:p>
              </w:tc>
              <w:tc>
                <w:tcPr>
                  <w:tcW w:w="8294" w:type="dxa"/>
                </w:tcPr>
                <w:p w14:paraId="17CA1D68" w14:textId="2DF1854F" w:rsidR="00882388" w:rsidRDefault="00882388" w:rsidP="00CE2F89">
                  <w:pPr>
                    <w:pStyle w:val="Default"/>
                    <w:rPr>
                      <w:rFonts w:ascii="Arial" w:hAnsi="Arial" w:cs="Arial"/>
                      <w:b/>
                      <w:bCs/>
                      <w:sz w:val="20"/>
                      <w:szCs w:val="23"/>
                    </w:rPr>
                  </w:pPr>
                  <w:r>
                    <w:rPr>
                      <w:rFonts w:ascii="Arial" w:hAnsi="Arial" w:cs="Arial"/>
                      <w:sz w:val="20"/>
                      <w:szCs w:val="23"/>
                    </w:rPr>
                    <w:t xml:space="preserve">Select </w:t>
                  </w:r>
                  <w:r w:rsidR="00780D90">
                    <w:rPr>
                      <w:rFonts w:ascii="Arial" w:hAnsi="Arial" w:cs="Arial"/>
                      <w:b/>
                      <w:sz w:val="20"/>
                      <w:szCs w:val="23"/>
                    </w:rPr>
                    <w:t>Calibrator</w:t>
                  </w:r>
                </w:p>
                <w:p w14:paraId="17CA1D69" w14:textId="77777777" w:rsidR="00882388" w:rsidRDefault="00882388" w:rsidP="00CE2F89">
                  <w:pPr>
                    <w:pStyle w:val="Default"/>
                    <w:rPr>
                      <w:rFonts w:ascii="Arial" w:hAnsi="Arial" w:cs="Arial"/>
                      <w:sz w:val="20"/>
                      <w:szCs w:val="23"/>
                    </w:rPr>
                  </w:pPr>
                </w:p>
              </w:tc>
            </w:tr>
            <w:tr w:rsidR="00882388" w14:paraId="17CA1D6E" w14:textId="77777777" w:rsidTr="00AD6032">
              <w:trPr>
                <w:trHeight w:val="146"/>
              </w:trPr>
              <w:tc>
                <w:tcPr>
                  <w:tcW w:w="786" w:type="dxa"/>
                </w:tcPr>
                <w:p w14:paraId="17CA1D6B" w14:textId="77777777" w:rsidR="00882388" w:rsidRDefault="00882388" w:rsidP="00F8626A">
                  <w:pPr>
                    <w:pStyle w:val="Default"/>
                    <w:numPr>
                      <w:ilvl w:val="0"/>
                      <w:numId w:val="36"/>
                    </w:numPr>
                    <w:rPr>
                      <w:rFonts w:ascii="Arial" w:hAnsi="Arial" w:cs="Arial"/>
                      <w:sz w:val="20"/>
                      <w:szCs w:val="23"/>
                    </w:rPr>
                  </w:pPr>
                </w:p>
              </w:tc>
              <w:tc>
                <w:tcPr>
                  <w:tcW w:w="8294" w:type="dxa"/>
                </w:tcPr>
                <w:p w14:paraId="17CA1D6C" w14:textId="733B2318" w:rsidR="00882388" w:rsidRPr="00780D90" w:rsidRDefault="00882388" w:rsidP="00CE2F89">
                  <w:pPr>
                    <w:pStyle w:val="Default"/>
                    <w:rPr>
                      <w:rFonts w:ascii="Arial" w:hAnsi="Arial" w:cs="Arial"/>
                      <w:sz w:val="20"/>
                      <w:szCs w:val="23"/>
                    </w:rPr>
                  </w:pPr>
                  <w:r>
                    <w:rPr>
                      <w:rFonts w:ascii="Arial" w:hAnsi="Arial" w:cs="Arial"/>
                      <w:sz w:val="20"/>
                      <w:szCs w:val="23"/>
                    </w:rPr>
                    <w:t xml:space="preserve">Select </w:t>
                  </w:r>
                  <w:r w:rsidR="00780D90">
                    <w:rPr>
                      <w:rFonts w:ascii="Arial" w:hAnsi="Arial" w:cs="Arial"/>
                      <w:b/>
                      <w:bCs/>
                      <w:sz w:val="20"/>
                      <w:szCs w:val="23"/>
                    </w:rPr>
                    <w:t>Methotrexate</w:t>
                  </w:r>
                  <w:r w:rsidR="00780D90">
                    <w:rPr>
                      <w:rFonts w:ascii="Arial" w:hAnsi="Arial" w:cs="Arial"/>
                      <w:bCs/>
                      <w:sz w:val="20"/>
                      <w:szCs w:val="23"/>
                    </w:rPr>
                    <w:t xml:space="preserve"> calibrator</w:t>
                  </w:r>
                </w:p>
                <w:p w14:paraId="17CA1D6D" w14:textId="77777777" w:rsidR="00882388" w:rsidRDefault="00882388" w:rsidP="00CE2F89">
                  <w:pPr>
                    <w:pStyle w:val="Default"/>
                    <w:rPr>
                      <w:rFonts w:ascii="Arial" w:hAnsi="Arial" w:cs="Arial"/>
                      <w:sz w:val="20"/>
                      <w:szCs w:val="23"/>
                    </w:rPr>
                  </w:pPr>
                </w:p>
              </w:tc>
            </w:tr>
            <w:tr w:rsidR="00882388" w14:paraId="17CA1D73" w14:textId="77777777" w:rsidTr="00AD6032">
              <w:trPr>
                <w:trHeight w:val="305"/>
              </w:trPr>
              <w:tc>
                <w:tcPr>
                  <w:tcW w:w="786" w:type="dxa"/>
                </w:tcPr>
                <w:p w14:paraId="17CA1D6F" w14:textId="77777777" w:rsidR="00882388" w:rsidRDefault="00882388" w:rsidP="00F8626A">
                  <w:pPr>
                    <w:pStyle w:val="Default"/>
                    <w:numPr>
                      <w:ilvl w:val="0"/>
                      <w:numId w:val="36"/>
                    </w:numPr>
                    <w:rPr>
                      <w:rFonts w:ascii="Arial" w:hAnsi="Arial" w:cs="Arial"/>
                      <w:sz w:val="20"/>
                      <w:szCs w:val="23"/>
                    </w:rPr>
                  </w:pPr>
                </w:p>
              </w:tc>
              <w:tc>
                <w:tcPr>
                  <w:tcW w:w="8294" w:type="dxa"/>
                </w:tcPr>
                <w:p w14:paraId="17CA1D70" w14:textId="013EF684" w:rsidR="00882388" w:rsidRDefault="00780D90" w:rsidP="00CE2F89">
                  <w:pPr>
                    <w:pStyle w:val="Default"/>
                    <w:rPr>
                      <w:rFonts w:ascii="Arial" w:hAnsi="Arial" w:cs="Arial"/>
                      <w:sz w:val="20"/>
                      <w:szCs w:val="23"/>
                    </w:rPr>
                  </w:pPr>
                  <w:r>
                    <w:rPr>
                      <w:rFonts w:ascii="Arial" w:hAnsi="Arial" w:cs="Arial"/>
                      <w:sz w:val="20"/>
                      <w:szCs w:val="23"/>
                    </w:rPr>
                    <w:t>Enter the lot number and expiration date.  Make lot the default by checking the box.</w:t>
                  </w:r>
                </w:p>
                <w:p w14:paraId="17CA1D72" w14:textId="57133E96" w:rsidR="00882388" w:rsidRDefault="00882388" w:rsidP="00CE2F89">
                  <w:pPr>
                    <w:pStyle w:val="Default"/>
                    <w:rPr>
                      <w:rFonts w:ascii="Arial" w:hAnsi="Arial" w:cs="Arial"/>
                      <w:sz w:val="20"/>
                      <w:szCs w:val="23"/>
                    </w:rPr>
                  </w:pPr>
                </w:p>
              </w:tc>
            </w:tr>
            <w:tr w:rsidR="00882388" w14:paraId="17CA1D77" w14:textId="77777777" w:rsidTr="00AD6032">
              <w:trPr>
                <w:trHeight w:val="84"/>
              </w:trPr>
              <w:tc>
                <w:tcPr>
                  <w:tcW w:w="786" w:type="dxa"/>
                </w:tcPr>
                <w:p w14:paraId="17CA1D74" w14:textId="77777777" w:rsidR="00882388" w:rsidRDefault="00882388" w:rsidP="00F8626A">
                  <w:pPr>
                    <w:pStyle w:val="Default"/>
                    <w:numPr>
                      <w:ilvl w:val="0"/>
                      <w:numId w:val="36"/>
                    </w:numPr>
                    <w:rPr>
                      <w:rFonts w:ascii="Arial" w:hAnsi="Arial" w:cs="Arial"/>
                      <w:sz w:val="20"/>
                      <w:szCs w:val="23"/>
                    </w:rPr>
                  </w:pPr>
                </w:p>
              </w:tc>
              <w:tc>
                <w:tcPr>
                  <w:tcW w:w="8294" w:type="dxa"/>
                </w:tcPr>
                <w:p w14:paraId="17CA1D75" w14:textId="6783DE13" w:rsidR="00882388" w:rsidRDefault="00882388" w:rsidP="006D75E5">
                  <w:pPr>
                    <w:pStyle w:val="Default"/>
                    <w:rPr>
                      <w:rFonts w:ascii="Arial" w:hAnsi="Arial" w:cs="Arial"/>
                      <w:sz w:val="20"/>
                      <w:szCs w:val="23"/>
                    </w:rPr>
                  </w:pPr>
                  <w:r>
                    <w:rPr>
                      <w:rFonts w:ascii="Arial" w:hAnsi="Arial" w:cs="Arial"/>
                      <w:sz w:val="20"/>
                      <w:szCs w:val="23"/>
                    </w:rPr>
                    <w:t xml:space="preserve">Select </w:t>
                  </w:r>
                  <w:r w:rsidRPr="00E17DA2">
                    <w:rPr>
                      <w:rFonts w:ascii="Arial" w:hAnsi="Arial" w:cs="Arial"/>
                      <w:b/>
                      <w:sz w:val="20"/>
                      <w:szCs w:val="23"/>
                    </w:rPr>
                    <w:t>Save</w:t>
                  </w:r>
                  <w:r w:rsidR="0063494A">
                    <w:rPr>
                      <w:rFonts w:ascii="Arial" w:hAnsi="Arial" w:cs="Arial"/>
                      <w:sz w:val="20"/>
                      <w:szCs w:val="23"/>
                    </w:rPr>
                    <w:t xml:space="preserve"> and Done</w:t>
                  </w:r>
                  <w:r w:rsidR="00780D90">
                    <w:rPr>
                      <w:rFonts w:ascii="Arial" w:hAnsi="Arial" w:cs="Arial"/>
                      <w:sz w:val="20"/>
                      <w:szCs w:val="23"/>
                    </w:rPr>
                    <w:t>.  Ensure you select the correct lot number when ordering calibration.</w:t>
                  </w:r>
                </w:p>
                <w:p w14:paraId="17CA1D76" w14:textId="77777777" w:rsidR="00882388" w:rsidRDefault="00882388" w:rsidP="006D75E5">
                  <w:pPr>
                    <w:pStyle w:val="Default"/>
                    <w:rPr>
                      <w:rFonts w:ascii="Arial" w:hAnsi="Arial" w:cs="Arial"/>
                      <w:sz w:val="20"/>
                      <w:szCs w:val="23"/>
                    </w:rPr>
                  </w:pPr>
                </w:p>
              </w:tc>
            </w:tr>
          </w:tbl>
          <w:p w14:paraId="17CA1D78" w14:textId="77777777" w:rsidR="00882388" w:rsidRPr="00926470" w:rsidRDefault="00882388">
            <w:pPr>
              <w:pStyle w:val="Pa26"/>
              <w:rPr>
                <w:rFonts w:ascii="Arial" w:hAnsi="Arial" w:cs="Arial"/>
                <w:sz w:val="20"/>
                <w:szCs w:val="20"/>
              </w:rPr>
            </w:pPr>
          </w:p>
        </w:tc>
      </w:tr>
      <w:tr w:rsidR="001A0819" w:rsidRPr="00926470" w14:paraId="17CA1D91" w14:textId="77777777" w:rsidTr="00AD6032">
        <w:trPr>
          <w:cantSplit/>
          <w:trHeight w:val="3267"/>
          <w:tblHeader/>
        </w:trPr>
        <w:tc>
          <w:tcPr>
            <w:tcW w:w="1803" w:type="dxa"/>
          </w:tcPr>
          <w:p w14:paraId="17CA1D7A" w14:textId="77777777" w:rsidR="001A0819" w:rsidRDefault="001A0819" w:rsidP="00CC51C7">
            <w:pPr>
              <w:ind w:right="-108"/>
              <w:rPr>
                <w:rFonts w:cs="Arial"/>
                <w:b/>
                <w:bCs/>
                <w:color w:val="0000FF"/>
              </w:rPr>
            </w:pPr>
            <w:r>
              <w:rPr>
                <w:rFonts w:cs="Arial"/>
                <w:b/>
                <w:bCs/>
                <w:color w:val="0000FF"/>
              </w:rPr>
              <w:t>Quality Control</w:t>
            </w:r>
          </w:p>
        </w:tc>
        <w:tc>
          <w:tcPr>
            <w:tcW w:w="9204" w:type="dxa"/>
            <w:gridSpan w:val="10"/>
            <w:tcBorders>
              <w:top w:val="single" w:sz="18" w:space="0" w:color="A6A6A6" w:themeColor="background1" w:themeShade="A6"/>
              <w:bottom w:val="single" w:sz="18" w:space="0" w:color="A6A6A6" w:themeColor="background1" w:themeShade="A6"/>
            </w:tcBorders>
          </w:tcPr>
          <w:p w14:paraId="17CA1D7B" w14:textId="77777777" w:rsidR="001A0819" w:rsidRDefault="001A0819" w:rsidP="00CE2F89">
            <w:pPr>
              <w:pStyle w:val="Default"/>
              <w:rPr>
                <w:rFonts w:ascii="Arial" w:hAnsi="Arial" w:cs="Arial"/>
                <w:b/>
                <w:bCs/>
                <w:color w:val="0000FF"/>
                <w:sz w:val="20"/>
                <w:szCs w:val="23"/>
              </w:rPr>
            </w:pPr>
          </w:p>
          <w:p w14:paraId="17CA1D7C" w14:textId="77777777" w:rsidR="001A0819" w:rsidRPr="00B720BC" w:rsidRDefault="001A0819" w:rsidP="001A0819">
            <w:pPr>
              <w:pStyle w:val="BodyText"/>
              <w:rPr>
                <w:rFonts w:cs="Arial"/>
                <w:szCs w:val="20"/>
              </w:rPr>
            </w:pPr>
            <w:r w:rsidRPr="00B720BC">
              <w:rPr>
                <w:rFonts w:cs="Arial"/>
                <w:b/>
                <w:bCs/>
                <w:color w:val="000000"/>
                <w:szCs w:val="20"/>
              </w:rPr>
              <w:t>ARK Methotrexate Control</w:t>
            </w:r>
            <w:r w:rsidRPr="00845F8A">
              <w:rPr>
                <w:rFonts w:cs="Arial"/>
                <w:b/>
                <w:bCs/>
                <w:color w:val="000000"/>
                <w:szCs w:val="20"/>
              </w:rPr>
              <w:t xml:space="preserve"> (2 mL)</w:t>
            </w:r>
            <w:r w:rsidRPr="00B720BC">
              <w:rPr>
                <w:rFonts w:cs="Arial"/>
                <w:b/>
                <w:bCs/>
                <w:color w:val="000000"/>
                <w:szCs w:val="20"/>
              </w:rPr>
              <w:t xml:space="preserve"> </w:t>
            </w:r>
            <w:r w:rsidRPr="00B720BC">
              <w:rPr>
                <w:rFonts w:cs="Arial"/>
                <w:szCs w:val="20"/>
              </w:rPr>
              <w:t>vials</w:t>
            </w:r>
          </w:p>
          <w:p w14:paraId="17CA1D7D" w14:textId="77777777" w:rsidR="001A0819" w:rsidRPr="00B720BC" w:rsidRDefault="001A0819" w:rsidP="001A0819">
            <w:pPr>
              <w:autoSpaceDE w:val="0"/>
              <w:autoSpaceDN w:val="0"/>
              <w:adjustRightInd w:val="0"/>
              <w:ind w:left="720"/>
              <w:rPr>
                <w:rFonts w:cs="Arial"/>
                <w:color w:val="000000"/>
                <w:szCs w:val="20"/>
              </w:rPr>
            </w:pPr>
            <w:r w:rsidRPr="00845F8A">
              <w:rPr>
                <w:rFonts w:cs="Arial"/>
                <w:color w:val="000000"/>
                <w:szCs w:val="20"/>
              </w:rPr>
              <w:t>LOW (0.07 μmol/L)</w:t>
            </w:r>
          </w:p>
          <w:p w14:paraId="17CA1D7E" w14:textId="77777777" w:rsidR="001A0819" w:rsidRPr="00B720BC" w:rsidRDefault="001A0819" w:rsidP="001A0819">
            <w:pPr>
              <w:autoSpaceDE w:val="0"/>
              <w:autoSpaceDN w:val="0"/>
              <w:adjustRightInd w:val="0"/>
              <w:ind w:left="720"/>
              <w:rPr>
                <w:rFonts w:cs="Arial"/>
                <w:color w:val="000000"/>
                <w:szCs w:val="20"/>
              </w:rPr>
            </w:pPr>
            <w:r w:rsidRPr="00845F8A">
              <w:rPr>
                <w:rFonts w:cs="Arial"/>
                <w:color w:val="000000"/>
                <w:szCs w:val="20"/>
              </w:rPr>
              <w:t>MID (0.40 μmol/L)</w:t>
            </w:r>
          </w:p>
          <w:p w14:paraId="17CA1D7F" w14:textId="77777777" w:rsidR="001A0819" w:rsidRPr="00B720BC" w:rsidRDefault="001A0819" w:rsidP="001A0819">
            <w:pPr>
              <w:pStyle w:val="BodyText"/>
              <w:ind w:left="720"/>
              <w:rPr>
                <w:rFonts w:cs="Arial"/>
                <w:color w:val="000000"/>
                <w:szCs w:val="20"/>
              </w:rPr>
            </w:pPr>
            <w:r w:rsidRPr="00845F8A">
              <w:rPr>
                <w:rFonts w:cs="Arial"/>
                <w:color w:val="000000"/>
                <w:szCs w:val="20"/>
              </w:rPr>
              <w:t>HIGH (0.80 μmol/L)</w:t>
            </w:r>
          </w:p>
          <w:p w14:paraId="17CA1D80" w14:textId="77777777" w:rsidR="001A0819" w:rsidRPr="009A6EB0" w:rsidRDefault="001A0819" w:rsidP="001A0819">
            <w:pPr>
              <w:pStyle w:val="BodyText"/>
              <w:rPr>
                <w:rFonts w:cs="Arial"/>
                <w:szCs w:val="20"/>
              </w:rPr>
            </w:pPr>
            <w:r w:rsidRPr="009A6EB0">
              <w:rPr>
                <w:rFonts w:cs="Arial"/>
                <w:szCs w:val="20"/>
              </w:rPr>
              <w:t>Use each lot as a set</w:t>
            </w:r>
            <w:r>
              <w:rPr>
                <w:rFonts w:cs="Arial"/>
                <w:szCs w:val="20"/>
              </w:rPr>
              <w:t>; do not mix lot numbers or bottles from separate kits</w:t>
            </w:r>
            <w:r w:rsidRPr="009A6EB0">
              <w:rPr>
                <w:rFonts w:cs="Arial"/>
                <w:szCs w:val="20"/>
              </w:rPr>
              <w:t xml:space="preserve"> </w:t>
            </w:r>
          </w:p>
          <w:p w14:paraId="17CA1D81" w14:textId="77777777" w:rsidR="001A0819" w:rsidRDefault="001A0819" w:rsidP="001A0819">
            <w:pPr>
              <w:rPr>
                <w:rFonts w:cs="Arial"/>
                <w:iCs/>
                <w:szCs w:val="20"/>
              </w:rPr>
            </w:pPr>
          </w:p>
          <w:p w14:paraId="17CA1D82" w14:textId="77777777" w:rsidR="001A0819" w:rsidRDefault="001A0819" w:rsidP="001A0819">
            <w:pPr>
              <w:rPr>
                <w:rFonts w:cs="Arial"/>
                <w:b/>
                <w:bCs/>
                <w:iCs/>
                <w:szCs w:val="20"/>
              </w:rPr>
            </w:pPr>
            <w:r>
              <w:rPr>
                <w:rFonts w:cs="Arial"/>
                <w:b/>
                <w:bCs/>
                <w:iCs/>
                <w:szCs w:val="20"/>
              </w:rPr>
              <w:t xml:space="preserve">Frequency: </w:t>
            </w:r>
          </w:p>
          <w:p w14:paraId="17CA1D83" w14:textId="77777777" w:rsidR="001A0819" w:rsidRPr="00367735" w:rsidRDefault="001A0819" w:rsidP="001A0819">
            <w:pPr>
              <w:numPr>
                <w:ilvl w:val="0"/>
                <w:numId w:val="47"/>
              </w:numPr>
              <w:rPr>
                <w:rFonts w:cs="Arial"/>
                <w:iCs/>
                <w:szCs w:val="20"/>
              </w:rPr>
            </w:pPr>
            <w:r>
              <w:rPr>
                <w:rFonts w:cs="Arial"/>
                <w:szCs w:val="20"/>
              </w:rPr>
              <w:t>Three levels once each day of patient testing.</w:t>
            </w:r>
          </w:p>
          <w:p w14:paraId="17CA1D84" w14:textId="65062CA6" w:rsidR="001A0819" w:rsidRPr="0063494A" w:rsidRDefault="0063494A" w:rsidP="001A0819">
            <w:pPr>
              <w:numPr>
                <w:ilvl w:val="0"/>
                <w:numId w:val="47"/>
              </w:numPr>
              <w:rPr>
                <w:rFonts w:cs="Arial"/>
                <w:iCs/>
                <w:szCs w:val="20"/>
              </w:rPr>
            </w:pPr>
            <w:r>
              <w:rPr>
                <w:rFonts w:cs="Arial"/>
                <w:szCs w:val="20"/>
              </w:rPr>
              <w:t>After loading a new</w:t>
            </w:r>
            <w:r w:rsidR="001A0819" w:rsidRPr="009A6EB0">
              <w:rPr>
                <w:rFonts w:cs="Arial"/>
                <w:szCs w:val="20"/>
              </w:rPr>
              <w:t xml:space="preserve"> reagent cartridge</w:t>
            </w:r>
          </w:p>
          <w:p w14:paraId="38EBD863" w14:textId="58CEDEFC" w:rsidR="0063494A" w:rsidRDefault="0063494A" w:rsidP="001A0819">
            <w:pPr>
              <w:numPr>
                <w:ilvl w:val="0"/>
                <w:numId w:val="47"/>
              </w:numPr>
              <w:rPr>
                <w:rFonts w:cs="Arial"/>
                <w:iCs/>
                <w:szCs w:val="20"/>
              </w:rPr>
            </w:pPr>
            <w:r>
              <w:rPr>
                <w:rFonts w:cs="Arial"/>
                <w:szCs w:val="20"/>
              </w:rPr>
              <w:t xml:space="preserve">When quality control results or analyzer function warrant a quality check </w:t>
            </w:r>
          </w:p>
          <w:p w14:paraId="17CA1D85" w14:textId="77777777" w:rsidR="001A0819" w:rsidRDefault="001A0819" w:rsidP="001A0819">
            <w:pPr>
              <w:rPr>
                <w:rFonts w:cs="Arial"/>
                <w:iCs/>
                <w:szCs w:val="20"/>
              </w:rPr>
            </w:pPr>
          </w:p>
          <w:p w14:paraId="17CA1D86" w14:textId="77777777" w:rsidR="001A0819" w:rsidRDefault="001A0819" w:rsidP="001A0819">
            <w:pPr>
              <w:autoSpaceDE w:val="0"/>
              <w:autoSpaceDN w:val="0"/>
              <w:adjustRightInd w:val="0"/>
              <w:rPr>
                <w:rFonts w:eastAsia="HelveticaNeueLTPro-Cn" w:cs="Arial"/>
                <w:szCs w:val="20"/>
              </w:rPr>
            </w:pPr>
            <w:r>
              <w:rPr>
                <w:rFonts w:cs="Arial"/>
                <w:b/>
                <w:bCs/>
                <w:iCs/>
                <w:szCs w:val="20"/>
              </w:rPr>
              <w:t>Stability:</w:t>
            </w:r>
            <w:r>
              <w:rPr>
                <w:rFonts w:cs="Arial"/>
                <w:iCs/>
                <w:szCs w:val="20"/>
              </w:rPr>
              <w:t xml:space="preserve"> </w:t>
            </w:r>
          </w:p>
          <w:p w14:paraId="17CA1D87" w14:textId="77777777" w:rsidR="001A0819" w:rsidRPr="009A6EB0" w:rsidRDefault="001A0819" w:rsidP="001A0819">
            <w:pPr>
              <w:pStyle w:val="BodyText"/>
              <w:numPr>
                <w:ilvl w:val="0"/>
                <w:numId w:val="46"/>
              </w:numPr>
              <w:rPr>
                <w:rFonts w:cs="Arial"/>
                <w:szCs w:val="20"/>
              </w:rPr>
            </w:pPr>
            <w:r w:rsidRPr="00447957">
              <w:rPr>
                <w:rFonts w:cs="Arial"/>
                <w:b/>
                <w:szCs w:val="20"/>
              </w:rPr>
              <w:t>Unopened</w:t>
            </w:r>
            <w:r w:rsidRPr="009A6EB0">
              <w:rPr>
                <w:rFonts w:cs="Arial"/>
                <w:szCs w:val="20"/>
              </w:rPr>
              <w:t>: 2°- 8°C. Use prior to expiration date on container</w:t>
            </w:r>
          </w:p>
          <w:p w14:paraId="17CA1D88" w14:textId="77777777" w:rsidR="001A0819" w:rsidRPr="009A6EB0" w:rsidRDefault="001A0819" w:rsidP="001A0819">
            <w:pPr>
              <w:pStyle w:val="BodyText"/>
              <w:numPr>
                <w:ilvl w:val="0"/>
                <w:numId w:val="46"/>
              </w:numPr>
              <w:rPr>
                <w:rFonts w:cs="Arial"/>
                <w:szCs w:val="20"/>
              </w:rPr>
            </w:pPr>
            <w:r w:rsidRPr="00447957">
              <w:rPr>
                <w:rFonts w:cs="Arial"/>
                <w:b/>
                <w:szCs w:val="20"/>
              </w:rPr>
              <w:t>Open:</w:t>
            </w:r>
            <w:r w:rsidRPr="009A6EB0">
              <w:rPr>
                <w:rFonts w:cs="Arial"/>
                <w:szCs w:val="20"/>
              </w:rPr>
              <w:t xml:space="preserve"> until expiration date on label when stored tightly capped at 2°- 8°C</w:t>
            </w:r>
          </w:p>
          <w:p w14:paraId="17CA1D89" w14:textId="77777777" w:rsidR="001A0819" w:rsidRDefault="001A0819" w:rsidP="001A0819">
            <w:pPr>
              <w:rPr>
                <w:rFonts w:cs="Arial"/>
                <w:iCs/>
                <w:szCs w:val="20"/>
              </w:rPr>
            </w:pPr>
          </w:p>
          <w:p w14:paraId="17CA1D8A" w14:textId="77777777" w:rsidR="001A0819" w:rsidRDefault="001A0819" w:rsidP="001A0819">
            <w:pPr>
              <w:rPr>
                <w:rFonts w:cs="Arial"/>
                <w:szCs w:val="20"/>
              </w:rPr>
            </w:pPr>
            <w:r>
              <w:rPr>
                <w:rFonts w:cs="Arial"/>
                <w:b/>
                <w:bCs/>
                <w:szCs w:val="20"/>
              </w:rPr>
              <w:t>Acceptable ranges:</w:t>
            </w:r>
            <w:r>
              <w:rPr>
                <w:rFonts w:cs="Arial"/>
                <w:szCs w:val="20"/>
              </w:rPr>
              <w:t xml:space="preserve"> </w:t>
            </w:r>
          </w:p>
          <w:p w14:paraId="17CA1D8B" w14:textId="77777777" w:rsidR="001A0819" w:rsidRDefault="001A0819" w:rsidP="001A0819">
            <w:pPr>
              <w:pStyle w:val="ListParagraph"/>
              <w:numPr>
                <w:ilvl w:val="0"/>
                <w:numId w:val="45"/>
              </w:numPr>
              <w:jc w:val="both"/>
              <w:rPr>
                <w:rFonts w:cs="Arial"/>
                <w:szCs w:val="20"/>
              </w:rPr>
            </w:pPr>
            <w:r>
              <w:rPr>
                <w:rFonts w:cs="Arial"/>
                <w:szCs w:val="20"/>
              </w:rPr>
              <w:t xml:space="preserve">Non-Bio-Rad controls will utilize manufacturer ranges and 2 SD Westgard rules.  </w:t>
            </w:r>
          </w:p>
          <w:p w14:paraId="17CA1D8C" w14:textId="77777777" w:rsidR="001A0819" w:rsidRDefault="001A0819" w:rsidP="001A0819">
            <w:pPr>
              <w:pStyle w:val="ListParagraph"/>
              <w:numPr>
                <w:ilvl w:val="0"/>
                <w:numId w:val="45"/>
              </w:numPr>
              <w:jc w:val="both"/>
              <w:rPr>
                <w:rFonts w:cs="Arial"/>
                <w:szCs w:val="20"/>
              </w:rPr>
            </w:pPr>
            <w:r>
              <w:rPr>
                <w:rFonts w:cs="Arial"/>
                <w:szCs w:val="20"/>
              </w:rPr>
              <w:t xml:space="preserve">Refer to the </w:t>
            </w:r>
            <w:hyperlink r:id="rId13" w:history="1">
              <w:r>
                <w:rPr>
                  <w:rStyle w:val="Hyperlink"/>
                  <w:rFonts w:cs="Arial"/>
                  <w:szCs w:val="20"/>
                </w:rPr>
                <w:t>Westgard Rules in Chemistry procedure</w:t>
              </w:r>
            </w:hyperlink>
            <w:r>
              <w:rPr>
                <w:rFonts w:cs="Arial"/>
                <w:szCs w:val="20"/>
              </w:rPr>
              <w:t xml:space="preserve"> for current Westgard rules in place for each analyte.  </w:t>
            </w:r>
          </w:p>
          <w:p w14:paraId="17CA1D8D" w14:textId="77777777" w:rsidR="001A0819" w:rsidRDefault="001A0819" w:rsidP="001A0819">
            <w:pPr>
              <w:numPr>
                <w:ilvl w:val="0"/>
                <w:numId w:val="45"/>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17CA1D8E" w14:textId="77777777" w:rsidR="001A0819" w:rsidRDefault="001A0819" w:rsidP="001A0819">
            <w:pPr>
              <w:numPr>
                <w:ilvl w:val="0"/>
                <w:numId w:val="45"/>
              </w:numPr>
              <w:autoSpaceDE w:val="0"/>
              <w:autoSpaceDN w:val="0"/>
              <w:adjustRightInd w:val="0"/>
              <w:jc w:val="both"/>
              <w:rPr>
                <w:rFonts w:cs="Arial"/>
                <w:color w:val="000000"/>
                <w:szCs w:val="20"/>
              </w:rPr>
            </w:pPr>
            <w:r>
              <w:rPr>
                <w:rFonts w:cs="Arial"/>
                <w:szCs w:val="20"/>
              </w:rPr>
              <w:t xml:space="preserve">In the event of a QC failure, refer to the </w:t>
            </w:r>
            <w:hyperlink r:id="rId14" w:history="1">
              <w:r>
                <w:rPr>
                  <w:rStyle w:val="Hyperlink"/>
                  <w:rFonts w:cs="Arial"/>
                  <w:szCs w:val="20"/>
                </w:rPr>
                <w:t>Unity Real Time QC Review, General User</w:t>
              </w:r>
            </w:hyperlink>
            <w:r>
              <w:rPr>
                <w:rFonts w:cs="Arial"/>
                <w:szCs w:val="20"/>
              </w:rPr>
              <w:t xml:space="preserve"> and navigate to the QC Troubleshooting section.</w:t>
            </w:r>
          </w:p>
          <w:p w14:paraId="17CA1D8F" w14:textId="77777777" w:rsidR="001A0819" w:rsidRDefault="001A0819" w:rsidP="001A0819">
            <w:pPr>
              <w:numPr>
                <w:ilvl w:val="0"/>
                <w:numId w:val="45"/>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17CA1D90" w14:textId="77777777" w:rsidR="001A0819" w:rsidRDefault="001A0819" w:rsidP="00CE2F89">
            <w:pPr>
              <w:pStyle w:val="Default"/>
              <w:rPr>
                <w:rFonts w:ascii="Arial" w:hAnsi="Arial" w:cs="Arial"/>
                <w:b/>
                <w:bCs/>
                <w:color w:val="0000FF"/>
                <w:sz w:val="20"/>
                <w:szCs w:val="23"/>
              </w:rPr>
            </w:pPr>
          </w:p>
        </w:tc>
      </w:tr>
      <w:tr w:rsidR="00882388" w14:paraId="17CA1DC9" w14:textId="77777777" w:rsidTr="00AD6032">
        <w:trPr>
          <w:cantSplit/>
          <w:trHeight w:val="3433"/>
          <w:tblHeader/>
        </w:trPr>
        <w:tc>
          <w:tcPr>
            <w:tcW w:w="1803" w:type="dxa"/>
          </w:tcPr>
          <w:p w14:paraId="17CA1DB5" w14:textId="77777777" w:rsidR="00882388" w:rsidRDefault="00882388">
            <w:pPr>
              <w:rPr>
                <w:b/>
                <w:bCs/>
                <w:color w:val="0000FF"/>
                <w:szCs w:val="23"/>
              </w:rPr>
            </w:pPr>
          </w:p>
          <w:p w14:paraId="17CA1DB6" w14:textId="77777777" w:rsidR="00882388" w:rsidRDefault="00882388" w:rsidP="006D75E5">
            <w:pPr>
              <w:rPr>
                <w:rFonts w:cs="Arial"/>
                <w:b/>
                <w:bCs/>
                <w:color w:val="0000FF"/>
              </w:rPr>
            </w:pPr>
            <w:r>
              <w:rPr>
                <w:rFonts w:cs="Arial"/>
                <w:b/>
                <w:bCs/>
                <w:color w:val="0000FF"/>
              </w:rPr>
              <w:t>Interferences</w:t>
            </w:r>
          </w:p>
          <w:p w14:paraId="17CA1DB7" w14:textId="77777777" w:rsidR="00882388" w:rsidRDefault="00882388">
            <w:pPr>
              <w:rPr>
                <w:b/>
                <w:bCs/>
                <w:color w:val="0000FF"/>
                <w:szCs w:val="23"/>
              </w:rPr>
            </w:pPr>
          </w:p>
        </w:tc>
        <w:tc>
          <w:tcPr>
            <w:tcW w:w="9204" w:type="dxa"/>
            <w:gridSpan w:val="10"/>
            <w:vMerge w:val="restart"/>
            <w:tcBorders>
              <w:top w:val="single" w:sz="18" w:space="0" w:color="A6A6A6" w:themeColor="background1" w:themeShade="A6"/>
            </w:tcBorders>
            <w:vAlign w:val="center"/>
          </w:tcPr>
          <w:p w14:paraId="17CA1DB8" w14:textId="77777777" w:rsidR="00AD6032" w:rsidRDefault="00AD6032" w:rsidP="0083216A">
            <w:pPr>
              <w:autoSpaceDE w:val="0"/>
              <w:autoSpaceDN w:val="0"/>
              <w:adjustRightInd w:val="0"/>
              <w:jc w:val="both"/>
              <w:rPr>
                <w:rFonts w:cs="Arial"/>
                <w:szCs w:val="20"/>
              </w:rPr>
            </w:pPr>
          </w:p>
          <w:p w14:paraId="17CA1DB9" w14:textId="097BA389" w:rsidR="00882388" w:rsidRPr="00E67515" w:rsidRDefault="00882388" w:rsidP="0083216A">
            <w:pPr>
              <w:autoSpaceDE w:val="0"/>
              <w:autoSpaceDN w:val="0"/>
              <w:adjustRightInd w:val="0"/>
              <w:jc w:val="both"/>
              <w:rPr>
                <w:rFonts w:cs="Arial"/>
                <w:szCs w:val="20"/>
              </w:rPr>
            </w:pPr>
            <w:r w:rsidRPr="00E67515">
              <w:rPr>
                <w:rFonts w:cs="Arial"/>
                <w:szCs w:val="20"/>
              </w:rPr>
              <w:t xml:space="preserve">Interference studies were conducted using CLSI/NCCLS Protocol EP7-A2 as a guideline. Clinically high concentrations of the following potentially interfering endogenous substances in serum with known levels of methotrexate (approximately 0.05 and 0.50 μmol/L) were evaluated. Each sample was assayed using the ARK Methotrexate Assay, along with a serum control of methotrexate. Measurement of </w:t>
            </w:r>
            <w:r w:rsidRPr="00E67515">
              <w:rPr>
                <w:rFonts w:cs="Arial"/>
                <w:b/>
                <w:szCs w:val="20"/>
              </w:rPr>
              <w:t>methotrexate was not substantially affected</w:t>
            </w:r>
            <w:r w:rsidRPr="00E67515">
              <w:rPr>
                <w:rFonts w:cs="Arial"/>
                <w:szCs w:val="20"/>
              </w:rPr>
              <w:t xml:space="preserve"> at the levels o</w:t>
            </w:r>
            <w:r w:rsidR="00780D90">
              <w:rPr>
                <w:rFonts w:cs="Arial"/>
                <w:szCs w:val="20"/>
              </w:rPr>
              <w:t>f endogenous substances tested</w:t>
            </w:r>
            <w:r w:rsidRPr="00E67515">
              <w:rPr>
                <w:rFonts w:cs="Arial"/>
                <w:szCs w:val="20"/>
              </w:rPr>
              <w:t xml:space="preserve"> </w:t>
            </w:r>
            <w:r w:rsidR="00780D90">
              <w:rPr>
                <w:rFonts w:cs="Arial"/>
                <w:szCs w:val="20"/>
              </w:rPr>
              <w:t>(</w:t>
            </w:r>
            <w:r w:rsidRPr="00E67515">
              <w:rPr>
                <w:rFonts w:cs="Arial"/>
                <w:szCs w:val="20"/>
              </w:rPr>
              <w:t>Albumin, Bilirubin – conjugated, Bilirubin – unconjugated, Cholesterol, Gamma-Globulin, Hemoglobin, Intralipid®, Rheumatoid Factor, Triglycerides, Uric Acid)</w:t>
            </w:r>
          </w:p>
          <w:p w14:paraId="17CA1DBA" w14:textId="77777777" w:rsidR="00882388" w:rsidRPr="00E67515" w:rsidRDefault="00882388" w:rsidP="0083216A">
            <w:pPr>
              <w:jc w:val="both"/>
              <w:rPr>
                <w:rFonts w:cs="Arial"/>
                <w:szCs w:val="20"/>
              </w:rPr>
            </w:pPr>
          </w:p>
          <w:p w14:paraId="17CA1DBB" w14:textId="77777777" w:rsidR="00882388" w:rsidRPr="00E67515" w:rsidRDefault="00882388" w:rsidP="0083216A">
            <w:pPr>
              <w:autoSpaceDE w:val="0"/>
              <w:autoSpaceDN w:val="0"/>
              <w:adjustRightInd w:val="0"/>
              <w:jc w:val="both"/>
              <w:rPr>
                <w:rFonts w:cs="Arial"/>
                <w:bCs/>
                <w:i/>
                <w:szCs w:val="20"/>
              </w:rPr>
            </w:pPr>
            <w:r w:rsidRPr="00E67515">
              <w:rPr>
                <w:rFonts w:cs="Arial"/>
                <w:bCs/>
                <w:i/>
                <w:szCs w:val="20"/>
              </w:rPr>
              <w:t>Specificity</w:t>
            </w:r>
          </w:p>
          <w:p w14:paraId="17CA1DBC" w14:textId="77777777" w:rsidR="003C7B15" w:rsidRDefault="003C7B15" w:rsidP="0083216A">
            <w:pPr>
              <w:autoSpaceDE w:val="0"/>
              <w:autoSpaceDN w:val="0"/>
              <w:adjustRightInd w:val="0"/>
              <w:jc w:val="both"/>
              <w:rPr>
                <w:rFonts w:cs="Arial"/>
                <w:szCs w:val="20"/>
              </w:rPr>
            </w:pPr>
          </w:p>
          <w:p w14:paraId="17CA1DBD" w14:textId="5037C4DF" w:rsidR="00E67515" w:rsidRPr="00E67515" w:rsidRDefault="00021AF6" w:rsidP="0083216A">
            <w:pPr>
              <w:autoSpaceDE w:val="0"/>
              <w:autoSpaceDN w:val="0"/>
              <w:adjustRightInd w:val="0"/>
              <w:jc w:val="both"/>
              <w:rPr>
                <w:rFonts w:cs="Arial"/>
                <w:i/>
                <w:iCs/>
                <w:szCs w:val="20"/>
              </w:rPr>
            </w:pPr>
            <w:r w:rsidRPr="00E67515">
              <w:rPr>
                <w:rFonts w:cs="Arial"/>
                <w:i/>
                <w:iCs/>
                <w:szCs w:val="20"/>
              </w:rPr>
              <w:t>Cross reactivity</w:t>
            </w:r>
            <w:r w:rsidR="00E67515" w:rsidRPr="00E67515">
              <w:rPr>
                <w:rFonts w:cs="Arial"/>
                <w:i/>
                <w:iCs/>
                <w:szCs w:val="20"/>
              </w:rPr>
              <w:t xml:space="preserve"> to 7-Hydroxymethotrexate, the major metabolite</w:t>
            </w:r>
          </w:p>
          <w:p w14:paraId="17CA1DBE" w14:textId="28890D0F" w:rsidR="00434A53" w:rsidRDefault="00434A53" w:rsidP="0083216A">
            <w:pPr>
              <w:numPr>
                <w:ilvl w:val="0"/>
                <w:numId w:val="38"/>
              </w:numPr>
              <w:autoSpaceDE w:val="0"/>
              <w:autoSpaceDN w:val="0"/>
              <w:adjustRightInd w:val="0"/>
              <w:jc w:val="both"/>
              <w:rPr>
                <w:rFonts w:cs="Arial"/>
                <w:szCs w:val="20"/>
              </w:rPr>
            </w:pPr>
            <w:r w:rsidRPr="00E67515">
              <w:rPr>
                <w:rFonts w:cs="Arial"/>
                <w:szCs w:val="20"/>
              </w:rPr>
              <w:t xml:space="preserve">The ARK Methotrexate Assay did not </w:t>
            </w:r>
            <w:r w:rsidR="00021AF6" w:rsidRPr="00E67515">
              <w:rPr>
                <w:rFonts w:cs="Arial"/>
                <w:szCs w:val="20"/>
              </w:rPr>
              <w:t>cross-react</w:t>
            </w:r>
            <w:r w:rsidRPr="00E67515">
              <w:rPr>
                <w:rFonts w:cs="Arial"/>
                <w:szCs w:val="20"/>
              </w:rPr>
              <w:t xml:space="preserve"> (≤ 0.07%) with the major metabolite</w:t>
            </w:r>
            <w:r>
              <w:rPr>
                <w:rFonts w:cs="Arial"/>
                <w:szCs w:val="20"/>
              </w:rPr>
              <w:t xml:space="preserve"> </w:t>
            </w:r>
            <w:r w:rsidRPr="00E67515">
              <w:rPr>
                <w:rFonts w:cs="Arial"/>
                <w:szCs w:val="20"/>
              </w:rPr>
              <w:t>7-hydroxymethotrexate.</w:t>
            </w:r>
          </w:p>
          <w:p w14:paraId="17CA1DBF" w14:textId="77777777" w:rsidR="00E67515" w:rsidRDefault="00E67515" w:rsidP="0083216A">
            <w:pPr>
              <w:numPr>
                <w:ilvl w:val="0"/>
                <w:numId w:val="38"/>
              </w:numPr>
              <w:autoSpaceDE w:val="0"/>
              <w:autoSpaceDN w:val="0"/>
              <w:adjustRightInd w:val="0"/>
              <w:jc w:val="both"/>
              <w:rPr>
                <w:rFonts w:cs="Arial"/>
                <w:szCs w:val="20"/>
              </w:rPr>
            </w:pPr>
            <w:r w:rsidRPr="00E67515">
              <w:rPr>
                <w:rFonts w:cs="Arial"/>
                <w:szCs w:val="20"/>
              </w:rPr>
              <w:t>After administration of high-dose methotrexate (HDMTX), the serum/plasma concentration of</w:t>
            </w:r>
            <w:r>
              <w:rPr>
                <w:rFonts w:cs="Arial"/>
                <w:szCs w:val="20"/>
              </w:rPr>
              <w:t xml:space="preserve"> </w:t>
            </w:r>
            <w:r w:rsidRPr="00E67515">
              <w:rPr>
                <w:rFonts w:cs="Arial"/>
                <w:szCs w:val="20"/>
              </w:rPr>
              <w:t>7-hydroxymethotrexate typically exceeds that of methotrexate at later time points. It has been</w:t>
            </w:r>
            <w:r>
              <w:rPr>
                <w:rFonts w:cs="Arial"/>
                <w:szCs w:val="20"/>
              </w:rPr>
              <w:t xml:space="preserve"> </w:t>
            </w:r>
            <w:r w:rsidRPr="00E67515">
              <w:rPr>
                <w:rFonts w:cs="Arial"/>
                <w:szCs w:val="20"/>
              </w:rPr>
              <w:t>reported that 7-hydroxymethotrexate levels exceed those of methotrexate by up to 100-fold 12</w:t>
            </w:r>
            <w:r>
              <w:rPr>
                <w:rFonts w:cs="Arial"/>
                <w:szCs w:val="20"/>
              </w:rPr>
              <w:t xml:space="preserve"> </w:t>
            </w:r>
            <w:r w:rsidRPr="00E67515">
              <w:rPr>
                <w:rFonts w:cs="Arial"/>
                <w:szCs w:val="20"/>
              </w:rPr>
              <w:t>to 48 hours after HDMTX administration.</w:t>
            </w:r>
          </w:p>
          <w:p w14:paraId="17CA1DC0" w14:textId="77777777" w:rsidR="00E67515" w:rsidRPr="00E67515" w:rsidRDefault="00E67515" w:rsidP="0083216A">
            <w:pPr>
              <w:autoSpaceDE w:val="0"/>
              <w:autoSpaceDN w:val="0"/>
              <w:adjustRightInd w:val="0"/>
              <w:jc w:val="both"/>
              <w:rPr>
                <w:rFonts w:cs="Arial"/>
                <w:szCs w:val="20"/>
              </w:rPr>
            </w:pPr>
          </w:p>
          <w:p w14:paraId="17CA1DC1" w14:textId="3E3D2B10" w:rsidR="003C7B15" w:rsidRDefault="00780D90" w:rsidP="0083216A">
            <w:pPr>
              <w:autoSpaceDE w:val="0"/>
              <w:autoSpaceDN w:val="0"/>
              <w:adjustRightInd w:val="0"/>
              <w:jc w:val="both"/>
              <w:rPr>
                <w:rFonts w:cs="Arial"/>
                <w:szCs w:val="20"/>
              </w:rPr>
            </w:pPr>
            <w:r>
              <w:rPr>
                <w:rFonts w:cs="Arial"/>
                <w:szCs w:val="20"/>
              </w:rPr>
              <w:t>T</w:t>
            </w:r>
            <w:r w:rsidR="00434A53" w:rsidRPr="00E67515">
              <w:rPr>
                <w:rFonts w:cs="Arial"/>
                <w:szCs w:val="20"/>
              </w:rPr>
              <w:t>he clinical team should notify the laboratory when glucarpidase is administered to avoid the reporting of falsely elevated methotrexate concentrations due to interference by DAMPA.</w:t>
            </w:r>
          </w:p>
          <w:p w14:paraId="17CA1DC2" w14:textId="77777777" w:rsidR="00FD6DA1" w:rsidRDefault="00FD6DA1" w:rsidP="0083216A">
            <w:pPr>
              <w:autoSpaceDE w:val="0"/>
              <w:autoSpaceDN w:val="0"/>
              <w:adjustRightInd w:val="0"/>
              <w:jc w:val="both"/>
              <w:rPr>
                <w:rFonts w:cs="Arial"/>
                <w:i/>
                <w:iCs/>
                <w:szCs w:val="20"/>
              </w:rPr>
            </w:pPr>
          </w:p>
          <w:p w14:paraId="17CA1DC3" w14:textId="4BA9E505" w:rsidR="00E67515" w:rsidRPr="00E67515" w:rsidRDefault="00E67515" w:rsidP="0083216A">
            <w:pPr>
              <w:autoSpaceDE w:val="0"/>
              <w:autoSpaceDN w:val="0"/>
              <w:adjustRightInd w:val="0"/>
              <w:jc w:val="both"/>
              <w:rPr>
                <w:rFonts w:cs="Arial"/>
                <w:i/>
                <w:iCs/>
                <w:szCs w:val="20"/>
              </w:rPr>
            </w:pPr>
            <w:r w:rsidRPr="00E67515">
              <w:rPr>
                <w:rFonts w:cs="Arial"/>
                <w:i/>
                <w:iCs/>
                <w:szCs w:val="20"/>
              </w:rPr>
              <w:t>Drugs that cross</w:t>
            </w:r>
            <w:r w:rsidR="00780D90">
              <w:rPr>
                <w:rFonts w:cs="Arial"/>
                <w:i/>
                <w:iCs/>
                <w:szCs w:val="20"/>
              </w:rPr>
              <w:t>-</w:t>
            </w:r>
            <w:r w:rsidRPr="00E67515">
              <w:rPr>
                <w:rFonts w:cs="Arial"/>
                <w:i/>
                <w:iCs/>
                <w:szCs w:val="20"/>
              </w:rPr>
              <w:t>react</w:t>
            </w:r>
          </w:p>
          <w:p w14:paraId="17CA1DC4" w14:textId="32F843AF" w:rsidR="00A027C4" w:rsidRDefault="00E67515" w:rsidP="0083216A">
            <w:pPr>
              <w:autoSpaceDE w:val="0"/>
              <w:autoSpaceDN w:val="0"/>
              <w:adjustRightInd w:val="0"/>
              <w:jc w:val="both"/>
              <w:rPr>
                <w:rFonts w:cs="Arial"/>
                <w:szCs w:val="20"/>
              </w:rPr>
            </w:pPr>
            <w:r w:rsidRPr="00E67515">
              <w:rPr>
                <w:rFonts w:cs="Arial"/>
                <w:szCs w:val="20"/>
              </w:rPr>
              <w:t>The ARK Methotrexate Assay cross</w:t>
            </w:r>
            <w:r w:rsidR="00780D90">
              <w:rPr>
                <w:rFonts w:cs="Arial"/>
                <w:szCs w:val="20"/>
              </w:rPr>
              <w:t>-</w:t>
            </w:r>
            <w:r w:rsidRPr="00E67515">
              <w:rPr>
                <w:rFonts w:cs="Arial"/>
                <w:szCs w:val="20"/>
              </w:rPr>
              <w:t>reacts slightly wi</w:t>
            </w:r>
            <w:r w:rsidR="00780D90">
              <w:rPr>
                <w:rFonts w:cs="Arial"/>
                <w:szCs w:val="20"/>
              </w:rPr>
              <w:t>th triamterene and trimethoprim.</w:t>
            </w:r>
            <w:r w:rsidRPr="00E67515">
              <w:rPr>
                <w:rFonts w:cs="Arial"/>
                <w:szCs w:val="20"/>
              </w:rPr>
              <w:t xml:space="preserve"> </w:t>
            </w:r>
            <w:r w:rsidR="00780D90" w:rsidRPr="00E67515">
              <w:rPr>
                <w:rFonts w:cs="Arial"/>
                <w:szCs w:val="20"/>
              </w:rPr>
              <w:t>However</w:t>
            </w:r>
            <w:r w:rsidR="00780D90">
              <w:rPr>
                <w:rFonts w:cs="Arial"/>
                <w:szCs w:val="20"/>
              </w:rPr>
              <w:t>,</w:t>
            </w:r>
            <w:r w:rsidR="003C7B15">
              <w:rPr>
                <w:rFonts w:cs="Arial"/>
                <w:szCs w:val="20"/>
              </w:rPr>
              <w:t xml:space="preserve"> </w:t>
            </w:r>
            <w:r w:rsidRPr="00E67515">
              <w:rPr>
                <w:rFonts w:cs="Arial"/>
                <w:szCs w:val="20"/>
              </w:rPr>
              <w:t>these drugs may be contraindicated for MTX cancer treatment due to additional adverse effects</w:t>
            </w:r>
            <w:r w:rsidR="003C7B15">
              <w:rPr>
                <w:rFonts w:cs="Arial"/>
                <w:szCs w:val="20"/>
              </w:rPr>
              <w:t xml:space="preserve"> </w:t>
            </w:r>
            <w:r w:rsidRPr="00E67515">
              <w:rPr>
                <w:rFonts w:cs="Arial"/>
                <w:szCs w:val="20"/>
              </w:rPr>
              <w:t>if co-administered. The structures of these compounds closely match the pteridine ring moiety</w:t>
            </w:r>
            <w:r w:rsidR="003C7B15">
              <w:rPr>
                <w:rFonts w:cs="Arial"/>
                <w:szCs w:val="20"/>
              </w:rPr>
              <w:t xml:space="preserve"> </w:t>
            </w:r>
            <w:r w:rsidRPr="00E67515">
              <w:rPr>
                <w:rFonts w:cs="Arial"/>
                <w:szCs w:val="20"/>
              </w:rPr>
              <w:t xml:space="preserve">of methotrexate. </w:t>
            </w:r>
          </w:p>
          <w:p w14:paraId="17CA1DC5" w14:textId="77777777" w:rsidR="00A027C4" w:rsidRDefault="00A027C4" w:rsidP="0083216A">
            <w:pPr>
              <w:autoSpaceDE w:val="0"/>
              <w:autoSpaceDN w:val="0"/>
              <w:adjustRightInd w:val="0"/>
              <w:jc w:val="both"/>
              <w:rPr>
                <w:rFonts w:cs="Arial"/>
                <w:szCs w:val="20"/>
              </w:rPr>
            </w:pPr>
          </w:p>
          <w:p w14:paraId="17CA1DC6" w14:textId="56C7D465" w:rsidR="00882388" w:rsidRDefault="00A027C4" w:rsidP="003924D7">
            <w:pPr>
              <w:autoSpaceDE w:val="0"/>
              <w:autoSpaceDN w:val="0"/>
              <w:adjustRightInd w:val="0"/>
              <w:jc w:val="both"/>
              <w:rPr>
                <w:rFonts w:cs="Arial"/>
                <w:szCs w:val="20"/>
              </w:rPr>
            </w:pPr>
            <w:r w:rsidRPr="00A027C4">
              <w:rPr>
                <w:rFonts w:cs="Arial"/>
                <w:b/>
                <w:szCs w:val="20"/>
              </w:rPr>
              <w:t>Note:</w:t>
            </w:r>
            <w:r>
              <w:rPr>
                <w:rFonts w:cs="Arial"/>
                <w:szCs w:val="20"/>
              </w:rPr>
              <w:t xml:space="preserve"> </w:t>
            </w:r>
            <w:r w:rsidRPr="00A027C4">
              <w:rPr>
                <w:rFonts w:cs="Arial"/>
                <w:szCs w:val="20"/>
              </w:rPr>
              <w:t xml:space="preserve">glucarpidase (carboxypeptidase G2) is administered </w:t>
            </w:r>
            <w:r w:rsidR="003924D7" w:rsidRPr="00A027C4">
              <w:rPr>
                <w:rFonts w:cs="Arial"/>
                <w:szCs w:val="20"/>
              </w:rPr>
              <w:t xml:space="preserve">rarely </w:t>
            </w:r>
            <w:r w:rsidRPr="00A027C4">
              <w:rPr>
                <w:rFonts w:cs="Arial"/>
                <w:szCs w:val="20"/>
              </w:rPr>
              <w:t xml:space="preserve">at Children’s in </w:t>
            </w:r>
            <w:r w:rsidR="003924D7">
              <w:rPr>
                <w:rFonts w:cs="Arial"/>
                <w:szCs w:val="20"/>
              </w:rPr>
              <w:t>the event</w:t>
            </w:r>
            <w:r w:rsidRPr="00A027C4">
              <w:rPr>
                <w:rFonts w:cs="Arial"/>
                <w:szCs w:val="20"/>
              </w:rPr>
              <w:t xml:space="preserve"> of renal failure. Pharmacy is aware of the cross-reactivity. Triamterene has not be</w:t>
            </w:r>
            <w:r w:rsidR="00780D90">
              <w:rPr>
                <w:rFonts w:cs="Arial"/>
                <w:szCs w:val="20"/>
              </w:rPr>
              <w:t>en available at Children’s.  T</w:t>
            </w:r>
            <w:r w:rsidRPr="00A027C4">
              <w:rPr>
                <w:rFonts w:cs="Arial"/>
                <w:szCs w:val="20"/>
              </w:rPr>
              <w:t xml:space="preserve">rimethoprim is contraindicated with methotrexate therapy, </w:t>
            </w:r>
            <w:r w:rsidR="00FD6DA1">
              <w:rPr>
                <w:rFonts w:cs="Arial"/>
                <w:szCs w:val="20"/>
              </w:rPr>
              <w:t>and</w:t>
            </w:r>
            <w:r w:rsidRPr="00A027C4">
              <w:rPr>
                <w:rFonts w:cs="Arial"/>
                <w:szCs w:val="20"/>
              </w:rPr>
              <w:t xml:space="preserve"> is discontinued prior to methotrexate treatment.</w:t>
            </w:r>
          </w:p>
          <w:p w14:paraId="17CA1DC7" w14:textId="77777777" w:rsidR="00AD6032" w:rsidRDefault="00AD6032" w:rsidP="003924D7">
            <w:pPr>
              <w:autoSpaceDE w:val="0"/>
              <w:autoSpaceDN w:val="0"/>
              <w:adjustRightInd w:val="0"/>
              <w:jc w:val="both"/>
              <w:rPr>
                <w:rFonts w:cs="Arial"/>
                <w:szCs w:val="20"/>
              </w:rPr>
            </w:pPr>
          </w:p>
          <w:p w14:paraId="17CA1DC8" w14:textId="77777777" w:rsidR="00AD6032" w:rsidRPr="00E67515" w:rsidRDefault="00AD6032" w:rsidP="003924D7">
            <w:pPr>
              <w:autoSpaceDE w:val="0"/>
              <w:autoSpaceDN w:val="0"/>
              <w:adjustRightInd w:val="0"/>
              <w:jc w:val="both"/>
              <w:rPr>
                <w:rFonts w:cs="Arial"/>
                <w:szCs w:val="20"/>
              </w:rPr>
            </w:pPr>
          </w:p>
        </w:tc>
      </w:tr>
      <w:tr w:rsidR="00882388" w14:paraId="17CA1DCC" w14:textId="77777777" w:rsidTr="00AD6032">
        <w:trPr>
          <w:trHeight w:val="2021"/>
          <w:tblHeader/>
        </w:trPr>
        <w:tc>
          <w:tcPr>
            <w:tcW w:w="1803" w:type="dxa"/>
          </w:tcPr>
          <w:p w14:paraId="17CA1DCA" w14:textId="77777777" w:rsidR="00882388" w:rsidRDefault="00882388" w:rsidP="0061487E">
            <w:pPr>
              <w:rPr>
                <w:rFonts w:cs="Arial"/>
                <w:b/>
                <w:bCs/>
                <w:color w:val="0000FF"/>
              </w:rPr>
            </w:pPr>
          </w:p>
        </w:tc>
        <w:tc>
          <w:tcPr>
            <w:tcW w:w="9204" w:type="dxa"/>
            <w:gridSpan w:val="10"/>
            <w:vMerge/>
            <w:tcBorders>
              <w:bottom w:val="single" w:sz="18" w:space="0" w:color="A6A6A6" w:themeColor="background1" w:themeShade="A6"/>
            </w:tcBorders>
          </w:tcPr>
          <w:p w14:paraId="17CA1DCB" w14:textId="77777777" w:rsidR="00882388" w:rsidRPr="00236A30" w:rsidRDefault="00882388" w:rsidP="005444EB">
            <w:pPr>
              <w:autoSpaceDE w:val="0"/>
              <w:autoSpaceDN w:val="0"/>
              <w:adjustRightInd w:val="0"/>
              <w:rPr>
                <w:rFonts w:cs="Arial"/>
                <w:b/>
                <w:bCs/>
                <w:sz w:val="18"/>
                <w:szCs w:val="18"/>
              </w:rPr>
            </w:pPr>
          </w:p>
        </w:tc>
      </w:tr>
      <w:tr w:rsidR="00882388" w14:paraId="17CA1DD3" w14:textId="77777777" w:rsidTr="00AD6032">
        <w:trPr>
          <w:trHeight w:val="2117"/>
          <w:tblHeader/>
        </w:trPr>
        <w:tc>
          <w:tcPr>
            <w:tcW w:w="1803" w:type="dxa"/>
          </w:tcPr>
          <w:p w14:paraId="17CA1DCD" w14:textId="77777777" w:rsidR="00882388" w:rsidRDefault="00882388">
            <w:pPr>
              <w:rPr>
                <w:rFonts w:cs="Arial"/>
                <w:b/>
                <w:bCs/>
                <w:color w:val="0000FF"/>
              </w:rPr>
            </w:pPr>
          </w:p>
          <w:p w14:paraId="17CA1DCE" w14:textId="77777777" w:rsidR="00882388" w:rsidRDefault="00882388">
            <w:pPr>
              <w:rPr>
                <w:rFonts w:cs="Arial"/>
                <w:b/>
                <w:bCs/>
                <w:color w:val="0000FF"/>
              </w:rPr>
            </w:pPr>
            <w:r>
              <w:rPr>
                <w:rFonts w:cs="Arial"/>
                <w:b/>
                <w:bCs/>
                <w:color w:val="0000FF"/>
              </w:rPr>
              <w:t>Reference Range</w:t>
            </w:r>
          </w:p>
          <w:p w14:paraId="17CA1DCF" w14:textId="77777777" w:rsidR="00882388" w:rsidRDefault="00882388">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DD0" w14:textId="77777777" w:rsidR="00E67515" w:rsidRDefault="00882388" w:rsidP="00434A53">
            <w:pPr>
              <w:autoSpaceDE w:val="0"/>
              <w:autoSpaceDN w:val="0"/>
              <w:adjustRightInd w:val="0"/>
              <w:rPr>
                <w:rFonts w:cs="Arial"/>
                <w:szCs w:val="20"/>
              </w:rPr>
            </w:pPr>
            <w:r w:rsidRPr="003D578F">
              <w:rPr>
                <w:rFonts w:cs="Arial"/>
                <w:szCs w:val="20"/>
              </w:rPr>
              <w:t xml:space="preserve">None established. </w:t>
            </w:r>
          </w:p>
          <w:p w14:paraId="17CA1DD1" w14:textId="77777777" w:rsidR="00882388" w:rsidRPr="003D578F" w:rsidRDefault="00882388" w:rsidP="00434A53">
            <w:pPr>
              <w:autoSpaceDE w:val="0"/>
              <w:autoSpaceDN w:val="0"/>
              <w:adjustRightInd w:val="0"/>
              <w:rPr>
                <w:rFonts w:cs="Arial"/>
                <w:szCs w:val="20"/>
              </w:rPr>
            </w:pPr>
            <w:r w:rsidRPr="00DB163C">
              <w:rPr>
                <w:rFonts w:cs="Arial"/>
                <w:szCs w:val="20"/>
                <w:u w:val="single"/>
              </w:rPr>
              <w:t>Laboratory Indicators of Toxicity Following Leucovorin Rescue Schedules with High Dose Methotrexate</w:t>
            </w:r>
            <w:r w:rsidRPr="000C4831">
              <w:rPr>
                <w:rFonts w:cs="Arial"/>
                <w:szCs w:val="20"/>
              </w:rPr>
              <w:t>.</w:t>
            </w:r>
          </w:p>
          <w:p w14:paraId="17CA1DD2" w14:textId="77777777" w:rsidR="00882388" w:rsidRPr="003D578F" w:rsidRDefault="00AD6032" w:rsidP="00434A53">
            <w:pPr>
              <w:pStyle w:val="p"/>
              <w:rPr>
                <w:rFonts w:ascii="Arial" w:hAnsi="Arial" w:cs="Arial"/>
                <w:sz w:val="20"/>
                <w:szCs w:val="20"/>
                <w:vertAlign w:val="superscript"/>
              </w:rPr>
            </w:pPr>
            <w:r>
              <w:rPr>
                <w:rFonts w:ascii="Arial" w:hAnsi="Arial" w:cs="Arial"/>
                <w:noProof/>
                <w:sz w:val="20"/>
                <w:szCs w:val="20"/>
              </w:rPr>
              <w:drawing>
                <wp:inline distT="0" distB="0" distL="0" distR="0" wp14:anchorId="17CA1EFE" wp14:editId="17CA1EFF">
                  <wp:extent cx="4031615" cy="1953260"/>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031615" cy="1953260"/>
                          </a:xfrm>
                          <a:prstGeom prst="rect">
                            <a:avLst/>
                          </a:prstGeom>
                          <a:noFill/>
                          <a:ln w="9525">
                            <a:noFill/>
                            <a:miter lim="800000"/>
                            <a:headEnd/>
                            <a:tailEnd/>
                          </a:ln>
                        </pic:spPr>
                      </pic:pic>
                    </a:graphicData>
                  </a:graphic>
                </wp:inline>
              </w:drawing>
            </w:r>
          </w:p>
        </w:tc>
      </w:tr>
      <w:tr w:rsidR="00882388" w14:paraId="17CA1DD8" w14:textId="77777777" w:rsidTr="00AD6032">
        <w:trPr>
          <w:trHeight w:val="71"/>
          <w:tblHeader/>
        </w:trPr>
        <w:tc>
          <w:tcPr>
            <w:tcW w:w="1803" w:type="dxa"/>
          </w:tcPr>
          <w:p w14:paraId="17CA1DD4" w14:textId="77777777" w:rsidR="00882388" w:rsidRDefault="00882388">
            <w:pPr>
              <w:rPr>
                <w:rFonts w:cs="Arial"/>
                <w:b/>
                <w:bCs/>
                <w:color w:val="0000FF"/>
              </w:rPr>
            </w:pPr>
          </w:p>
          <w:p w14:paraId="17CA1DD5" w14:textId="77777777" w:rsidR="00882388" w:rsidRDefault="00882388">
            <w:pPr>
              <w:rPr>
                <w:rFonts w:cs="Arial"/>
                <w:b/>
                <w:bCs/>
                <w:color w:val="0000FF"/>
              </w:rPr>
            </w:pPr>
            <w:r>
              <w:rPr>
                <w:rFonts w:cs="Arial"/>
                <w:b/>
                <w:bCs/>
                <w:color w:val="0000FF"/>
              </w:rPr>
              <w:t>Critical Values</w:t>
            </w:r>
          </w:p>
          <w:p w14:paraId="17CA1DD6" w14:textId="77777777" w:rsidR="00882388" w:rsidRDefault="00882388">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DD7" w14:textId="77777777" w:rsidR="00882388" w:rsidRPr="00D433F7" w:rsidRDefault="00882388" w:rsidP="00D433F7">
            <w:pPr>
              <w:pStyle w:val="Default"/>
              <w:rPr>
                <w:rFonts w:ascii="Arial" w:hAnsi="Arial" w:cs="Arial"/>
                <w:sz w:val="20"/>
                <w:szCs w:val="20"/>
              </w:rPr>
            </w:pPr>
            <w:r w:rsidRPr="00D433F7">
              <w:rPr>
                <w:rFonts w:ascii="Arial" w:hAnsi="Arial" w:cs="Arial"/>
                <w:sz w:val="20"/>
                <w:szCs w:val="20"/>
              </w:rPr>
              <w:t xml:space="preserve">&gt;1.0 µmol/L Critical values must be called according to the Critical Limit Reporting Policy </w:t>
            </w:r>
          </w:p>
        </w:tc>
      </w:tr>
      <w:tr w:rsidR="00882388" w14:paraId="17CA1DDF" w14:textId="77777777" w:rsidTr="00AD6032">
        <w:trPr>
          <w:trHeight w:val="1032"/>
          <w:tblHeader/>
        </w:trPr>
        <w:tc>
          <w:tcPr>
            <w:tcW w:w="1803" w:type="dxa"/>
          </w:tcPr>
          <w:p w14:paraId="17CA1DD9" w14:textId="77777777" w:rsidR="00882388" w:rsidRDefault="00882388">
            <w:pPr>
              <w:rPr>
                <w:rFonts w:cs="Arial"/>
                <w:b/>
                <w:bCs/>
                <w:color w:val="0000FF"/>
              </w:rPr>
            </w:pPr>
          </w:p>
          <w:p w14:paraId="17CA1DDA" w14:textId="77777777" w:rsidR="00882388" w:rsidRDefault="00882388">
            <w:pPr>
              <w:rPr>
                <w:rFonts w:cs="Arial"/>
                <w:b/>
                <w:bCs/>
                <w:color w:val="0000FF"/>
              </w:rPr>
            </w:pPr>
            <w:r>
              <w:rPr>
                <w:rFonts w:cs="Arial"/>
                <w:b/>
                <w:bCs/>
                <w:color w:val="0000FF"/>
              </w:rPr>
              <w:t>Limitations</w:t>
            </w:r>
          </w:p>
          <w:p w14:paraId="17CA1DDB" w14:textId="77777777" w:rsidR="00882388" w:rsidRDefault="00882388">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tcPr>
          <w:p w14:paraId="17CA1DDC" w14:textId="77777777" w:rsidR="00882388" w:rsidRPr="00E67515" w:rsidRDefault="00882388">
            <w:pPr>
              <w:rPr>
                <w:rFonts w:cs="Arial"/>
                <w:szCs w:val="20"/>
              </w:rPr>
            </w:pPr>
          </w:p>
          <w:p w14:paraId="17CA1DDD" w14:textId="77777777" w:rsidR="00882388" w:rsidRPr="00E67515" w:rsidRDefault="00810139">
            <w:pPr>
              <w:spacing w:after="100" w:afterAutospacing="1"/>
              <w:rPr>
                <w:rFonts w:cs="Arial"/>
                <w:szCs w:val="20"/>
              </w:rPr>
            </w:pPr>
            <w:r>
              <w:rPr>
                <w:rFonts w:cs="Arial"/>
                <w:szCs w:val="20"/>
              </w:rPr>
              <w:t>Analytical Measuring Range</w:t>
            </w:r>
            <w:r w:rsidR="00882388" w:rsidRPr="00E67515">
              <w:rPr>
                <w:rFonts w:cs="Arial"/>
                <w:szCs w:val="20"/>
              </w:rPr>
              <w:t>: 0.04 - 1.20 μmol/L.</w:t>
            </w:r>
          </w:p>
          <w:p w14:paraId="17CA1DDE" w14:textId="77777777" w:rsidR="00882388" w:rsidRPr="00E67515" w:rsidRDefault="00882388" w:rsidP="00E47249">
            <w:pPr>
              <w:rPr>
                <w:rFonts w:cs="Arial"/>
                <w:szCs w:val="20"/>
              </w:rPr>
            </w:pPr>
            <w:r w:rsidRPr="00E67515">
              <w:rPr>
                <w:rFonts w:eastAsia="HelenPro-Cond" w:cs="Arial"/>
                <w:szCs w:val="20"/>
              </w:rPr>
              <w:lastRenderedPageBreak/>
              <w:t>The instrument reporting system contains flags and comments to provide the user with information regarding instrument processing errors, instrument status information and potential errors in open channel method results. Refer to your Dimension Vista 500</w:t>
            </w:r>
            <w:r w:rsidRPr="00E67515">
              <w:rPr>
                <w:rFonts w:eastAsia="HelenPro-Cond" w:cs="Arial"/>
                <w:szCs w:val="20"/>
              </w:rPr>
              <w:sym w:font="Symbol" w:char="F0D2"/>
            </w:r>
            <w:r w:rsidRPr="00E67515">
              <w:rPr>
                <w:rFonts w:eastAsia="HelenPro-Cond" w:cs="Arial"/>
                <w:szCs w:val="20"/>
              </w:rPr>
              <w:t xml:space="preserve"> Operator’s Guide for the meaning of report flags and comments. Any report containing flags and/or comments must be resolved prior to reporting.</w:t>
            </w:r>
          </w:p>
        </w:tc>
      </w:tr>
      <w:tr w:rsidR="001A0819" w14:paraId="17CA1E0B" w14:textId="77777777" w:rsidTr="00AD6032">
        <w:trPr>
          <w:trHeight w:val="1032"/>
          <w:tblHeader/>
        </w:trPr>
        <w:tc>
          <w:tcPr>
            <w:tcW w:w="1803" w:type="dxa"/>
          </w:tcPr>
          <w:p w14:paraId="17CA1DE0" w14:textId="77777777" w:rsidR="001A0819" w:rsidRDefault="001A0819">
            <w:pPr>
              <w:rPr>
                <w:rFonts w:cs="Arial"/>
                <w:b/>
                <w:bCs/>
                <w:color w:val="0000FF"/>
              </w:rPr>
            </w:pPr>
            <w:r>
              <w:rPr>
                <w:rFonts w:cs="Arial"/>
                <w:b/>
                <w:bCs/>
                <w:color w:val="0000FF"/>
              </w:rPr>
              <w:lastRenderedPageBreak/>
              <w:t>Dilutions</w:t>
            </w:r>
          </w:p>
        </w:tc>
        <w:tc>
          <w:tcPr>
            <w:tcW w:w="9204" w:type="dxa"/>
            <w:gridSpan w:val="10"/>
            <w:tcBorders>
              <w:top w:val="single" w:sz="18" w:space="0" w:color="A6A6A6" w:themeColor="background1" w:themeShade="A6"/>
              <w:bottom w:val="single" w:sz="18" w:space="0" w:color="A6A6A6" w:themeColor="background1" w:themeShade="A6"/>
            </w:tcBorders>
          </w:tcPr>
          <w:p w14:paraId="17CA1DE1" w14:textId="77777777" w:rsidR="001A0819" w:rsidRDefault="001A0819">
            <w:pPr>
              <w:rPr>
                <w:rFonts w:cs="Arial"/>
                <w:szCs w:val="20"/>
              </w:rPr>
            </w:pPr>
          </w:p>
          <w:p w14:paraId="17CA1DE2" w14:textId="77777777" w:rsidR="001A0819" w:rsidRDefault="001A0819" w:rsidP="001A0819">
            <w:pPr>
              <w:rPr>
                <w:rFonts w:cs="Arial"/>
                <w:szCs w:val="20"/>
              </w:rPr>
            </w:pPr>
            <w:r w:rsidRPr="00B2596E">
              <w:rPr>
                <w:rFonts w:cs="Arial"/>
                <w:b/>
                <w:bCs/>
                <w:szCs w:val="20"/>
              </w:rPr>
              <w:t xml:space="preserve">Above </w:t>
            </w:r>
            <w:r w:rsidRPr="00B2596E">
              <w:rPr>
                <w:rFonts w:cs="Arial"/>
                <w:b/>
                <w:szCs w:val="20"/>
              </w:rPr>
              <w:t>1.20 μmol/L</w:t>
            </w:r>
            <w:r w:rsidRPr="00DA61ED">
              <w:rPr>
                <w:rFonts w:cs="Arial"/>
                <w:szCs w:val="20"/>
              </w:rPr>
              <w:t>:</w:t>
            </w:r>
            <w:r>
              <w:rPr>
                <w:rFonts w:cs="Arial"/>
                <w:szCs w:val="20"/>
              </w:rPr>
              <w:t xml:space="preserve"> Perform a manual dilution using the procedure outlined below.</w:t>
            </w:r>
          </w:p>
          <w:tbl>
            <w:tblPr>
              <w:tblW w:w="9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9"/>
              <w:gridCol w:w="6757"/>
            </w:tblGrid>
            <w:tr w:rsidR="001A0819" w14:paraId="17CA1DE4" w14:textId="77777777" w:rsidTr="00AD6032">
              <w:trPr>
                <w:trHeight w:val="111"/>
              </w:trPr>
              <w:tc>
                <w:tcPr>
                  <w:tcW w:w="9076" w:type="dxa"/>
                  <w:gridSpan w:val="2"/>
                </w:tcPr>
                <w:p w14:paraId="17CA1DE3" w14:textId="43B11780" w:rsidR="001A0819" w:rsidRPr="007841BE" w:rsidRDefault="001A0819" w:rsidP="006B3B06">
                  <w:pPr>
                    <w:rPr>
                      <w:rFonts w:cs="Arial"/>
                    </w:rPr>
                  </w:pPr>
                  <w:r>
                    <w:rPr>
                      <w:rFonts w:cs="Arial"/>
                      <w:b/>
                      <w:bCs/>
                      <w:color w:val="5F497A"/>
                      <w:szCs w:val="20"/>
                    </w:rPr>
                    <w:t>MTX</w:t>
                  </w:r>
                  <w:r w:rsidR="00780D90">
                    <w:rPr>
                      <w:rFonts w:cs="Arial"/>
                      <w:b/>
                      <w:bCs/>
                      <w:color w:val="5F497A"/>
                      <w:szCs w:val="20"/>
                    </w:rPr>
                    <w:t xml:space="preserve"> on Serum</w:t>
                  </w:r>
                </w:p>
              </w:tc>
            </w:tr>
            <w:tr w:rsidR="001A0819" w14:paraId="17CA1DE7" w14:textId="77777777" w:rsidTr="00AD6032">
              <w:trPr>
                <w:trHeight w:val="116"/>
              </w:trPr>
              <w:tc>
                <w:tcPr>
                  <w:tcW w:w="2319" w:type="dxa"/>
                </w:tcPr>
                <w:p w14:paraId="17CA1DE5" w14:textId="5C74E42F" w:rsidR="001A0819" w:rsidRPr="007841BE" w:rsidRDefault="001A0819" w:rsidP="006B3B06">
                  <w:pPr>
                    <w:rPr>
                      <w:rFonts w:cs="Arial"/>
                    </w:rPr>
                  </w:pPr>
                  <w:r w:rsidRPr="007841BE">
                    <w:rPr>
                      <w:rFonts w:cs="Arial"/>
                    </w:rPr>
                    <w:t xml:space="preserve">Maximum </w:t>
                  </w:r>
                  <w:r w:rsidR="00846825">
                    <w:rPr>
                      <w:rFonts w:cs="Arial"/>
                    </w:rPr>
                    <w:t xml:space="preserve">Manual </w:t>
                  </w:r>
                  <w:r w:rsidRPr="007841BE">
                    <w:rPr>
                      <w:rFonts w:cs="Arial"/>
                    </w:rPr>
                    <w:t>Dilution</w:t>
                  </w:r>
                </w:p>
              </w:tc>
              <w:tc>
                <w:tcPr>
                  <w:tcW w:w="6757" w:type="dxa"/>
                </w:tcPr>
                <w:p w14:paraId="17CA1DE6" w14:textId="77777777" w:rsidR="001A0819" w:rsidRPr="007841BE" w:rsidRDefault="001A0819" w:rsidP="006B3B06">
                  <w:pPr>
                    <w:rPr>
                      <w:rFonts w:cs="Arial"/>
                    </w:rPr>
                  </w:pPr>
                  <w:r w:rsidRPr="007841BE">
                    <w:rPr>
                      <w:rFonts w:cs="Arial"/>
                    </w:rPr>
                    <w:t>1:</w:t>
                  </w:r>
                  <w:r>
                    <w:rPr>
                      <w:rFonts w:cs="Arial"/>
                    </w:rPr>
                    <w:t>1000</w:t>
                  </w:r>
                </w:p>
              </w:tc>
            </w:tr>
          </w:tbl>
          <w:p w14:paraId="17CA1DE8" w14:textId="77777777" w:rsidR="001A0819" w:rsidRDefault="001A0819">
            <w:pPr>
              <w:rPr>
                <w:rFonts w:cs="Arial"/>
                <w:szCs w:val="20"/>
              </w:rPr>
            </w:pP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8264"/>
            </w:tblGrid>
            <w:tr w:rsidR="001A0819" w14:paraId="17CA1DEB" w14:textId="77777777" w:rsidTr="00AD6032">
              <w:trPr>
                <w:trHeight w:val="104"/>
              </w:trPr>
              <w:tc>
                <w:tcPr>
                  <w:tcW w:w="811" w:type="dxa"/>
                </w:tcPr>
                <w:p w14:paraId="17CA1DE9" w14:textId="77777777" w:rsidR="001A0819" w:rsidRDefault="001A0819" w:rsidP="006B3B06">
                  <w:pPr>
                    <w:autoSpaceDE w:val="0"/>
                    <w:autoSpaceDN w:val="0"/>
                    <w:adjustRightInd w:val="0"/>
                    <w:rPr>
                      <w:rFonts w:cs="Arial"/>
                      <w:szCs w:val="20"/>
                    </w:rPr>
                  </w:pPr>
                  <w:r>
                    <w:rPr>
                      <w:rFonts w:cs="Arial"/>
                      <w:szCs w:val="20"/>
                    </w:rPr>
                    <w:t>STEP</w:t>
                  </w:r>
                </w:p>
              </w:tc>
              <w:tc>
                <w:tcPr>
                  <w:tcW w:w="8264" w:type="dxa"/>
                </w:tcPr>
                <w:p w14:paraId="17CA1DEA" w14:textId="77777777" w:rsidR="001A0819" w:rsidRDefault="001A0819" w:rsidP="006B3B06">
                  <w:pPr>
                    <w:autoSpaceDE w:val="0"/>
                    <w:autoSpaceDN w:val="0"/>
                    <w:adjustRightInd w:val="0"/>
                    <w:rPr>
                      <w:rFonts w:cs="Arial"/>
                      <w:szCs w:val="20"/>
                    </w:rPr>
                  </w:pPr>
                  <w:r>
                    <w:rPr>
                      <w:rFonts w:cs="Arial"/>
                      <w:szCs w:val="20"/>
                    </w:rPr>
                    <w:t>INSTRUCTIONS</w:t>
                  </w:r>
                </w:p>
              </w:tc>
            </w:tr>
            <w:tr w:rsidR="001A0819" w:rsidRPr="0037005F" w14:paraId="17CA1E09" w14:textId="77777777" w:rsidTr="00AD6032">
              <w:trPr>
                <w:trHeight w:val="531"/>
              </w:trPr>
              <w:tc>
                <w:tcPr>
                  <w:tcW w:w="811" w:type="dxa"/>
                </w:tcPr>
                <w:p w14:paraId="17CA1DEC" w14:textId="77777777" w:rsidR="001A0819" w:rsidRDefault="001A0819" w:rsidP="006B3B06">
                  <w:pPr>
                    <w:numPr>
                      <w:ilvl w:val="0"/>
                      <w:numId w:val="39"/>
                    </w:numPr>
                    <w:autoSpaceDE w:val="0"/>
                    <w:autoSpaceDN w:val="0"/>
                    <w:adjustRightInd w:val="0"/>
                    <w:jc w:val="center"/>
                    <w:rPr>
                      <w:rFonts w:cs="Arial"/>
                      <w:szCs w:val="20"/>
                    </w:rPr>
                  </w:pPr>
                </w:p>
              </w:tc>
              <w:tc>
                <w:tcPr>
                  <w:tcW w:w="8264" w:type="dxa"/>
                  <w:vAlign w:val="center"/>
                </w:tcPr>
                <w:p w14:paraId="17CA1DED" w14:textId="06642D4D" w:rsidR="001A0819" w:rsidRPr="0020030C" w:rsidRDefault="001A0819" w:rsidP="006B3B06">
                  <w:pPr>
                    <w:autoSpaceDE w:val="0"/>
                    <w:autoSpaceDN w:val="0"/>
                    <w:adjustRightInd w:val="0"/>
                    <w:rPr>
                      <w:rFonts w:cs="Arial"/>
                      <w:szCs w:val="20"/>
                    </w:rPr>
                  </w:pPr>
                  <w:r w:rsidRPr="0020030C">
                    <w:rPr>
                      <w:rFonts w:cs="Arial"/>
                      <w:szCs w:val="20"/>
                    </w:rPr>
                    <w:t xml:space="preserve">Manually dilute the high specimen or control with </w:t>
                  </w:r>
                  <w:r w:rsidRPr="0020030C">
                    <w:rPr>
                      <w:rFonts w:cs="Arial"/>
                      <w:b/>
                      <w:szCs w:val="20"/>
                    </w:rPr>
                    <w:t>ARK Methotrexate Dilution Buffer</w:t>
                  </w:r>
                  <w:r w:rsidRPr="0020030C">
                    <w:rPr>
                      <w:rFonts w:cs="Arial"/>
                      <w:szCs w:val="20"/>
                    </w:rPr>
                    <w:t xml:space="preserve"> by</w:t>
                  </w:r>
                  <w:r>
                    <w:rPr>
                      <w:rFonts w:cs="Arial"/>
                      <w:szCs w:val="20"/>
                    </w:rPr>
                    <w:t xml:space="preserve"> </w:t>
                  </w:r>
                  <w:r w:rsidRPr="0020030C">
                    <w:rPr>
                      <w:rFonts w:cs="Arial"/>
                      <w:szCs w:val="20"/>
                    </w:rPr>
                    <w:t>preparing the appropriate ten-fold</w:t>
                  </w:r>
                  <w:r w:rsidR="00846825">
                    <w:rPr>
                      <w:rFonts w:cs="Arial"/>
                      <w:szCs w:val="20"/>
                    </w:rPr>
                    <w:t xml:space="preserve"> serial dilution as shown below in sendout tubes and/or Abbott sample cups.  Ensure each dilution is properly labeled with patient name, DOB, date, initials, and dilution factor.</w:t>
                  </w:r>
                </w:p>
                <w:tbl>
                  <w:tblPr>
                    <w:tblW w:w="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301"/>
                    <w:gridCol w:w="2252"/>
                    <w:gridCol w:w="1320"/>
                    <w:gridCol w:w="1626"/>
                  </w:tblGrid>
                  <w:tr w:rsidR="001A0819" w14:paraId="17CA1DF3" w14:textId="77777777" w:rsidTr="00AD6032">
                    <w:trPr>
                      <w:trHeight w:val="169"/>
                    </w:trPr>
                    <w:tc>
                      <w:tcPr>
                        <w:tcW w:w="1625" w:type="dxa"/>
                      </w:tcPr>
                      <w:p w14:paraId="17CA1DEE" w14:textId="77777777" w:rsidR="001A0819" w:rsidRPr="001A0819" w:rsidRDefault="001A0819" w:rsidP="001A0819">
                        <w:pPr>
                          <w:spacing w:after="120"/>
                          <w:rPr>
                            <w:rFonts w:cs="Arial"/>
                            <w:szCs w:val="20"/>
                          </w:rPr>
                        </w:pPr>
                        <w:r w:rsidRPr="001A0819">
                          <w:rPr>
                            <w:rFonts w:cs="Arial"/>
                            <w:szCs w:val="20"/>
                          </w:rPr>
                          <w:t>Sample</w:t>
                        </w:r>
                      </w:p>
                    </w:tc>
                    <w:tc>
                      <w:tcPr>
                        <w:tcW w:w="1301" w:type="dxa"/>
                      </w:tcPr>
                      <w:p w14:paraId="17CA1DEF" w14:textId="77777777" w:rsidR="001A0819" w:rsidRPr="001A0819" w:rsidRDefault="001A0819" w:rsidP="001A0819">
                        <w:pPr>
                          <w:spacing w:after="120"/>
                          <w:rPr>
                            <w:rFonts w:cs="Arial"/>
                            <w:szCs w:val="20"/>
                          </w:rPr>
                        </w:pPr>
                        <w:r w:rsidRPr="001A0819">
                          <w:rPr>
                            <w:rFonts w:cs="Arial"/>
                            <w:szCs w:val="20"/>
                          </w:rPr>
                          <w:t>Volume</w:t>
                        </w:r>
                      </w:p>
                    </w:tc>
                    <w:tc>
                      <w:tcPr>
                        <w:tcW w:w="2252" w:type="dxa"/>
                      </w:tcPr>
                      <w:p w14:paraId="17CA1DF0" w14:textId="77777777" w:rsidR="001A0819" w:rsidRPr="001A0819" w:rsidRDefault="001A0819" w:rsidP="001A0819">
                        <w:pPr>
                          <w:spacing w:after="120"/>
                          <w:rPr>
                            <w:rFonts w:cs="Arial"/>
                            <w:szCs w:val="20"/>
                          </w:rPr>
                        </w:pPr>
                        <w:r w:rsidRPr="001A0819">
                          <w:rPr>
                            <w:rFonts w:cs="Arial"/>
                            <w:szCs w:val="20"/>
                          </w:rPr>
                          <w:t>Dilution Buffer Volume</w:t>
                        </w:r>
                      </w:p>
                    </w:tc>
                    <w:tc>
                      <w:tcPr>
                        <w:tcW w:w="1320" w:type="dxa"/>
                      </w:tcPr>
                      <w:p w14:paraId="17CA1DF1" w14:textId="77777777" w:rsidR="001A0819" w:rsidRPr="001A0819" w:rsidRDefault="001A0819" w:rsidP="001A0819">
                        <w:pPr>
                          <w:spacing w:after="120"/>
                          <w:rPr>
                            <w:rFonts w:cs="Arial"/>
                            <w:szCs w:val="20"/>
                          </w:rPr>
                        </w:pPr>
                        <w:r w:rsidRPr="001A0819">
                          <w:rPr>
                            <w:rFonts w:cs="Arial"/>
                            <w:szCs w:val="20"/>
                          </w:rPr>
                          <w:t>Dilution</w:t>
                        </w:r>
                      </w:p>
                    </w:tc>
                    <w:tc>
                      <w:tcPr>
                        <w:tcW w:w="1626" w:type="dxa"/>
                      </w:tcPr>
                      <w:p w14:paraId="17CA1DF2" w14:textId="77777777" w:rsidR="001A0819" w:rsidRPr="001A0819" w:rsidRDefault="001A0819" w:rsidP="001A0819">
                        <w:pPr>
                          <w:spacing w:after="120"/>
                          <w:rPr>
                            <w:rFonts w:cs="Arial"/>
                            <w:szCs w:val="20"/>
                          </w:rPr>
                        </w:pPr>
                        <w:r w:rsidRPr="001A0819">
                          <w:rPr>
                            <w:rFonts w:cs="Arial"/>
                            <w:szCs w:val="20"/>
                          </w:rPr>
                          <w:t>Dilution Factor</w:t>
                        </w:r>
                      </w:p>
                    </w:tc>
                  </w:tr>
                  <w:tr w:rsidR="001A0819" w14:paraId="17CA1DF9" w14:textId="77777777" w:rsidTr="00AD6032">
                    <w:trPr>
                      <w:trHeight w:val="169"/>
                    </w:trPr>
                    <w:tc>
                      <w:tcPr>
                        <w:tcW w:w="1625" w:type="dxa"/>
                      </w:tcPr>
                      <w:p w14:paraId="17CA1DF4" w14:textId="77777777" w:rsidR="001A0819" w:rsidRPr="001A0819" w:rsidRDefault="001A0819" w:rsidP="001A0819">
                        <w:pPr>
                          <w:spacing w:after="120"/>
                          <w:rPr>
                            <w:rFonts w:cs="Arial"/>
                            <w:szCs w:val="20"/>
                          </w:rPr>
                        </w:pPr>
                        <w:r w:rsidRPr="001A0819">
                          <w:rPr>
                            <w:rFonts w:cs="Arial"/>
                            <w:szCs w:val="20"/>
                          </w:rPr>
                          <w:t>Undiluted</w:t>
                        </w:r>
                      </w:p>
                    </w:tc>
                    <w:tc>
                      <w:tcPr>
                        <w:tcW w:w="1301" w:type="dxa"/>
                      </w:tcPr>
                      <w:p w14:paraId="17CA1DF5" w14:textId="77777777" w:rsidR="001A0819" w:rsidRPr="001A0819" w:rsidRDefault="001A0819" w:rsidP="001A0819">
                        <w:pPr>
                          <w:spacing w:after="120"/>
                          <w:rPr>
                            <w:rFonts w:cs="Arial"/>
                            <w:szCs w:val="20"/>
                          </w:rPr>
                        </w:pPr>
                        <w:r w:rsidRPr="001A0819">
                          <w:rPr>
                            <w:rFonts w:cs="Arial"/>
                            <w:szCs w:val="20"/>
                          </w:rPr>
                          <w:t>50 μL</w:t>
                        </w:r>
                      </w:p>
                    </w:tc>
                    <w:tc>
                      <w:tcPr>
                        <w:tcW w:w="2252" w:type="dxa"/>
                      </w:tcPr>
                      <w:p w14:paraId="17CA1DF6" w14:textId="77777777" w:rsidR="001A0819" w:rsidRDefault="001A0819" w:rsidP="006B3B06">
                        <w:r w:rsidRPr="001A0819">
                          <w:rPr>
                            <w:rFonts w:cs="Arial"/>
                            <w:szCs w:val="20"/>
                          </w:rPr>
                          <w:t>450 μL</w:t>
                        </w:r>
                      </w:p>
                    </w:tc>
                    <w:tc>
                      <w:tcPr>
                        <w:tcW w:w="1320" w:type="dxa"/>
                      </w:tcPr>
                      <w:p w14:paraId="17CA1DF7" w14:textId="77777777" w:rsidR="001A0819" w:rsidRPr="001A0819" w:rsidRDefault="001A0819" w:rsidP="001A0819">
                        <w:pPr>
                          <w:spacing w:after="120"/>
                          <w:rPr>
                            <w:rFonts w:cs="Arial"/>
                            <w:szCs w:val="20"/>
                          </w:rPr>
                        </w:pPr>
                        <w:r w:rsidRPr="001A0819">
                          <w:rPr>
                            <w:rFonts w:cs="Arial"/>
                            <w:szCs w:val="20"/>
                          </w:rPr>
                          <w:t>1:10</w:t>
                        </w:r>
                      </w:p>
                    </w:tc>
                    <w:tc>
                      <w:tcPr>
                        <w:tcW w:w="1626" w:type="dxa"/>
                      </w:tcPr>
                      <w:p w14:paraId="17CA1DF8" w14:textId="77777777" w:rsidR="001A0819" w:rsidRPr="001A0819" w:rsidRDefault="001A0819" w:rsidP="001A0819">
                        <w:pPr>
                          <w:spacing w:after="120"/>
                          <w:rPr>
                            <w:rFonts w:cs="Arial"/>
                            <w:szCs w:val="20"/>
                          </w:rPr>
                        </w:pPr>
                        <w:r w:rsidRPr="001A0819">
                          <w:rPr>
                            <w:rFonts w:cs="Arial"/>
                            <w:szCs w:val="20"/>
                          </w:rPr>
                          <w:t>10</w:t>
                        </w:r>
                      </w:p>
                    </w:tc>
                  </w:tr>
                  <w:tr w:rsidR="001A0819" w14:paraId="17CA1DFF" w14:textId="77777777" w:rsidTr="00AD6032">
                    <w:trPr>
                      <w:trHeight w:val="169"/>
                    </w:trPr>
                    <w:tc>
                      <w:tcPr>
                        <w:tcW w:w="1625" w:type="dxa"/>
                      </w:tcPr>
                      <w:p w14:paraId="17CA1DFA" w14:textId="77777777" w:rsidR="001A0819" w:rsidRPr="001A0819" w:rsidRDefault="001A0819" w:rsidP="001A0819">
                        <w:pPr>
                          <w:spacing w:after="120"/>
                          <w:rPr>
                            <w:rFonts w:cs="Arial"/>
                            <w:szCs w:val="20"/>
                          </w:rPr>
                        </w:pPr>
                        <w:r w:rsidRPr="001A0819">
                          <w:rPr>
                            <w:rFonts w:cs="Arial"/>
                            <w:szCs w:val="20"/>
                          </w:rPr>
                          <w:t>1:10 sample</w:t>
                        </w:r>
                      </w:p>
                    </w:tc>
                    <w:tc>
                      <w:tcPr>
                        <w:tcW w:w="1301" w:type="dxa"/>
                      </w:tcPr>
                      <w:p w14:paraId="17CA1DFB" w14:textId="77777777" w:rsidR="001A0819" w:rsidRPr="001A0819" w:rsidRDefault="001A0819" w:rsidP="001A0819">
                        <w:pPr>
                          <w:spacing w:after="120"/>
                          <w:rPr>
                            <w:rFonts w:cs="Arial"/>
                            <w:szCs w:val="20"/>
                          </w:rPr>
                        </w:pPr>
                        <w:r w:rsidRPr="001A0819">
                          <w:rPr>
                            <w:rFonts w:cs="Arial"/>
                            <w:szCs w:val="20"/>
                          </w:rPr>
                          <w:t>50 μL</w:t>
                        </w:r>
                      </w:p>
                    </w:tc>
                    <w:tc>
                      <w:tcPr>
                        <w:tcW w:w="2252" w:type="dxa"/>
                      </w:tcPr>
                      <w:p w14:paraId="17CA1DFC" w14:textId="77777777" w:rsidR="001A0819" w:rsidRDefault="001A0819" w:rsidP="006B3B06">
                        <w:r w:rsidRPr="001A0819">
                          <w:rPr>
                            <w:rFonts w:cs="Arial"/>
                            <w:szCs w:val="20"/>
                          </w:rPr>
                          <w:t>450 μL</w:t>
                        </w:r>
                      </w:p>
                    </w:tc>
                    <w:tc>
                      <w:tcPr>
                        <w:tcW w:w="1320" w:type="dxa"/>
                      </w:tcPr>
                      <w:p w14:paraId="17CA1DFD" w14:textId="77777777" w:rsidR="001A0819" w:rsidRDefault="001A0819" w:rsidP="006B3B06">
                        <w:r w:rsidRPr="001A0819">
                          <w:rPr>
                            <w:rFonts w:cs="Arial"/>
                            <w:szCs w:val="20"/>
                          </w:rPr>
                          <w:t>1:100</w:t>
                        </w:r>
                      </w:p>
                    </w:tc>
                    <w:tc>
                      <w:tcPr>
                        <w:tcW w:w="1626" w:type="dxa"/>
                      </w:tcPr>
                      <w:p w14:paraId="17CA1DFE" w14:textId="77777777" w:rsidR="001A0819" w:rsidRPr="001A0819" w:rsidRDefault="001A0819" w:rsidP="001A0819">
                        <w:pPr>
                          <w:spacing w:after="120"/>
                          <w:rPr>
                            <w:rFonts w:cs="Arial"/>
                            <w:szCs w:val="20"/>
                          </w:rPr>
                        </w:pPr>
                        <w:r w:rsidRPr="001A0819">
                          <w:rPr>
                            <w:rFonts w:cs="Arial"/>
                            <w:szCs w:val="20"/>
                          </w:rPr>
                          <w:t>100</w:t>
                        </w:r>
                      </w:p>
                    </w:tc>
                  </w:tr>
                  <w:tr w:rsidR="001A0819" w14:paraId="17CA1E05" w14:textId="77777777" w:rsidTr="00AD6032">
                    <w:trPr>
                      <w:trHeight w:val="169"/>
                    </w:trPr>
                    <w:tc>
                      <w:tcPr>
                        <w:tcW w:w="1625" w:type="dxa"/>
                      </w:tcPr>
                      <w:p w14:paraId="17CA1E00" w14:textId="77777777" w:rsidR="001A0819" w:rsidRPr="001A0819" w:rsidRDefault="001A0819" w:rsidP="001A0819">
                        <w:pPr>
                          <w:spacing w:after="120"/>
                          <w:rPr>
                            <w:rFonts w:cs="Arial"/>
                            <w:szCs w:val="20"/>
                          </w:rPr>
                        </w:pPr>
                        <w:r w:rsidRPr="001A0819">
                          <w:rPr>
                            <w:rFonts w:cs="Arial"/>
                            <w:szCs w:val="20"/>
                          </w:rPr>
                          <w:t>1:100 sample</w:t>
                        </w:r>
                      </w:p>
                    </w:tc>
                    <w:tc>
                      <w:tcPr>
                        <w:tcW w:w="1301" w:type="dxa"/>
                      </w:tcPr>
                      <w:p w14:paraId="17CA1E01" w14:textId="77777777" w:rsidR="001A0819" w:rsidRPr="001A0819" w:rsidRDefault="001A0819" w:rsidP="001A0819">
                        <w:pPr>
                          <w:spacing w:after="120"/>
                          <w:rPr>
                            <w:rFonts w:cs="Arial"/>
                            <w:szCs w:val="20"/>
                          </w:rPr>
                        </w:pPr>
                        <w:r w:rsidRPr="001A0819">
                          <w:rPr>
                            <w:rFonts w:cs="Arial"/>
                            <w:szCs w:val="20"/>
                          </w:rPr>
                          <w:t>50 μL</w:t>
                        </w:r>
                      </w:p>
                    </w:tc>
                    <w:tc>
                      <w:tcPr>
                        <w:tcW w:w="2252" w:type="dxa"/>
                      </w:tcPr>
                      <w:p w14:paraId="17CA1E02" w14:textId="77777777" w:rsidR="001A0819" w:rsidRDefault="001A0819" w:rsidP="006B3B06">
                        <w:r w:rsidRPr="001A0819">
                          <w:rPr>
                            <w:rFonts w:cs="Arial"/>
                            <w:szCs w:val="20"/>
                          </w:rPr>
                          <w:t>450 μL</w:t>
                        </w:r>
                      </w:p>
                    </w:tc>
                    <w:tc>
                      <w:tcPr>
                        <w:tcW w:w="1320" w:type="dxa"/>
                      </w:tcPr>
                      <w:p w14:paraId="17CA1E03" w14:textId="77777777" w:rsidR="001A0819" w:rsidRDefault="001A0819" w:rsidP="006B3B06">
                        <w:r w:rsidRPr="001A0819">
                          <w:rPr>
                            <w:rFonts w:cs="Arial"/>
                            <w:szCs w:val="20"/>
                          </w:rPr>
                          <w:t>1:1000</w:t>
                        </w:r>
                      </w:p>
                    </w:tc>
                    <w:tc>
                      <w:tcPr>
                        <w:tcW w:w="1626" w:type="dxa"/>
                      </w:tcPr>
                      <w:p w14:paraId="17CA1E04" w14:textId="77777777" w:rsidR="001A0819" w:rsidRPr="001A0819" w:rsidRDefault="001A0819" w:rsidP="001A0819">
                        <w:pPr>
                          <w:spacing w:after="120"/>
                          <w:rPr>
                            <w:rFonts w:cs="Arial"/>
                            <w:szCs w:val="20"/>
                          </w:rPr>
                        </w:pPr>
                        <w:r w:rsidRPr="001A0819">
                          <w:rPr>
                            <w:rFonts w:cs="Arial"/>
                            <w:szCs w:val="20"/>
                          </w:rPr>
                          <w:t>1000</w:t>
                        </w:r>
                      </w:p>
                    </w:tc>
                  </w:tr>
                </w:tbl>
                <w:p w14:paraId="17CA1E06" w14:textId="77777777" w:rsidR="001A0819" w:rsidRDefault="001A0819" w:rsidP="006B3B06">
                  <w:pPr>
                    <w:spacing w:after="120"/>
                    <w:rPr>
                      <w:rFonts w:cs="Arial"/>
                      <w:szCs w:val="20"/>
                    </w:rPr>
                  </w:pPr>
                </w:p>
                <w:p w14:paraId="17CA1E07" w14:textId="329C2B57" w:rsidR="001A0819" w:rsidRPr="0037005F" w:rsidRDefault="001A0819" w:rsidP="006B3B06">
                  <w:pPr>
                    <w:spacing w:after="120"/>
                    <w:rPr>
                      <w:rFonts w:cs="Arial"/>
                      <w:szCs w:val="20"/>
                    </w:rPr>
                  </w:pPr>
                  <w:r w:rsidRPr="0037005F">
                    <w:rPr>
                      <w:rFonts w:cs="Arial"/>
                      <w:szCs w:val="20"/>
                    </w:rPr>
                    <w:t xml:space="preserve">Refer to the procedure </w:t>
                  </w:r>
                  <w:hyperlink r:id="rId16" w:history="1">
                    <w:r w:rsidRPr="0037005F">
                      <w:rPr>
                        <w:rStyle w:val="Hyperlink"/>
                        <w:rFonts w:cs="Arial"/>
                        <w:szCs w:val="20"/>
                      </w:rPr>
                      <w:t>CH 2.03 Dilution Prep</w:t>
                    </w:r>
                    <w:r w:rsidRPr="0037005F">
                      <w:rPr>
                        <w:rStyle w:val="Hyperlink"/>
                        <w:rFonts w:cs="Arial"/>
                        <w:szCs w:val="20"/>
                      </w:rPr>
                      <w:t>a</w:t>
                    </w:r>
                    <w:r w:rsidRPr="0037005F">
                      <w:rPr>
                        <w:rStyle w:val="Hyperlink"/>
                        <w:rFonts w:cs="Arial"/>
                        <w:szCs w:val="20"/>
                      </w:rPr>
                      <w:t>ration</w:t>
                    </w:r>
                  </w:hyperlink>
                  <w:r w:rsidRPr="0037005F">
                    <w:rPr>
                      <w:rFonts w:cs="Arial"/>
                      <w:szCs w:val="20"/>
                    </w:rPr>
                    <w:t>.</w:t>
                  </w:r>
                </w:p>
                <w:p w14:paraId="17CA1E08" w14:textId="77777777" w:rsidR="001A0819" w:rsidRPr="0037005F" w:rsidRDefault="001A0819" w:rsidP="006B3B06">
                  <w:pPr>
                    <w:spacing w:after="120"/>
                    <w:rPr>
                      <w:rFonts w:cs="Arial"/>
                      <w:szCs w:val="20"/>
                    </w:rPr>
                  </w:pPr>
                  <w:r>
                    <w:rPr>
                      <w:rFonts w:cs="Arial"/>
                      <w:szCs w:val="20"/>
                    </w:rPr>
                    <w:t>The maximum dilution to prepare is a 1:1000</w:t>
                  </w:r>
                </w:p>
              </w:tc>
            </w:tr>
          </w:tbl>
          <w:p w14:paraId="17CA1E0A" w14:textId="77777777" w:rsidR="001A0819" w:rsidRPr="00E67515" w:rsidRDefault="001A0819">
            <w:pPr>
              <w:rPr>
                <w:rFonts w:cs="Arial"/>
                <w:szCs w:val="20"/>
              </w:rPr>
            </w:pPr>
          </w:p>
        </w:tc>
      </w:tr>
      <w:tr w:rsidR="00882388" w14:paraId="17CA1E53" w14:textId="77777777" w:rsidTr="00846825">
        <w:trPr>
          <w:trHeight w:val="2493"/>
          <w:tblHeader/>
        </w:trPr>
        <w:tc>
          <w:tcPr>
            <w:tcW w:w="1803" w:type="dxa"/>
          </w:tcPr>
          <w:p w14:paraId="17CA1E0D" w14:textId="170F2C3A" w:rsidR="00882388" w:rsidRDefault="00882388">
            <w:pPr>
              <w:rPr>
                <w:rFonts w:cs="Arial"/>
                <w:b/>
                <w:bCs/>
                <w:color w:val="0000FF"/>
              </w:rPr>
            </w:pPr>
          </w:p>
          <w:p w14:paraId="17CA1E0E" w14:textId="77777777" w:rsidR="00882388" w:rsidRDefault="00882388">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vAlign w:val="center"/>
          </w:tcPr>
          <w:tbl>
            <w:tblPr>
              <w:tblpPr w:leftFromText="180" w:rightFromText="180" w:vertAnchor="text" w:horzAnchor="margin" w:tblpY="-9820"/>
              <w:tblOverlap w:val="neve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8264"/>
            </w:tblGrid>
            <w:tr w:rsidR="001A0819" w14:paraId="17CA1E4B" w14:textId="77777777" w:rsidTr="00AD6032">
              <w:trPr>
                <w:trHeight w:val="248"/>
              </w:trPr>
              <w:tc>
                <w:tcPr>
                  <w:tcW w:w="811" w:type="dxa"/>
                </w:tcPr>
                <w:p w14:paraId="17CA1E49" w14:textId="77777777" w:rsidR="001A0819" w:rsidRDefault="001A0819" w:rsidP="001A0819">
                  <w:pPr>
                    <w:numPr>
                      <w:ilvl w:val="0"/>
                      <w:numId w:val="39"/>
                    </w:numPr>
                    <w:autoSpaceDE w:val="0"/>
                    <w:autoSpaceDN w:val="0"/>
                    <w:adjustRightInd w:val="0"/>
                    <w:jc w:val="center"/>
                    <w:rPr>
                      <w:rFonts w:cs="Arial"/>
                      <w:szCs w:val="20"/>
                    </w:rPr>
                  </w:pPr>
                </w:p>
              </w:tc>
              <w:tc>
                <w:tcPr>
                  <w:tcW w:w="8264" w:type="dxa"/>
                  <w:vAlign w:val="center"/>
                </w:tcPr>
                <w:p w14:paraId="17CA1E4A" w14:textId="0BE8A20B" w:rsidR="001A0819" w:rsidRDefault="001A0819" w:rsidP="001A0819">
                  <w:pPr>
                    <w:autoSpaceDE w:val="0"/>
                    <w:autoSpaceDN w:val="0"/>
                    <w:adjustRightInd w:val="0"/>
                    <w:jc w:val="both"/>
                    <w:rPr>
                      <w:rFonts w:cs="Arial"/>
                      <w:szCs w:val="20"/>
                    </w:rPr>
                  </w:pPr>
                  <w:r>
                    <w:rPr>
                      <w:rFonts w:cs="Arial"/>
                      <w:szCs w:val="20"/>
                    </w:rPr>
                    <w:t>.</w:t>
                  </w:r>
                  <w:r w:rsidR="00846825">
                    <w:rPr>
                      <w:rFonts w:cs="Arial"/>
                      <w:szCs w:val="20"/>
                    </w:rPr>
                    <w:t xml:space="preserve">Program all dilutions manually in the Abbott Alinity software using the </w:t>
                  </w:r>
                  <w:hyperlink r:id="rId17" w:history="1">
                    <w:r w:rsidR="00846825" w:rsidRPr="00846825">
                      <w:rPr>
                        <w:rStyle w:val="Hyperlink"/>
                        <w:rFonts w:cs="Arial"/>
                        <w:szCs w:val="20"/>
                      </w:rPr>
                      <w:t>Abbott Alinity Operating Manual</w:t>
                    </w:r>
                  </w:hyperlink>
                  <w:r w:rsidR="00846825">
                    <w:rPr>
                      <w:rFonts w:cs="Arial"/>
                      <w:szCs w:val="20"/>
                    </w:rPr>
                    <w:t>.  Do not use the original sample ID; instead, use this ordering scheme: SIDx10, SIDx100, SIDx1000 so that results will not autofile.</w:t>
                  </w:r>
                </w:p>
              </w:tc>
            </w:tr>
            <w:tr w:rsidR="001A0819" w14:paraId="17CA1E4E" w14:textId="77777777" w:rsidTr="00AD6032">
              <w:trPr>
                <w:trHeight w:val="457"/>
              </w:trPr>
              <w:tc>
                <w:tcPr>
                  <w:tcW w:w="811" w:type="dxa"/>
                </w:tcPr>
                <w:p w14:paraId="17CA1E4C" w14:textId="77777777" w:rsidR="001A0819" w:rsidRDefault="001A0819" w:rsidP="001A0819">
                  <w:pPr>
                    <w:numPr>
                      <w:ilvl w:val="0"/>
                      <w:numId w:val="39"/>
                    </w:numPr>
                    <w:autoSpaceDE w:val="0"/>
                    <w:autoSpaceDN w:val="0"/>
                    <w:adjustRightInd w:val="0"/>
                    <w:jc w:val="center"/>
                    <w:rPr>
                      <w:rFonts w:cs="Arial"/>
                      <w:szCs w:val="20"/>
                    </w:rPr>
                  </w:pPr>
                </w:p>
              </w:tc>
              <w:tc>
                <w:tcPr>
                  <w:tcW w:w="8264" w:type="dxa"/>
                  <w:vAlign w:val="center"/>
                </w:tcPr>
                <w:p w14:paraId="17CA1E4D" w14:textId="77777777" w:rsidR="001A0819" w:rsidRDefault="001A0819" w:rsidP="001A0819">
                  <w:pPr>
                    <w:autoSpaceDE w:val="0"/>
                    <w:autoSpaceDN w:val="0"/>
                    <w:adjustRightInd w:val="0"/>
                    <w:jc w:val="both"/>
                    <w:rPr>
                      <w:rFonts w:cs="Arial"/>
                      <w:szCs w:val="20"/>
                    </w:rPr>
                  </w:pPr>
                  <w:r w:rsidRPr="00DB163C">
                    <w:rPr>
                      <w:rFonts w:cs="Arial"/>
                      <w:szCs w:val="20"/>
                    </w:rPr>
                    <w:t>Evaluate results of all samples in the serial dilution as a quality check. Compare final results of each dilution with the lowest dilution giving no error message. Correctly prepared dilutions should match within 20% of each other.</w:t>
                  </w:r>
                  <w:r>
                    <w:rPr>
                      <w:rFonts w:cs="Arial"/>
                      <w:szCs w:val="20"/>
                    </w:rPr>
                    <w:t xml:space="preserve">  </w:t>
                  </w:r>
                  <w:r w:rsidRPr="00846825">
                    <w:rPr>
                      <w:rFonts w:cs="Arial"/>
                      <w:b/>
                      <w:szCs w:val="20"/>
                      <w:u w:val="single"/>
                    </w:rPr>
                    <w:t>Use the value from the lowest possible dilution that produces a result (without flags).</w:t>
                  </w:r>
                </w:p>
              </w:tc>
            </w:tr>
            <w:tr w:rsidR="001A0819" w14:paraId="17CA1E51" w14:textId="77777777" w:rsidTr="00AD6032">
              <w:trPr>
                <w:trHeight w:val="344"/>
              </w:trPr>
              <w:tc>
                <w:tcPr>
                  <w:tcW w:w="811" w:type="dxa"/>
                </w:tcPr>
                <w:p w14:paraId="17CA1E4F" w14:textId="77777777" w:rsidR="001A0819" w:rsidRDefault="001A0819" w:rsidP="001A0819">
                  <w:pPr>
                    <w:numPr>
                      <w:ilvl w:val="0"/>
                      <w:numId w:val="39"/>
                    </w:numPr>
                    <w:autoSpaceDE w:val="0"/>
                    <w:autoSpaceDN w:val="0"/>
                    <w:adjustRightInd w:val="0"/>
                    <w:jc w:val="center"/>
                    <w:rPr>
                      <w:rFonts w:cs="Arial"/>
                      <w:szCs w:val="20"/>
                    </w:rPr>
                  </w:pPr>
                </w:p>
              </w:tc>
              <w:tc>
                <w:tcPr>
                  <w:tcW w:w="8264" w:type="dxa"/>
                  <w:vAlign w:val="center"/>
                </w:tcPr>
                <w:p w14:paraId="17CA1E50" w14:textId="77777777" w:rsidR="001A0819" w:rsidRDefault="001A0819" w:rsidP="001A0819">
                  <w:pPr>
                    <w:autoSpaceDE w:val="0"/>
                    <w:autoSpaceDN w:val="0"/>
                    <w:adjustRightInd w:val="0"/>
                    <w:jc w:val="both"/>
                    <w:rPr>
                      <w:rFonts w:cs="Arial"/>
                      <w:szCs w:val="20"/>
                    </w:rPr>
                  </w:pPr>
                  <w:r>
                    <w:rPr>
                      <w:rFonts w:cs="Arial"/>
                      <w:szCs w:val="20"/>
                    </w:rPr>
                    <w:t>Record manual dilution on the dilution log, and result using the Result Reporting section below. Have your dilutions checked by a second tech PRIOR to reporting results.</w:t>
                  </w:r>
                  <w:r>
                    <w:rPr>
                      <w:rFonts w:cs="Arial"/>
                      <w:szCs w:val="20"/>
                    </w:rPr>
                    <w:tab/>
                  </w:r>
                </w:p>
              </w:tc>
            </w:tr>
          </w:tbl>
          <w:p w14:paraId="17CA1E52" w14:textId="77777777" w:rsidR="00882388" w:rsidRPr="00DA61ED" w:rsidRDefault="00882388" w:rsidP="001A0819">
            <w:pPr>
              <w:pStyle w:val="CalVerTable"/>
              <w:ind w:left="0" w:firstLine="0"/>
              <w:rPr>
                <w:rFonts w:ascii="Arial" w:hAnsi="Arial" w:cs="Arial"/>
              </w:rPr>
            </w:pPr>
          </w:p>
        </w:tc>
      </w:tr>
      <w:tr w:rsidR="00882388" w14:paraId="17CA1E5D" w14:textId="77777777" w:rsidTr="00AD6032">
        <w:trPr>
          <w:trHeight w:val="941"/>
          <w:tblHeader/>
        </w:trPr>
        <w:tc>
          <w:tcPr>
            <w:tcW w:w="1803" w:type="dxa"/>
          </w:tcPr>
          <w:p w14:paraId="17CA1E54" w14:textId="77777777" w:rsidR="00882388" w:rsidRDefault="00882388">
            <w:pPr>
              <w:rPr>
                <w:rFonts w:cs="Arial"/>
                <w:b/>
                <w:bCs/>
                <w:color w:val="0000FF"/>
              </w:rPr>
            </w:pPr>
          </w:p>
          <w:p w14:paraId="17CA1E55" w14:textId="77777777" w:rsidR="00882388" w:rsidRDefault="00882388">
            <w:pPr>
              <w:rPr>
                <w:rFonts w:cs="Arial"/>
                <w:b/>
                <w:bCs/>
                <w:color w:val="0000FF"/>
              </w:rPr>
            </w:pPr>
            <w:r>
              <w:rPr>
                <w:rFonts w:cs="Arial"/>
                <w:b/>
                <w:bCs/>
                <w:color w:val="0000FF"/>
              </w:rPr>
              <w:t>Result Reporting</w:t>
            </w:r>
          </w:p>
          <w:p w14:paraId="17CA1E56" w14:textId="77777777" w:rsidR="00882388" w:rsidRDefault="00882388">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tcPr>
          <w:p w14:paraId="17CA1E57" w14:textId="77777777" w:rsidR="00882388" w:rsidRPr="00E47249" w:rsidRDefault="00882388">
            <w:pPr>
              <w:pStyle w:val="Header"/>
              <w:tabs>
                <w:tab w:val="clear" w:pos="4320"/>
                <w:tab w:val="clear" w:pos="8640"/>
              </w:tabs>
              <w:rPr>
                <w:rFonts w:cs="Arial"/>
                <w:szCs w:val="20"/>
              </w:rPr>
            </w:pPr>
          </w:p>
          <w:p w14:paraId="17CA1E58" w14:textId="77777777" w:rsidR="00882388" w:rsidRPr="00E47249" w:rsidRDefault="00882388" w:rsidP="00F911CB">
            <w:pPr>
              <w:pStyle w:val="BodyText"/>
              <w:numPr>
                <w:ilvl w:val="0"/>
                <w:numId w:val="14"/>
              </w:numPr>
              <w:rPr>
                <w:rFonts w:cs="Arial"/>
                <w:szCs w:val="20"/>
              </w:rPr>
            </w:pPr>
            <w:r w:rsidRPr="00E47249">
              <w:rPr>
                <w:rFonts w:cs="Arial"/>
                <w:szCs w:val="20"/>
              </w:rPr>
              <w:t xml:space="preserve">Results between </w:t>
            </w:r>
            <w:r w:rsidRPr="00E47249">
              <w:rPr>
                <w:rFonts w:cs="Arial"/>
                <w:b/>
                <w:szCs w:val="20"/>
              </w:rPr>
              <w:t xml:space="preserve">0.04 - 1.20 </w:t>
            </w:r>
            <w:r w:rsidRPr="00E47249">
              <w:rPr>
                <w:rFonts w:cs="Arial"/>
                <w:szCs w:val="20"/>
              </w:rPr>
              <w:t>μmol/L without error messages are released</w:t>
            </w:r>
          </w:p>
          <w:p w14:paraId="17CA1E59" w14:textId="77777777" w:rsidR="00882388" w:rsidRPr="00E47249" w:rsidRDefault="00882388" w:rsidP="00F911CB">
            <w:pPr>
              <w:pStyle w:val="BodyText"/>
              <w:numPr>
                <w:ilvl w:val="0"/>
                <w:numId w:val="14"/>
              </w:numPr>
              <w:rPr>
                <w:rFonts w:cs="Arial"/>
                <w:szCs w:val="20"/>
              </w:rPr>
            </w:pPr>
            <w:r w:rsidRPr="00E47249">
              <w:rPr>
                <w:rFonts w:cs="Arial"/>
                <w:szCs w:val="20"/>
              </w:rPr>
              <w:t xml:space="preserve">Results below </w:t>
            </w:r>
            <w:r w:rsidR="00E47249">
              <w:rPr>
                <w:rFonts w:cs="Arial"/>
                <w:b/>
                <w:szCs w:val="20"/>
              </w:rPr>
              <w:t>0.04</w:t>
            </w:r>
            <w:r w:rsidR="00E47249" w:rsidRPr="00E47249">
              <w:rPr>
                <w:rFonts w:cs="Arial"/>
                <w:szCs w:val="20"/>
              </w:rPr>
              <w:t xml:space="preserve"> μmol/L</w:t>
            </w:r>
            <w:r w:rsidRPr="00E47249">
              <w:rPr>
                <w:rFonts w:cs="Arial"/>
                <w:szCs w:val="20"/>
              </w:rPr>
              <w:t xml:space="preserve">: report as &lt; </w:t>
            </w:r>
            <w:r w:rsidRPr="00E47249">
              <w:rPr>
                <w:rFonts w:cs="Arial"/>
                <w:b/>
                <w:szCs w:val="20"/>
              </w:rPr>
              <w:t>0.</w:t>
            </w:r>
            <w:r w:rsidR="00E47249">
              <w:rPr>
                <w:rFonts w:cs="Arial"/>
                <w:b/>
                <w:szCs w:val="20"/>
              </w:rPr>
              <w:t>04</w:t>
            </w:r>
            <w:r w:rsidRPr="00E47249">
              <w:rPr>
                <w:rFonts w:cs="Arial"/>
                <w:b/>
                <w:szCs w:val="20"/>
              </w:rPr>
              <w:t xml:space="preserve"> </w:t>
            </w:r>
            <w:r w:rsidR="00E47249" w:rsidRPr="00E47249">
              <w:rPr>
                <w:rFonts w:cs="Arial"/>
                <w:szCs w:val="20"/>
              </w:rPr>
              <w:t xml:space="preserve">μmol/L </w:t>
            </w:r>
            <w:r w:rsidRPr="00E47249">
              <w:rPr>
                <w:rFonts w:cs="Arial"/>
                <w:szCs w:val="20"/>
              </w:rPr>
              <w:t>instead of the numerical value</w:t>
            </w:r>
          </w:p>
          <w:p w14:paraId="17CA1E5A" w14:textId="77777777" w:rsidR="00882388" w:rsidRPr="00E47249" w:rsidRDefault="00882388" w:rsidP="00F911CB">
            <w:pPr>
              <w:pStyle w:val="BodyText"/>
              <w:numPr>
                <w:ilvl w:val="0"/>
                <w:numId w:val="14"/>
              </w:numPr>
              <w:rPr>
                <w:rFonts w:cs="Arial"/>
                <w:szCs w:val="20"/>
              </w:rPr>
            </w:pPr>
            <w:r w:rsidRPr="00E47249">
              <w:rPr>
                <w:rFonts w:cs="Arial"/>
                <w:szCs w:val="20"/>
              </w:rPr>
              <w:t>Results &gt;</w:t>
            </w:r>
            <w:r w:rsidR="00E47249" w:rsidRPr="00E47249">
              <w:rPr>
                <w:rFonts w:cs="Arial"/>
                <w:b/>
                <w:szCs w:val="20"/>
              </w:rPr>
              <w:t xml:space="preserve">1.20 </w:t>
            </w:r>
            <w:r w:rsidR="00E47249" w:rsidRPr="00E47249">
              <w:rPr>
                <w:rFonts w:cs="Arial"/>
                <w:szCs w:val="20"/>
              </w:rPr>
              <w:t xml:space="preserve">μmol/L </w:t>
            </w:r>
            <w:r w:rsidRPr="00E47249">
              <w:rPr>
                <w:rFonts w:cs="Arial"/>
                <w:szCs w:val="20"/>
              </w:rPr>
              <w:t>are reported as the numerical result following a maximum dilution of 1:</w:t>
            </w:r>
            <w:r w:rsidR="00E47249">
              <w:rPr>
                <w:rFonts w:cs="Arial"/>
                <w:szCs w:val="20"/>
              </w:rPr>
              <w:t>1000</w:t>
            </w:r>
          </w:p>
          <w:p w14:paraId="17CA1E5B" w14:textId="77777777" w:rsidR="00882388" w:rsidRPr="00FC1BF4" w:rsidRDefault="00882388" w:rsidP="00F911CB">
            <w:pPr>
              <w:pStyle w:val="BodyText"/>
              <w:numPr>
                <w:ilvl w:val="0"/>
                <w:numId w:val="14"/>
              </w:numPr>
              <w:rPr>
                <w:rFonts w:cs="Arial"/>
                <w:szCs w:val="20"/>
              </w:rPr>
            </w:pPr>
            <w:r w:rsidRPr="00FC1BF4">
              <w:rPr>
                <w:rFonts w:cs="Arial"/>
                <w:szCs w:val="20"/>
              </w:rPr>
              <w:t>Results that exceed the assay range following the maximum dilution are reported as &gt;</w:t>
            </w:r>
            <w:r w:rsidR="00B2596E" w:rsidRPr="00FC1BF4">
              <w:rPr>
                <w:rFonts w:cs="Arial"/>
                <w:b/>
                <w:bCs/>
                <w:szCs w:val="20"/>
              </w:rPr>
              <w:t>12</w:t>
            </w:r>
            <w:r w:rsidR="00E47249" w:rsidRPr="00FC1BF4">
              <w:rPr>
                <w:rFonts w:cs="Arial"/>
                <w:b/>
                <w:bCs/>
                <w:szCs w:val="20"/>
              </w:rPr>
              <w:t>0</w:t>
            </w:r>
            <w:r w:rsidRPr="00FC1BF4">
              <w:rPr>
                <w:rFonts w:cs="Arial"/>
                <w:b/>
                <w:bCs/>
                <w:szCs w:val="20"/>
              </w:rPr>
              <w:t xml:space="preserve">0.0 </w:t>
            </w:r>
            <w:r w:rsidR="00B2596E" w:rsidRPr="00FC1BF4">
              <w:rPr>
                <w:rFonts w:cs="Arial"/>
                <w:szCs w:val="20"/>
              </w:rPr>
              <w:t>μmol/L</w:t>
            </w:r>
          </w:p>
          <w:p w14:paraId="17CA1E5C" w14:textId="77777777" w:rsidR="00882388" w:rsidRPr="00E47249" w:rsidRDefault="00FC1BF4" w:rsidP="00FC1BF4">
            <w:pPr>
              <w:numPr>
                <w:ilvl w:val="0"/>
                <w:numId w:val="14"/>
              </w:numPr>
              <w:rPr>
                <w:rFonts w:cs="Arial"/>
                <w:szCs w:val="20"/>
              </w:rPr>
            </w:pPr>
            <w:r w:rsidRPr="00FC1BF4">
              <w:rPr>
                <w:rFonts w:cs="Arial"/>
                <w:szCs w:val="20"/>
              </w:rPr>
              <w:t>To convert μmol/L to μg/mL, divide the value obtained by the conversion factor of 2.2005</w:t>
            </w:r>
          </w:p>
        </w:tc>
      </w:tr>
      <w:tr w:rsidR="00882388" w14:paraId="17CA1E63" w14:textId="77777777" w:rsidTr="00AD6032">
        <w:trPr>
          <w:trHeight w:val="451"/>
          <w:tblHeader/>
        </w:trPr>
        <w:tc>
          <w:tcPr>
            <w:tcW w:w="1803" w:type="dxa"/>
          </w:tcPr>
          <w:p w14:paraId="17CA1E5E" w14:textId="77777777" w:rsidR="00882388" w:rsidRDefault="00882388">
            <w:pPr>
              <w:rPr>
                <w:rFonts w:cs="Arial"/>
                <w:b/>
                <w:bCs/>
                <w:color w:val="0000FF"/>
              </w:rPr>
            </w:pPr>
          </w:p>
          <w:p w14:paraId="17CA1E5F" w14:textId="77777777" w:rsidR="00882388" w:rsidRDefault="00882388">
            <w:pPr>
              <w:rPr>
                <w:rFonts w:cs="Arial"/>
                <w:b/>
                <w:bCs/>
                <w:color w:val="0000FF"/>
              </w:rPr>
            </w:pPr>
            <w:r>
              <w:rPr>
                <w:rFonts w:cs="Arial"/>
                <w:b/>
                <w:bCs/>
                <w:color w:val="0000FF"/>
              </w:rPr>
              <w:t>Specimen Storage</w:t>
            </w:r>
          </w:p>
          <w:p w14:paraId="17CA1E60" w14:textId="77777777" w:rsidR="00882388" w:rsidRDefault="00882388">
            <w:pPr>
              <w:rPr>
                <w:rFonts w:cs="Arial"/>
                <w:b/>
                <w:bCs/>
                <w:color w:val="0000FF"/>
              </w:rPr>
            </w:pPr>
          </w:p>
        </w:tc>
        <w:tc>
          <w:tcPr>
            <w:tcW w:w="9204" w:type="dxa"/>
            <w:gridSpan w:val="10"/>
            <w:tcBorders>
              <w:top w:val="single" w:sz="18" w:space="0" w:color="A6A6A6" w:themeColor="background1" w:themeShade="A6"/>
              <w:bottom w:val="single" w:sz="18" w:space="0" w:color="A6A6A6" w:themeColor="background1" w:themeShade="A6"/>
            </w:tcBorders>
          </w:tcPr>
          <w:p w14:paraId="17CA1E61" w14:textId="77777777" w:rsidR="00882388" w:rsidRDefault="00882388">
            <w:pPr>
              <w:pStyle w:val="Header"/>
              <w:tabs>
                <w:tab w:val="clear" w:pos="4320"/>
                <w:tab w:val="clear" w:pos="8640"/>
              </w:tabs>
              <w:rPr>
                <w:rFonts w:cs="Arial"/>
              </w:rPr>
            </w:pPr>
          </w:p>
          <w:p w14:paraId="17CA1E62" w14:textId="77777777" w:rsidR="00882388" w:rsidRDefault="00882388">
            <w:pPr>
              <w:pStyle w:val="Header"/>
              <w:tabs>
                <w:tab w:val="clear" w:pos="4320"/>
                <w:tab w:val="clear" w:pos="8640"/>
              </w:tabs>
              <w:rPr>
                <w:rFonts w:cs="Arial"/>
              </w:rPr>
            </w:pPr>
            <w:r>
              <w:rPr>
                <w:rFonts w:cs="Arial"/>
              </w:rPr>
              <w:t>Promptly stopper tested specimen and store upright in specimen rack. Every 8 hours remove specimens to refrigerator/freezer storage. Samples are retained 7 days in specimen storage freezer.</w:t>
            </w:r>
          </w:p>
        </w:tc>
      </w:tr>
      <w:tr w:rsidR="00882388" w14:paraId="17CA1E67" w14:textId="77777777" w:rsidTr="00AD6032">
        <w:trPr>
          <w:trHeight w:val="553"/>
          <w:tblHeader/>
        </w:trPr>
        <w:tc>
          <w:tcPr>
            <w:tcW w:w="1803" w:type="dxa"/>
            <w:vAlign w:val="center"/>
          </w:tcPr>
          <w:p w14:paraId="17CA1E64" w14:textId="77777777" w:rsidR="00882388" w:rsidRDefault="00882388">
            <w:pPr>
              <w:rPr>
                <w:rFonts w:cs="Arial"/>
                <w:b/>
                <w:bCs/>
                <w:color w:val="0000FF"/>
              </w:rPr>
            </w:pPr>
            <w:r>
              <w:rPr>
                <w:rFonts w:cs="Arial"/>
                <w:b/>
                <w:bCs/>
                <w:color w:val="0000FF"/>
              </w:rPr>
              <w:t>Alternate Method</w:t>
            </w:r>
          </w:p>
        </w:tc>
        <w:tc>
          <w:tcPr>
            <w:tcW w:w="9204" w:type="dxa"/>
            <w:gridSpan w:val="10"/>
            <w:tcBorders>
              <w:top w:val="single" w:sz="18" w:space="0" w:color="A6A6A6" w:themeColor="background1" w:themeShade="A6"/>
              <w:bottom w:val="single" w:sz="18" w:space="0" w:color="A6A6A6" w:themeColor="background1" w:themeShade="A6"/>
            </w:tcBorders>
            <w:vAlign w:val="center"/>
          </w:tcPr>
          <w:p w14:paraId="2977F413" w14:textId="77777777" w:rsidR="00882388" w:rsidRDefault="00846825" w:rsidP="00846825">
            <w:pPr>
              <w:pStyle w:val="Header"/>
              <w:numPr>
                <w:ilvl w:val="0"/>
                <w:numId w:val="40"/>
              </w:numPr>
              <w:tabs>
                <w:tab w:val="clear" w:pos="4320"/>
                <w:tab w:val="clear" w:pos="8640"/>
              </w:tabs>
              <w:rPr>
                <w:rFonts w:cs="Arial"/>
              </w:rPr>
            </w:pPr>
            <w:r>
              <w:rPr>
                <w:rFonts w:cs="Arial"/>
              </w:rPr>
              <w:t xml:space="preserve">Perform testing on the Abbott Alinity c backup (MALIC) if the main analyzer, MALCI/MACC, is out of service.  Reagents must be loaded, calibrated, and quality controlled prior to releasing results, as Methotrexate is not routinely loaded on this analyzer.  </w:t>
            </w:r>
          </w:p>
          <w:p w14:paraId="17CA1E66" w14:textId="7FDAA989" w:rsidR="00846825" w:rsidRPr="00846825" w:rsidRDefault="00846825" w:rsidP="00846825">
            <w:pPr>
              <w:pStyle w:val="Header"/>
              <w:numPr>
                <w:ilvl w:val="0"/>
                <w:numId w:val="40"/>
              </w:numPr>
              <w:tabs>
                <w:tab w:val="clear" w:pos="4320"/>
                <w:tab w:val="clear" w:pos="8640"/>
              </w:tabs>
              <w:rPr>
                <w:rFonts w:cs="Arial"/>
              </w:rPr>
            </w:pPr>
            <w:r>
              <w:rPr>
                <w:rFonts w:cs="Arial"/>
              </w:rPr>
              <w:t>As loading MALIC will take some time, notify the provider of the situation and that there will be a slight delay.</w:t>
            </w:r>
          </w:p>
        </w:tc>
      </w:tr>
      <w:tr w:rsidR="00882388" w14:paraId="17CA1E6E" w14:textId="77777777" w:rsidTr="00AD6032">
        <w:trPr>
          <w:trHeight w:val="1468"/>
          <w:tblHeader/>
        </w:trPr>
        <w:tc>
          <w:tcPr>
            <w:tcW w:w="1803" w:type="dxa"/>
          </w:tcPr>
          <w:p w14:paraId="17CA1E68" w14:textId="79DB4295" w:rsidR="00882388" w:rsidRDefault="00882388">
            <w:pPr>
              <w:ind w:right="-108"/>
              <w:rPr>
                <w:rFonts w:cs="Arial"/>
                <w:b/>
                <w:bCs/>
                <w:color w:val="0000FF"/>
              </w:rPr>
            </w:pPr>
          </w:p>
          <w:p w14:paraId="17CA1E69" w14:textId="77777777" w:rsidR="00882388" w:rsidRDefault="00882388">
            <w:pPr>
              <w:ind w:right="-108"/>
              <w:rPr>
                <w:rFonts w:cs="Arial"/>
                <w:b/>
                <w:bCs/>
                <w:color w:val="0000FF"/>
              </w:rPr>
            </w:pPr>
            <w:r>
              <w:rPr>
                <w:rFonts w:cs="Arial"/>
                <w:b/>
                <w:bCs/>
                <w:color w:val="0000FF"/>
              </w:rPr>
              <w:t>References</w:t>
            </w:r>
          </w:p>
        </w:tc>
        <w:tc>
          <w:tcPr>
            <w:tcW w:w="9204" w:type="dxa"/>
            <w:gridSpan w:val="10"/>
            <w:tcBorders>
              <w:top w:val="single" w:sz="18" w:space="0" w:color="A6A6A6" w:themeColor="background1" w:themeShade="A6"/>
              <w:bottom w:val="single" w:sz="18" w:space="0" w:color="A6A6A6" w:themeColor="background1" w:themeShade="A6"/>
            </w:tcBorders>
            <w:vAlign w:val="center"/>
          </w:tcPr>
          <w:p w14:paraId="17CA1E6A" w14:textId="77777777" w:rsidR="00581D9B" w:rsidRPr="004D73B3" w:rsidRDefault="00581D9B" w:rsidP="00E268DC">
            <w:pPr>
              <w:numPr>
                <w:ilvl w:val="0"/>
                <w:numId w:val="44"/>
              </w:numPr>
              <w:autoSpaceDE w:val="0"/>
              <w:autoSpaceDN w:val="0"/>
              <w:adjustRightInd w:val="0"/>
              <w:spacing w:line="241" w:lineRule="atLeast"/>
              <w:jc w:val="both"/>
              <w:rPr>
                <w:rFonts w:cs="Arial"/>
                <w:color w:val="000000"/>
                <w:szCs w:val="20"/>
              </w:rPr>
            </w:pPr>
            <w:r w:rsidRPr="00D521AC">
              <w:rPr>
                <w:rFonts w:cs="Arial"/>
                <w:bCs/>
                <w:color w:val="000000"/>
                <w:szCs w:val="20"/>
              </w:rPr>
              <w:t>A</w:t>
            </w:r>
            <w:r w:rsidRPr="00D521AC">
              <w:rPr>
                <w:rStyle w:val="A9"/>
                <w:rFonts w:cs="Arial"/>
                <w:b w:val="0"/>
                <w:iCs w:val="0"/>
                <w:sz w:val="20"/>
                <w:szCs w:val="20"/>
              </w:rPr>
              <w:t>RK</w:t>
            </w:r>
            <w:r w:rsidRPr="00D521AC">
              <w:rPr>
                <w:rFonts w:cs="Arial"/>
                <w:b/>
                <w:color w:val="000000"/>
                <w:position w:val="9"/>
                <w:szCs w:val="20"/>
                <w:vertAlign w:val="superscript"/>
              </w:rPr>
              <w:t xml:space="preserve">™ </w:t>
            </w:r>
            <w:r w:rsidRPr="00D521AC">
              <w:rPr>
                <w:rStyle w:val="A9"/>
                <w:rFonts w:cs="Arial"/>
                <w:b w:val="0"/>
                <w:sz w:val="20"/>
                <w:szCs w:val="20"/>
              </w:rPr>
              <w:t>Methotrexate</w:t>
            </w:r>
            <w:r w:rsidRPr="004D73B3">
              <w:rPr>
                <w:rStyle w:val="A9"/>
                <w:rFonts w:cs="Arial"/>
                <w:sz w:val="20"/>
                <w:szCs w:val="20"/>
              </w:rPr>
              <w:t xml:space="preserve"> </w:t>
            </w:r>
            <w:r w:rsidR="002754BF" w:rsidRPr="004D73B3">
              <w:rPr>
                <w:rFonts w:cs="Arial"/>
                <w:szCs w:val="20"/>
              </w:rPr>
              <w:t>Assay</w:t>
            </w:r>
            <w:r w:rsidRPr="004D73B3">
              <w:rPr>
                <w:rStyle w:val="A9"/>
                <w:rFonts w:cs="Arial"/>
                <w:sz w:val="20"/>
                <w:szCs w:val="20"/>
              </w:rPr>
              <w:t xml:space="preserve"> </w:t>
            </w:r>
            <w:r w:rsidR="002754BF" w:rsidRPr="004D73B3">
              <w:rPr>
                <w:rFonts w:cs="Arial"/>
                <w:szCs w:val="20"/>
              </w:rPr>
              <w:t>package</w:t>
            </w:r>
            <w:r w:rsidR="002754BF" w:rsidRPr="00D521AC">
              <w:rPr>
                <w:rStyle w:val="A9"/>
                <w:rFonts w:cs="Arial"/>
                <w:b w:val="0"/>
                <w:i w:val="0"/>
                <w:sz w:val="20"/>
                <w:szCs w:val="20"/>
              </w:rPr>
              <w:t xml:space="preserve"> </w:t>
            </w:r>
            <w:r w:rsidRPr="00D521AC">
              <w:rPr>
                <w:rStyle w:val="A9"/>
                <w:rFonts w:cs="Arial"/>
                <w:b w:val="0"/>
                <w:i w:val="0"/>
                <w:sz w:val="20"/>
                <w:szCs w:val="20"/>
              </w:rPr>
              <w:t>Insert</w:t>
            </w:r>
            <w:r w:rsidRPr="00D521AC">
              <w:rPr>
                <w:rFonts w:cs="Arial"/>
                <w:b/>
                <w:i/>
                <w:szCs w:val="20"/>
              </w:rPr>
              <w:t>,</w:t>
            </w:r>
            <w:r w:rsidRPr="004D73B3">
              <w:rPr>
                <w:rFonts w:cs="Arial"/>
                <w:szCs w:val="20"/>
              </w:rPr>
              <w:t xml:space="preserve"> </w:t>
            </w:r>
            <w:r w:rsidR="002754BF" w:rsidRPr="004D73B3">
              <w:rPr>
                <w:rFonts w:cs="Arial"/>
                <w:szCs w:val="20"/>
              </w:rPr>
              <w:t xml:space="preserve">Revised </w:t>
            </w:r>
            <w:r w:rsidR="001A0819">
              <w:rPr>
                <w:rFonts w:cs="Arial"/>
                <w:szCs w:val="20"/>
              </w:rPr>
              <w:t>August 2017,</w:t>
            </w:r>
            <w:r w:rsidR="004D73B3" w:rsidRPr="004D73B3">
              <w:rPr>
                <w:rFonts w:cs="Arial"/>
                <w:szCs w:val="20"/>
              </w:rPr>
              <w:t xml:space="preserve"> </w:t>
            </w:r>
            <w:r w:rsidR="001A0819">
              <w:rPr>
                <w:rFonts w:cs="Arial"/>
                <w:szCs w:val="20"/>
              </w:rPr>
              <w:t>1600-0213-00 Rev 07</w:t>
            </w:r>
            <w:r w:rsidR="004D73B3" w:rsidRPr="004D73B3">
              <w:rPr>
                <w:rFonts w:cs="Arial"/>
                <w:szCs w:val="20"/>
              </w:rPr>
              <w:t xml:space="preserve">, </w:t>
            </w:r>
            <w:r w:rsidRPr="004D73B3">
              <w:rPr>
                <w:rFonts w:cs="Arial"/>
                <w:szCs w:val="20"/>
              </w:rPr>
              <w:t xml:space="preserve">ARK Diagnostics, Inc., </w:t>
            </w:r>
            <w:r w:rsidRPr="004D73B3">
              <w:rPr>
                <w:rFonts w:cs="Arial"/>
                <w:color w:val="000000"/>
                <w:szCs w:val="20"/>
              </w:rPr>
              <w:t>48089 Fremont Blvd</w:t>
            </w:r>
            <w:r w:rsidRPr="004D73B3">
              <w:rPr>
                <w:rFonts w:cs="Arial"/>
                <w:szCs w:val="20"/>
              </w:rPr>
              <w:t xml:space="preserve">, </w:t>
            </w:r>
            <w:r w:rsidRPr="004D73B3">
              <w:rPr>
                <w:rFonts w:cs="Arial"/>
                <w:color w:val="000000"/>
                <w:szCs w:val="20"/>
              </w:rPr>
              <w:t xml:space="preserve">Fremont, CA 94538 USA Tel: 1-877-869-2320, Fax: 1-510-270-6298, </w:t>
            </w:r>
            <w:hyperlink r:id="rId18" w:history="1">
              <w:r w:rsidRPr="004D73B3">
                <w:rPr>
                  <w:rStyle w:val="Hyperlink"/>
                  <w:rFonts w:cs="Arial"/>
                  <w:szCs w:val="20"/>
                </w:rPr>
                <w:t>customersupport@ark-tdm.com</w:t>
              </w:r>
            </w:hyperlink>
            <w:r w:rsidRPr="004D73B3">
              <w:rPr>
                <w:rFonts w:cs="Arial"/>
                <w:color w:val="000000"/>
                <w:szCs w:val="20"/>
              </w:rPr>
              <w:t xml:space="preserve">, </w:t>
            </w:r>
            <w:r w:rsidRPr="004D73B3">
              <w:rPr>
                <w:rFonts w:cs="Arial"/>
                <w:szCs w:val="20"/>
              </w:rPr>
              <w:t>www.ark-tdm.com</w:t>
            </w:r>
          </w:p>
          <w:p w14:paraId="17CA1E6B" w14:textId="77777777" w:rsidR="00FF48DC" w:rsidRPr="004D73B3" w:rsidRDefault="00FF48DC" w:rsidP="00E268DC">
            <w:pPr>
              <w:numPr>
                <w:ilvl w:val="0"/>
                <w:numId w:val="44"/>
              </w:numPr>
              <w:autoSpaceDE w:val="0"/>
              <w:autoSpaceDN w:val="0"/>
              <w:adjustRightInd w:val="0"/>
              <w:spacing w:line="241" w:lineRule="atLeast"/>
              <w:jc w:val="both"/>
              <w:rPr>
                <w:rFonts w:cs="Arial"/>
                <w:color w:val="000000"/>
                <w:szCs w:val="20"/>
              </w:rPr>
            </w:pPr>
            <w:r w:rsidRPr="00D521AC">
              <w:rPr>
                <w:rFonts w:cs="Arial"/>
                <w:bCs/>
                <w:color w:val="000000"/>
                <w:szCs w:val="20"/>
              </w:rPr>
              <w:t>A</w:t>
            </w:r>
            <w:r w:rsidRPr="00D521AC">
              <w:rPr>
                <w:rStyle w:val="A9"/>
                <w:rFonts w:cs="Arial"/>
                <w:b w:val="0"/>
                <w:i w:val="0"/>
                <w:iCs w:val="0"/>
                <w:sz w:val="20"/>
                <w:szCs w:val="20"/>
              </w:rPr>
              <w:t>RK</w:t>
            </w:r>
            <w:r w:rsidRPr="00D521AC">
              <w:rPr>
                <w:rFonts w:cs="Arial"/>
                <w:b/>
                <w:i/>
                <w:color w:val="000000"/>
                <w:position w:val="9"/>
                <w:szCs w:val="20"/>
                <w:vertAlign w:val="superscript"/>
              </w:rPr>
              <w:t xml:space="preserve">™ </w:t>
            </w:r>
            <w:r w:rsidRPr="00D521AC">
              <w:rPr>
                <w:rStyle w:val="A9"/>
                <w:rFonts w:cs="Arial"/>
                <w:b w:val="0"/>
                <w:i w:val="0"/>
                <w:sz w:val="20"/>
                <w:szCs w:val="20"/>
              </w:rPr>
              <w:t>Methotrexate Calibrator Insert</w:t>
            </w:r>
            <w:r w:rsidRPr="004D73B3">
              <w:rPr>
                <w:rFonts w:cs="Arial"/>
                <w:szCs w:val="20"/>
              </w:rPr>
              <w:t xml:space="preserve">, </w:t>
            </w:r>
            <w:r w:rsidR="001A0819">
              <w:rPr>
                <w:rFonts w:cs="Arial"/>
                <w:szCs w:val="20"/>
              </w:rPr>
              <w:t xml:space="preserve">Revised February 2017, 1600-0214-00 Rev 05, </w:t>
            </w:r>
            <w:r w:rsidR="00882388" w:rsidRPr="004D73B3">
              <w:rPr>
                <w:rFonts w:cs="Arial"/>
                <w:szCs w:val="20"/>
              </w:rPr>
              <w:t xml:space="preserve">ARK Diagnostics, Inc., </w:t>
            </w:r>
            <w:r w:rsidRPr="004D73B3">
              <w:rPr>
                <w:rFonts w:cs="Arial"/>
                <w:color w:val="000000"/>
                <w:szCs w:val="20"/>
              </w:rPr>
              <w:t>48089 Fremont Blvd</w:t>
            </w:r>
            <w:r w:rsidR="00882388" w:rsidRPr="004D73B3">
              <w:rPr>
                <w:rFonts w:cs="Arial"/>
                <w:szCs w:val="20"/>
              </w:rPr>
              <w:t xml:space="preserve">, </w:t>
            </w:r>
            <w:r w:rsidRPr="004D73B3">
              <w:rPr>
                <w:rFonts w:cs="Arial"/>
                <w:color w:val="000000"/>
                <w:szCs w:val="20"/>
              </w:rPr>
              <w:t>Fremont, CA 94538 USA</w:t>
            </w:r>
            <w:r w:rsidR="00581D9B" w:rsidRPr="004D73B3">
              <w:rPr>
                <w:rFonts w:cs="Arial"/>
                <w:color w:val="000000"/>
                <w:szCs w:val="20"/>
              </w:rPr>
              <w:t xml:space="preserve"> Tel: 1-877-869-2320, Fax: 1-510-270-6298, </w:t>
            </w:r>
            <w:hyperlink r:id="rId19" w:history="1">
              <w:r w:rsidR="00581D9B" w:rsidRPr="004D73B3">
                <w:rPr>
                  <w:rStyle w:val="Hyperlink"/>
                  <w:rFonts w:cs="Arial"/>
                  <w:szCs w:val="20"/>
                </w:rPr>
                <w:t>customersupport@ark-tdm.com</w:t>
              </w:r>
            </w:hyperlink>
            <w:r w:rsidR="00581D9B" w:rsidRPr="004D73B3">
              <w:rPr>
                <w:rFonts w:cs="Arial"/>
                <w:color w:val="000000"/>
                <w:szCs w:val="20"/>
              </w:rPr>
              <w:t xml:space="preserve">, </w:t>
            </w:r>
            <w:r w:rsidR="00581D9B" w:rsidRPr="004D73B3">
              <w:rPr>
                <w:rFonts w:cs="Arial"/>
                <w:szCs w:val="20"/>
              </w:rPr>
              <w:t>www.ark-tdm.com</w:t>
            </w:r>
          </w:p>
          <w:p w14:paraId="17CA1E6C" w14:textId="77777777" w:rsidR="00882388" w:rsidRPr="00FD6DA1" w:rsidRDefault="004D73B3" w:rsidP="00E268DC">
            <w:pPr>
              <w:pStyle w:val="Default"/>
              <w:numPr>
                <w:ilvl w:val="0"/>
                <w:numId w:val="44"/>
              </w:numPr>
              <w:jc w:val="both"/>
              <w:rPr>
                <w:rFonts w:ascii="Arial Narrow" w:hAnsi="Arial Narrow" w:cs="Arial Narrow"/>
              </w:rPr>
            </w:pPr>
            <w:r w:rsidRPr="00D521AC">
              <w:rPr>
                <w:rFonts w:ascii="Arial" w:hAnsi="Arial" w:cs="Arial"/>
                <w:bCs/>
                <w:sz w:val="20"/>
                <w:szCs w:val="20"/>
              </w:rPr>
              <w:t>A</w:t>
            </w:r>
            <w:r w:rsidRPr="00D521AC">
              <w:rPr>
                <w:rStyle w:val="A9"/>
                <w:rFonts w:ascii="Arial" w:hAnsi="Arial" w:cs="Arial"/>
                <w:b w:val="0"/>
                <w:i w:val="0"/>
                <w:iCs w:val="0"/>
                <w:sz w:val="20"/>
                <w:szCs w:val="20"/>
              </w:rPr>
              <w:t>RK</w:t>
            </w:r>
            <w:r w:rsidRPr="00D521AC">
              <w:rPr>
                <w:rFonts w:ascii="Arial" w:hAnsi="Arial" w:cs="Arial"/>
                <w:b/>
                <w:i/>
                <w:position w:val="9"/>
                <w:sz w:val="20"/>
                <w:szCs w:val="20"/>
                <w:vertAlign w:val="superscript"/>
              </w:rPr>
              <w:t xml:space="preserve">™ </w:t>
            </w:r>
            <w:r w:rsidRPr="00D521AC">
              <w:rPr>
                <w:rStyle w:val="A9"/>
                <w:rFonts w:ascii="Arial" w:hAnsi="Arial" w:cs="Arial"/>
                <w:b w:val="0"/>
                <w:i w:val="0"/>
                <w:sz w:val="20"/>
                <w:szCs w:val="20"/>
              </w:rPr>
              <w:t>Methotrexate Control Package Insert</w:t>
            </w:r>
            <w:r w:rsidR="00581D9B" w:rsidRPr="004D73B3">
              <w:rPr>
                <w:rFonts w:ascii="Arial" w:hAnsi="Arial" w:cs="Arial"/>
                <w:sz w:val="20"/>
                <w:szCs w:val="20"/>
              </w:rPr>
              <w:t xml:space="preserve">, </w:t>
            </w:r>
            <w:r w:rsidR="001A0819">
              <w:rPr>
                <w:rFonts w:ascii="Arial" w:hAnsi="Arial" w:cs="Arial"/>
                <w:sz w:val="20"/>
                <w:szCs w:val="20"/>
              </w:rPr>
              <w:t>1600-0215-00 Rev 05</w:t>
            </w:r>
            <w:r w:rsidRPr="004D73B3">
              <w:rPr>
                <w:rFonts w:ascii="Arial" w:hAnsi="Arial" w:cs="Arial"/>
                <w:sz w:val="20"/>
                <w:szCs w:val="20"/>
              </w:rPr>
              <w:t xml:space="preserve"> , Revised </w:t>
            </w:r>
            <w:r w:rsidR="001A0819">
              <w:rPr>
                <w:rFonts w:ascii="Arial" w:hAnsi="Arial" w:cs="Arial"/>
                <w:sz w:val="20"/>
                <w:szCs w:val="20"/>
              </w:rPr>
              <w:t>February 2017</w:t>
            </w:r>
            <w:r w:rsidRPr="004D73B3">
              <w:rPr>
                <w:rFonts w:ascii="Arial" w:hAnsi="Arial" w:cs="Arial"/>
                <w:sz w:val="20"/>
                <w:szCs w:val="20"/>
              </w:rPr>
              <w:t xml:space="preserve">, ARK Diagnostics, Inc., </w:t>
            </w:r>
            <w:r w:rsidR="00581D9B" w:rsidRPr="004D73B3">
              <w:rPr>
                <w:rFonts w:ascii="Arial" w:hAnsi="Arial" w:cs="Arial"/>
                <w:sz w:val="20"/>
                <w:szCs w:val="20"/>
              </w:rPr>
              <w:t xml:space="preserve">48089 Fremont Blvd, Fremont, CA 94538 USA Tel: 1-877-869-2320, Fax: 1-510-270-6298, </w:t>
            </w:r>
            <w:hyperlink r:id="rId20" w:history="1">
              <w:r w:rsidR="00581D9B" w:rsidRPr="004D73B3">
                <w:rPr>
                  <w:rStyle w:val="Hyperlink"/>
                  <w:rFonts w:ascii="Arial" w:hAnsi="Arial" w:cs="Arial"/>
                  <w:sz w:val="20"/>
                  <w:szCs w:val="20"/>
                </w:rPr>
                <w:t>customersupport@ark-tdm.com</w:t>
              </w:r>
            </w:hyperlink>
            <w:r w:rsidR="00581D9B" w:rsidRPr="004D73B3">
              <w:rPr>
                <w:rFonts w:ascii="Arial" w:hAnsi="Arial" w:cs="Arial"/>
                <w:sz w:val="20"/>
                <w:szCs w:val="20"/>
              </w:rPr>
              <w:t xml:space="preserve">, </w:t>
            </w:r>
            <w:hyperlink r:id="rId21" w:history="1">
              <w:r w:rsidR="00FD6DA1" w:rsidRPr="005C3717">
                <w:rPr>
                  <w:rStyle w:val="Hyperlink"/>
                  <w:rFonts w:ascii="Arial" w:hAnsi="Arial" w:cs="Arial"/>
                  <w:sz w:val="20"/>
                  <w:szCs w:val="20"/>
                </w:rPr>
                <w:t>www.ark-tdm.com</w:t>
              </w:r>
            </w:hyperlink>
          </w:p>
          <w:p w14:paraId="7E2F4B45" w14:textId="77777777" w:rsidR="00FD6DA1" w:rsidRPr="00846825" w:rsidRDefault="00FD6DA1" w:rsidP="00E268DC">
            <w:pPr>
              <w:pStyle w:val="Default"/>
              <w:numPr>
                <w:ilvl w:val="0"/>
                <w:numId w:val="44"/>
              </w:numPr>
              <w:jc w:val="both"/>
              <w:rPr>
                <w:rFonts w:ascii="Arial Narrow" w:hAnsi="Arial Narrow" w:cs="Arial Narrow"/>
              </w:rPr>
            </w:pPr>
            <w:r>
              <w:rPr>
                <w:rFonts w:ascii="Arial" w:hAnsi="Arial" w:cs="Arial"/>
                <w:sz w:val="20"/>
                <w:szCs w:val="20"/>
              </w:rPr>
              <w:t xml:space="preserve">Jacobs &amp; DeMott Laboratory Test Handbook, </w:t>
            </w:r>
            <w:r w:rsidR="0083216A">
              <w:rPr>
                <w:rFonts w:ascii="Arial" w:hAnsi="Arial" w:cs="Arial"/>
                <w:sz w:val="20"/>
                <w:szCs w:val="20"/>
              </w:rPr>
              <w:t>5</w:t>
            </w:r>
            <w:r w:rsidR="0083216A" w:rsidRPr="0083216A">
              <w:rPr>
                <w:rFonts w:ascii="Arial" w:hAnsi="Arial" w:cs="Arial"/>
                <w:sz w:val="20"/>
                <w:szCs w:val="20"/>
                <w:vertAlign w:val="superscript"/>
              </w:rPr>
              <w:t>th</w:t>
            </w:r>
            <w:r w:rsidR="0083216A">
              <w:rPr>
                <w:rFonts w:ascii="Arial" w:hAnsi="Arial" w:cs="Arial"/>
                <w:sz w:val="20"/>
                <w:szCs w:val="20"/>
              </w:rPr>
              <w:t xml:space="preserve"> Edition, Lexi-Comp, Inc., Hudson, OH, 2001</w:t>
            </w:r>
          </w:p>
          <w:p w14:paraId="17CA1E6D" w14:textId="6F0F1B51" w:rsidR="00846825" w:rsidRPr="00E268DC" w:rsidRDefault="00732A93" w:rsidP="00E268DC">
            <w:pPr>
              <w:pStyle w:val="Default"/>
              <w:numPr>
                <w:ilvl w:val="0"/>
                <w:numId w:val="44"/>
              </w:numPr>
              <w:jc w:val="both"/>
              <w:rPr>
                <w:rFonts w:ascii="Arial Narrow" w:hAnsi="Arial Narrow" w:cs="Arial Narrow"/>
              </w:rPr>
            </w:pPr>
            <w:hyperlink r:id="rId22" w:history="1">
              <w:r w:rsidRPr="00732A93">
                <w:rPr>
                  <w:rStyle w:val="Hyperlink"/>
                  <w:rFonts w:ascii="Arial" w:hAnsi="Arial" w:cs="Arial"/>
                  <w:sz w:val="20"/>
                  <w:szCs w:val="20"/>
                </w:rPr>
                <w:t>Abbott Alinity ci-series Operations Manual</w:t>
              </w:r>
            </w:hyperlink>
            <w:bookmarkStart w:id="0" w:name="_GoBack"/>
            <w:bookmarkEnd w:id="0"/>
          </w:p>
        </w:tc>
      </w:tr>
      <w:tr w:rsidR="00585A2E" w14:paraId="17CA1EC7" w14:textId="77777777" w:rsidTr="00AD6032">
        <w:tblPrEx>
          <w:tblBorders>
            <w:bottom w:val="single" w:sz="4" w:space="0" w:color="auto"/>
          </w:tblBorders>
        </w:tblPrEx>
        <w:trPr>
          <w:gridAfter w:val="1"/>
          <w:wAfter w:w="16" w:type="dxa"/>
          <w:cantSplit/>
          <w:trHeight w:val="109"/>
        </w:trPr>
        <w:tc>
          <w:tcPr>
            <w:tcW w:w="1803" w:type="dxa"/>
            <w:tcBorders>
              <w:left w:val="nil"/>
              <w:right w:val="nil"/>
            </w:tcBorders>
          </w:tcPr>
          <w:p w14:paraId="17CA1EC5" w14:textId="77777777" w:rsidR="00585A2E" w:rsidRDefault="00585A2E">
            <w:pPr>
              <w:rPr>
                <w:rFonts w:cs="Arial"/>
                <w:b/>
                <w:bCs/>
                <w:color w:val="0000FF"/>
              </w:rPr>
            </w:pPr>
          </w:p>
        </w:tc>
        <w:tc>
          <w:tcPr>
            <w:tcW w:w="9188" w:type="dxa"/>
            <w:gridSpan w:val="9"/>
            <w:tcBorders>
              <w:top w:val="single" w:sz="18" w:space="0" w:color="A6A6A6" w:themeColor="background1" w:themeShade="A6"/>
              <w:left w:val="nil"/>
              <w:bottom w:val="single" w:sz="4" w:space="0" w:color="auto"/>
              <w:right w:val="nil"/>
            </w:tcBorders>
          </w:tcPr>
          <w:p w14:paraId="17CA1EC6" w14:textId="77777777" w:rsidR="00E268DC" w:rsidRDefault="00E268DC">
            <w:pPr>
              <w:rPr>
                <w:rFonts w:cs="Arial"/>
                <w:b/>
                <w:bCs/>
                <w:iCs/>
              </w:rPr>
            </w:pPr>
          </w:p>
        </w:tc>
      </w:tr>
      <w:tr w:rsidR="00E93DD3" w14:paraId="17CA1ECD" w14:textId="77777777" w:rsidTr="00AD6032">
        <w:tblPrEx>
          <w:tblBorders>
            <w:bottom w:val="single" w:sz="4" w:space="0" w:color="auto"/>
          </w:tblBorders>
        </w:tblPrEx>
        <w:trPr>
          <w:gridAfter w:val="1"/>
          <w:wAfter w:w="16" w:type="dxa"/>
          <w:cantSplit/>
          <w:trHeight w:val="109"/>
        </w:trPr>
        <w:tc>
          <w:tcPr>
            <w:tcW w:w="1803" w:type="dxa"/>
            <w:vMerge w:val="restart"/>
            <w:tcBorders>
              <w:left w:val="nil"/>
              <w:right w:val="single" w:sz="4" w:space="0" w:color="auto"/>
            </w:tcBorders>
          </w:tcPr>
          <w:p w14:paraId="17CA1EC8" w14:textId="77777777" w:rsidR="00E93DD3" w:rsidRDefault="00E93DD3">
            <w:pPr>
              <w:rPr>
                <w:rFonts w:cs="Arial"/>
                <w:b/>
                <w:bCs/>
                <w:color w:val="3366FF"/>
              </w:rPr>
            </w:pPr>
            <w:r>
              <w:rPr>
                <w:rFonts w:cs="Arial"/>
                <w:b/>
                <w:bCs/>
                <w:color w:val="0000FF"/>
              </w:rPr>
              <w:t>Historical Record</w:t>
            </w:r>
          </w:p>
        </w:tc>
        <w:tc>
          <w:tcPr>
            <w:tcW w:w="1441" w:type="dxa"/>
            <w:gridSpan w:val="4"/>
            <w:tcBorders>
              <w:top w:val="single" w:sz="4" w:space="0" w:color="auto"/>
              <w:left w:val="single" w:sz="4" w:space="0" w:color="auto"/>
              <w:bottom w:val="single" w:sz="4" w:space="0" w:color="auto"/>
              <w:right w:val="single" w:sz="4" w:space="0" w:color="auto"/>
            </w:tcBorders>
          </w:tcPr>
          <w:p w14:paraId="17CA1EC9" w14:textId="77777777" w:rsidR="00E93DD3" w:rsidRDefault="00E93DD3">
            <w:pPr>
              <w:rPr>
                <w:rFonts w:cs="Arial"/>
                <w:b/>
                <w:bCs/>
              </w:rPr>
            </w:pPr>
            <w:r>
              <w:rPr>
                <w:rFonts w:cs="Arial"/>
                <w:b/>
                <w:bCs/>
              </w:rPr>
              <w:t>Version</w:t>
            </w:r>
          </w:p>
        </w:tc>
        <w:tc>
          <w:tcPr>
            <w:tcW w:w="2342" w:type="dxa"/>
            <w:gridSpan w:val="3"/>
            <w:tcBorders>
              <w:top w:val="single" w:sz="4" w:space="0" w:color="auto"/>
              <w:left w:val="single" w:sz="4" w:space="0" w:color="auto"/>
              <w:bottom w:val="single" w:sz="4" w:space="0" w:color="auto"/>
              <w:right w:val="single" w:sz="4" w:space="0" w:color="auto"/>
            </w:tcBorders>
          </w:tcPr>
          <w:p w14:paraId="17CA1ECA" w14:textId="77777777" w:rsidR="00E93DD3" w:rsidRDefault="00E93DD3">
            <w:pPr>
              <w:rPr>
                <w:rFonts w:cs="Arial"/>
                <w:b/>
                <w:bCs/>
                <w:iCs/>
              </w:rPr>
            </w:pPr>
            <w:r>
              <w:rPr>
                <w:rFonts w:cs="Arial"/>
                <w:b/>
                <w:bCs/>
                <w:iCs/>
              </w:rPr>
              <w:t>Written/Revised by:</w:t>
            </w:r>
          </w:p>
        </w:tc>
        <w:tc>
          <w:tcPr>
            <w:tcW w:w="1802" w:type="dxa"/>
            <w:tcBorders>
              <w:top w:val="single" w:sz="4" w:space="0" w:color="auto"/>
              <w:left w:val="single" w:sz="4" w:space="0" w:color="auto"/>
              <w:bottom w:val="single" w:sz="4" w:space="0" w:color="auto"/>
              <w:right w:val="single" w:sz="4" w:space="0" w:color="auto"/>
            </w:tcBorders>
          </w:tcPr>
          <w:p w14:paraId="17CA1ECB" w14:textId="77777777" w:rsidR="00E93DD3" w:rsidRDefault="00E93DD3">
            <w:pPr>
              <w:rPr>
                <w:rFonts w:cs="Arial"/>
                <w:b/>
                <w:bCs/>
                <w:iCs/>
              </w:rPr>
            </w:pPr>
            <w:r>
              <w:rPr>
                <w:rFonts w:cs="Arial"/>
                <w:b/>
                <w:bCs/>
                <w:iCs/>
              </w:rPr>
              <w:t>Effective Date:</w:t>
            </w:r>
          </w:p>
        </w:tc>
        <w:tc>
          <w:tcPr>
            <w:tcW w:w="3603" w:type="dxa"/>
            <w:tcBorders>
              <w:top w:val="single" w:sz="4" w:space="0" w:color="auto"/>
              <w:left w:val="single" w:sz="4" w:space="0" w:color="auto"/>
              <w:bottom w:val="single" w:sz="4" w:space="0" w:color="auto"/>
              <w:right w:val="single" w:sz="4" w:space="0" w:color="auto"/>
            </w:tcBorders>
          </w:tcPr>
          <w:p w14:paraId="17CA1ECC" w14:textId="77777777" w:rsidR="00E93DD3" w:rsidRDefault="00E93DD3">
            <w:pPr>
              <w:rPr>
                <w:rFonts w:cs="Arial"/>
                <w:b/>
                <w:bCs/>
                <w:iCs/>
              </w:rPr>
            </w:pPr>
            <w:r>
              <w:rPr>
                <w:rFonts w:cs="Arial"/>
                <w:b/>
                <w:bCs/>
                <w:iCs/>
              </w:rPr>
              <w:t>Summary of Revisions</w:t>
            </w:r>
          </w:p>
        </w:tc>
      </w:tr>
      <w:tr w:rsidR="00E93DD3" w14:paraId="17CA1ED3" w14:textId="77777777" w:rsidTr="00AD6032">
        <w:tblPrEx>
          <w:tblBorders>
            <w:bottom w:val="single" w:sz="4" w:space="0" w:color="auto"/>
          </w:tblBorders>
        </w:tblPrEx>
        <w:trPr>
          <w:gridAfter w:val="1"/>
          <w:wAfter w:w="16" w:type="dxa"/>
          <w:cantSplit/>
          <w:trHeight w:val="65"/>
        </w:trPr>
        <w:tc>
          <w:tcPr>
            <w:tcW w:w="1803" w:type="dxa"/>
            <w:vMerge/>
            <w:tcBorders>
              <w:left w:val="nil"/>
              <w:right w:val="single" w:sz="4" w:space="0" w:color="auto"/>
            </w:tcBorders>
          </w:tcPr>
          <w:p w14:paraId="17CA1ECE" w14:textId="77777777" w:rsidR="00E93DD3" w:rsidRDefault="00E93DD3">
            <w:pPr>
              <w:rPr>
                <w:rFonts w:cs="Arial"/>
                <w:b/>
                <w:bCs/>
                <w:color w:val="3366FF"/>
              </w:rPr>
            </w:pPr>
          </w:p>
        </w:tc>
        <w:tc>
          <w:tcPr>
            <w:tcW w:w="1441" w:type="dxa"/>
            <w:gridSpan w:val="4"/>
            <w:tcBorders>
              <w:top w:val="single" w:sz="4" w:space="0" w:color="auto"/>
              <w:left w:val="single" w:sz="4" w:space="0" w:color="auto"/>
              <w:bottom w:val="single" w:sz="4" w:space="0" w:color="auto"/>
              <w:right w:val="single" w:sz="4" w:space="0" w:color="auto"/>
            </w:tcBorders>
          </w:tcPr>
          <w:p w14:paraId="17CA1ECF" w14:textId="77777777" w:rsidR="00E93DD3" w:rsidRDefault="00E93DD3" w:rsidP="0033496E">
            <w:pPr>
              <w:numPr>
                <w:ilvl w:val="0"/>
                <w:numId w:val="28"/>
              </w:numPr>
              <w:rPr>
                <w:rFonts w:cs="Arial"/>
              </w:rPr>
            </w:pPr>
          </w:p>
        </w:tc>
        <w:tc>
          <w:tcPr>
            <w:tcW w:w="2342" w:type="dxa"/>
            <w:gridSpan w:val="3"/>
            <w:tcBorders>
              <w:top w:val="single" w:sz="4" w:space="0" w:color="auto"/>
              <w:left w:val="single" w:sz="4" w:space="0" w:color="auto"/>
              <w:bottom w:val="single" w:sz="4" w:space="0" w:color="auto"/>
              <w:right w:val="single" w:sz="4" w:space="0" w:color="auto"/>
            </w:tcBorders>
          </w:tcPr>
          <w:p w14:paraId="17CA1ED0" w14:textId="52641709" w:rsidR="00E93DD3" w:rsidRDefault="00846825">
            <w:pPr>
              <w:rPr>
                <w:rFonts w:cs="Arial"/>
                <w:iCs/>
              </w:rPr>
            </w:pPr>
            <w:r>
              <w:rPr>
                <w:rFonts w:cs="Arial"/>
                <w:iCs/>
              </w:rPr>
              <w:t>Erin Bartos</w:t>
            </w:r>
          </w:p>
        </w:tc>
        <w:tc>
          <w:tcPr>
            <w:tcW w:w="1802" w:type="dxa"/>
            <w:tcBorders>
              <w:top w:val="single" w:sz="4" w:space="0" w:color="auto"/>
              <w:left w:val="single" w:sz="4" w:space="0" w:color="auto"/>
              <w:bottom w:val="single" w:sz="4" w:space="0" w:color="auto"/>
              <w:right w:val="single" w:sz="4" w:space="0" w:color="auto"/>
            </w:tcBorders>
          </w:tcPr>
          <w:p w14:paraId="17CA1ED1" w14:textId="3B2A012A" w:rsidR="00E93DD3" w:rsidRDefault="00846825">
            <w:pPr>
              <w:rPr>
                <w:rFonts w:cs="Arial"/>
                <w:iCs/>
              </w:rPr>
            </w:pPr>
            <w:r>
              <w:rPr>
                <w:rFonts w:cs="Arial"/>
                <w:iCs/>
              </w:rPr>
              <w:t>10/28/2020</w:t>
            </w:r>
          </w:p>
        </w:tc>
        <w:tc>
          <w:tcPr>
            <w:tcW w:w="3603" w:type="dxa"/>
            <w:tcBorders>
              <w:top w:val="single" w:sz="4" w:space="0" w:color="auto"/>
              <w:left w:val="single" w:sz="4" w:space="0" w:color="auto"/>
              <w:bottom w:val="single" w:sz="4" w:space="0" w:color="auto"/>
              <w:right w:val="single" w:sz="4" w:space="0" w:color="auto"/>
            </w:tcBorders>
          </w:tcPr>
          <w:p w14:paraId="17CA1ED2" w14:textId="557B81CC" w:rsidR="00E93DD3" w:rsidRDefault="00E93DD3" w:rsidP="00D521AC">
            <w:pPr>
              <w:rPr>
                <w:rFonts w:cs="Arial"/>
                <w:iCs/>
              </w:rPr>
            </w:pPr>
            <w:r>
              <w:rPr>
                <w:rFonts w:cs="Arial"/>
                <w:iCs/>
              </w:rPr>
              <w:t xml:space="preserve">New </w:t>
            </w:r>
            <w:r w:rsidR="00D521AC">
              <w:rPr>
                <w:rFonts w:cs="Arial"/>
                <w:iCs/>
              </w:rPr>
              <w:t>method</w:t>
            </w:r>
            <w:r w:rsidR="00846825">
              <w:rPr>
                <w:rFonts w:cs="Arial"/>
                <w:iCs/>
              </w:rPr>
              <w:t xml:space="preserve"> on Abbott Alinity</w:t>
            </w:r>
          </w:p>
        </w:tc>
      </w:tr>
      <w:tr w:rsidR="00E93DD3" w14:paraId="17CA1EEE" w14:textId="77777777" w:rsidTr="00AD6032">
        <w:tblPrEx>
          <w:tblBorders>
            <w:bottom w:val="single" w:sz="4" w:space="0" w:color="auto"/>
          </w:tblBorders>
        </w:tblPrEx>
        <w:trPr>
          <w:gridAfter w:val="1"/>
          <w:wAfter w:w="16" w:type="dxa"/>
          <w:cantSplit/>
          <w:trHeight w:val="123"/>
        </w:trPr>
        <w:tc>
          <w:tcPr>
            <w:tcW w:w="1803" w:type="dxa"/>
            <w:vMerge/>
            <w:tcBorders>
              <w:left w:val="nil"/>
              <w:bottom w:val="nil"/>
              <w:right w:val="nil"/>
            </w:tcBorders>
          </w:tcPr>
          <w:p w14:paraId="17CA1EEC" w14:textId="77777777" w:rsidR="00E93DD3" w:rsidRDefault="00E93DD3">
            <w:pPr>
              <w:rPr>
                <w:rFonts w:cs="Arial"/>
                <w:b/>
                <w:bCs/>
                <w:color w:val="3366FF"/>
              </w:rPr>
            </w:pPr>
          </w:p>
        </w:tc>
        <w:tc>
          <w:tcPr>
            <w:tcW w:w="9188" w:type="dxa"/>
            <w:gridSpan w:val="9"/>
            <w:tcBorders>
              <w:top w:val="single" w:sz="4" w:space="0" w:color="auto"/>
              <w:left w:val="nil"/>
              <w:bottom w:val="single" w:sz="18" w:space="0" w:color="A6A6A6" w:themeColor="background1" w:themeShade="A6"/>
              <w:right w:val="nil"/>
            </w:tcBorders>
          </w:tcPr>
          <w:p w14:paraId="17CA1EED" w14:textId="77777777" w:rsidR="00DF7C08" w:rsidRDefault="00DF7C08">
            <w:pPr>
              <w:rPr>
                <w:rFonts w:cs="Arial"/>
                <w:iCs/>
              </w:rPr>
            </w:pPr>
          </w:p>
        </w:tc>
      </w:tr>
    </w:tbl>
    <w:p w14:paraId="17CA1EEF" w14:textId="77777777" w:rsidR="00DF7C08" w:rsidRDefault="00DF7C08" w:rsidP="00BA375F">
      <w:pPr>
        <w:rPr>
          <w:rFonts w:cs="Arial"/>
          <w:b/>
          <w:bCs/>
        </w:rPr>
      </w:pPr>
    </w:p>
    <w:sectPr w:rsidR="00DF7C08" w:rsidSect="0086610F">
      <w:headerReference w:type="default" r:id="rId23"/>
      <w:footerReference w:type="default" r:id="rId24"/>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A1F04" w14:textId="77777777" w:rsidR="006B3B06" w:rsidRDefault="006B3B06">
      <w:r>
        <w:separator/>
      </w:r>
    </w:p>
  </w:endnote>
  <w:endnote w:type="continuationSeparator" w:id="0">
    <w:p w14:paraId="17CA1F05" w14:textId="77777777" w:rsidR="006B3B06" w:rsidRDefault="006B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1F0A" w14:textId="77777777" w:rsidR="006B3B06" w:rsidRPr="00FF7BA7" w:rsidRDefault="006B3B06" w:rsidP="00FF7BA7">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Page </w:t>
    </w:r>
    <w:r>
      <w:rPr>
        <w:rFonts w:cs="Arial"/>
        <w:sz w:val="16"/>
      </w:rPr>
      <w:fldChar w:fldCharType="begin"/>
    </w:r>
    <w:r>
      <w:rPr>
        <w:rFonts w:cs="Arial"/>
        <w:sz w:val="16"/>
      </w:rPr>
      <w:instrText xml:space="preserve"> PAGE </w:instrText>
    </w:r>
    <w:r>
      <w:rPr>
        <w:rFonts w:cs="Arial"/>
        <w:sz w:val="16"/>
      </w:rPr>
      <w:fldChar w:fldCharType="separate"/>
    </w:r>
    <w:r w:rsidR="0044657D">
      <w:rPr>
        <w:rFonts w:cs="Arial"/>
        <w:noProof/>
        <w:sz w:val="16"/>
      </w:rPr>
      <w:t>6</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44657D">
      <w:rPr>
        <w:rFonts w:cs="Arial"/>
        <w:noProof/>
        <w:sz w:val="16"/>
      </w:rPr>
      <w:t>8</w:t>
    </w:r>
    <w:r>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A1F02" w14:textId="77777777" w:rsidR="006B3B06" w:rsidRDefault="006B3B06">
      <w:r>
        <w:separator/>
      </w:r>
    </w:p>
  </w:footnote>
  <w:footnote w:type="continuationSeparator" w:id="0">
    <w:p w14:paraId="17CA1F03" w14:textId="77777777" w:rsidR="006B3B06" w:rsidRDefault="006B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1F06" w14:textId="01A13DFB" w:rsidR="006B3B06" w:rsidRDefault="006B3B06" w:rsidP="007E3753">
    <w:pPr>
      <w:ind w:left="-1260" w:right="-1260"/>
      <w:rPr>
        <w:rFonts w:cs="Arial"/>
        <w:sz w:val="18"/>
      </w:rPr>
    </w:pPr>
    <w:r>
      <w:rPr>
        <w:rFonts w:cs="Arial"/>
        <w:noProof/>
      </w:rPr>
      <w:drawing>
        <wp:anchor distT="0" distB="0" distL="114300" distR="114300" simplePos="0" relativeHeight="251658752" behindDoc="0" locked="0" layoutInCell="1" allowOverlap="1" wp14:anchorId="17CA1F0B" wp14:editId="17CA1F0C">
          <wp:simplePos x="0" y="0"/>
          <wp:positionH relativeFrom="column">
            <wp:posOffset>5165725</wp:posOffset>
          </wp:positionH>
          <wp:positionV relativeFrom="paragraph">
            <wp:posOffset>0</wp:posOffset>
          </wp:positionV>
          <wp:extent cx="1078865" cy="348615"/>
          <wp:effectExtent l="19050" t="0" r="6985" b="0"/>
          <wp:wrapNone/>
          <wp:docPr id="6" name="Picture 6"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s_MN_2015_logo_RGB_of_PMS280-PMS2925_800x257"/>
                  <pic:cNvPicPr>
                    <a:picLocks noChangeAspect="1" noChangeArrowheads="1"/>
                  </pic:cNvPicPr>
                </pic:nvPicPr>
                <pic:blipFill>
                  <a:blip r:embed="rId1"/>
                  <a:srcRect/>
                  <a:stretch>
                    <a:fillRect/>
                  </a:stretch>
                </pic:blipFill>
                <pic:spPr bwMode="auto">
                  <a:xfrm>
                    <a:off x="0" y="0"/>
                    <a:ext cx="1078865" cy="348615"/>
                  </a:xfrm>
                  <a:prstGeom prst="rect">
                    <a:avLst/>
                  </a:prstGeom>
                  <a:noFill/>
                </pic:spPr>
              </pic:pic>
            </a:graphicData>
          </a:graphic>
        </wp:anchor>
      </w:drawing>
    </w:r>
    <w:r>
      <w:rPr>
        <w:rFonts w:cs="Arial"/>
        <w:sz w:val="18"/>
      </w:rPr>
      <w:t>CH 6.1111 Methotrexate</w:t>
    </w:r>
  </w:p>
  <w:p w14:paraId="17CA1F07" w14:textId="4A480A8C" w:rsidR="006B3B06" w:rsidRDefault="006B3B06">
    <w:pPr>
      <w:ind w:left="-1260" w:right="-1260"/>
      <w:rPr>
        <w:rFonts w:cs="Arial"/>
        <w:sz w:val="18"/>
      </w:rPr>
    </w:pPr>
    <w:r>
      <w:rPr>
        <w:rFonts w:cs="Arial"/>
        <w:sz w:val="18"/>
      </w:rPr>
      <w:t>Version 1</w:t>
    </w:r>
  </w:p>
  <w:p w14:paraId="17CA1F08" w14:textId="19F4777A" w:rsidR="006B3B06" w:rsidRDefault="006B3B06">
    <w:pPr>
      <w:ind w:left="-1260" w:right="-1260"/>
      <w:rPr>
        <w:rFonts w:cs="Arial"/>
        <w:sz w:val="18"/>
      </w:rPr>
    </w:pPr>
    <w:r>
      <w:rPr>
        <w:rFonts w:cs="Arial"/>
        <w:sz w:val="18"/>
      </w:rPr>
      <w:t>Effective Date: October 28, 2020</w:t>
    </w:r>
  </w:p>
  <w:p w14:paraId="17CA1F09" w14:textId="77777777" w:rsidR="006B3B06" w:rsidRDefault="006B3B06">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48B"/>
    <w:multiLevelType w:val="hybridMultilevel"/>
    <w:tmpl w:val="5838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B5B15"/>
    <w:multiLevelType w:val="hybridMultilevel"/>
    <w:tmpl w:val="7DE082DE"/>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D629E0"/>
    <w:multiLevelType w:val="hybridMultilevel"/>
    <w:tmpl w:val="4B8A5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735EC"/>
    <w:multiLevelType w:val="hybridMultilevel"/>
    <w:tmpl w:val="B83A2DA6"/>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CCD56CC"/>
    <w:multiLevelType w:val="hybridMultilevel"/>
    <w:tmpl w:val="B9987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1FD51BA"/>
    <w:multiLevelType w:val="hybridMultilevel"/>
    <w:tmpl w:val="4BC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E33149"/>
    <w:multiLevelType w:val="hybridMultilevel"/>
    <w:tmpl w:val="0F78C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43626"/>
    <w:multiLevelType w:val="multilevel"/>
    <w:tmpl w:val="108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629AB"/>
    <w:multiLevelType w:val="hybridMultilevel"/>
    <w:tmpl w:val="A9FC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B0F37"/>
    <w:multiLevelType w:val="hybridMultilevel"/>
    <w:tmpl w:val="D7C0A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075893"/>
    <w:multiLevelType w:val="hybridMultilevel"/>
    <w:tmpl w:val="FFE6D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30913"/>
    <w:multiLevelType w:val="hybridMultilevel"/>
    <w:tmpl w:val="6C92A9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A0EE3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E214F4"/>
    <w:multiLevelType w:val="hybridMultilevel"/>
    <w:tmpl w:val="02F85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B93988"/>
    <w:multiLevelType w:val="hybridMultilevel"/>
    <w:tmpl w:val="A550728A"/>
    <w:lvl w:ilvl="0" w:tplc="8B628F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37C52B8"/>
    <w:multiLevelType w:val="hybridMultilevel"/>
    <w:tmpl w:val="2C7A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06B36"/>
    <w:multiLevelType w:val="hybridMultilevel"/>
    <w:tmpl w:val="9EF6E28E"/>
    <w:lvl w:ilvl="0" w:tplc="28AA52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80B92"/>
    <w:multiLevelType w:val="hybridMultilevel"/>
    <w:tmpl w:val="3F16C054"/>
    <w:lvl w:ilvl="0" w:tplc="767E31E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D38B5"/>
    <w:multiLevelType w:val="hybridMultilevel"/>
    <w:tmpl w:val="15D88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B5757D"/>
    <w:multiLevelType w:val="hybridMultilevel"/>
    <w:tmpl w:val="358EF49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53FAE"/>
    <w:multiLevelType w:val="hybridMultilevel"/>
    <w:tmpl w:val="681A3B26"/>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7609B"/>
    <w:multiLevelType w:val="hybridMultilevel"/>
    <w:tmpl w:val="442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40DBA"/>
    <w:multiLevelType w:val="hybridMultilevel"/>
    <w:tmpl w:val="898C59CA"/>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6177"/>
    <w:multiLevelType w:val="hybridMultilevel"/>
    <w:tmpl w:val="5A3892E6"/>
    <w:lvl w:ilvl="0" w:tplc="767E31E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FC647B"/>
    <w:multiLevelType w:val="hybridMultilevel"/>
    <w:tmpl w:val="B9987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6504C7"/>
    <w:multiLevelType w:val="multilevel"/>
    <w:tmpl w:val="03A4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6451A"/>
    <w:multiLevelType w:val="hybridMultilevel"/>
    <w:tmpl w:val="759A0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9562E"/>
    <w:multiLevelType w:val="hybridMultilevel"/>
    <w:tmpl w:val="CE540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440DCA"/>
    <w:multiLevelType w:val="hybridMultilevel"/>
    <w:tmpl w:val="816ED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308C4"/>
    <w:multiLevelType w:val="hybridMultilevel"/>
    <w:tmpl w:val="04BE4BF6"/>
    <w:lvl w:ilvl="0" w:tplc="28AA5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AD3B4A"/>
    <w:multiLevelType w:val="hybridMultilevel"/>
    <w:tmpl w:val="8D5EEB7C"/>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D5E17"/>
    <w:multiLevelType w:val="hybridMultilevel"/>
    <w:tmpl w:val="7410EF7A"/>
    <w:lvl w:ilvl="0" w:tplc="28AA5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57611F7"/>
    <w:multiLevelType w:val="hybridMultilevel"/>
    <w:tmpl w:val="A2FAC674"/>
    <w:lvl w:ilvl="0" w:tplc="9938A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067D9"/>
    <w:multiLevelType w:val="hybridMultilevel"/>
    <w:tmpl w:val="7370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23CD5"/>
    <w:multiLevelType w:val="hybridMultilevel"/>
    <w:tmpl w:val="0950BA58"/>
    <w:lvl w:ilvl="0" w:tplc="EB5A5A7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4"/>
  </w:num>
  <w:num w:numId="3">
    <w:abstractNumId w:val="37"/>
  </w:num>
  <w:num w:numId="4">
    <w:abstractNumId w:val="36"/>
  </w:num>
  <w:num w:numId="5">
    <w:abstractNumId w:val="38"/>
  </w:num>
  <w:num w:numId="6">
    <w:abstractNumId w:val="33"/>
  </w:num>
  <w:num w:numId="7">
    <w:abstractNumId w:val="20"/>
  </w:num>
  <w:num w:numId="8">
    <w:abstractNumId w:val="28"/>
  </w:num>
  <w:num w:numId="9">
    <w:abstractNumId w:val="5"/>
  </w:num>
  <w:num w:numId="10">
    <w:abstractNumId w:val="43"/>
  </w:num>
  <w:num w:numId="11">
    <w:abstractNumId w:val="16"/>
  </w:num>
  <w:num w:numId="12">
    <w:abstractNumId w:val="32"/>
  </w:num>
  <w:num w:numId="13">
    <w:abstractNumId w:val="7"/>
  </w:num>
  <w:num w:numId="14">
    <w:abstractNumId w:val="22"/>
  </w:num>
  <w:num w:numId="15">
    <w:abstractNumId w:val="29"/>
  </w:num>
  <w:num w:numId="16">
    <w:abstractNumId w:val="23"/>
  </w:num>
  <w:num w:numId="17">
    <w:abstractNumId w:val="40"/>
  </w:num>
  <w:num w:numId="18">
    <w:abstractNumId w:val="1"/>
  </w:num>
  <w:num w:numId="19">
    <w:abstractNumId w:val="3"/>
  </w:num>
  <w:num w:numId="20">
    <w:abstractNumId w:val="30"/>
  </w:num>
  <w:num w:numId="21">
    <w:abstractNumId w:val="8"/>
  </w:num>
  <w:num w:numId="22">
    <w:abstractNumId w:val="41"/>
  </w:num>
  <w:num w:numId="23">
    <w:abstractNumId w:val="19"/>
  </w:num>
  <w:num w:numId="24">
    <w:abstractNumId w:val="39"/>
  </w:num>
  <w:num w:numId="25">
    <w:abstractNumId w:val="12"/>
  </w:num>
  <w:num w:numId="26">
    <w:abstractNumId w:val="0"/>
  </w:num>
  <w:num w:numId="27">
    <w:abstractNumId w:val="9"/>
  </w:num>
  <w:num w:numId="28">
    <w:abstractNumId w:val="6"/>
  </w:num>
  <w:num w:numId="29">
    <w:abstractNumId w:val="4"/>
  </w:num>
  <w:num w:numId="30">
    <w:abstractNumId w:val="14"/>
  </w:num>
  <w:num w:numId="31">
    <w:abstractNumId w:val="10"/>
  </w:num>
  <w:num w:numId="32">
    <w:abstractNumId w:val="35"/>
  </w:num>
  <w:num w:numId="33">
    <w:abstractNumId w:val="2"/>
  </w:num>
  <w:num w:numId="34">
    <w:abstractNumId w:val="42"/>
  </w:num>
  <w:num w:numId="35">
    <w:abstractNumId w:val="45"/>
  </w:num>
  <w:num w:numId="36">
    <w:abstractNumId w:val="27"/>
  </w:num>
  <w:num w:numId="37">
    <w:abstractNumId w:val="21"/>
  </w:num>
  <w:num w:numId="38">
    <w:abstractNumId w:val="31"/>
  </w:num>
  <w:num w:numId="39">
    <w:abstractNumId w:val="11"/>
  </w:num>
  <w:num w:numId="40">
    <w:abstractNumId w:val="34"/>
  </w:num>
  <w:num w:numId="41">
    <w:abstractNumId w:val="46"/>
  </w:num>
  <w:num w:numId="42">
    <w:abstractNumId w:val="26"/>
  </w:num>
  <w:num w:numId="43">
    <w:abstractNumId w:val="24"/>
  </w:num>
  <w:num w:numId="44">
    <w:abstractNumId w:val="15"/>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defaultTabStop w:val="720"/>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CB"/>
    <w:rsid w:val="00021AF6"/>
    <w:rsid w:val="00021FB7"/>
    <w:rsid w:val="00030B44"/>
    <w:rsid w:val="0004180D"/>
    <w:rsid w:val="00044871"/>
    <w:rsid w:val="00046832"/>
    <w:rsid w:val="00052992"/>
    <w:rsid w:val="00056CBB"/>
    <w:rsid w:val="00064515"/>
    <w:rsid w:val="000665E5"/>
    <w:rsid w:val="00081B69"/>
    <w:rsid w:val="00097C10"/>
    <w:rsid w:val="000C4831"/>
    <w:rsid w:val="000C7CA7"/>
    <w:rsid w:val="000D0073"/>
    <w:rsid w:val="000D180D"/>
    <w:rsid w:val="000E7C87"/>
    <w:rsid w:val="000E7F99"/>
    <w:rsid w:val="000F0288"/>
    <w:rsid w:val="000F1D14"/>
    <w:rsid w:val="000F37C1"/>
    <w:rsid w:val="000F39DE"/>
    <w:rsid w:val="0013133A"/>
    <w:rsid w:val="001406F3"/>
    <w:rsid w:val="001517BC"/>
    <w:rsid w:val="0015523E"/>
    <w:rsid w:val="0017072A"/>
    <w:rsid w:val="0019638B"/>
    <w:rsid w:val="001A0819"/>
    <w:rsid w:val="001B00FF"/>
    <w:rsid w:val="001D4032"/>
    <w:rsid w:val="0020030C"/>
    <w:rsid w:val="00210657"/>
    <w:rsid w:val="00223FB8"/>
    <w:rsid w:val="00234EA4"/>
    <w:rsid w:val="00236A30"/>
    <w:rsid w:val="00242759"/>
    <w:rsid w:val="002519EC"/>
    <w:rsid w:val="00263888"/>
    <w:rsid w:val="00264B2E"/>
    <w:rsid w:val="002736D8"/>
    <w:rsid w:val="002744A1"/>
    <w:rsid w:val="002754BF"/>
    <w:rsid w:val="00282710"/>
    <w:rsid w:val="00290B7F"/>
    <w:rsid w:val="002A0A7C"/>
    <w:rsid w:val="002B0D08"/>
    <w:rsid w:val="002C2869"/>
    <w:rsid w:val="002D160A"/>
    <w:rsid w:val="002D38B5"/>
    <w:rsid w:val="0030233C"/>
    <w:rsid w:val="0031238D"/>
    <w:rsid w:val="00312485"/>
    <w:rsid w:val="00322D69"/>
    <w:rsid w:val="00325FB6"/>
    <w:rsid w:val="0033496E"/>
    <w:rsid w:val="00341369"/>
    <w:rsid w:val="003450B2"/>
    <w:rsid w:val="00364DB4"/>
    <w:rsid w:val="00367735"/>
    <w:rsid w:val="00374BDC"/>
    <w:rsid w:val="00385ACD"/>
    <w:rsid w:val="003878F4"/>
    <w:rsid w:val="003924D7"/>
    <w:rsid w:val="003A23CB"/>
    <w:rsid w:val="003A7143"/>
    <w:rsid w:val="003B2616"/>
    <w:rsid w:val="003C3CF0"/>
    <w:rsid w:val="003C4E3B"/>
    <w:rsid w:val="003C7B15"/>
    <w:rsid w:val="003D578F"/>
    <w:rsid w:val="004070F0"/>
    <w:rsid w:val="00416CBA"/>
    <w:rsid w:val="004171E6"/>
    <w:rsid w:val="00434A53"/>
    <w:rsid w:val="00440191"/>
    <w:rsid w:val="0044657D"/>
    <w:rsid w:val="00447957"/>
    <w:rsid w:val="0046699E"/>
    <w:rsid w:val="004A78AC"/>
    <w:rsid w:val="004B4F9B"/>
    <w:rsid w:val="004D73B3"/>
    <w:rsid w:val="004D7AC1"/>
    <w:rsid w:val="004E155D"/>
    <w:rsid w:val="004E3B0F"/>
    <w:rsid w:val="004E472D"/>
    <w:rsid w:val="004E4B79"/>
    <w:rsid w:val="00502C8D"/>
    <w:rsid w:val="005075F8"/>
    <w:rsid w:val="005112B6"/>
    <w:rsid w:val="00511CD6"/>
    <w:rsid w:val="0051327C"/>
    <w:rsid w:val="005444EB"/>
    <w:rsid w:val="00560587"/>
    <w:rsid w:val="00581D9B"/>
    <w:rsid w:val="00585A2E"/>
    <w:rsid w:val="00587AB0"/>
    <w:rsid w:val="005B0BD4"/>
    <w:rsid w:val="005D2A42"/>
    <w:rsid w:val="005E048D"/>
    <w:rsid w:val="005E3E45"/>
    <w:rsid w:val="00601DBD"/>
    <w:rsid w:val="00611BC3"/>
    <w:rsid w:val="0061261D"/>
    <w:rsid w:val="0061487E"/>
    <w:rsid w:val="0062299B"/>
    <w:rsid w:val="0063494A"/>
    <w:rsid w:val="0064057D"/>
    <w:rsid w:val="006479AA"/>
    <w:rsid w:val="00660A38"/>
    <w:rsid w:val="00665519"/>
    <w:rsid w:val="00685902"/>
    <w:rsid w:val="006A0C4E"/>
    <w:rsid w:val="006A40ED"/>
    <w:rsid w:val="006B3B06"/>
    <w:rsid w:val="006C6CC9"/>
    <w:rsid w:val="006D532E"/>
    <w:rsid w:val="006D75E5"/>
    <w:rsid w:val="006E54A6"/>
    <w:rsid w:val="006E7872"/>
    <w:rsid w:val="006F0AFD"/>
    <w:rsid w:val="006F374E"/>
    <w:rsid w:val="006F4862"/>
    <w:rsid w:val="006F7D89"/>
    <w:rsid w:val="00714373"/>
    <w:rsid w:val="00715FE1"/>
    <w:rsid w:val="00732A93"/>
    <w:rsid w:val="00735C2F"/>
    <w:rsid w:val="007428B6"/>
    <w:rsid w:val="00765933"/>
    <w:rsid w:val="00770B69"/>
    <w:rsid w:val="00780D90"/>
    <w:rsid w:val="007820C6"/>
    <w:rsid w:val="007829FD"/>
    <w:rsid w:val="007949BD"/>
    <w:rsid w:val="007A783F"/>
    <w:rsid w:val="007E111C"/>
    <w:rsid w:val="007E3753"/>
    <w:rsid w:val="00805630"/>
    <w:rsid w:val="00810139"/>
    <w:rsid w:val="0081515A"/>
    <w:rsid w:val="008215D7"/>
    <w:rsid w:val="008236BF"/>
    <w:rsid w:val="0083216A"/>
    <w:rsid w:val="00845F8A"/>
    <w:rsid w:val="00846825"/>
    <w:rsid w:val="00847090"/>
    <w:rsid w:val="00861FE0"/>
    <w:rsid w:val="0086610F"/>
    <w:rsid w:val="00882388"/>
    <w:rsid w:val="008A0433"/>
    <w:rsid w:val="008A24D5"/>
    <w:rsid w:val="008D7F8B"/>
    <w:rsid w:val="008E5F97"/>
    <w:rsid w:val="008F6FE0"/>
    <w:rsid w:val="00906E1F"/>
    <w:rsid w:val="00926470"/>
    <w:rsid w:val="00934053"/>
    <w:rsid w:val="009348BB"/>
    <w:rsid w:val="009410D8"/>
    <w:rsid w:val="00946A3C"/>
    <w:rsid w:val="009717A4"/>
    <w:rsid w:val="00973449"/>
    <w:rsid w:val="009755EA"/>
    <w:rsid w:val="00980429"/>
    <w:rsid w:val="0099041F"/>
    <w:rsid w:val="009A0CFB"/>
    <w:rsid w:val="009A1BDE"/>
    <w:rsid w:val="009A6EB0"/>
    <w:rsid w:val="009C5BD5"/>
    <w:rsid w:val="009D10E8"/>
    <w:rsid w:val="009D24CE"/>
    <w:rsid w:val="009F2BC0"/>
    <w:rsid w:val="00A027C4"/>
    <w:rsid w:val="00A3357E"/>
    <w:rsid w:val="00A42418"/>
    <w:rsid w:val="00A45326"/>
    <w:rsid w:val="00A47D6D"/>
    <w:rsid w:val="00A56CF1"/>
    <w:rsid w:val="00A81CB4"/>
    <w:rsid w:val="00A82AC3"/>
    <w:rsid w:val="00A91B9C"/>
    <w:rsid w:val="00AA7091"/>
    <w:rsid w:val="00AB208A"/>
    <w:rsid w:val="00AB51A0"/>
    <w:rsid w:val="00AB7727"/>
    <w:rsid w:val="00AC008B"/>
    <w:rsid w:val="00AC679F"/>
    <w:rsid w:val="00AD6032"/>
    <w:rsid w:val="00AE12DD"/>
    <w:rsid w:val="00AE433F"/>
    <w:rsid w:val="00AE4826"/>
    <w:rsid w:val="00B0207B"/>
    <w:rsid w:val="00B026DD"/>
    <w:rsid w:val="00B2596E"/>
    <w:rsid w:val="00B32046"/>
    <w:rsid w:val="00B720BC"/>
    <w:rsid w:val="00B75D86"/>
    <w:rsid w:val="00B94690"/>
    <w:rsid w:val="00BA375F"/>
    <w:rsid w:val="00BA6CB9"/>
    <w:rsid w:val="00BB0AAC"/>
    <w:rsid w:val="00BB198F"/>
    <w:rsid w:val="00BB3C96"/>
    <w:rsid w:val="00BC6906"/>
    <w:rsid w:val="00BD3FCB"/>
    <w:rsid w:val="00BF6944"/>
    <w:rsid w:val="00BF6CC1"/>
    <w:rsid w:val="00C016BF"/>
    <w:rsid w:val="00C03A62"/>
    <w:rsid w:val="00C11072"/>
    <w:rsid w:val="00C12E1B"/>
    <w:rsid w:val="00C23FA0"/>
    <w:rsid w:val="00C25EE7"/>
    <w:rsid w:val="00C4263B"/>
    <w:rsid w:val="00C44EFD"/>
    <w:rsid w:val="00C45B18"/>
    <w:rsid w:val="00C47CB8"/>
    <w:rsid w:val="00C54146"/>
    <w:rsid w:val="00C628C8"/>
    <w:rsid w:val="00C826EB"/>
    <w:rsid w:val="00C85706"/>
    <w:rsid w:val="00C91B2F"/>
    <w:rsid w:val="00CA22B6"/>
    <w:rsid w:val="00CB467E"/>
    <w:rsid w:val="00CC51C7"/>
    <w:rsid w:val="00CE2F89"/>
    <w:rsid w:val="00CF0FE9"/>
    <w:rsid w:val="00CF1183"/>
    <w:rsid w:val="00D1625B"/>
    <w:rsid w:val="00D220CF"/>
    <w:rsid w:val="00D32CB8"/>
    <w:rsid w:val="00D3479A"/>
    <w:rsid w:val="00D42DC3"/>
    <w:rsid w:val="00D433F7"/>
    <w:rsid w:val="00D47A17"/>
    <w:rsid w:val="00D521AC"/>
    <w:rsid w:val="00D62423"/>
    <w:rsid w:val="00D67178"/>
    <w:rsid w:val="00D76AD7"/>
    <w:rsid w:val="00D9430D"/>
    <w:rsid w:val="00DA5AA6"/>
    <w:rsid w:val="00DA61ED"/>
    <w:rsid w:val="00DB1121"/>
    <w:rsid w:val="00DB163C"/>
    <w:rsid w:val="00DB4B81"/>
    <w:rsid w:val="00DF5860"/>
    <w:rsid w:val="00DF6EAC"/>
    <w:rsid w:val="00DF7C08"/>
    <w:rsid w:val="00E05F9B"/>
    <w:rsid w:val="00E10CF8"/>
    <w:rsid w:val="00E17DA2"/>
    <w:rsid w:val="00E17FA2"/>
    <w:rsid w:val="00E203FF"/>
    <w:rsid w:val="00E20DE4"/>
    <w:rsid w:val="00E24179"/>
    <w:rsid w:val="00E24471"/>
    <w:rsid w:val="00E268DC"/>
    <w:rsid w:val="00E34445"/>
    <w:rsid w:val="00E44758"/>
    <w:rsid w:val="00E47249"/>
    <w:rsid w:val="00E56F86"/>
    <w:rsid w:val="00E615E1"/>
    <w:rsid w:val="00E63733"/>
    <w:rsid w:val="00E65EE3"/>
    <w:rsid w:val="00E67515"/>
    <w:rsid w:val="00E741DB"/>
    <w:rsid w:val="00E7638C"/>
    <w:rsid w:val="00E90B6F"/>
    <w:rsid w:val="00E93DD3"/>
    <w:rsid w:val="00EA5D60"/>
    <w:rsid w:val="00EB3B05"/>
    <w:rsid w:val="00EC12AF"/>
    <w:rsid w:val="00ED0A74"/>
    <w:rsid w:val="00EE45A3"/>
    <w:rsid w:val="00EE5CB6"/>
    <w:rsid w:val="00EF04D2"/>
    <w:rsid w:val="00EF36A0"/>
    <w:rsid w:val="00EF77AC"/>
    <w:rsid w:val="00F04BA0"/>
    <w:rsid w:val="00F05DD5"/>
    <w:rsid w:val="00F071DB"/>
    <w:rsid w:val="00F1259B"/>
    <w:rsid w:val="00F13925"/>
    <w:rsid w:val="00F20B78"/>
    <w:rsid w:val="00F313C3"/>
    <w:rsid w:val="00F34CAA"/>
    <w:rsid w:val="00F43459"/>
    <w:rsid w:val="00F50B67"/>
    <w:rsid w:val="00F534A7"/>
    <w:rsid w:val="00F54BCB"/>
    <w:rsid w:val="00F64703"/>
    <w:rsid w:val="00F65A8C"/>
    <w:rsid w:val="00F728DD"/>
    <w:rsid w:val="00F72BDD"/>
    <w:rsid w:val="00F815ED"/>
    <w:rsid w:val="00F8626A"/>
    <w:rsid w:val="00F911CB"/>
    <w:rsid w:val="00FA12BB"/>
    <w:rsid w:val="00FC1BF4"/>
    <w:rsid w:val="00FC2A97"/>
    <w:rsid w:val="00FD6DA1"/>
    <w:rsid w:val="00FE0C1C"/>
    <w:rsid w:val="00FE2E66"/>
    <w:rsid w:val="00FF2604"/>
    <w:rsid w:val="00FF48DC"/>
    <w:rsid w:val="00FF5756"/>
    <w:rsid w:val="00FF7BA7"/>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17CA1BEE"/>
  <w15:docId w15:val="{77022BB8-8C97-4212-8140-CB53910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10F"/>
    <w:rPr>
      <w:rFonts w:ascii="Arial" w:hAnsi="Arial"/>
      <w:szCs w:val="24"/>
    </w:rPr>
  </w:style>
  <w:style w:type="paragraph" w:styleId="Heading1">
    <w:name w:val="heading 1"/>
    <w:basedOn w:val="Normal"/>
    <w:next w:val="Normal"/>
    <w:qFormat/>
    <w:rsid w:val="0086610F"/>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86610F"/>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rsid w:val="0086610F"/>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6610F"/>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86610F"/>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rsid w:val="0086610F"/>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rsid w:val="0086610F"/>
    <w:pPr>
      <w:keepNext/>
      <w:numPr>
        <w:ilvl w:val="6"/>
        <w:numId w:val="9"/>
      </w:numPr>
      <w:jc w:val="both"/>
      <w:outlineLvl w:val="6"/>
    </w:pPr>
    <w:rPr>
      <w:rFonts w:ascii="Times New Roman" w:hAnsi="Times New Roman"/>
      <w:sz w:val="28"/>
    </w:rPr>
  </w:style>
  <w:style w:type="paragraph" w:styleId="Heading8">
    <w:name w:val="heading 8"/>
    <w:basedOn w:val="Normal"/>
    <w:next w:val="Normal"/>
    <w:qFormat/>
    <w:rsid w:val="0086610F"/>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rsid w:val="0086610F"/>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6610F"/>
    <w:pPr>
      <w:tabs>
        <w:tab w:val="center" w:pos="4320"/>
        <w:tab w:val="right" w:pos="8640"/>
      </w:tabs>
    </w:pPr>
  </w:style>
  <w:style w:type="paragraph" w:styleId="Footer">
    <w:name w:val="footer"/>
    <w:basedOn w:val="Normal"/>
    <w:semiHidden/>
    <w:rsid w:val="0086610F"/>
    <w:pPr>
      <w:tabs>
        <w:tab w:val="center" w:pos="4320"/>
        <w:tab w:val="right" w:pos="8640"/>
      </w:tabs>
    </w:pPr>
  </w:style>
  <w:style w:type="paragraph" w:customStyle="1" w:styleId="CalVerTable">
    <w:name w:val="CalVerTable"/>
    <w:basedOn w:val="BodyText"/>
    <w:rsid w:val="0086610F"/>
    <w:pPr>
      <w:spacing w:after="40" w:line="160" w:lineRule="atLeast"/>
      <w:ind w:left="3240" w:hanging="3240"/>
    </w:pPr>
    <w:rPr>
      <w:rFonts w:ascii="Times New Roman" w:hAnsi="Times New Roman"/>
      <w:szCs w:val="20"/>
    </w:rPr>
  </w:style>
  <w:style w:type="paragraph" w:styleId="BodyText">
    <w:name w:val="Body Text"/>
    <w:basedOn w:val="Normal"/>
    <w:semiHidden/>
    <w:rsid w:val="0086610F"/>
  </w:style>
  <w:style w:type="paragraph" w:customStyle="1" w:styleId="Bullets">
    <w:name w:val="Bullets"/>
    <w:basedOn w:val="Normal"/>
    <w:rsid w:val="0086610F"/>
    <w:pPr>
      <w:spacing w:after="40" w:line="160" w:lineRule="atLeast"/>
      <w:ind w:left="274" w:hanging="274"/>
    </w:pPr>
    <w:rPr>
      <w:rFonts w:ascii="Times New Roman" w:hAnsi="Times New Roman"/>
      <w:szCs w:val="20"/>
    </w:rPr>
  </w:style>
  <w:style w:type="paragraph" w:customStyle="1" w:styleId="Reagents">
    <w:name w:val="Reagents"/>
    <w:basedOn w:val="Normal"/>
    <w:rsid w:val="0086610F"/>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rsid w:val="0086610F"/>
    <w:pPr>
      <w:spacing w:after="40" w:line="140" w:lineRule="atLeast"/>
      <w:ind w:left="274" w:hanging="274"/>
    </w:pPr>
    <w:rPr>
      <w:rFonts w:ascii="Times New Roman" w:hAnsi="Times New Roman"/>
      <w:sz w:val="18"/>
      <w:szCs w:val="20"/>
    </w:rPr>
  </w:style>
  <w:style w:type="paragraph" w:customStyle="1" w:styleId="Pa4">
    <w:name w:val="Pa4"/>
    <w:basedOn w:val="Normal"/>
    <w:next w:val="Normal"/>
    <w:uiPriority w:val="99"/>
    <w:rsid w:val="0086610F"/>
    <w:pPr>
      <w:autoSpaceDE w:val="0"/>
      <w:autoSpaceDN w:val="0"/>
      <w:adjustRightInd w:val="0"/>
      <w:spacing w:line="151" w:lineRule="atLeast"/>
    </w:pPr>
    <w:rPr>
      <w:rFonts w:ascii="Helen Pro Cond" w:hAnsi="Helen Pro Cond"/>
      <w:sz w:val="24"/>
    </w:rPr>
  </w:style>
  <w:style w:type="character" w:customStyle="1" w:styleId="A8">
    <w:name w:val="A8"/>
    <w:rsid w:val="0086610F"/>
    <w:rPr>
      <w:color w:val="000000"/>
      <w:sz w:val="8"/>
      <w:szCs w:val="8"/>
    </w:rPr>
  </w:style>
  <w:style w:type="paragraph" w:customStyle="1" w:styleId="Pa8">
    <w:name w:val="Pa8"/>
    <w:basedOn w:val="Normal"/>
    <w:next w:val="Normal"/>
    <w:uiPriority w:val="99"/>
    <w:rsid w:val="0086610F"/>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rsid w:val="0086610F"/>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rsid w:val="0086610F"/>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rsid w:val="0086610F"/>
    <w:pPr>
      <w:autoSpaceDE w:val="0"/>
      <w:autoSpaceDN w:val="0"/>
      <w:adjustRightInd w:val="0"/>
      <w:spacing w:line="151" w:lineRule="atLeast"/>
    </w:pPr>
    <w:rPr>
      <w:rFonts w:ascii="Helen Pro Cond" w:hAnsi="Helen Pro Cond"/>
      <w:sz w:val="24"/>
    </w:rPr>
  </w:style>
  <w:style w:type="character" w:customStyle="1" w:styleId="A7">
    <w:name w:val="A7"/>
    <w:uiPriority w:val="99"/>
    <w:rsid w:val="0086610F"/>
    <w:rPr>
      <w:color w:val="000000"/>
      <w:sz w:val="15"/>
      <w:szCs w:val="15"/>
    </w:rPr>
  </w:style>
  <w:style w:type="paragraph" w:customStyle="1" w:styleId="TableText">
    <w:name w:val="Table Text"/>
    <w:basedOn w:val="Normal"/>
    <w:rsid w:val="0086610F"/>
    <w:pPr>
      <w:autoSpaceDE w:val="0"/>
      <w:autoSpaceDN w:val="0"/>
    </w:pPr>
    <w:rPr>
      <w:rFonts w:ascii="Times New Roman" w:hAnsi="Times New Roman"/>
    </w:rPr>
  </w:style>
  <w:style w:type="character" w:styleId="Hyperlink">
    <w:name w:val="Hyperlink"/>
    <w:basedOn w:val="DefaultParagraphFont"/>
    <w:rsid w:val="0086610F"/>
    <w:rPr>
      <w:color w:val="0000FF"/>
      <w:u w:val="single"/>
    </w:rPr>
  </w:style>
  <w:style w:type="character" w:styleId="FollowedHyperlink">
    <w:name w:val="FollowedHyperlink"/>
    <w:basedOn w:val="DefaultParagraphFont"/>
    <w:semiHidden/>
    <w:rsid w:val="0086610F"/>
    <w:rPr>
      <w:color w:val="800080"/>
      <w:u w:val="single"/>
    </w:rPr>
  </w:style>
  <w:style w:type="paragraph" w:customStyle="1" w:styleId="Default">
    <w:name w:val="Default"/>
    <w:rsid w:val="0086610F"/>
    <w:pPr>
      <w:autoSpaceDE w:val="0"/>
      <w:autoSpaceDN w:val="0"/>
      <w:adjustRightInd w:val="0"/>
    </w:pPr>
    <w:rPr>
      <w:color w:val="000000"/>
      <w:sz w:val="24"/>
      <w:szCs w:val="24"/>
    </w:rPr>
  </w:style>
  <w:style w:type="paragraph" w:styleId="NormalWeb">
    <w:name w:val="Normal (Web)"/>
    <w:basedOn w:val="Normal"/>
    <w:semiHidden/>
    <w:rsid w:val="0086610F"/>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rsid w:val="0086610F"/>
    <w:pPr>
      <w:autoSpaceDE w:val="0"/>
      <w:autoSpaceDN w:val="0"/>
      <w:adjustRightInd w:val="0"/>
      <w:jc w:val="both"/>
    </w:pPr>
    <w:rPr>
      <w:rFonts w:cs="Arial"/>
    </w:rPr>
  </w:style>
  <w:style w:type="character" w:customStyle="1" w:styleId="maintitle">
    <w:name w:val="maintitle"/>
    <w:basedOn w:val="DefaultParagraphFont"/>
    <w:rsid w:val="0086610F"/>
  </w:style>
  <w:style w:type="paragraph" w:styleId="BodyText3">
    <w:name w:val="Body Text 3"/>
    <w:basedOn w:val="Normal"/>
    <w:semiHidden/>
    <w:rsid w:val="0086610F"/>
    <w:rPr>
      <w:smallCaps/>
      <w:sz w:val="16"/>
    </w:rPr>
  </w:style>
  <w:style w:type="paragraph" w:customStyle="1" w:styleId="first">
    <w:name w:val="first"/>
    <w:basedOn w:val="Normal"/>
    <w:rsid w:val="0086610F"/>
    <w:pPr>
      <w:spacing w:after="192"/>
    </w:pPr>
    <w:rPr>
      <w:rFonts w:ascii="Arial Unicode MS" w:eastAsia="Arial Unicode MS" w:hAnsi="Arial Unicode MS" w:cs="Arial Unicode MS"/>
      <w:sz w:val="24"/>
    </w:rPr>
  </w:style>
  <w:style w:type="character" w:customStyle="1" w:styleId="italics1">
    <w:name w:val="italics1"/>
    <w:basedOn w:val="DefaultParagraphFont"/>
    <w:rsid w:val="0086610F"/>
    <w:rPr>
      <w:i/>
      <w:iCs/>
    </w:rPr>
  </w:style>
  <w:style w:type="character" w:customStyle="1" w:styleId="A10">
    <w:name w:val="A10"/>
    <w:uiPriority w:val="99"/>
    <w:rsid w:val="001D4032"/>
    <w:rPr>
      <w:rFonts w:cs="Arial Narrow"/>
      <w:color w:val="000000"/>
      <w:sz w:val="9"/>
      <w:szCs w:val="9"/>
    </w:rPr>
  </w:style>
  <w:style w:type="character" w:customStyle="1" w:styleId="A0">
    <w:name w:val="A0"/>
    <w:uiPriority w:val="99"/>
    <w:rsid w:val="001D4032"/>
    <w:rPr>
      <w:b/>
      <w:bCs/>
      <w:color w:val="000000"/>
      <w:sz w:val="16"/>
      <w:szCs w:val="16"/>
    </w:rPr>
  </w:style>
  <w:style w:type="paragraph" w:customStyle="1" w:styleId="Pa2">
    <w:name w:val="Pa2"/>
    <w:basedOn w:val="Default"/>
    <w:next w:val="Default"/>
    <w:uiPriority w:val="99"/>
    <w:rsid w:val="001D4032"/>
    <w:pPr>
      <w:spacing w:line="161" w:lineRule="atLeast"/>
    </w:pPr>
    <w:rPr>
      <w:rFonts w:ascii="Arial" w:hAnsi="Arial" w:cs="Arial"/>
      <w:color w:val="auto"/>
    </w:rPr>
  </w:style>
  <w:style w:type="character" w:customStyle="1" w:styleId="A14">
    <w:name w:val="A14"/>
    <w:uiPriority w:val="99"/>
    <w:rsid w:val="001D4032"/>
    <w:rPr>
      <w:b/>
      <w:bCs/>
      <w:color w:val="000000"/>
      <w:sz w:val="15"/>
      <w:szCs w:val="15"/>
    </w:rPr>
  </w:style>
  <w:style w:type="paragraph" w:customStyle="1" w:styleId="Pa9">
    <w:name w:val="Pa9"/>
    <w:basedOn w:val="Default"/>
    <w:next w:val="Default"/>
    <w:uiPriority w:val="99"/>
    <w:rsid w:val="001D4032"/>
    <w:pPr>
      <w:spacing w:line="161" w:lineRule="atLeast"/>
    </w:pPr>
    <w:rPr>
      <w:rFonts w:ascii="Arial Narrow" w:hAnsi="Arial Narrow"/>
      <w:color w:val="auto"/>
    </w:rPr>
  </w:style>
  <w:style w:type="character" w:customStyle="1" w:styleId="A1">
    <w:name w:val="A1"/>
    <w:uiPriority w:val="99"/>
    <w:rsid w:val="001D4032"/>
    <w:rPr>
      <w:rFonts w:cs="Arial Narrow"/>
      <w:color w:val="000000"/>
      <w:sz w:val="16"/>
      <w:szCs w:val="16"/>
    </w:rPr>
  </w:style>
  <w:style w:type="paragraph" w:customStyle="1" w:styleId="Pa10">
    <w:name w:val="Pa10"/>
    <w:basedOn w:val="Default"/>
    <w:next w:val="Default"/>
    <w:uiPriority w:val="99"/>
    <w:rsid w:val="001D4032"/>
    <w:pPr>
      <w:spacing w:line="161" w:lineRule="atLeast"/>
    </w:pPr>
    <w:rPr>
      <w:rFonts w:ascii="Arial Narrow" w:hAnsi="Arial Narrow"/>
      <w:color w:val="auto"/>
    </w:rPr>
  </w:style>
  <w:style w:type="paragraph" w:styleId="BalloonText">
    <w:name w:val="Balloon Text"/>
    <w:basedOn w:val="Normal"/>
    <w:link w:val="BalloonTextChar"/>
    <w:uiPriority w:val="99"/>
    <w:semiHidden/>
    <w:unhideWhenUsed/>
    <w:rsid w:val="007820C6"/>
    <w:rPr>
      <w:rFonts w:ascii="Tahoma" w:hAnsi="Tahoma" w:cs="Tahoma"/>
      <w:sz w:val="16"/>
      <w:szCs w:val="16"/>
    </w:rPr>
  </w:style>
  <w:style w:type="character" w:customStyle="1" w:styleId="BalloonTextChar">
    <w:name w:val="Balloon Text Char"/>
    <w:basedOn w:val="DefaultParagraphFont"/>
    <w:link w:val="BalloonText"/>
    <w:uiPriority w:val="99"/>
    <w:semiHidden/>
    <w:rsid w:val="007820C6"/>
    <w:rPr>
      <w:rFonts w:ascii="Tahoma" w:hAnsi="Tahoma" w:cs="Tahoma"/>
      <w:sz w:val="16"/>
      <w:szCs w:val="16"/>
    </w:rPr>
  </w:style>
  <w:style w:type="paragraph" w:customStyle="1" w:styleId="p">
    <w:name w:val="p"/>
    <w:basedOn w:val="Normal"/>
    <w:rsid w:val="005E048D"/>
    <w:pPr>
      <w:spacing w:before="100" w:beforeAutospacing="1" w:after="100" w:afterAutospacing="1"/>
    </w:pPr>
    <w:rPr>
      <w:rFonts w:ascii="Times New Roman" w:hAnsi="Times New Roman"/>
      <w:sz w:val="24"/>
    </w:rPr>
  </w:style>
  <w:style w:type="table" w:styleId="TableGrid">
    <w:name w:val="Table Grid"/>
    <w:basedOn w:val="TableNormal"/>
    <w:uiPriority w:val="59"/>
    <w:rsid w:val="00BA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0F0288"/>
    <w:rPr>
      <w:b/>
      <w:bCs/>
      <w:i/>
      <w:iCs/>
      <w:color w:val="000000"/>
      <w:sz w:val="22"/>
      <w:szCs w:val="22"/>
    </w:rPr>
  </w:style>
  <w:style w:type="character" w:customStyle="1" w:styleId="A3">
    <w:name w:val="A3"/>
    <w:uiPriority w:val="99"/>
    <w:rsid w:val="000F0288"/>
    <w:rPr>
      <w:color w:val="000000"/>
      <w:sz w:val="14"/>
      <w:szCs w:val="14"/>
    </w:rPr>
  </w:style>
  <w:style w:type="character" w:customStyle="1" w:styleId="A5">
    <w:name w:val="A5"/>
    <w:uiPriority w:val="99"/>
    <w:rsid w:val="00D62423"/>
    <w:rPr>
      <w:rFonts w:cs="Arial Narrow"/>
      <w:color w:val="000000"/>
      <w:sz w:val="16"/>
      <w:szCs w:val="16"/>
    </w:rPr>
  </w:style>
  <w:style w:type="paragraph" w:customStyle="1" w:styleId="Pa0">
    <w:name w:val="Pa0"/>
    <w:basedOn w:val="Default"/>
    <w:next w:val="Default"/>
    <w:uiPriority w:val="99"/>
    <w:rsid w:val="004B4F9B"/>
    <w:pPr>
      <w:spacing w:line="241" w:lineRule="atLeast"/>
    </w:pPr>
    <w:rPr>
      <w:rFonts w:ascii="Arial Narrow" w:hAnsi="Arial Narrow"/>
      <w:color w:val="auto"/>
    </w:rPr>
  </w:style>
  <w:style w:type="character" w:customStyle="1" w:styleId="A9">
    <w:name w:val="A9"/>
    <w:uiPriority w:val="99"/>
    <w:rsid w:val="004B4F9B"/>
    <w:rPr>
      <w:b/>
      <w:bCs/>
      <w:i/>
      <w:iCs/>
      <w:color w:val="000000"/>
      <w:sz w:val="28"/>
      <w:szCs w:val="28"/>
    </w:rPr>
  </w:style>
  <w:style w:type="character" w:styleId="CommentReference">
    <w:name w:val="annotation reference"/>
    <w:basedOn w:val="DefaultParagraphFont"/>
    <w:uiPriority w:val="99"/>
    <w:semiHidden/>
    <w:unhideWhenUsed/>
    <w:rsid w:val="00C44EFD"/>
    <w:rPr>
      <w:sz w:val="16"/>
      <w:szCs w:val="16"/>
    </w:rPr>
  </w:style>
  <w:style w:type="paragraph" w:styleId="CommentText">
    <w:name w:val="annotation text"/>
    <w:basedOn w:val="Normal"/>
    <w:link w:val="CommentTextChar"/>
    <w:uiPriority w:val="99"/>
    <w:semiHidden/>
    <w:unhideWhenUsed/>
    <w:rsid w:val="00C44EFD"/>
    <w:rPr>
      <w:szCs w:val="20"/>
    </w:rPr>
  </w:style>
  <w:style w:type="character" w:customStyle="1" w:styleId="CommentTextChar">
    <w:name w:val="Comment Text Char"/>
    <w:basedOn w:val="DefaultParagraphFont"/>
    <w:link w:val="CommentText"/>
    <w:uiPriority w:val="99"/>
    <w:semiHidden/>
    <w:rsid w:val="00C44EFD"/>
    <w:rPr>
      <w:rFonts w:ascii="Arial" w:hAnsi="Arial"/>
    </w:rPr>
  </w:style>
  <w:style w:type="paragraph" w:styleId="CommentSubject">
    <w:name w:val="annotation subject"/>
    <w:basedOn w:val="CommentText"/>
    <w:next w:val="CommentText"/>
    <w:link w:val="CommentSubjectChar"/>
    <w:uiPriority w:val="99"/>
    <w:semiHidden/>
    <w:unhideWhenUsed/>
    <w:rsid w:val="00C44EFD"/>
    <w:rPr>
      <w:b/>
      <w:bCs/>
    </w:rPr>
  </w:style>
  <w:style w:type="character" w:customStyle="1" w:styleId="CommentSubjectChar">
    <w:name w:val="Comment Subject Char"/>
    <w:basedOn w:val="CommentTextChar"/>
    <w:link w:val="CommentSubject"/>
    <w:uiPriority w:val="99"/>
    <w:semiHidden/>
    <w:rsid w:val="00C44EFD"/>
    <w:rPr>
      <w:rFonts w:ascii="Arial" w:hAnsi="Arial"/>
      <w:b/>
      <w:bCs/>
    </w:rPr>
  </w:style>
  <w:style w:type="paragraph" w:styleId="ListParagraph">
    <w:name w:val="List Paragraph"/>
    <w:basedOn w:val="Normal"/>
    <w:uiPriority w:val="34"/>
    <w:qFormat/>
    <w:rsid w:val="00367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6412">
      <w:bodyDiv w:val="1"/>
      <w:marLeft w:val="0"/>
      <w:marRight w:val="0"/>
      <w:marTop w:val="0"/>
      <w:marBottom w:val="0"/>
      <w:divBdr>
        <w:top w:val="none" w:sz="0" w:space="0" w:color="auto"/>
        <w:left w:val="none" w:sz="0" w:space="0" w:color="auto"/>
        <w:bottom w:val="none" w:sz="0" w:space="0" w:color="auto"/>
        <w:right w:val="none" w:sz="0" w:space="0" w:color="auto"/>
      </w:divBdr>
      <w:divsChild>
        <w:div w:id="103698508">
          <w:marLeft w:val="0"/>
          <w:marRight w:val="0"/>
          <w:marTop w:val="0"/>
          <w:marBottom w:val="0"/>
          <w:divBdr>
            <w:top w:val="none" w:sz="0" w:space="0" w:color="auto"/>
            <w:left w:val="none" w:sz="0" w:space="0" w:color="auto"/>
            <w:bottom w:val="none" w:sz="0" w:space="0" w:color="auto"/>
            <w:right w:val="none" w:sz="0" w:space="0" w:color="auto"/>
          </w:divBdr>
          <w:divsChild>
            <w:div w:id="1272321402">
              <w:marLeft w:val="0"/>
              <w:marRight w:val="0"/>
              <w:marTop w:val="0"/>
              <w:marBottom w:val="0"/>
              <w:divBdr>
                <w:top w:val="none" w:sz="0" w:space="0" w:color="auto"/>
                <w:left w:val="none" w:sz="0" w:space="0" w:color="auto"/>
                <w:bottom w:val="none" w:sz="0" w:space="0" w:color="auto"/>
                <w:right w:val="none" w:sz="0" w:space="0" w:color="auto"/>
              </w:divBdr>
              <w:divsChild>
                <w:div w:id="1996489507">
                  <w:marLeft w:val="0"/>
                  <w:marRight w:val="0"/>
                  <w:marTop w:val="0"/>
                  <w:marBottom w:val="0"/>
                  <w:divBdr>
                    <w:top w:val="none" w:sz="0" w:space="0" w:color="auto"/>
                    <w:left w:val="none" w:sz="0" w:space="0" w:color="auto"/>
                    <w:bottom w:val="none" w:sz="0" w:space="0" w:color="auto"/>
                    <w:right w:val="none" w:sz="0" w:space="0" w:color="auto"/>
                  </w:divBdr>
                  <w:divsChild>
                    <w:div w:id="1331519701">
                      <w:marLeft w:val="0"/>
                      <w:marRight w:val="0"/>
                      <w:marTop w:val="0"/>
                      <w:marBottom w:val="0"/>
                      <w:divBdr>
                        <w:top w:val="none" w:sz="0" w:space="0" w:color="auto"/>
                        <w:left w:val="none" w:sz="0" w:space="0" w:color="auto"/>
                        <w:bottom w:val="none" w:sz="0" w:space="0" w:color="auto"/>
                        <w:right w:val="none" w:sz="0" w:space="0" w:color="auto"/>
                      </w:divBdr>
                      <w:divsChild>
                        <w:div w:id="1535847893">
                          <w:marLeft w:val="0"/>
                          <w:marRight w:val="0"/>
                          <w:marTop w:val="0"/>
                          <w:marBottom w:val="0"/>
                          <w:divBdr>
                            <w:top w:val="none" w:sz="0" w:space="0" w:color="auto"/>
                            <w:left w:val="none" w:sz="0" w:space="0" w:color="auto"/>
                            <w:bottom w:val="none" w:sz="0" w:space="0" w:color="auto"/>
                            <w:right w:val="none" w:sz="0" w:space="0" w:color="auto"/>
                          </w:divBdr>
                          <w:divsChild>
                            <w:div w:id="1250852261">
                              <w:marLeft w:val="0"/>
                              <w:marRight w:val="0"/>
                              <w:marTop w:val="0"/>
                              <w:marBottom w:val="0"/>
                              <w:divBdr>
                                <w:top w:val="none" w:sz="0" w:space="0" w:color="auto"/>
                                <w:left w:val="none" w:sz="0" w:space="0" w:color="auto"/>
                                <w:bottom w:val="none" w:sz="0" w:space="0" w:color="auto"/>
                                <w:right w:val="none" w:sz="0" w:space="0" w:color="auto"/>
                              </w:divBdr>
                              <w:divsChild>
                                <w:div w:id="1743673692">
                                  <w:marLeft w:val="0"/>
                                  <w:marRight w:val="0"/>
                                  <w:marTop w:val="0"/>
                                  <w:marBottom w:val="0"/>
                                  <w:divBdr>
                                    <w:top w:val="none" w:sz="0" w:space="0" w:color="auto"/>
                                    <w:left w:val="none" w:sz="0" w:space="0" w:color="auto"/>
                                    <w:bottom w:val="none" w:sz="0" w:space="0" w:color="auto"/>
                                    <w:right w:val="none" w:sz="0" w:space="0" w:color="auto"/>
                                  </w:divBdr>
                                  <w:divsChild>
                                    <w:div w:id="1777947233">
                                      <w:marLeft w:val="0"/>
                                      <w:marRight w:val="0"/>
                                      <w:marTop w:val="0"/>
                                      <w:marBottom w:val="0"/>
                                      <w:divBdr>
                                        <w:top w:val="none" w:sz="0" w:space="0" w:color="auto"/>
                                        <w:left w:val="none" w:sz="0" w:space="0" w:color="auto"/>
                                        <w:bottom w:val="none" w:sz="0" w:space="0" w:color="auto"/>
                                        <w:right w:val="none" w:sz="0" w:space="0" w:color="auto"/>
                                      </w:divBdr>
                                      <w:divsChild>
                                        <w:div w:id="1108040640">
                                          <w:marLeft w:val="107"/>
                                          <w:marRight w:val="0"/>
                                          <w:marTop w:val="0"/>
                                          <w:marBottom w:val="0"/>
                                          <w:divBdr>
                                            <w:top w:val="none" w:sz="0" w:space="0" w:color="auto"/>
                                            <w:left w:val="none" w:sz="0" w:space="0" w:color="auto"/>
                                            <w:bottom w:val="none" w:sz="0" w:space="0" w:color="auto"/>
                                            <w:right w:val="none" w:sz="0" w:space="0" w:color="auto"/>
                                          </w:divBdr>
                                          <w:divsChild>
                                            <w:div w:id="561522435">
                                              <w:marLeft w:val="0"/>
                                              <w:marRight w:val="0"/>
                                              <w:marTop w:val="0"/>
                                              <w:marBottom w:val="0"/>
                                              <w:divBdr>
                                                <w:top w:val="none" w:sz="0" w:space="0" w:color="auto"/>
                                                <w:left w:val="none" w:sz="0" w:space="0" w:color="auto"/>
                                                <w:bottom w:val="none" w:sz="0" w:space="0" w:color="auto"/>
                                                <w:right w:val="none" w:sz="0" w:space="0" w:color="auto"/>
                                              </w:divBdr>
                                              <w:divsChild>
                                                <w:div w:id="934021095">
                                                  <w:marLeft w:val="0"/>
                                                  <w:marRight w:val="0"/>
                                                  <w:marTop w:val="0"/>
                                                  <w:marBottom w:val="0"/>
                                                  <w:divBdr>
                                                    <w:top w:val="none" w:sz="0" w:space="0" w:color="auto"/>
                                                    <w:left w:val="none" w:sz="0" w:space="0" w:color="auto"/>
                                                    <w:bottom w:val="none" w:sz="0" w:space="0" w:color="auto"/>
                                                    <w:right w:val="none" w:sz="0" w:space="0" w:color="auto"/>
                                                  </w:divBdr>
                                                  <w:divsChild>
                                                    <w:div w:id="736166560">
                                                      <w:marLeft w:val="0"/>
                                                      <w:marRight w:val="0"/>
                                                      <w:marTop w:val="0"/>
                                                      <w:marBottom w:val="54"/>
                                                      <w:divBdr>
                                                        <w:top w:val="single" w:sz="18" w:space="3" w:color="BDC8DA"/>
                                                        <w:left w:val="single" w:sz="18" w:space="0" w:color="BDC8DA"/>
                                                        <w:bottom w:val="single" w:sz="18" w:space="3" w:color="BDC8DA"/>
                                                        <w:right w:val="single" w:sz="18" w:space="0" w:color="BDC8DA"/>
                                                      </w:divBdr>
                                                      <w:divsChild>
                                                        <w:div w:id="313879354">
                                                          <w:marLeft w:val="0"/>
                                                          <w:marRight w:val="0"/>
                                                          <w:marTop w:val="0"/>
                                                          <w:marBottom w:val="0"/>
                                                          <w:divBdr>
                                                            <w:top w:val="none" w:sz="0" w:space="0" w:color="auto"/>
                                                            <w:left w:val="none" w:sz="0" w:space="0" w:color="auto"/>
                                                            <w:bottom w:val="none" w:sz="0" w:space="0" w:color="auto"/>
                                                            <w:right w:val="none" w:sz="0" w:space="0" w:color="auto"/>
                                                          </w:divBdr>
                                                          <w:divsChild>
                                                            <w:div w:id="1546328450">
                                                              <w:marLeft w:val="269"/>
                                                              <w:marRight w:val="0"/>
                                                              <w:marTop w:val="0"/>
                                                              <w:marBottom w:val="0"/>
                                                              <w:divBdr>
                                                                <w:top w:val="none" w:sz="0" w:space="0" w:color="auto"/>
                                                                <w:left w:val="none" w:sz="0" w:space="0" w:color="auto"/>
                                                                <w:bottom w:val="none" w:sz="0" w:space="0" w:color="auto"/>
                                                                <w:right w:val="none" w:sz="0" w:space="0" w:color="auto"/>
                                                              </w:divBdr>
                                                              <w:divsChild>
                                                                <w:div w:id="1327049383">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5444770">
      <w:bodyDiv w:val="1"/>
      <w:marLeft w:val="0"/>
      <w:marRight w:val="0"/>
      <w:marTop w:val="0"/>
      <w:marBottom w:val="0"/>
      <w:divBdr>
        <w:top w:val="none" w:sz="0" w:space="0" w:color="auto"/>
        <w:left w:val="none" w:sz="0" w:space="0" w:color="auto"/>
        <w:bottom w:val="none" w:sz="0" w:space="0" w:color="auto"/>
        <w:right w:val="none" w:sz="0" w:space="0" w:color="auto"/>
      </w:divBdr>
      <w:divsChild>
        <w:div w:id="967659820">
          <w:marLeft w:val="0"/>
          <w:marRight w:val="0"/>
          <w:marTop w:val="0"/>
          <w:marBottom w:val="0"/>
          <w:divBdr>
            <w:top w:val="none" w:sz="0" w:space="0" w:color="auto"/>
            <w:left w:val="none" w:sz="0" w:space="0" w:color="auto"/>
            <w:bottom w:val="none" w:sz="0" w:space="0" w:color="auto"/>
            <w:right w:val="none" w:sz="0" w:space="0" w:color="auto"/>
          </w:divBdr>
          <w:divsChild>
            <w:div w:id="1875538603">
              <w:marLeft w:val="0"/>
              <w:marRight w:val="0"/>
              <w:marTop w:val="0"/>
              <w:marBottom w:val="0"/>
              <w:divBdr>
                <w:top w:val="none" w:sz="0" w:space="0" w:color="auto"/>
                <w:left w:val="none" w:sz="0" w:space="0" w:color="auto"/>
                <w:bottom w:val="none" w:sz="0" w:space="0" w:color="auto"/>
                <w:right w:val="none" w:sz="0" w:space="0" w:color="auto"/>
              </w:divBdr>
              <w:divsChild>
                <w:div w:id="424151831">
                  <w:marLeft w:val="0"/>
                  <w:marRight w:val="0"/>
                  <w:marTop w:val="0"/>
                  <w:marBottom w:val="0"/>
                  <w:divBdr>
                    <w:top w:val="none" w:sz="0" w:space="0" w:color="auto"/>
                    <w:left w:val="none" w:sz="0" w:space="0" w:color="auto"/>
                    <w:bottom w:val="none" w:sz="0" w:space="0" w:color="auto"/>
                    <w:right w:val="none" w:sz="0" w:space="0" w:color="auto"/>
                  </w:divBdr>
                  <w:divsChild>
                    <w:div w:id="666639419">
                      <w:marLeft w:val="0"/>
                      <w:marRight w:val="0"/>
                      <w:marTop w:val="0"/>
                      <w:marBottom w:val="0"/>
                      <w:divBdr>
                        <w:top w:val="none" w:sz="0" w:space="0" w:color="auto"/>
                        <w:left w:val="none" w:sz="0" w:space="0" w:color="auto"/>
                        <w:bottom w:val="none" w:sz="0" w:space="0" w:color="auto"/>
                        <w:right w:val="none" w:sz="0" w:space="0" w:color="auto"/>
                      </w:divBdr>
                      <w:divsChild>
                        <w:div w:id="1602683698">
                          <w:marLeft w:val="0"/>
                          <w:marRight w:val="0"/>
                          <w:marTop w:val="0"/>
                          <w:marBottom w:val="0"/>
                          <w:divBdr>
                            <w:top w:val="none" w:sz="0" w:space="0" w:color="auto"/>
                            <w:left w:val="none" w:sz="0" w:space="0" w:color="auto"/>
                            <w:bottom w:val="none" w:sz="0" w:space="0" w:color="auto"/>
                            <w:right w:val="none" w:sz="0" w:space="0" w:color="auto"/>
                          </w:divBdr>
                          <w:divsChild>
                            <w:div w:id="1691444153">
                              <w:marLeft w:val="0"/>
                              <w:marRight w:val="0"/>
                              <w:marTop w:val="0"/>
                              <w:marBottom w:val="0"/>
                              <w:divBdr>
                                <w:top w:val="none" w:sz="0" w:space="0" w:color="auto"/>
                                <w:left w:val="none" w:sz="0" w:space="0" w:color="auto"/>
                                <w:bottom w:val="none" w:sz="0" w:space="0" w:color="auto"/>
                                <w:right w:val="none" w:sz="0" w:space="0" w:color="auto"/>
                              </w:divBdr>
                              <w:divsChild>
                                <w:div w:id="1802922184">
                                  <w:marLeft w:val="0"/>
                                  <w:marRight w:val="0"/>
                                  <w:marTop w:val="0"/>
                                  <w:marBottom w:val="0"/>
                                  <w:divBdr>
                                    <w:top w:val="none" w:sz="0" w:space="0" w:color="auto"/>
                                    <w:left w:val="none" w:sz="0" w:space="0" w:color="auto"/>
                                    <w:bottom w:val="none" w:sz="0" w:space="0" w:color="auto"/>
                                    <w:right w:val="none" w:sz="0" w:space="0" w:color="auto"/>
                                  </w:divBdr>
                                  <w:divsChild>
                                    <w:div w:id="1505970764">
                                      <w:marLeft w:val="0"/>
                                      <w:marRight w:val="0"/>
                                      <w:marTop w:val="0"/>
                                      <w:marBottom w:val="0"/>
                                      <w:divBdr>
                                        <w:top w:val="none" w:sz="0" w:space="0" w:color="auto"/>
                                        <w:left w:val="none" w:sz="0" w:space="0" w:color="auto"/>
                                        <w:bottom w:val="none" w:sz="0" w:space="0" w:color="auto"/>
                                        <w:right w:val="none" w:sz="0" w:space="0" w:color="auto"/>
                                      </w:divBdr>
                                      <w:divsChild>
                                        <w:div w:id="1647974100">
                                          <w:marLeft w:val="0"/>
                                          <w:marRight w:val="0"/>
                                          <w:marTop w:val="0"/>
                                          <w:marBottom w:val="0"/>
                                          <w:divBdr>
                                            <w:top w:val="none" w:sz="0" w:space="0" w:color="auto"/>
                                            <w:left w:val="none" w:sz="0" w:space="0" w:color="auto"/>
                                            <w:bottom w:val="none" w:sz="0" w:space="0" w:color="auto"/>
                                            <w:right w:val="none" w:sz="0" w:space="0" w:color="auto"/>
                                          </w:divBdr>
                                          <w:divsChild>
                                            <w:div w:id="1330913305">
                                              <w:marLeft w:val="0"/>
                                              <w:marRight w:val="0"/>
                                              <w:marTop w:val="0"/>
                                              <w:marBottom w:val="0"/>
                                              <w:divBdr>
                                                <w:top w:val="none" w:sz="0" w:space="0" w:color="auto"/>
                                                <w:left w:val="none" w:sz="0" w:space="0" w:color="auto"/>
                                                <w:bottom w:val="none" w:sz="0" w:space="0" w:color="auto"/>
                                                <w:right w:val="none" w:sz="0" w:space="0" w:color="auto"/>
                                              </w:divBdr>
                                              <w:divsChild>
                                                <w:div w:id="2129230221">
                                                  <w:marLeft w:val="0"/>
                                                  <w:marRight w:val="0"/>
                                                  <w:marTop w:val="0"/>
                                                  <w:marBottom w:val="0"/>
                                                  <w:divBdr>
                                                    <w:top w:val="none" w:sz="0" w:space="0" w:color="auto"/>
                                                    <w:left w:val="none" w:sz="0" w:space="0" w:color="auto"/>
                                                    <w:bottom w:val="none" w:sz="0" w:space="0" w:color="auto"/>
                                                    <w:right w:val="none" w:sz="0" w:space="0" w:color="auto"/>
                                                  </w:divBdr>
                                                  <w:divsChild>
                                                    <w:div w:id="1573419236">
                                                      <w:marLeft w:val="0"/>
                                                      <w:marRight w:val="0"/>
                                                      <w:marTop w:val="0"/>
                                                      <w:marBottom w:val="0"/>
                                                      <w:divBdr>
                                                        <w:top w:val="none" w:sz="0" w:space="0" w:color="auto"/>
                                                        <w:left w:val="none" w:sz="0" w:space="0" w:color="auto"/>
                                                        <w:bottom w:val="none" w:sz="0" w:space="0" w:color="auto"/>
                                                        <w:right w:val="none" w:sz="0" w:space="0" w:color="auto"/>
                                                      </w:divBdr>
                                                      <w:divsChild>
                                                        <w:div w:id="2031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155249">
      <w:bodyDiv w:val="1"/>
      <w:marLeft w:val="0"/>
      <w:marRight w:val="0"/>
      <w:marTop w:val="0"/>
      <w:marBottom w:val="0"/>
      <w:divBdr>
        <w:top w:val="none" w:sz="0" w:space="0" w:color="auto"/>
        <w:left w:val="none" w:sz="0" w:space="0" w:color="auto"/>
        <w:bottom w:val="none" w:sz="0" w:space="0" w:color="auto"/>
        <w:right w:val="none" w:sz="0" w:space="0" w:color="auto"/>
      </w:divBdr>
      <w:divsChild>
        <w:div w:id="366292532">
          <w:marLeft w:val="0"/>
          <w:marRight w:val="0"/>
          <w:marTop w:val="0"/>
          <w:marBottom w:val="0"/>
          <w:divBdr>
            <w:top w:val="single" w:sz="2" w:space="0" w:color="2E2E2E"/>
            <w:left w:val="single" w:sz="2" w:space="0" w:color="2E2E2E"/>
            <w:bottom w:val="single" w:sz="2" w:space="0" w:color="2E2E2E"/>
            <w:right w:val="single" w:sz="2" w:space="0" w:color="2E2E2E"/>
          </w:divBdr>
          <w:divsChild>
            <w:div w:id="2018656104">
              <w:marLeft w:val="0"/>
              <w:marRight w:val="0"/>
              <w:marTop w:val="0"/>
              <w:marBottom w:val="0"/>
              <w:divBdr>
                <w:top w:val="single" w:sz="4" w:space="0" w:color="C9C9C9"/>
                <w:left w:val="none" w:sz="0" w:space="0" w:color="auto"/>
                <w:bottom w:val="none" w:sz="0" w:space="0" w:color="auto"/>
                <w:right w:val="none" w:sz="0" w:space="0" w:color="auto"/>
              </w:divBdr>
              <w:divsChild>
                <w:div w:id="1360593520">
                  <w:marLeft w:val="0"/>
                  <w:marRight w:val="0"/>
                  <w:marTop w:val="0"/>
                  <w:marBottom w:val="0"/>
                  <w:divBdr>
                    <w:top w:val="none" w:sz="0" w:space="0" w:color="auto"/>
                    <w:left w:val="none" w:sz="0" w:space="0" w:color="auto"/>
                    <w:bottom w:val="none" w:sz="0" w:space="0" w:color="auto"/>
                    <w:right w:val="none" w:sz="0" w:space="0" w:color="auto"/>
                  </w:divBdr>
                  <w:divsChild>
                    <w:div w:id="1135294106">
                      <w:marLeft w:val="0"/>
                      <w:marRight w:val="0"/>
                      <w:marTop w:val="0"/>
                      <w:marBottom w:val="0"/>
                      <w:divBdr>
                        <w:top w:val="none" w:sz="0" w:space="0" w:color="auto"/>
                        <w:left w:val="none" w:sz="0" w:space="0" w:color="auto"/>
                        <w:bottom w:val="none" w:sz="0" w:space="0" w:color="auto"/>
                        <w:right w:val="none" w:sz="0" w:space="0" w:color="auto"/>
                      </w:divBdr>
                      <w:divsChild>
                        <w:div w:id="383867652">
                          <w:marLeft w:val="0"/>
                          <w:marRight w:val="0"/>
                          <w:marTop w:val="161"/>
                          <w:marBottom w:val="129"/>
                          <w:divBdr>
                            <w:top w:val="single" w:sz="4" w:space="0" w:color="D7D7D7"/>
                            <w:left w:val="single" w:sz="2" w:space="0" w:color="D7D7D7"/>
                            <w:bottom w:val="single" w:sz="4" w:space="0" w:color="D7D7D7"/>
                            <w:right w:val="single" w:sz="2" w:space="0" w:color="D7D7D7"/>
                          </w:divBdr>
                          <w:divsChild>
                            <w:div w:id="34165339">
                              <w:marLeft w:val="0"/>
                              <w:marRight w:val="0"/>
                              <w:marTop w:val="0"/>
                              <w:marBottom w:val="0"/>
                              <w:divBdr>
                                <w:top w:val="none" w:sz="0" w:space="0" w:color="auto"/>
                                <w:left w:val="none" w:sz="0" w:space="0" w:color="auto"/>
                                <w:bottom w:val="none" w:sz="0" w:space="0" w:color="auto"/>
                                <w:right w:val="none" w:sz="0" w:space="0" w:color="auto"/>
                              </w:divBdr>
                              <w:divsChild>
                                <w:div w:id="3042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231330">
      <w:bodyDiv w:val="1"/>
      <w:marLeft w:val="0"/>
      <w:marRight w:val="0"/>
      <w:marTop w:val="0"/>
      <w:marBottom w:val="0"/>
      <w:divBdr>
        <w:top w:val="none" w:sz="0" w:space="0" w:color="auto"/>
        <w:left w:val="none" w:sz="0" w:space="0" w:color="auto"/>
        <w:bottom w:val="none" w:sz="0" w:space="0" w:color="auto"/>
        <w:right w:val="none" w:sz="0" w:space="0" w:color="auto"/>
      </w:divBdr>
      <w:divsChild>
        <w:div w:id="2001497707">
          <w:marLeft w:val="0"/>
          <w:marRight w:val="0"/>
          <w:marTop w:val="0"/>
          <w:marBottom w:val="0"/>
          <w:divBdr>
            <w:top w:val="single" w:sz="2" w:space="0" w:color="2E2E2E"/>
            <w:left w:val="single" w:sz="2" w:space="0" w:color="2E2E2E"/>
            <w:bottom w:val="single" w:sz="2" w:space="0" w:color="2E2E2E"/>
            <w:right w:val="single" w:sz="2" w:space="0" w:color="2E2E2E"/>
          </w:divBdr>
          <w:divsChild>
            <w:div w:id="1081101177">
              <w:marLeft w:val="0"/>
              <w:marRight w:val="0"/>
              <w:marTop w:val="0"/>
              <w:marBottom w:val="0"/>
              <w:divBdr>
                <w:top w:val="single" w:sz="4" w:space="0" w:color="C9C9C9"/>
                <w:left w:val="none" w:sz="0" w:space="0" w:color="auto"/>
                <w:bottom w:val="none" w:sz="0" w:space="0" w:color="auto"/>
                <w:right w:val="none" w:sz="0" w:space="0" w:color="auto"/>
              </w:divBdr>
              <w:divsChild>
                <w:div w:id="1052652009">
                  <w:marLeft w:val="0"/>
                  <w:marRight w:val="0"/>
                  <w:marTop w:val="0"/>
                  <w:marBottom w:val="0"/>
                  <w:divBdr>
                    <w:top w:val="none" w:sz="0" w:space="0" w:color="auto"/>
                    <w:left w:val="none" w:sz="0" w:space="0" w:color="auto"/>
                    <w:bottom w:val="none" w:sz="0" w:space="0" w:color="auto"/>
                    <w:right w:val="none" w:sz="0" w:space="0" w:color="auto"/>
                  </w:divBdr>
                  <w:divsChild>
                    <w:div w:id="1802847288">
                      <w:marLeft w:val="0"/>
                      <w:marRight w:val="0"/>
                      <w:marTop w:val="0"/>
                      <w:marBottom w:val="0"/>
                      <w:divBdr>
                        <w:top w:val="none" w:sz="0" w:space="0" w:color="auto"/>
                        <w:left w:val="none" w:sz="0" w:space="0" w:color="auto"/>
                        <w:bottom w:val="none" w:sz="0" w:space="0" w:color="auto"/>
                        <w:right w:val="none" w:sz="0" w:space="0" w:color="auto"/>
                      </w:divBdr>
                      <w:divsChild>
                        <w:div w:id="822281723">
                          <w:marLeft w:val="0"/>
                          <w:marRight w:val="0"/>
                          <w:marTop w:val="161"/>
                          <w:marBottom w:val="129"/>
                          <w:divBdr>
                            <w:top w:val="single" w:sz="4" w:space="0" w:color="D7D7D7"/>
                            <w:left w:val="single" w:sz="2" w:space="0" w:color="D7D7D7"/>
                            <w:bottom w:val="single" w:sz="4" w:space="0" w:color="D7D7D7"/>
                            <w:right w:val="single" w:sz="2" w:space="0" w:color="D7D7D7"/>
                          </w:divBdr>
                          <w:divsChild>
                            <w:div w:id="1469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65960">
      <w:bodyDiv w:val="1"/>
      <w:marLeft w:val="0"/>
      <w:marRight w:val="0"/>
      <w:marTop w:val="0"/>
      <w:marBottom w:val="0"/>
      <w:divBdr>
        <w:top w:val="none" w:sz="0" w:space="0" w:color="auto"/>
        <w:left w:val="none" w:sz="0" w:space="0" w:color="auto"/>
        <w:bottom w:val="none" w:sz="0" w:space="0" w:color="auto"/>
        <w:right w:val="none" w:sz="0" w:space="0" w:color="auto"/>
      </w:divBdr>
      <w:divsChild>
        <w:div w:id="444691643">
          <w:marLeft w:val="0"/>
          <w:marRight w:val="0"/>
          <w:marTop w:val="0"/>
          <w:marBottom w:val="0"/>
          <w:divBdr>
            <w:top w:val="single" w:sz="2" w:space="0" w:color="2E2E2E"/>
            <w:left w:val="single" w:sz="2" w:space="0" w:color="2E2E2E"/>
            <w:bottom w:val="single" w:sz="2" w:space="0" w:color="2E2E2E"/>
            <w:right w:val="single" w:sz="2" w:space="0" w:color="2E2E2E"/>
          </w:divBdr>
          <w:divsChild>
            <w:div w:id="542718627">
              <w:marLeft w:val="0"/>
              <w:marRight w:val="0"/>
              <w:marTop w:val="0"/>
              <w:marBottom w:val="0"/>
              <w:divBdr>
                <w:top w:val="single" w:sz="4" w:space="0" w:color="C9C9C9"/>
                <w:left w:val="none" w:sz="0" w:space="0" w:color="auto"/>
                <w:bottom w:val="none" w:sz="0" w:space="0" w:color="auto"/>
                <w:right w:val="none" w:sz="0" w:space="0" w:color="auto"/>
              </w:divBdr>
              <w:divsChild>
                <w:div w:id="1668433412">
                  <w:marLeft w:val="0"/>
                  <w:marRight w:val="0"/>
                  <w:marTop w:val="0"/>
                  <w:marBottom w:val="0"/>
                  <w:divBdr>
                    <w:top w:val="none" w:sz="0" w:space="0" w:color="auto"/>
                    <w:left w:val="none" w:sz="0" w:space="0" w:color="auto"/>
                    <w:bottom w:val="none" w:sz="0" w:space="0" w:color="auto"/>
                    <w:right w:val="none" w:sz="0" w:space="0" w:color="auto"/>
                  </w:divBdr>
                  <w:divsChild>
                    <w:div w:id="16650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9653">
      <w:bodyDiv w:val="1"/>
      <w:marLeft w:val="0"/>
      <w:marRight w:val="0"/>
      <w:marTop w:val="0"/>
      <w:marBottom w:val="0"/>
      <w:divBdr>
        <w:top w:val="none" w:sz="0" w:space="0" w:color="auto"/>
        <w:left w:val="none" w:sz="0" w:space="0" w:color="auto"/>
        <w:bottom w:val="none" w:sz="0" w:space="0" w:color="auto"/>
        <w:right w:val="none" w:sz="0" w:space="0" w:color="auto"/>
      </w:divBdr>
    </w:div>
    <w:div w:id="2136481271">
      <w:bodyDiv w:val="1"/>
      <w:marLeft w:val="0"/>
      <w:marRight w:val="0"/>
      <w:marTop w:val="0"/>
      <w:marBottom w:val="0"/>
      <w:divBdr>
        <w:top w:val="none" w:sz="0" w:space="0" w:color="auto"/>
        <w:left w:val="none" w:sz="0" w:space="0" w:color="auto"/>
        <w:bottom w:val="none" w:sz="0" w:space="0" w:color="auto"/>
        <w:right w:val="none" w:sz="0" w:space="0" w:color="auto"/>
      </w:divBdr>
      <w:divsChild>
        <w:div w:id="742292021">
          <w:marLeft w:val="0"/>
          <w:marRight w:val="0"/>
          <w:marTop w:val="0"/>
          <w:marBottom w:val="0"/>
          <w:divBdr>
            <w:top w:val="none" w:sz="0" w:space="0" w:color="auto"/>
            <w:left w:val="none" w:sz="0" w:space="0" w:color="auto"/>
            <w:bottom w:val="none" w:sz="0" w:space="0" w:color="auto"/>
            <w:right w:val="none" w:sz="0" w:space="0" w:color="auto"/>
          </w:divBdr>
          <w:divsChild>
            <w:div w:id="1257128525">
              <w:marLeft w:val="0"/>
              <w:marRight w:val="0"/>
              <w:marTop w:val="0"/>
              <w:marBottom w:val="0"/>
              <w:divBdr>
                <w:top w:val="none" w:sz="0" w:space="0" w:color="auto"/>
                <w:left w:val="none" w:sz="0" w:space="0" w:color="auto"/>
                <w:bottom w:val="none" w:sz="0" w:space="0" w:color="auto"/>
                <w:right w:val="none" w:sz="0" w:space="0" w:color="auto"/>
              </w:divBdr>
              <w:divsChild>
                <w:div w:id="898200739">
                  <w:marLeft w:val="0"/>
                  <w:marRight w:val="0"/>
                  <w:marTop w:val="0"/>
                  <w:marBottom w:val="0"/>
                  <w:divBdr>
                    <w:top w:val="none" w:sz="0" w:space="0" w:color="auto"/>
                    <w:left w:val="none" w:sz="0" w:space="0" w:color="auto"/>
                    <w:bottom w:val="none" w:sz="0" w:space="0" w:color="auto"/>
                    <w:right w:val="none" w:sz="0" w:space="0" w:color="auto"/>
                  </w:divBdr>
                  <w:divsChild>
                    <w:div w:id="467554197">
                      <w:marLeft w:val="0"/>
                      <w:marRight w:val="0"/>
                      <w:marTop w:val="0"/>
                      <w:marBottom w:val="0"/>
                      <w:divBdr>
                        <w:top w:val="none" w:sz="0" w:space="0" w:color="auto"/>
                        <w:left w:val="none" w:sz="0" w:space="0" w:color="auto"/>
                        <w:bottom w:val="none" w:sz="0" w:space="0" w:color="auto"/>
                        <w:right w:val="none" w:sz="0" w:space="0" w:color="auto"/>
                      </w:divBdr>
                      <w:divsChild>
                        <w:div w:id="1818759897">
                          <w:marLeft w:val="0"/>
                          <w:marRight w:val="0"/>
                          <w:marTop w:val="0"/>
                          <w:marBottom w:val="0"/>
                          <w:divBdr>
                            <w:top w:val="none" w:sz="0" w:space="0" w:color="auto"/>
                            <w:left w:val="none" w:sz="0" w:space="0" w:color="auto"/>
                            <w:bottom w:val="none" w:sz="0" w:space="0" w:color="auto"/>
                            <w:right w:val="none" w:sz="0" w:space="0" w:color="auto"/>
                          </w:divBdr>
                          <w:divsChild>
                            <w:div w:id="996766224">
                              <w:marLeft w:val="0"/>
                              <w:marRight w:val="0"/>
                              <w:marTop w:val="0"/>
                              <w:marBottom w:val="0"/>
                              <w:divBdr>
                                <w:top w:val="none" w:sz="0" w:space="0" w:color="auto"/>
                                <w:left w:val="none" w:sz="0" w:space="0" w:color="auto"/>
                                <w:bottom w:val="none" w:sz="0" w:space="0" w:color="auto"/>
                                <w:right w:val="none" w:sz="0" w:space="0" w:color="auto"/>
                              </w:divBdr>
                              <w:divsChild>
                                <w:div w:id="105124480">
                                  <w:marLeft w:val="0"/>
                                  <w:marRight w:val="0"/>
                                  <w:marTop w:val="0"/>
                                  <w:marBottom w:val="0"/>
                                  <w:divBdr>
                                    <w:top w:val="none" w:sz="0" w:space="0" w:color="auto"/>
                                    <w:left w:val="none" w:sz="0" w:space="0" w:color="auto"/>
                                    <w:bottom w:val="none" w:sz="0" w:space="0" w:color="auto"/>
                                    <w:right w:val="none" w:sz="0" w:space="0" w:color="auto"/>
                                  </w:divBdr>
                                  <w:divsChild>
                                    <w:div w:id="20600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8-westgard-rules-in-chemistry.pdf" TargetMode="External"/><Relationship Id="rId18" Type="http://schemas.openxmlformats.org/officeDocument/2006/relationships/hyperlink" Target="mailto:customersupport@ark-tdm.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rk-tdm.com" TargetMode="External"/><Relationship Id="rId7" Type="http://schemas.openxmlformats.org/officeDocument/2006/relationships/styles" Target="styles.xml"/><Relationship Id="rId12" Type="http://schemas.openxmlformats.org/officeDocument/2006/relationships/hyperlink" Target="https://starnet.childrenshc.org/References/labsop/chem/procedure/ch5.109-abbott-alinity-ci-operating-procedure.pdf" TargetMode="External"/><Relationship Id="rId17" Type="http://schemas.openxmlformats.org/officeDocument/2006/relationships/hyperlink" Target="https://starnet.childrenshc.org/References/labsop/chem/procedure/ch5.109-abbott-alinity-ci-operating-procedur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net.childrenshc.org/References/labsop/chem/quality/ch-2.03-dilution-preparation.pdf" TargetMode="External"/><Relationship Id="rId20" Type="http://schemas.openxmlformats.org/officeDocument/2006/relationships/hyperlink" Target="mailto:customersupport@ark-td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ustomersupport@ark-tdm.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 Id="rId22"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2021-06-14T05:00:00+00:00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F6TN54CWY5RS-50183619-31803</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CH6.111 Methotrexate on Vista 500</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2017-05-08T05:00:00+00:00</Content_x0020_Release_x0020_Date>
    <Summary xmlns="199f0838-75a6-4f0c-9be1-f2c07140bccc">Modified Linda's procedure for Go-Live 5/8/17 ERB
Went live on May 26, 2017.  Changed Specimen type to serum, no gel on 5/26/17 due to comparison with U of M. ERB
Updated QC for URT and package insert revision date. 6/14/19 KB</Summary>
    <SubTitle xmlns="199f0838-75a6-4f0c-9be1-f2c07140bccc" xsi:nil="true"/>
    <_dlc_DocIdUrl xmlns="199f0838-75a6-4f0c-9be1-f2c07140bccc">
      <Url>http://vcpsharepoint2/references/_layouts/15/DocIdRedir.aspx?ID=F6TN54CWY5RS-50183619-31803</Url>
      <Description>F6TN54CWY5RS-50183619-31803</Description>
    </_dlc_DocIdUrl>
    <Study_x0020_Status xmlns="c1848e11-9cf6-4ce4-877e-6837d2c2fa23" xsi:nil="true"/>
    <Meta_x0020_Page_x0020_Description xmlns="199f0838-75a6-4f0c-9be1-f2c07140bc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B9886-CA25-4D0B-95C9-9E52B24A9860}">
  <ds:schemaRefs>
    <ds:schemaRef ds:uri="http://schemas.microsoft.com/sharepoint.v3"/>
    <ds:schemaRef ds:uri="http://schemas.microsoft.com/office/2006/documentManagement/types"/>
    <ds:schemaRef ds:uri="http://www.w3.org/XML/1998/namespace"/>
    <ds:schemaRef ds:uri="http://purl.org/dc/dcmitype/"/>
    <ds:schemaRef ds:uri="199f0838-75a6-4f0c-9be1-f2c07140bccc"/>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sharepoint/v3/fields"/>
    <ds:schemaRef ds:uri="c1848e11-9cf6-4ce4-877e-6837d2c2fa2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F490FCE-9905-4D7F-8B18-4529D9175C04}">
  <ds:schemaRefs>
    <ds:schemaRef ds:uri="http://schemas.microsoft.com/sharepoint/v3/contenttype/forms"/>
  </ds:schemaRefs>
</ds:datastoreItem>
</file>

<file path=customXml/itemProps3.xml><?xml version="1.0" encoding="utf-8"?>
<ds:datastoreItem xmlns:ds="http://schemas.openxmlformats.org/officeDocument/2006/customXml" ds:itemID="{09DF0F4C-B24C-4F91-B9C5-04A5B6E57AAA}">
  <ds:schemaRefs>
    <ds:schemaRef ds:uri="http://schemas.microsoft.com/sharepoint/events"/>
  </ds:schemaRefs>
</ds:datastoreItem>
</file>

<file path=customXml/itemProps4.xml><?xml version="1.0" encoding="utf-8"?>
<ds:datastoreItem xmlns:ds="http://schemas.openxmlformats.org/officeDocument/2006/customXml" ds:itemID="{1E8EC711-FD1D-464D-9B14-E32E41ED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9AFB5-0ECE-42EC-8CC3-F6F0D684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2435</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CH 6.111 Methotrexate on Vista 500</vt:lpstr>
    </vt:vector>
  </TitlesOfParts>
  <Company>Children's Hospitals and Clinics of MN</Company>
  <LinksUpToDate>false</LinksUpToDate>
  <CharactersWithSpaces>17546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6.111 Methotrexate on Vista 500</dc:title>
  <dc:creator>Linda Lichty</dc:creator>
  <dc:description/>
  <cp:lastModifiedBy>Erin Bartos</cp:lastModifiedBy>
  <cp:revision>4</cp:revision>
  <cp:lastPrinted>2016-06-23T16:52:00Z</cp:lastPrinted>
  <dcterms:created xsi:type="dcterms:W3CDTF">2020-10-24T12:09:00Z</dcterms:created>
  <dcterms:modified xsi:type="dcterms:W3CDTF">2020-10-24T13:45:00Z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67e8bd06-4919-4f6c-b55f-6924ca7b8014</vt:lpwstr>
  </property>
  <property fmtid="{D5CDD505-2E9C-101B-9397-08002B2CF9AE}" pid="4" name="WorkflowChangePath">
    <vt:lpwstr>85493ae8-44a3-4172-9f61-0b2d9e19d9ef,34;</vt:lpwstr>
  </property>
</Properties>
</file>