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3F06E2">
        <w:trPr>
          <w:tblHeader/>
        </w:trPr>
        <w:tc>
          <w:tcPr>
            <w:tcW w:w="11160" w:type="dxa"/>
            <w:gridSpan w:val="5"/>
            <w:tcBorders>
              <w:top w:val="nil"/>
              <w:left w:val="nil"/>
              <w:bottom w:val="nil"/>
              <w:right w:val="nil"/>
            </w:tcBorders>
          </w:tcPr>
          <w:p w:rsidR="00E3253B" w:rsidRDefault="00F236AF">
            <w:pPr>
              <w:rPr>
                <w:rFonts w:cs="Arial"/>
                <w:b/>
                <w:bCs/>
                <w:color w:val="0000FF"/>
                <w:sz w:val="36"/>
              </w:rPr>
            </w:pPr>
            <w:r>
              <w:rPr>
                <w:rFonts w:cs="Arial"/>
                <w:b/>
                <w:bCs/>
                <w:color w:val="0000FF"/>
                <w:sz w:val="36"/>
              </w:rPr>
              <w:t>Glucose</w:t>
            </w:r>
          </w:p>
          <w:p w:rsidR="00E3253B" w:rsidRDefault="00E3253B">
            <w:pPr>
              <w:rPr>
                <w:rFonts w:cs="Arial"/>
                <w:b/>
                <w:bCs/>
                <w:color w:val="0000FF"/>
              </w:rPr>
            </w:pPr>
          </w:p>
        </w:tc>
      </w:tr>
      <w:tr w:rsidR="00E3253B" w:rsidTr="003F06E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370B0F">
              <w:rPr>
                <w:rStyle w:val="A7"/>
                <w:rFonts w:cs="Arial"/>
                <w:b w:val="0"/>
                <w:bCs w:val="0"/>
                <w:sz w:val="20"/>
                <w:szCs w:val="20"/>
              </w:rPr>
              <w:t>GLUCOSE</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44227A">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370B0F">
              <w:rPr>
                <w:rFonts w:cs="Arial"/>
                <w:szCs w:val="20"/>
              </w:rPr>
              <w:t>glucose</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370B0F">
              <w:rPr>
                <w:rFonts w:cs="Arial"/>
                <w:szCs w:val="20"/>
              </w:rPr>
              <w:t>glucose</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817429">
              <w:rPr>
                <w:rFonts w:cs="Arial"/>
                <w:szCs w:val="20"/>
              </w:rPr>
              <w:t>chemistry analyzers, and in human body fluids: CSF, pericardial, peritoneal, and chest fluid.</w:t>
            </w:r>
          </w:p>
          <w:p w:rsidR="00E3253B" w:rsidRPr="00DC7421" w:rsidRDefault="00E3253B">
            <w:pPr>
              <w:rPr>
                <w:rFonts w:cs="Arial"/>
                <w:szCs w:val="20"/>
              </w:rPr>
            </w:pPr>
          </w:p>
        </w:tc>
      </w:tr>
      <w:tr w:rsidR="00E3253B" w:rsidTr="003F06E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370B0F" w:rsidRDefault="00370B0F" w:rsidP="00370B0F">
            <w:pPr>
              <w:autoSpaceDE w:val="0"/>
              <w:autoSpaceDN w:val="0"/>
              <w:adjustRightInd w:val="0"/>
              <w:rPr>
                <w:rFonts w:cs="Arial"/>
                <w:color w:val="000000"/>
                <w:szCs w:val="20"/>
              </w:rPr>
            </w:pPr>
            <w:r w:rsidRPr="00370B0F">
              <w:rPr>
                <w:rFonts w:cs="Arial"/>
                <w:color w:val="000000"/>
                <w:szCs w:val="20"/>
              </w:rPr>
              <w:t>Glucose is phosphorylated by hexokinase (HK) in the presence</w:t>
            </w:r>
            <w:r>
              <w:rPr>
                <w:rFonts w:cs="Arial"/>
                <w:color w:val="000000"/>
                <w:szCs w:val="20"/>
              </w:rPr>
              <w:t xml:space="preserve"> </w:t>
            </w:r>
            <w:r w:rsidRPr="00370B0F">
              <w:rPr>
                <w:rFonts w:cs="Arial"/>
                <w:color w:val="000000"/>
                <w:szCs w:val="20"/>
              </w:rPr>
              <w:t>of adenosine triphosphate (ATP) and magnesium ions to produce</w:t>
            </w:r>
            <w:r>
              <w:rPr>
                <w:rFonts w:cs="Arial"/>
                <w:color w:val="000000"/>
                <w:szCs w:val="20"/>
              </w:rPr>
              <w:t xml:space="preserve"> </w:t>
            </w:r>
            <w:r w:rsidRPr="00370B0F">
              <w:rPr>
                <w:rFonts w:cs="Arial"/>
                <w:color w:val="000000"/>
                <w:szCs w:val="20"/>
              </w:rPr>
              <w:t>glucose-6-phosphate (G-6-P) and adenosine diphosphate (ADP).</w:t>
            </w:r>
            <w:r>
              <w:rPr>
                <w:rFonts w:cs="Arial"/>
                <w:color w:val="000000"/>
                <w:szCs w:val="20"/>
              </w:rPr>
              <w:t xml:space="preserve">  </w:t>
            </w:r>
            <w:r w:rsidRPr="00370B0F">
              <w:rPr>
                <w:rFonts w:cs="Arial"/>
                <w:color w:val="000000"/>
                <w:szCs w:val="20"/>
              </w:rPr>
              <w:t>Glucose-6-phosphate dehydrogenase (G-6-PDH) specifically oxidizes</w:t>
            </w:r>
            <w:r>
              <w:rPr>
                <w:rFonts w:cs="Arial"/>
                <w:color w:val="000000"/>
                <w:szCs w:val="20"/>
              </w:rPr>
              <w:t xml:space="preserve"> </w:t>
            </w:r>
            <w:r w:rsidRPr="00370B0F">
              <w:rPr>
                <w:rFonts w:cs="Arial"/>
                <w:color w:val="000000"/>
                <w:szCs w:val="20"/>
              </w:rPr>
              <w:t>G-6-P to 6-phosphogluconate with the concurrent reduction of</w:t>
            </w:r>
            <w:r>
              <w:rPr>
                <w:rFonts w:cs="Arial"/>
                <w:color w:val="000000"/>
                <w:szCs w:val="20"/>
              </w:rPr>
              <w:t xml:space="preserve"> </w:t>
            </w:r>
            <w:r w:rsidRPr="00370B0F">
              <w:rPr>
                <w:rFonts w:cs="Arial"/>
                <w:color w:val="000000"/>
                <w:szCs w:val="20"/>
              </w:rPr>
              <w:t>nicotinamide adenine dinucleotide (NAD) to nicotinamide adenine</w:t>
            </w:r>
            <w:r>
              <w:rPr>
                <w:rFonts w:cs="Arial"/>
                <w:color w:val="000000"/>
                <w:szCs w:val="20"/>
              </w:rPr>
              <w:t xml:space="preserve"> </w:t>
            </w:r>
            <w:r w:rsidRPr="00370B0F">
              <w:rPr>
                <w:rFonts w:cs="Arial"/>
                <w:color w:val="000000"/>
                <w:szCs w:val="20"/>
              </w:rPr>
              <w:t xml:space="preserve">dinucleotide reduced (NADH). </w:t>
            </w:r>
            <w:r>
              <w:rPr>
                <w:rFonts w:cs="Arial"/>
                <w:color w:val="000000"/>
                <w:szCs w:val="20"/>
              </w:rPr>
              <w:t xml:space="preserve"> </w:t>
            </w:r>
            <w:r w:rsidRPr="00370B0F">
              <w:rPr>
                <w:rFonts w:cs="Arial"/>
                <w:color w:val="000000"/>
                <w:szCs w:val="20"/>
              </w:rPr>
              <w:t>One micromole of NADH is produced</w:t>
            </w:r>
            <w:r>
              <w:rPr>
                <w:rFonts w:cs="Arial"/>
                <w:color w:val="000000"/>
                <w:szCs w:val="20"/>
              </w:rPr>
              <w:t xml:space="preserve"> for each micromole of glucose c</w:t>
            </w:r>
            <w:r w:rsidRPr="00370B0F">
              <w:rPr>
                <w:rFonts w:cs="Arial"/>
                <w:color w:val="000000"/>
                <w:szCs w:val="20"/>
              </w:rPr>
              <w:t xml:space="preserve">onsumed. </w:t>
            </w:r>
            <w:r>
              <w:rPr>
                <w:rFonts w:cs="Arial"/>
                <w:color w:val="000000"/>
                <w:szCs w:val="20"/>
              </w:rPr>
              <w:t xml:space="preserve"> </w:t>
            </w:r>
            <w:r w:rsidRPr="00370B0F">
              <w:rPr>
                <w:rFonts w:cs="Arial"/>
                <w:color w:val="000000"/>
                <w:szCs w:val="20"/>
              </w:rPr>
              <w:t>The NADH produced</w:t>
            </w:r>
            <w:r>
              <w:rPr>
                <w:rFonts w:cs="Arial"/>
                <w:color w:val="000000"/>
                <w:szCs w:val="20"/>
              </w:rPr>
              <w:t xml:space="preserve"> </w:t>
            </w:r>
            <w:r w:rsidRPr="00370B0F">
              <w:rPr>
                <w:rFonts w:cs="Arial"/>
                <w:color w:val="000000"/>
                <w:szCs w:val="20"/>
              </w:rPr>
              <w:t>absorbs light at 340 nm and can be detected spectrophotometrically</w:t>
            </w:r>
            <w:r>
              <w:rPr>
                <w:rFonts w:cs="Arial"/>
                <w:color w:val="000000"/>
                <w:szCs w:val="20"/>
              </w:rPr>
              <w:t xml:space="preserve"> </w:t>
            </w:r>
            <w:r w:rsidRPr="00370B0F">
              <w:rPr>
                <w:rFonts w:cs="Arial"/>
                <w:color w:val="000000"/>
                <w:szCs w:val="20"/>
              </w:rPr>
              <w:t>as an increased absorbance.</w:t>
            </w:r>
          </w:p>
          <w:p w:rsidR="00370B0F" w:rsidRPr="00370B0F" w:rsidRDefault="00370B0F" w:rsidP="00370B0F">
            <w:pPr>
              <w:autoSpaceDE w:val="0"/>
              <w:autoSpaceDN w:val="0"/>
              <w:adjustRightInd w:val="0"/>
              <w:rPr>
                <w:rFonts w:cs="Arial"/>
                <w:color w:val="000000"/>
                <w:szCs w:val="20"/>
              </w:rPr>
            </w:pPr>
          </w:p>
          <w:p w:rsidR="003E168B" w:rsidRDefault="00370B0F" w:rsidP="00370B0F">
            <w:pPr>
              <w:pStyle w:val="Header"/>
              <w:tabs>
                <w:tab w:val="clear" w:pos="4320"/>
                <w:tab w:val="clear" w:pos="8640"/>
              </w:tabs>
              <w:rPr>
                <w:rFonts w:cs="Arial"/>
                <w:color w:val="000000"/>
                <w:szCs w:val="20"/>
              </w:rPr>
            </w:pPr>
            <w:r w:rsidRPr="00370B0F">
              <w:rPr>
                <w:rFonts w:cs="Arial"/>
                <w:color w:val="000000"/>
                <w:szCs w:val="20"/>
              </w:rPr>
              <w:t>Methodology: Enzymatic (Hexokinase/G-6-PDH)</w:t>
            </w:r>
          </w:p>
          <w:p w:rsidR="00370B0F" w:rsidRPr="00DC7421" w:rsidRDefault="00370B0F" w:rsidP="00370B0F">
            <w:pPr>
              <w:pStyle w:val="Header"/>
              <w:tabs>
                <w:tab w:val="clear" w:pos="4320"/>
                <w:tab w:val="clear" w:pos="8640"/>
              </w:tabs>
              <w:rPr>
                <w:rFonts w:cs="Arial"/>
                <w:color w:val="000000"/>
                <w:szCs w:val="20"/>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370B0F" w:rsidRPr="00370B0F" w:rsidRDefault="00370B0F" w:rsidP="00370B0F">
            <w:pPr>
              <w:pStyle w:val="Pa5"/>
              <w:spacing w:after="120"/>
              <w:rPr>
                <w:rFonts w:ascii="Arial" w:hAnsi="Arial" w:cs="Arial"/>
                <w:color w:val="000000"/>
                <w:sz w:val="20"/>
                <w:szCs w:val="20"/>
              </w:rPr>
            </w:pPr>
            <w:r w:rsidRPr="00370B0F">
              <w:rPr>
                <w:rFonts w:ascii="Arial" w:hAnsi="Arial" w:cs="Arial"/>
                <w:color w:val="000000"/>
                <w:sz w:val="20"/>
                <w:szCs w:val="20"/>
              </w:rPr>
              <w:t>Blood glucose determinations ar</w:t>
            </w:r>
            <w:r>
              <w:rPr>
                <w:rFonts w:ascii="Arial" w:hAnsi="Arial" w:cs="Arial"/>
                <w:color w:val="000000"/>
                <w:sz w:val="20"/>
                <w:szCs w:val="20"/>
              </w:rPr>
              <w:t xml:space="preserve">e the most frequently performed </w:t>
            </w:r>
            <w:r w:rsidRPr="00370B0F">
              <w:rPr>
                <w:rFonts w:ascii="Arial" w:hAnsi="Arial" w:cs="Arial"/>
                <w:color w:val="000000"/>
                <w:sz w:val="20"/>
                <w:szCs w:val="20"/>
              </w:rPr>
              <w:t>clinical chemistry laboratory procedures, commonly used as an</w:t>
            </w:r>
            <w:r>
              <w:rPr>
                <w:rFonts w:ascii="Arial" w:hAnsi="Arial" w:cs="Arial"/>
                <w:color w:val="000000"/>
                <w:sz w:val="20"/>
                <w:szCs w:val="20"/>
              </w:rPr>
              <w:t xml:space="preserve"> </w:t>
            </w:r>
            <w:r w:rsidRPr="00370B0F">
              <w:rPr>
                <w:rFonts w:ascii="Arial" w:hAnsi="Arial" w:cs="Arial"/>
                <w:color w:val="000000"/>
                <w:sz w:val="20"/>
                <w:szCs w:val="20"/>
              </w:rPr>
              <w:t xml:space="preserve">aid in the diagnosis and treatment of diabetes. </w:t>
            </w:r>
            <w:r>
              <w:rPr>
                <w:rFonts w:ascii="Arial" w:hAnsi="Arial" w:cs="Arial"/>
                <w:color w:val="000000"/>
                <w:sz w:val="20"/>
                <w:szCs w:val="20"/>
              </w:rPr>
              <w:t xml:space="preserve"> </w:t>
            </w:r>
            <w:r w:rsidRPr="00370B0F">
              <w:rPr>
                <w:rFonts w:ascii="Arial" w:hAnsi="Arial" w:cs="Arial"/>
                <w:color w:val="000000"/>
                <w:sz w:val="20"/>
                <w:szCs w:val="20"/>
              </w:rPr>
              <w:t>Elevated glucose</w:t>
            </w:r>
            <w:r>
              <w:rPr>
                <w:rFonts w:ascii="Arial" w:hAnsi="Arial" w:cs="Arial"/>
                <w:color w:val="000000"/>
                <w:sz w:val="20"/>
                <w:szCs w:val="20"/>
              </w:rPr>
              <w:t xml:space="preserve"> </w:t>
            </w:r>
            <w:r w:rsidRPr="00370B0F">
              <w:rPr>
                <w:rFonts w:ascii="Arial" w:hAnsi="Arial" w:cs="Arial"/>
                <w:color w:val="000000"/>
                <w:sz w:val="20"/>
                <w:szCs w:val="20"/>
              </w:rPr>
              <w:t xml:space="preserve">levels (hyperglycemia) may also occur with pancreatic neoplasm/pancreatitis, hyperthyroidism, adrenal cortical </w:t>
            </w:r>
            <w:proofErr w:type="spellStart"/>
            <w:r w:rsidRPr="00370B0F">
              <w:rPr>
                <w:rFonts w:ascii="Arial" w:hAnsi="Arial" w:cs="Arial"/>
                <w:color w:val="000000"/>
                <w:sz w:val="20"/>
                <w:szCs w:val="20"/>
              </w:rPr>
              <w:t>hyperfunction</w:t>
            </w:r>
            <w:proofErr w:type="spellEnd"/>
            <w:r w:rsidRPr="00370B0F">
              <w:rPr>
                <w:rFonts w:ascii="Arial" w:hAnsi="Arial" w:cs="Arial"/>
                <w:color w:val="000000"/>
                <w:sz w:val="20"/>
                <w:szCs w:val="20"/>
              </w:rPr>
              <w:t xml:space="preserve">, </w:t>
            </w:r>
            <w:r w:rsidRPr="00370B0F">
              <w:rPr>
                <w:rFonts w:ascii="Arial" w:hAnsi="Arial" w:cs="Arial"/>
                <w:sz w:val="20"/>
                <w:szCs w:val="20"/>
              </w:rPr>
              <w:t>non-fasting specimen</w:t>
            </w:r>
            <w:r w:rsidR="00817429">
              <w:rPr>
                <w:rFonts w:ascii="Arial" w:hAnsi="Arial" w:cs="Arial"/>
                <w:sz w:val="20"/>
                <w:szCs w:val="20"/>
              </w:rPr>
              <w:t>s</w:t>
            </w:r>
            <w:r w:rsidRPr="00370B0F">
              <w:rPr>
                <w:rFonts w:ascii="Arial" w:hAnsi="Arial" w:cs="Arial"/>
                <w:sz w:val="20"/>
                <w:szCs w:val="20"/>
              </w:rPr>
              <w:t>, recent or current IV infusions of glucose, stress states, Cushing’s disease, acr</w:t>
            </w:r>
            <w:r>
              <w:rPr>
                <w:rFonts w:ascii="Arial" w:hAnsi="Arial" w:cs="Arial"/>
                <w:sz w:val="20"/>
                <w:szCs w:val="20"/>
              </w:rPr>
              <w:t>omegaly, liver disease</w:t>
            </w:r>
            <w:r w:rsidRPr="00370B0F">
              <w:rPr>
                <w:rFonts w:ascii="Arial" w:hAnsi="Arial" w:cs="Arial"/>
                <w:sz w:val="20"/>
                <w:szCs w:val="20"/>
              </w:rPr>
              <w:t>, and effects of many medications.</w:t>
            </w:r>
          </w:p>
          <w:p w:rsidR="00370B0F" w:rsidRDefault="00370B0F" w:rsidP="00370B0F"/>
          <w:p w:rsidR="00370B0F" w:rsidRDefault="00370B0F" w:rsidP="00370B0F">
            <w:r>
              <w:t>Hypoglycemia has numerous causes including, excessive insulin therapy, vari</w:t>
            </w:r>
            <w:r w:rsidR="004B5D63">
              <w:t>ous tumors, Addison’s disease, a</w:t>
            </w:r>
            <w:r>
              <w:t>drenal insufficiency, hypopituitarism, medication therapies, and liver damage.</w:t>
            </w:r>
          </w:p>
          <w:p w:rsidR="00817429" w:rsidRDefault="00817429" w:rsidP="00370B0F"/>
          <w:p w:rsidR="00817429" w:rsidRDefault="00817429" w:rsidP="00370B0F">
            <w:r>
              <w:t>No claims are made regarding the significance or reference intervals for glucose in body fluids.</w:t>
            </w:r>
          </w:p>
          <w:p w:rsidR="004B5D63" w:rsidRPr="00370B0F" w:rsidRDefault="004B5D63" w:rsidP="00370B0F"/>
        </w:tc>
      </w:tr>
      <w:tr w:rsidR="00E3253B" w:rsidTr="003F06E2">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817429"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817429">
              <w:rPr>
                <w:rFonts w:cs="Arial"/>
                <w:b/>
                <w:bCs/>
                <w:color w:val="7030A0"/>
                <w:szCs w:val="20"/>
              </w:rPr>
              <w:t xml:space="preserve"> and Minneapolis Alinity ci (Sunquest test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2971E2">
              <w:rPr>
                <w:rFonts w:cs="Arial"/>
                <w:b/>
                <w:bCs/>
                <w:color w:val="984806" w:themeColor="accent6" w:themeShade="80"/>
                <w:szCs w:val="20"/>
              </w:rPr>
              <w:t xml:space="preserve">, Abbott Alinity c (Sunquest method code: </w:t>
            </w:r>
            <w:r w:rsidR="007D4CC0">
              <w:rPr>
                <w:rFonts w:cs="Arial"/>
                <w:b/>
                <w:bCs/>
                <w:color w:val="984806" w:themeColor="accent6" w:themeShade="80"/>
                <w:szCs w:val="20"/>
              </w:rPr>
              <w:t>SALIC</w:t>
            </w:r>
            <w:r w:rsidR="002971E2">
              <w:rPr>
                <w:rFonts w:cs="Arial"/>
                <w:b/>
                <w:bCs/>
                <w:color w:val="984806" w:themeColor="accent6" w:themeShade="80"/>
                <w:szCs w:val="20"/>
              </w:rPr>
              <w:t>)</w:t>
            </w:r>
          </w:p>
        </w:tc>
      </w:tr>
      <w:tr w:rsidR="00E3253B" w:rsidTr="003F06E2">
        <w:trPr>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817429" w:rsidRDefault="00817429" w:rsidP="00370B0F">
            <w:r w:rsidRPr="00817429">
              <w:rPr>
                <w:b/>
              </w:rPr>
              <w:t>FGLU</w:t>
            </w:r>
            <w:r>
              <w:t>: Glucose, body fluid (performed on Minneapolis Alinity ci, MACC, only.)</w:t>
            </w:r>
          </w:p>
          <w:p w:rsidR="00817429" w:rsidRDefault="00817429" w:rsidP="00370B0F">
            <w:r>
              <w:rPr>
                <w:b/>
              </w:rPr>
              <w:t>CGL:</w:t>
            </w:r>
            <w:r>
              <w:t xml:space="preserve"> Glucose on spinal fluid.  (MACC and SALIC only.)</w:t>
            </w:r>
          </w:p>
          <w:tbl>
            <w:tblPr>
              <w:tblW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1440"/>
            </w:tblGrid>
            <w:tr w:rsidR="00817429" w:rsidTr="00C27F49">
              <w:trPr>
                <w:cantSplit/>
              </w:trPr>
              <w:tc>
                <w:tcPr>
                  <w:tcW w:w="2767" w:type="dxa"/>
                </w:tcPr>
                <w:p w:rsidR="00817429" w:rsidRDefault="00817429" w:rsidP="00817429">
                  <w:r>
                    <w:t>Glucose, serum or plasma</w:t>
                  </w:r>
                </w:p>
              </w:tc>
              <w:tc>
                <w:tcPr>
                  <w:tcW w:w="1440" w:type="dxa"/>
                </w:tcPr>
                <w:p w:rsidR="00817429" w:rsidRDefault="00817429" w:rsidP="00817429">
                  <w:pPr>
                    <w:pStyle w:val="Heading1"/>
                  </w:pPr>
                  <w:r>
                    <w:t>GLUC</w:t>
                  </w:r>
                </w:p>
              </w:tc>
            </w:tr>
            <w:tr w:rsidR="00817429" w:rsidTr="00C27F49">
              <w:trPr>
                <w:cantSplit/>
              </w:trPr>
              <w:tc>
                <w:tcPr>
                  <w:tcW w:w="2767" w:type="dxa"/>
                </w:tcPr>
                <w:p w:rsidR="00817429" w:rsidRDefault="00817429" w:rsidP="00817429">
                  <w:r>
                    <w:t>Glucose, CSF</w:t>
                  </w:r>
                </w:p>
              </w:tc>
              <w:tc>
                <w:tcPr>
                  <w:tcW w:w="1440" w:type="dxa"/>
                </w:tcPr>
                <w:p w:rsidR="00817429" w:rsidRDefault="00817429" w:rsidP="00817429">
                  <w:pPr>
                    <w:rPr>
                      <w:b/>
                      <w:bCs/>
                    </w:rPr>
                  </w:pPr>
                  <w:r>
                    <w:rPr>
                      <w:b/>
                      <w:bCs/>
                    </w:rPr>
                    <w:t>CGL</w:t>
                  </w:r>
                </w:p>
              </w:tc>
            </w:tr>
            <w:tr w:rsidR="00817429" w:rsidTr="00C27F49">
              <w:trPr>
                <w:cantSplit/>
              </w:trPr>
              <w:tc>
                <w:tcPr>
                  <w:tcW w:w="2767" w:type="dxa"/>
                </w:tcPr>
                <w:p w:rsidR="00817429" w:rsidRDefault="00817429" w:rsidP="00817429">
                  <w:r>
                    <w:t>Glucose, Random urine</w:t>
                  </w:r>
                </w:p>
              </w:tc>
              <w:tc>
                <w:tcPr>
                  <w:tcW w:w="1440" w:type="dxa"/>
                </w:tcPr>
                <w:p w:rsidR="00817429" w:rsidRDefault="00817429" w:rsidP="00817429">
                  <w:pPr>
                    <w:rPr>
                      <w:b/>
                      <w:bCs/>
                    </w:rPr>
                  </w:pPr>
                  <w:r>
                    <w:rPr>
                      <w:b/>
                      <w:bCs/>
                    </w:rPr>
                    <w:t>UGLR</w:t>
                  </w:r>
                </w:p>
              </w:tc>
            </w:tr>
            <w:tr w:rsidR="00817429" w:rsidTr="00C27F49">
              <w:trPr>
                <w:cantSplit/>
              </w:trPr>
              <w:tc>
                <w:tcPr>
                  <w:tcW w:w="2767" w:type="dxa"/>
                </w:tcPr>
                <w:p w:rsidR="00817429" w:rsidRDefault="00817429" w:rsidP="00817429">
                  <w:r>
                    <w:t>Glucose, Timed urine</w:t>
                  </w:r>
                </w:p>
              </w:tc>
              <w:tc>
                <w:tcPr>
                  <w:tcW w:w="1440" w:type="dxa"/>
                </w:tcPr>
                <w:p w:rsidR="00817429" w:rsidRDefault="00817429" w:rsidP="00817429">
                  <w:pPr>
                    <w:rPr>
                      <w:b/>
                      <w:bCs/>
                    </w:rPr>
                  </w:pPr>
                  <w:r>
                    <w:rPr>
                      <w:b/>
                      <w:bCs/>
                    </w:rPr>
                    <w:t>UGLQ</w:t>
                  </w:r>
                </w:p>
              </w:tc>
            </w:tr>
            <w:tr w:rsidR="00817429" w:rsidTr="00C27F49">
              <w:trPr>
                <w:cantSplit/>
              </w:trPr>
              <w:tc>
                <w:tcPr>
                  <w:tcW w:w="2767" w:type="dxa"/>
                </w:tcPr>
                <w:p w:rsidR="00817429" w:rsidRDefault="00817429" w:rsidP="00817429">
                  <w:r>
                    <w:t>Glucose, fasting</w:t>
                  </w:r>
                </w:p>
              </w:tc>
              <w:tc>
                <w:tcPr>
                  <w:tcW w:w="1440" w:type="dxa"/>
                </w:tcPr>
                <w:p w:rsidR="00817429" w:rsidRDefault="00817429" w:rsidP="00817429">
                  <w:pPr>
                    <w:rPr>
                      <w:b/>
                      <w:bCs/>
                    </w:rPr>
                  </w:pPr>
                  <w:r>
                    <w:rPr>
                      <w:b/>
                      <w:bCs/>
                    </w:rPr>
                    <w:t>GLF</w:t>
                  </w:r>
                </w:p>
              </w:tc>
            </w:tr>
            <w:tr w:rsidR="00817429" w:rsidTr="00C27F49">
              <w:trPr>
                <w:cantSplit/>
              </w:trPr>
              <w:tc>
                <w:tcPr>
                  <w:tcW w:w="2767" w:type="dxa"/>
                </w:tcPr>
                <w:p w:rsidR="00817429" w:rsidRDefault="00817429" w:rsidP="00817429">
                  <w:r>
                    <w:t>Glucose, 2 hour</w:t>
                  </w:r>
                </w:p>
              </w:tc>
              <w:tc>
                <w:tcPr>
                  <w:tcW w:w="1440" w:type="dxa"/>
                </w:tcPr>
                <w:p w:rsidR="00817429" w:rsidRDefault="00817429" w:rsidP="00817429">
                  <w:pPr>
                    <w:rPr>
                      <w:b/>
                      <w:bCs/>
                    </w:rPr>
                  </w:pPr>
                  <w:r>
                    <w:rPr>
                      <w:b/>
                      <w:bCs/>
                    </w:rPr>
                    <w:t>GT2</w:t>
                  </w:r>
                </w:p>
              </w:tc>
            </w:tr>
            <w:tr w:rsidR="00817429" w:rsidTr="00C27F49">
              <w:trPr>
                <w:cantSplit/>
              </w:trPr>
              <w:tc>
                <w:tcPr>
                  <w:tcW w:w="2767" w:type="dxa"/>
                </w:tcPr>
                <w:p w:rsidR="00817429" w:rsidRDefault="00817429" w:rsidP="00817429">
                  <w:r>
                    <w:t>Glucose, body fluid</w:t>
                  </w:r>
                </w:p>
              </w:tc>
              <w:tc>
                <w:tcPr>
                  <w:tcW w:w="1440" w:type="dxa"/>
                </w:tcPr>
                <w:p w:rsidR="00817429" w:rsidRDefault="00817429" w:rsidP="00817429">
                  <w:pPr>
                    <w:rPr>
                      <w:b/>
                      <w:bCs/>
                    </w:rPr>
                  </w:pPr>
                  <w:r>
                    <w:rPr>
                      <w:b/>
                      <w:bCs/>
                    </w:rPr>
                    <w:t>FGLU</w:t>
                  </w:r>
                </w:p>
              </w:tc>
            </w:tr>
          </w:tbl>
          <w:p w:rsidR="00817429" w:rsidRPr="00817429" w:rsidRDefault="00817429" w:rsidP="00370B0F"/>
          <w:p w:rsidR="00370B0F" w:rsidRPr="00370B0F" w:rsidRDefault="00370B0F" w:rsidP="00370B0F"/>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D7186D" w:rsidRPr="00F100EE" w:rsidRDefault="00D7186D" w:rsidP="00D7186D">
            <w:pPr>
              <w:widowControl w:val="0"/>
              <w:numPr>
                <w:ilvl w:val="0"/>
                <w:numId w:val="39"/>
              </w:numPr>
              <w:autoSpaceDE w:val="0"/>
              <w:autoSpaceDN w:val="0"/>
              <w:adjustRightInd w:val="0"/>
              <w:rPr>
                <w:rFonts w:cs="Arial"/>
                <w:bCs/>
                <w:szCs w:val="20"/>
              </w:rPr>
            </w:pPr>
            <w:r w:rsidRPr="00373EF9">
              <w:rPr>
                <w:rFonts w:cs="Arial"/>
                <w:szCs w:val="20"/>
              </w:rPr>
              <w:t>Plasma (lithium</w:t>
            </w:r>
            <w:r>
              <w:rPr>
                <w:rFonts w:cs="Arial"/>
                <w:szCs w:val="20"/>
              </w:rPr>
              <w:t xml:space="preserve"> or sodium</w:t>
            </w:r>
            <w:r w:rsidRPr="00373EF9">
              <w:rPr>
                <w:rFonts w:cs="Arial"/>
                <w:szCs w:val="20"/>
              </w:rPr>
              <w:t xml:space="preserve"> heparin) preferred.</w:t>
            </w:r>
            <w:r>
              <w:rPr>
                <w:rFonts w:cs="Arial"/>
                <w:szCs w:val="20"/>
              </w:rPr>
              <w:t xml:space="preserve">  Serum,</w:t>
            </w:r>
            <w:r>
              <w:rPr>
                <w:rFonts w:cs="Arial"/>
                <w:szCs w:val="20"/>
              </w:rPr>
              <w:t xml:space="preserve"> SST,</w:t>
            </w:r>
            <w:r>
              <w:rPr>
                <w:rFonts w:cs="Arial"/>
                <w:szCs w:val="20"/>
              </w:rPr>
              <w:t xml:space="preserve"> sodium fluoride, and potassium oxalate also acceptable.</w:t>
            </w:r>
            <w:r w:rsidRPr="00373EF9">
              <w:rPr>
                <w:rFonts w:cs="Arial"/>
                <w:szCs w:val="20"/>
              </w:rPr>
              <w:t xml:space="preserve"> </w:t>
            </w:r>
            <w:r w:rsidRPr="00F100EE">
              <w:rPr>
                <w:rFonts w:cs="Arial"/>
                <w:szCs w:val="20"/>
              </w:rPr>
              <w:t>Refer to specimen collection procedures for collection of plasma and serum samples.</w:t>
            </w:r>
          </w:p>
          <w:p w:rsidR="00D7186D" w:rsidRPr="00373EF9" w:rsidRDefault="00D7186D" w:rsidP="00D7186D">
            <w:pPr>
              <w:numPr>
                <w:ilvl w:val="0"/>
                <w:numId w:val="39"/>
              </w:numPr>
              <w:jc w:val="both"/>
              <w:rPr>
                <w:rFonts w:cs="Arial"/>
                <w:szCs w:val="20"/>
              </w:rPr>
            </w:pPr>
            <w:r w:rsidRPr="00373EF9">
              <w:rPr>
                <w:rFonts w:cs="Arial"/>
                <w:szCs w:val="20"/>
              </w:rPr>
              <w:t>Fasting Glucose: the ADA recommends an 8 hour fast, with nothing by mouth except water prior to collection.</w:t>
            </w:r>
          </w:p>
          <w:p w:rsidR="00D7186D" w:rsidRPr="00373EF9" w:rsidRDefault="00D7186D" w:rsidP="00D7186D">
            <w:pPr>
              <w:numPr>
                <w:ilvl w:val="0"/>
                <w:numId w:val="39"/>
              </w:numPr>
              <w:jc w:val="both"/>
              <w:rPr>
                <w:rFonts w:cs="Arial"/>
                <w:szCs w:val="20"/>
              </w:rPr>
            </w:pPr>
            <w:r w:rsidRPr="00373EF9">
              <w:rPr>
                <w:rFonts w:cs="Arial"/>
                <w:szCs w:val="20"/>
              </w:rPr>
              <w:t xml:space="preserve">Glucose Tolerance Specimens: Refer to the </w:t>
            </w:r>
            <w:r w:rsidRPr="00D7186D">
              <w:rPr>
                <w:rStyle w:val="Hyperlink"/>
                <w:rFonts w:cs="Arial"/>
                <w:color w:val="auto"/>
                <w:szCs w:val="20"/>
                <w:u w:val="none"/>
              </w:rPr>
              <w:t>Ora</w:t>
            </w:r>
            <w:r w:rsidRPr="00D7186D">
              <w:rPr>
                <w:rStyle w:val="Hyperlink"/>
                <w:rFonts w:cs="Arial"/>
                <w:color w:val="auto"/>
                <w:szCs w:val="20"/>
                <w:u w:val="none"/>
              </w:rPr>
              <w:t>l</w:t>
            </w:r>
            <w:r w:rsidRPr="00D7186D">
              <w:rPr>
                <w:rStyle w:val="Hyperlink"/>
                <w:rFonts w:cs="Arial"/>
                <w:color w:val="auto"/>
                <w:szCs w:val="20"/>
                <w:u w:val="none"/>
              </w:rPr>
              <w:t xml:space="preserve"> Glucose Tolerance Protocol</w:t>
            </w:r>
            <w:r w:rsidRPr="00D7186D">
              <w:rPr>
                <w:rFonts w:cs="Arial"/>
                <w:szCs w:val="20"/>
              </w:rPr>
              <w:t xml:space="preserve"> </w:t>
            </w:r>
            <w:r w:rsidRPr="00373EF9">
              <w:rPr>
                <w:rFonts w:cs="Arial"/>
                <w:szCs w:val="20"/>
              </w:rPr>
              <w:t>for collection and timing of specimens.</w:t>
            </w:r>
          </w:p>
          <w:p w:rsidR="00D7186D" w:rsidRPr="00373EF9" w:rsidRDefault="00D7186D" w:rsidP="00D7186D">
            <w:pPr>
              <w:numPr>
                <w:ilvl w:val="0"/>
                <w:numId w:val="39"/>
              </w:numPr>
              <w:jc w:val="both"/>
              <w:rPr>
                <w:rFonts w:cs="Arial"/>
                <w:szCs w:val="20"/>
              </w:rPr>
            </w:pPr>
            <w:r w:rsidRPr="00373EF9">
              <w:rPr>
                <w:rFonts w:cs="Arial"/>
                <w:szCs w:val="20"/>
              </w:rPr>
              <w:t>CSF: Glucose should be measured on the same sample used to report the cell count. A simultaneous blood specimen is needed for proper CSF glucose interpretation.</w:t>
            </w:r>
          </w:p>
          <w:p w:rsidR="00817429" w:rsidRPr="00D7186D" w:rsidRDefault="00D7186D" w:rsidP="00AA5656">
            <w:pPr>
              <w:numPr>
                <w:ilvl w:val="0"/>
                <w:numId w:val="39"/>
              </w:numPr>
              <w:jc w:val="both"/>
              <w:rPr>
                <w:rFonts w:cs="Arial"/>
                <w:szCs w:val="20"/>
              </w:rPr>
            </w:pPr>
            <w:r w:rsidRPr="00373EF9">
              <w:rPr>
                <w:rFonts w:cs="Arial"/>
                <w:szCs w:val="20"/>
              </w:rPr>
              <w:t>Body fluid: Heparinized, non-viscous, sterile collection.</w:t>
            </w:r>
          </w:p>
          <w:p w:rsidR="00E3253B" w:rsidRPr="00DC7421" w:rsidRDefault="00E3253B">
            <w:pPr>
              <w:rPr>
                <w:rFonts w:cs="Arial"/>
                <w:szCs w:val="20"/>
              </w:rPr>
            </w:pPr>
            <w:bookmarkStart w:id="0" w:name="_GoBack"/>
            <w:bookmarkEnd w:id="0"/>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486653">
              <w:rPr>
                <w:rFonts w:cs="Arial"/>
                <w:szCs w:val="20"/>
              </w:rPr>
              <w:t xml:space="preserve"> 3 weeks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486653">
              <w:rPr>
                <w:rFonts w:cs="Arial"/>
                <w:szCs w:val="20"/>
              </w:rPr>
              <w:t>8</w:t>
            </w:r>
            <w:r w:rsidR="00F6060A" w:rsidRPr="00DC7421">
              <w:rPr>
                <w:rFonts w:cs="Arial"/>
                <w:szCs w:val="20"/>
              </w:rPr>
              <w:t xml:space="preserve"> months</w:t>
            </w:r>
          </w:p>
          <w:p w:rsidR="00817429" w:rsidRPr="00DC7421" w:rsidRDefault="00817429">
            <w:pPr>
              <w:pStyle w:val="Header"/>
              <w:tabs>
                <w:tab w:val="clear" w:pos="4320"/>
                <w:tab w:val="clear" w:pos="8640"/>
              </w:tabs>
              <w:rPr>
                <w:rFonts w:cs="Arial"/>
                <w:szCs w:val="20"/>
              </w:rPr>
            </w:pPr>
            <w:r>
              <w:rPr>
                <w:rFonts w:cs="Arial"/>
                <w:szCs w:val="20"/>
              </w:rPr>
              <w:t>Body Fluid: Do not freeze.  Store at refrigerated temperatures for 7 days.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817429">
              <w:rPr>
                <w:rFonts w:cs="Arial"/>
                <w:szCs w:val="20"/>
              </w:rPr>
              <w:t>sample type other than serum or</w:t>
            </w:r>
            <w:r w:rsidR="009A1A3D" w:rsidRPr="00DC7421">
              <w:rPr>
                <w:rFonts w:cs="Arial"/>
                <w:szCs w:val="20"/>
              </w:rPr>
              <w:t xml:space="preserve"> plasma</w:t>
            </w:r>
            <w:r w:rsidR="00817429">
              <w:rPr>
                <w:rFonts w:cs="Arial"/>
                <w:szCs w:val="20"/>
              </w:rPr>
              <w:t xml:space="preserve"> types listed above</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817429" w:rsidRPr="00817429" w:rsidRDefault="00817429" w:rsidP="00817429">
            <w:pPr>
              <w:numPr>
                <w:ilvl w:val="0"/>
                <w:numId w:val="26"/>
              </w:numPr>
              <w:jc w:val="both"/>
              <w:rPr>
                <w:rFonts w:cs="Arial"/>
                <w:szCs w:val="20"/>
              </w:rPr>
            </w:pPr>
            <w:r w:rsidRPr="00817429">
              <w:rPr>
                <w:rFonts w:cs="Arial"/>
                <w:szCs w:val="20"/>
              </w:rPr>
              <w:t>Whole blood specimens should be centrifuged following complete clot formation, according to Specimen Processing procedures prior to analysis.</w:t>
            </w:r>
          </w:p>
          <w:p w:rsidR="00817429" w:rsidRPr="00817429" w:rsidRDefault="00817429" w:rsidP="00817429">
            <w:pPr>
              <w:numPr>
                <w:ilvl w:val="0"/>
                <w:numId w:val="26"/>
              </w:numPr>
              <w:jc w:val="both"/>
              <w:rPr>
                <w:rFonts w:cs="Arial"/>
                <w:szCs w:val="20"/>
              </w:rPr>
            </w:pPr>
            <w:r w:rsidRPr="00817429">
              <w:rPr>
                <w:rFonts w:cs="Arial"/>
                <w:szCs w:val="20"/>
              </w:rPr>
              <w:t>Serum or plasma should be physically separated from cells as soon as possible with a maximum limit of two hours from the time of collection.</w:t>
            </w:r>
          </w:p>
          <w:p w:rsidR="00817429" w:rsidRPr="00817429" w:rsidRDefault="00817429" w:rsidP="00817429">
            <w:pPr>
              <w:numPr>
                <w:ilvl w:val="0"/>
                <w:numId w:val="26"/>
              </w:numPr>
              <w:jc w:val="both"/>
              <w:rPr>
                <w:rFonts w:cs="Arial"/>
                <w:szCs w:val="20"/>
              </w:rPr>
            </w:pPr>
            <w:r w:rsidRPr="00817429">
              <w:rPr>
                <w:rFonts w:cs="Arial"/>
                <w:szCs w:val="20"/>
              </w:rPr>
              <w:t xml:space="preserve">Specimens should be free of particulate matter. </w:t>
            </w:r>
          </w:p>
          <w:p w:rsidR="00817429" w:rsidRPr="00817429" w:rsidRDefault="00817429" w:rsidP="00817429">
            <w:pPr>
              <w:numPr>
                <w:ilvl w:val="0"/>
                <w:numId w:val="26"/>
              </w:numPr>
              <w:jc w:val="both"/>
              <w:rPr>
                <w:rFonts w:cs="Arial"/>
                <w:szCs w:val="20"/>
              </w:rPr>
            </w:pPr>
            <w:r w:rsidRPr="00817429">
              <w:rPr>
                <w:rFonts w:cs="Arial"/>
                <w:szCs w:val="20"/>
              </w:rPr>
              <w:t>Transfer serum or plasma to a properly labeled sendout tube.  Short samples should be pipetted into an Abbott sample cup and nested on a sendout tube; any amount remaining after sampling should be pipetted into the sendout tube and tightly capped.</w:t>
            </w:r>
          </w:p>
          <w:p w:rsidR="00817429" w:rsidRPr="00817429" w:rsidRDefault="00817429" w:rsidP="00817429">
            <w:pPr>
              <w:numPr>
                <w:ilvl w:val="0"/>
                <w:numId w:val="26"/>
              </w:numPr>
              <w:jc w:val="both"/>
              <w:rPr>
                <w:rFonts w:cs="Arial"/>
                <w:szCs w:val="20"/>
              </w:rPr>
            </w:pPr>
            <w:r w:rsidRPr="00817429">
              <w:rPr>
                <w:rFonts w:cs="Arial"/>
                <w:szCs w:val="20"/>
              </w:rPr>
              <w:t xml:space="preserve">  Architect and Alinity systems utilize a specimen level detect mechanism, so special racks specific to tube-type are not required.  </w:t>
            </w:r>
          </w:p>
          <w:p w:rsidR="00817429" w:rsidRPr="00817429" w:rsidRDefault="00817429" w:rsidP="00817429">
            <w:pPr>
              <w:numPr>
                <w:ilvl w:val="0"/>
                <w:numId w:val="26"/>
              </w:numPr>
              <w:jc w:val="both"/>
              <w:rPr>
                <w:rFonts w:cs="Arial"/>
                <w:szCs w:val="20"/>
              </w:rPr>
            </w:pPr>
            <w:r w:rsidRPr="00817429">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3F06E2">
        <w:trPr>
          <w:tblHeader/>
        </w:trPr>
        <w:tc>
          <w:tcPr>
            <w:tcW w:w="1800" w:type="dxa"/>
            <w:tcBorders>
              <w:top w:val="nil"/>
              <w:left w:val="nil"/>
              <w:bottom w:val="nil"/>
              <w:right w:val="nil"/>
            </w:tcBorders>
          </w:tcPr>
          <w:p w:rsidR="00D955F6" w:rsidRPr="00C00B65" w:rsidRDefault="00D955F6" w:rsidP="0044227A">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4B5D63">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B5D63">
              <w:rPr>
                <w:rFonts w:cs="Arial"/>
                <w:color w:val="000000"/>
                <w:szCs w:val="20"/>
              </w:rPr>
              <w:t>ace in an upright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370B0F">
                    <w:rPr>
                      <w:rFonts w:cs="Arial"/>
                      <w:szCs w:val="20"/>
                    </w:rPr>
                    <w:t>Glucose</w:t>
                  </w:r>
                  <w:r w:rsidR="002F5C68" w:rsidRPr="00DC7421">
                    <w:rPr>
                      <w:rFonts w:cs="Arial"/>
                      <w:szCs w:val="20"/>
                    </w:rPr>
                    <w:t xml:space="preserve"> Reagent</w:t>
                  </w:r>
                </w:p>
                <w:p w:rsidR="00D955F6" w:rsidRPr="00DC7421" w:rsidRDefault="004B5D63" w:rsidP="00B01603">
                  <w:pPr>
                    <w:autoSpaceDE w:val="0"/>
                    <w:autoSpaceDN w:val="0"/>
                    <w:adjustRightInd w:val="0"/>
                    <w:rPr>
                      <w:rFonts w:cs="Arial"/>
                      <w:szCs w:val="20"/>
                    </w:rPr>
                  </w:pPr>
                  <w:r>
                    <w:rPr>
                      <w:rFonts w:cs="Arial"/>
                      <w:szCs w:val="20"/>
                    </w:rPr>
                    <w:t>CHC# 32627</w:t>
                  </w:r>
                </w:p>
              </w:tc>
              <w:tc>
                <w:tcPr>
                  <w:tcW w:w="1710" w:type="dxa"/>
                  <w:vAlign w:val="center"/>
                </w:tcPr>
                <w:p w:rsidR="00D955F6" w:rsidRPr="00DC7421" w:rsidRDefault="004B5D63" w:rsidP="00E3253B">
                  <w:pPr>
                    <w:pStyle w:val="BodyText"/>
                    <w:tabs>
                      <w:tab w:val="left" w:pos="3240"/>
                    </w:tabs>
                    <w:rPr>
                      <w:rFonts w:cs="Arial"/>
                      <w:szCs w:val="20"/>
                    </w:rPr>
                  </w:pPr>
                  <w:r w:rsidRPr="004B5D63">
                    <w:rPr>
                      <w:rFonts w:cs="Arial"/>
                      <w:szCs w:val="20"/>
                    </w:rPr>
                    <w:t>07P55-20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3F06E2">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370B0F">
                    <w:rPr>
                      <w:rFonts w:ascii="Arial" w:hAnsi="Arial" w:cs="Arial"/>
                    </w:rPr>
                    <w:t>Glucose</w:t>
                  </w:r>
                  <w:r w:rsidR="00486653">
                    <w:rPr>
                      <w:rFonts w:ascii="Arial" w:hAnsi="Arial" w:cs="Arial"/>
                    </w:rPr>
                    <w:t xml:space="preserve"> </w:t>
                  </w:r>
                  <w:r w:rsidR="002F5C68" w:rsidRPr="00DC7421">
                    <w:rPr>
                      <w:rFonts w:ascii="Arial" w:hAnsi="Arial" w:cs="Arial"/>
                    </w:rPr>
                    <w:t>Reagent</w:t>
                  </w:r>
                </w:p>
                <w:p w:rsidR="009A1A3D" w:rsidRPr="00DC7421" w:rsidRDefault="004B5D63" w:rsidP="00B13C1A">
                  <w:pPr>
                    <w:pStyle w:val="Reagents"/>
                    <w:rPr>
                      <w:rFonts w:ascii="Arial" w:hAnsi="Arial" w:cs="Arial"/>
                    </w:rPr>
                  </w:pPr>
                  <w:r>
                    <w:rPr>
                      <w:rFonts w:ascii="Arial" w:hAnsi="Arial" w:cs="Arial"/>
                    </w:rPr>
                    <w:t>CHC# 32549</w:t>
                  </w:r>
                </w:p>
              </w:tc>
              <w:tc>
                <w:tcPr>
                  <w:tcW w:w="1710" w:type="dxa"/>
                  <w:vAlign w:val="center"/>
                </w:tcPr>
                <w:p w:rsidR="00D955F6" w:rsidRPr="00DC7421" w:rsidRDefault="004B5D63" w:rsidP="00B13C1A">
                  <w:pPr>
                    <w:pStyle w:val="Reagents"/>
                    <w:rPr>
                      <w:rFonts w:ascii="Arial" w:hAnsi="Arial" w:cs="Arial"/>
                    </w:rPr>
                  </w:pPr>
                  <w:r w:rsidRPr="004B5D63">
                    <w:rPr>
                      <w:rFonts w:ascii="Arial" w:hAnsi="Arial" w:cs="Arial"/>
                    </w:rPr>
                    <w:t>03L82-21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3F06E2">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Pr="00DC7421" w:rsidRDefault="00D63C07" w:rsidP="00B22847">
                  <w:pPr>
                    <w:autoSpaceDE w:val="0"/>
                    <w:autoSpaceDN w:val="0"/>
                    <w:adjustRightInd w:val="0"/>
                    <w:rPr>
                      <w:rFonts w:cs="Arial"/>
                      <w:color w:val="000000"/>
                      <w:szCs w:val="20"/>
                    </w:rPr>
                  </w:pPr>
                </w:p>
                <w:p w:rsidR="007B1809" w:rsidRDefault="00486653" w:rsidP="007B1809">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sidR="007B1809">
                    <w:rPr>
                      <w:rFonts w:cs="Arial"/>
                      <w:color w:val="000000"/>
                      <w:szCs w:val="20"/>
                    </w:rPr>
                    <w:t xml:space="preserve">Contains sodium azide.  </w:t>
                  </w:r>
                  <w:r w:rsidR="007B1809" w:rsidRPr="007B1809">
                    <w:rPr>
                      <w:rFonts w:cs="Arial"/>
                      <w:color w:val="000000"/>
                      <w:szCs w:val="20"/>
                    </w:rPr>
                    <w:t xml:space="preserve">Contact with </w:t>
                  </w:r>
                  <w:r w:rsidR="007B1809">
                    <w:rPr>
                      <w:rFonts w:cs="Arial"/>
                      <w:color w:val="000000"/>
                      <w:szCs w:val="20"/>
                    </w:rPr>
                    <w:t xml:space="preserve">acids liberates very toxic gas.  Recap and dispose of in Alkaline waste stream. </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3F06E2">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Default="007B1809" w:rsidP="00A32948">
                  <w:pPr>
                    <w:pStyle w:val="CalVerTable"/>
                    <w:ind w:left="0" w:firstLine="0"/>
                    <w:rPr>
                      <w:rFonts w:ascii="Arial" w:hAnsi="Arial" w:cs="Arial"/>
                    </w:rPr>
                  </w:pPr>
                  <w:r>
                    <w:rPr>
                      <w:rFonts w:ascii="Arial" w:hAnsi="Arial" w:cs="Arial"/>
                    </w:rPr>
                    <w:t>5 - 800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r w:rsidR="00817429">
                    <w:rPr>
                      <w:rFonts w:ascii="Arial" w:hAnsi="Arial" w:cs="Arial"/>
                    </w:rPr>
                    <w:t xml:space="preserve"> serum/plasma/CSF</w:t>
                  </w:r>
                </w:p>
                <w:p w:rsidR="00817429" w:rsidRPr="00DC7421" w:rsidRDefault="00817429" w:rsidP="00A32948">
                  <w:pPr>
                    <w:pStyle w:val="CalVerTable"/>
                    <w:ind w:left="0" w:firstLine="0"/>
                    <w:rPr>
                      <w:rFonts w:ascii="Arial" w:hAnsi="Arial" w:cs="Arial"/>
                    </w:rPr>
                  </w:pPr>
                  <w:r>
                    <w:rPr>
                      <w:rFonts w:ascii="Arial" w:hAnsi="Arial" w:cs="Arial"/>
                    </w:rPr>
                    <w:t>5 – 700 mg/dL Body Fluids</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440E37" w:rsidP="00440E37">
                  <w:pPr>
                    <w:pStyle w:val="BodyText"/>
                    <w:rPr>
                      <w:rFonts w:cs="Arial"/>
                      <w:szCs w:val="20"/>
                    </w:rPr>
                  </w:pPr>
                  <w:r w:rsidRPr="00DC7421">
                    <w:rPr>
                      <w:rFonts w:cs="Arial"/>
                      <w:szCs w:val="20"/>
                    </w:rPr>
                    <w:t>Abbott Alinity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0E63E3" w:rsidP="004A698D">
                  <w:pPr>
                    <w:pStyle w:val="Pa10"/>
                    <w:rPr>
                      <w:rFonts w:ascii="Arial" w:hAnsi="Arial" w:cs="Arial"/>
                      <w:sz w:val="20"/>
                      <w:szCs w:val="20"/>
                    </w:rPr>
                  </w:pPr>
                  <w:r>
                    <w:rPr>
                      <w:rFonts w:ascii="Arial" w:hAnsi="Arial" w:cs="Arial"/>
                      <w:sz w:val="20"/>
                      <w:szCs w:val="20"/>
                    </w:rPr>
                    <w:t>30</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AMR is verified twice annually using the Maine Standards GC1</w:t>
                  </w:r>
                  <w:r w:rsidR="00E854F1">
                    <w:rPr>
                      <w:rFonts w:cs="Arial"/>
                      <w:szCs w:val="20"/>
                    </w:rPr>
                    <w:t>,</w:t>
                  </w:r>
                  <w:r w:rsidRPr="00DC7421">
                    <w:rPr>
                      <w:rFonts w:cs="Arial"/>
                      <w:szCs w:val="20"/>
                    </w:rPr>
                    <w:t xml:space="preserve"> Product # 1100ab</w:t>
                  </w:r>
                  <w:r w:rsidR="00E854F1">
                    <w:rPr>
                      <w:rFonts w:cs="Arial"/>
                      <w:szCs w:val="20"/>
                    </w:rPr>
                    <w:t>,</w:t>
                  </w:r>
                  <w:r w:rsidRPr="00DC7421">
                    <w:rPr>
                      <w:rFonts w:cs="Arial"/>
                      <w:szCs w:val="20"/>
                    </w:rPr>
                    <w:t xml:space="preserve"> </w:t>
                  </w:r>
                  <w:r w:rsidR="00E854F1">
                    <w:rPr>
                      <w:rFonts w:cs="Arial"/>
                      <w:szCs w:val="20"/>
                    </w:rPr>
                    <w:t xml:space="preserve">and Body Fluid product </w:t>
                  </w:r>
                  <w:r w:rsidRPr="00DC7421">
                    <w:rPr>
                      <w:rFonts w:cs="Arial"/>
                      <w:szCs w:val="20"/>
                    </w:rPr>
                    <w:t xml:space="preserve">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3F06E2">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00817429">
              <w:rPr>
                <w:rFonts w:cs="Arial"/>
                <w:b/>
                <w:bCs/>
                <w:color w:val="984806" w:themeColor="accent6" w:themeShade="80"/>
                <w:szCs w:val="20"/>
              </w:rPr>
              <w:t xml:space="preserve"> for serum/plasma/body fluid QC</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proofErr w:type="spellStart"/>
            <w:r w:rsidR="00817429">
              <w:rPr>
                <w:rFonts w:cs="Arial"/>
                <w:szCs w:val="20"/>
              </w:rPr>
              <w:t>Multiqual</w:t>
            </w:r>
            <w:proofErr w:type="spellEnd"/>
            <w:r w:rsidR="00817429">
              <w:rPr>
                <w:rFonts w:cs="Arial"/>
                <w:szCs w:val="20"/>
              </w:rPr>
              <w:t xml:space="preserve"> 1,2,3 </w:t>
            </w:r>
            <w:r w:rsidRPr="00DC7421">
              <w:rPr>
                <w:rFonts w:cs="Arial"/>
                <w:szCs w:val="20"/>
              </w:rPr>
              <w:t>Unassayed Chemis</w:t>
            </w:r>
            <w:r w:rsidR="00817429">
              <w:rPr>
                <w:rFonts w:cs="Arial"/>
                <w:szCs w:val="20"/>
              </w:rPr>
              <w:t>try Control 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00817429">
              <w:rPr>
                <w:rFonts w:cs="Arial"/>
                <w:szCs w:val="20"/>
              </w:rPr>
              <w:t>Two levels each day</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17429">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817429" w:rsidRDefault="00817429" w:rsidP="00817429">
            <w:pPr>
              <w:pStyle w:val="ListParagraph"/>
              <w:autoSpaceDE w:val="0"/>
              <w:autoSpaceDN w:val="0"/>
              <w:adjustRightInd w:val="0"/>
              <w:ind w:left="0"/>
              <w:rPr>
                <w:rFonts w:cs="Arial"/>
                <w:b/>
                <w:bCs/>
                <w:color w:val="7030A0"/>
                <w:szCs w:val="20"/>
              </w:rPr>
            </w:pPr>
          </w:p>
          <w:p w:rsidR="00817429" w:rsidRDefault="00817429" w:rsidP="00817429">
            <w:pPr>
              <w:pStyle w:val="ListParagraph"/>
              <w:autoSpaceDE w:val="0"/>
              <w:autoSpaceDN w:val="0"/>
              <w:adjustRightInd w:val="0"/>
              <w:ind w:left="0"/>
              <w:rPr>
                <w:rFonts w:cs="Arial"/>
                <w:b/>
                <w:bCs/>
                <w:color w:val="7030A0"/>
                <w:szCs w:val="20"/>
              </w:rPr>
            </w:pPr>
            <w:r w:rsidRPr="00DC7421">
              <w:rPr>
                <w:rFonts w:cs="Arial"/>
                <w:b/>
                <w:bCs/>
                <w:color w:val="7030A0"/>
                <w:szCs w:val="20"/>
              </w:rPr>
              <w:t>Alinity c</w:t>
            </w:r>
            <w:r>
              <w:rPr>
                <w:rFonts w:cs="Arial"/>
                <w:b/>
                <w:bCs/>
                <w:color w:val="7030A0"/>
                <w:szCs w:val="20"/>
              </w:rPr>
              <w:t>: (MACC and SALIC only) for CSF QC:</w:t>
            </w:r>
          </w:p>
          <w:p w:rsidR="00817429" w:rsidRDefault="0015181F" w:rsidP="00817429">
            <w:pPr>
              <w:pStyle w:val="ListParagraph"/>
              <w:autoSpaceDE w:val="0"/>
              <w:autoSpaceDN w:val="0"/>
              <w:adjustRightInd w:val="0"/>
              <w:ind w:left="0"/>
              <w:rPr>
                <w:rFonts w:cs="Arial"/>
                <w:bCs/>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r w:rsidR="00817429">
              <w:rPr>
                <w:rFonts w:cs="Arial"/>
                <w:bCs/>
                <w:szCs w:val="20"/>
              </w:rPr>
              <w:t>Spinal Fluid Control, Levels 1 and 2</w:t>
            </w:r>
          </w:p>
          <w:p w:rsidR="00817429" w:rsidRDefault="00817429" w:rsidP="00817429">
            <w:pPr>
              <w:pStyle w:val="ListParagraph"/>
              <w:autoSpaceDE w:val="0"/>
              <w:autoSpaceDN w:val="0"/>
              <w:adjustRightInd w:val="0"/>
              <w:ind w:left="0"/>
              <w:rPr>
                <w:rFonts w:cs="Arial"/>
                <w:bCs/>
                <w:szCs w:val="20"/>
              </w:rPr>
            </w:pPr>
          </w:p>
          <w:p w:rsidR="00817429" w:rsidRDefault="00817429" w:rsidP="00817429">
            <w:pPr>
              <w:pStyle w:val="ListParagraph"/>
              <w:autoSpaceDE w:val="0"/>
              <w:autoSpaceDN w:val="0"/>
              <w:adjustRightInd w:val="0"/>
              <w:ind w:left="0"/>
              <w:rPr>
                <w:rFonts w:cs="Arial"/>
                <w:bCs/>
                <w:szCs w:val="20"/>
              </w:rPr>
            </w:pPr>
            <w:r w:rsidRPr="00817429">
              <w:rPr>
                <w:rFonts w:cs="Arial"/>
                <w:b/>
                <w:bCs/>
                <w:szCs w:val="20"/>
              </w:rPr>
              <w:t>Frequency</w:t>
            </w:r>
            <w:r>
              <w:rPr>
                <w:rFonts w:cs="Arial"/>
                <w:bCs/>
                <w:szCs w:val="20"/>
              </w:rPr>
              <w:t>: Two levels each day</w:t>
            </w:r>
          </w:p>
          <w:p w:rsidR="00817429" w:rsidRDefault="00817429" w:rsidP="00817429">
            <w:pPr>
              <w:pStyle w:val="ListParagraph"/>
              <w:autoSpaceDE w:val="0"/>
              <w:autoSpaceDN w:val="0"/>
              <w:adjustRightInd w:val="0"/>
              <w:ind w:left="0"/>
              <w:rPr>
                <w:rFonts w:cs="Arial"/>
                <w:bCs/>
                <w:szCs w:val="20"/>
              </w:rPr>
            </w:pPr>
          </w:p>
          <w:p w:rsidR="00817429" w:rsidRPr="00DC7421" w:rsidRDefault="00817429" w:rsidP="00817429">
            <w:pPr>
              <w:autoSpaceDE w:val="0"/>
              <w:autoSpaceDN w:val="0"/>
              <w:adjustRightInd w:val="0"/>
              <w:rPr>
                <w:rFonts w:eastAsia="HelveticaNeueLTPro-Cn" w:cs="Arial"/>
                <w:szCs w:val="20"/>
              </w:rPr>
            </w:pPr>
            <w:r>
              <w:rPr>
                <w:rFonts w:cs="Arial"/>
                <w:b/>
                <w:bCs/>
                <w:szCs w:val="20"/>
              </w:rPr>
              <w:t>S</w:t>
            </w:r>
            <w:r w:rsidRPr="00DC7421">
              <w:rPr>
                <w:rFonts w:cs="Arial"/>
                <w:b/>
                <w:bCs/>
                <w:szCs w:val="20"/>
              </w:rPr>
              <w:t xml:space="preserve">tability: </w:t>
            </w:r>
            <w:r>
              <w:rPr>
                <w:rFonts w:eastAsia="HelveticaNeueLTPro-Cn" w:cs="Arial"/>
                <w:szCs w:val="20"/>
              </w:rPr>
              <w:t>Liquid and ready to use. Once</w:t>
            </w:r>
            <w:r w:rsidRPr="00DC7421">
              <w:rPr>
                <w:rFonts w:eastAsia="HelveticaNeueLTPro-Cn" w:cs="Arial"/>
                <w:szCs w:val="20"/>
              </w:rPr>
              <w:t xml:space="preserve"> opened, and stored tightly capped at 2 to 8°C, this product will be labeled with an expiration date equal to the shortest stability of the included analytes, which is </w:t>
            </w:r>
            <w:r w:rsidRPr="00817429">
              <w:rPr>
                <w:rFonts w:eastAsia="HelveticaNeueLTPro-Cn" w:cs="Arial"/>
                <w:b/>
                <w:szCs w:val="20"/>
              </w:rPr>
              <w:t>30</w:t>
            </w:r>
            <w:r w:rsidRPr="00DC7421">
              <w:rPr>
                <w:rFonts w:eastAsia="HelveticaNeueLTPro-Cn" w:cs="Arial"/>
                <w:b/>
                <w:szCs w:val="20"/>
              </w:rPr>
              <w:t xml:space="preserve"> days.</w:t>
            </w:r>
          </w:p>
          <w:p w:rsidR="00817429" w:rsidRPr="00DC7421" w:rsidRDefault="00817429" w:rsidP="00817429">
            <w:pPr>
              <w:autoSpaceDE w:val="0"/>
              <w:autoSpaceDN w:val="0"/>
              <w:adjustRightInd w:val="0"/>
              <w:jc w:val="both"/>
              <w:rPr>
                <w:rFonts w:cs="Arial"/>
                <w:szCs w:val="20"/>
              </w:rPr>
            </w:pPr>
          </w:p>
          <w:p w:rsidR="00817429" w:rsidRPr="00DC7421" w:rsidRDefault="00817429" w:rsidP="0081742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817429" w:rsidRPr="00DC7421" w:rsidRDefault="00817429" w:rsidP="0081742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817429" w:rsidRPr="00DC7421" w:rsidRDefault="00817429" w:rsidP="00817429">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Allow product to reach room temperature prior to use</w:t>
            </w:r>
          </w:p>
          <w:p w:rsidR="00817429" w:rsidRPr="00DC7421" w:rsidRDefault="00817429" w:rsidP="0081742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w:t>
            </w:r>
            <w:r>
              <w:rPr>
                <w:rFonts w:eastAsia="HelveticaNeueLTPro-Cn" w:cs="Arial"/>
                <w:szCs w:val="20"/>
              </w:rPr>
              <w:t>te stability</w:t>
            </w:r>
            <w:r w:rsidRPr="00DC7421">
              <w:rPr>
                <w:rFonts w:eastAsia="HelveticaNeueLTPro-Cn" w:cs="Arial"/>
                <w:szCs w:val="20"/>
              </w:rPr>
              <w:t>, promptly return to 2 to 8°C storage after each use and minimize the time at room temperature to no more than 20 minutes daily.</w:t>
            </w:r>
          </w:p>
          <w:p w:rsidR="00817429" w:rsidRDefault="00817429" w:rsidP="0081742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w:t>
            </w:r>
          </w:p>
          <w:p w:rsidR="00817429" w:rsidRPr="00817429" w:rsidRDefault="00817429" w:rsidP="00817429">
            <w:pPr>
              <w:pStyle w:val="ListParagraph"/>
              <w:autoSpaceDE w:val="0"/>
              <w:autoSpaceDN w:val="0"/>
              <w:adjustRightInd w:val="0"/>
              <w:ind w:left="0"/>
              <w:rPr>
                <w:rFonts w:eastAsia="HelveticaNeueLTPro-Cn" w:cs="Arial"/>
                <w:szCs w:val="20"/>
              </w:rPr>
            </w:pP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17429" w:rsidRPr="00234207" w:rsidRDefault="00817429" w:rsidP="00817429">
            <w:pPr>
              <w:autoSpaceDE w:val="0"/>
              <w:autoSpaceDN w:val="0"/>
              <w:adjustRightInd w:val="0"/>
              <w:rPr>
                <w:rFonts w:cs="Arial"/>
                <w:b/>
                <w:bCs/>
                <w:szCs w:val="20"/>
              </w:rPr>
            </w:pPr>
            <w:r w:rsidRPr="00234207">
              <w:rPr>
                <w:rFonts w:cs="Arial"/>
                <w:b/>
                <w:bCs/>
                <w:szCs w:val="20"/>
              </w:rPr>
              <w:t>Hemolysis, Icter</w:t>
            </w:r>
            <w:r>
              <w:rPr>
                <w:rFonts w:cs="Arial"/>
                <w:b/>
                <w:bCs/>
                <w:szCs w:val="20"/>
              </w:rPr>
              <w:t>us &amp; Lipemia (HIL) Index Values apply to serum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817429" w:rsidRPr="006A26B2" w:rsidTr="00C27F49">
              <w:tc>
                <w:tcPr>
                  <w:tcW w:w="472" w:type="dxa"/>
                </w:tcPr>
                <w:p w:rsidR="00817429" w:rsidRPr="006A26B2" w:rsidRDefault="00817429" w:rsidP="00817429">
                  <w:pPr>
                    <w:autoSpaceDE w:val="0"/>
                    <w:autoSpaceDN w:val="0"/>
                    <w:adjustRightInd w:val="0"/>
                    <w:jc w:val="both"/>
                    <w:rPr>
                      <w:rFonts w:cs="Arial"/>
                      <w:b/>
                      <w:szCs w:val="20"/>
                    </w:rPr>
                  </w:pPr>
                  <w:r w:rsidRPr="006A26B2">
                    <w:rPr>
                      <w:rFonts w:cs="Arial"/>
                      <w:b/>
                      <w:szCs w:val="20"/>
                    </w:rPr>
                    <w:t>H</w:t>
                  </w:r>
                </w:p>
              </w:tc>
              <w:tc>
                <w:tcPr>
                  <w:tcW w:w="394" w:type="dxa"/>
                </w:tcPr>
                <w:p w:rsidR="00817429" w:rsidRPr="006A26B2" w:rsidRDefault="00817429" w:rsidP="00817429">
                  <w:pPr>
                    <w:autoSpaceDE w:val="0"/>
                    <w:autoSpaceDN w:val="0"/>
                    <w:adjustRightInd w:val="0"/>
                    <w:jc w:val="both"/>
                    <w:rPr>
                      <w:rFonts w:cs="Arial"/>
                      <w:b/>
                      <w:szCs w:val="20"/>
                    </w:rPr>
                  </w:pPr>
                  <w:r w:rsidRPr="006A26B2">
                    <w:rPr>
                      <w:rFonts w:cs="Arial"/>
                      <w:b/>
                      <w:szCs w:val="20"/>
                    </w:rPr>
                    <w:t>I</w:t>
                  </w:r>
                </w:p>
              </w:tc>
              <w:tc>
                <w:tcPr>
                  <w:tcW w:w="443" w:type="dxa"/>
                </w:tcPr>
                <w:p w:rsidR="00817429" w:rsidRPr="006A26B2" w:rsidRDefault="00817429" w:rsidP="00817429">
                  <w:pPr>
                    <w:autoSpaceDE w:val="0"/>
                    <w:autoSpaceDN w:val="0"/>
                    <w:adjustRightInd w:val="0"/>
                    <w:jc w:val="both"/>
                    <w:rPr>
                      <w:rFonts w:cs="Arial"/>
                      <w:b/>
                      <w:szCs w:val="20"/>
                    </w:rPr>
                  </w:pPr>
                  <w:r w:rsidRPr="006A26B2">
                    <w:rPr>
                      <w:rFonts w:cs="Arial"/>
                      <w:b/>
                      <w:szCs w:val="20"/>
                    </w:rPr>
                    <w:t>L</w:t>
                  </w:r>
                </w:p>
              </w:tc>
            </w:tr>
            <w:tr w:rsidR="00817429" w:rsidRPr="006A26B2" w:rsidTr="00C27F49">
              <w:tc>
                <w:tcPr>
                  <w:tcW w:w="472" w:type="dxa"/>
                </w:tcPr>
                <w:p w:rsidR="00817429" w:rsidRPr="006A26B2" w:rsidRDefault="00817429" w:rsidP="00817429">
                  <w:pPr>
                    <w:autoSpaceDE w:val="0"/>
                    <w:autoSpaceDN w:val="0"/>
                    <w:adjustRightInd w:val="0"/>
                    <w:jc w:val="both"/>
                    <w:rPr>
                      <w:rFonts w:cs="Arial"/>
                      <w:b/>
                      <w:szCs w:val="20"/>
                    </w:rPr>
                  </w:pPr>
                  <w:r>
                    <w:rPr>
                      <w:rFonts w:cs="Arial"/>
                      <w:b/>
                      <w:szCs w:val="20"/>
                    </w:rPr>
                    <w:t>-</w:t>
                  </w:r>
                </w:p>
              </w:tc>
              <w:tc>
                <w:tcPr>
                  <w:tcW w:w="394" w:type="dxa"/>
                </w:tcPr>
                <w:p w:rsidR="00817429" w:rsidRPr="006A26B2" w:rsidRDefault="00817429" w:rsidP="00817429">
                  <w:pPr>
                    <w:autoSpaceDE w:val="0"/>
                    <w:autoSpaceDN w:val="0"/>
                    <w:adjustRightInd w:val="0"/>
                    <w:jc w:val="both"/>
                    <w:rPr>
                      <w:rFonts w:cs="Arial"/>
                      <w:b/>
                      <w:szCs w:val="20"/>
                    </w:rPr>
                  </w:pPr>
                  <w:r>
                    <w:rPr>
                      <w:rFonts w:cs="Arial"/>
                      <w:b/>
                      <w:szCs w:val="20"/>
                    </w:rPr>
                    <w:t>-</w:t>
                  </w:r>
                </w:p>
              </w:tc>
              <w:tc>
                <w:tcPr>
                  <w:tcW w:w="443" w:type="dxa"/>
                </w:tcPr>
                <w:p w:rsidR="00817429" w:rsidRPr="006A26B2" w:rsidRDefault="00817429" w:rsidP="00817429">
                  <w:pPr>
                    <w:autoSpaceDE w:val="0"/>
                    <w:autoSpaceDN w:val="0"/>
                    <w:adjustRightInd w:val="0"/>
                    <w:jc w:val="both"/>
                    <w:rPr>
                      <w:rFonts w:cs="Arial"/>
                      <w:b/>
                      <w:szCs w:val="20"/>
                    </w:rPr>
                  </w:pPr>
                  <w:r>
                    <w:rPr>
                      <w:rFonts w:cs="Arial"/>
                      <w:b/>
                      <w:szCs w:val="20"/>
                    </w:rPr>
                    <w:t>-</w:t>
                  </w:r>
                </w:p>
              </w:tc>
            </w:tr>
          </w:tbl>
          <w:p w:rsidR="00817429" w:rsidRPr="00DC7421" w:rsidRDefault="00817429" w:rsidP="00817429">
            <w:pPr>
              <w:autoSpaceDE w:val="0"/>
              <w:autoSpaceDN w:val="0"/>
              <w:adjustRightInd w:val="0"/>
              <w:rPr>
                <w:rFonts w:cs="Arial"/>
                <w:b/>
                <w:bCs/>
                <w:color w:val="5F497A"/>
                <w:szCs w:val="20"/>
              </w:rPr>
            </w:pPr>
          </w:p>
          <w:p w:rsidR="00817429" w:rsidRDefault="00817429" w:rsidP="00817429">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817429" w:rsidRDefault="00817429" w:rsidP="00817429">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817429" w:rsidRDefault="00817429" w:rsidP="00817429">
            <w:pPr>
              <w:autoSpaceDE w:val="0"/>
              <w:autoSpaceDN w:val="0"/>
              <w:adjustRightInd w:val="0"/>
              <w:rPr>
                <w:rFonts w:eastAsia="HelenPro-Regular" w:cs="Arial"/>
                <w:szCs w:val="20"/>
              </w:rPr>
            </w:pPr>
            <w:r>
              <w:rPr>
                <w:rFonts w:eastAsia="HelenPro-Regular" w:cs="Arial"/>
                <w:szCs w:val="20"/>
              </w:rPr>
              <w:t>-BIN for “Bilirubin Interference”</w:t>
            </w:r>
          </w:p>
          <w:p w:rsidR="00817429" w:rsidRDefault="00817429" w:rsidP="00817429">
            <w:pPr>
              <w:autoSpaceDE w:val="0"/>
              <w:autoSpaceDN w:val="0"/>
              <w:adjustRightInd w:val="0"/>
              <w:rPr>
                <w:rFonts w:eastAsia="HelenPro-Regular" w:cs="Arial"/>
                <w:szCs w:val="20"/>
              </w:rPr>
            </w:pPr>
            <w:r>
              <w:rPr>
                <w:rFonts w:eastAsia="HelenPro-Regular" w:cs="Arial"/>
                <w:szCs w:val="20"/>
              </w:rPr>
              <w:t xml:space="preserve">-LINT for “Lipid Interference”  </w:t>
            </w:r>
          </w:p>
          <w:p w:rsidR="00817429" w:rsidRPr="00DC7421" w:rsidRDefault="00817429" w:rsidP="00824C10">
            <w:pPr>
              <w:autoSpaceDE w:val="0"/>
              <w:autoSpaceDN w:val="0"/>
              <w:adjustRightInd w:val="0"/>
              <w:rPr>
                <w:rFonts w:cs="Arial"/>
                <w:b/>
                <w:bCs/>
                <w:color w:val="5F497A"/>
                <w:szCs w:val="20"/>
              </w:rPr>
            </w:pP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2F5F18">
              <w:rPr>
                <w:rFonts w:cs="Arial"/>
                <w:szCs w:val="20"/>
              </w:rPr>
              <w:t>than 9</w:t>
            </w:r>
            <w:r w:rsidR="001C641E">
              <w:rPr>
                <w:rFonts w:cs="Arial"/>
                <w:szCs w:val="20"/>
              </w:rPr>
              <w:t>% at</w:t>
            </w:r>
            <w:r w:rsidR="002E718D" w:rsidRPr="00DC7421">
              <w:rPr>
                <w:rFonts w:cs="Arial"/>
                <w:szCs w:val="20"/>
              </w:rPr>
              <w:t xml:space="preserve"> </w:t>
            </w:r>
            <w:r w:rsidR="00370B0F">
              <w:rPr>
                <w:rFonts w:cs="Arial"/>
                <w:szCs w:val="20"/>
              </w:rPr>
              <w:t>glucose</w:t>
            </w:r>
            <w:r w:rsidR="001C641E">
              <w:rPr>
                <w:rFonts w:cs="Arial"/>
                <w:szCs w:val="20"/>
              </w:rPr>
              <w:t xml:space="preserve"> concentration levels of</w:t>
            </w:r>
            <w:r w:rsidR="002F5F18">
              <w:rPr>
                <w:rFonts w:cs="Arial"/>
                <w:szCs w:val="20"/>
              </w:rPr>
              <w:t xml:space="preserve"> approximately 90 mg/dL and 135</w:t>
            </w:r>
            <w:r w:rsidR="001C641E">
              <w:rPr>
                <w:rFonts w:cs="Arial"/>
                <w:szCs w:val="20"/>
              </w:rPr>
              <w:t xml:space="preserve"> mg/dL</w:t>
            </w:r>
            <w:r w:rsidR="00EF1271">
              <w:rPr>
                <w:rFonts w:cs="Arial"/>
                <w:szCs w:val="20"/>
              </w:rPr>
              <w:t xml:space="preserve"> </w:t>
            </w:r>
            <w:r w:rsidR="002E718D" w:rsidRPr="00DC7421">
              <w:rPr>
                <w:rFonts w:cs="Arial"/>
                <w:szCs w:val="20"/>
              </w:rPr>
              <w:t>for:</w:t>
            </w:r>
          </w:p>
          <w:p w:rsidR="002F5F18" w:rsidRPr="00DC7421" w:rsidRDefault="002F5F18" w:rsidP="00824C10">
            <w:pPr>
              <w:autoSpaceDE w:val="0"/>
              <w:autoSpaceDN w:val="0"/>
              <w:adjustRightInd w:val="0"/>
              <w:rPr>
                <w:rFonts w:cs="Arial"/>
                <w:szCs w:val="20"/>
              </w:rPr>
            </w:pPr>
          </w:p>
          <w:p w:rsidR="002E718D" w:rsidRPr="00DC7421" w:rsidRDefault="001C641E"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2F5F18" w:rsidP="00655B61">
            <w:pPr>
              <w:numPr>
                <w:ilvl w:val="0"/>
                <w:numId w:val="20"/>
              </w:numPr>
              <w:jc w:val="both"/>
              <w:rPr>
                <w:rFonts w:cs="Arial"/>
                <w:szCs w:val="20"/>
              </w:rPr>
            </w:pPr>
            <w:r>
              <w:rPr>
                <w:rFonts w:cs="Arial"/>
                <w:szCs w:val="20"/>
              </w:rPr>
              <w:t>Triglycerides: up to 200</w:t>
            </w:r>
            <w:r w:rsidR="001C641E">
              <w:rPr>
                <w:rFonts w:cs="Arial"/>
                <w:szCs w:val="20"/>
              </w:rPr>
              <w:t>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3F06E2">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817429">
        <w:trPr>
          <w:trHeight w:val="4374"/>
          <w:tblHeader/>
        </w:trPr>
        <w:tc>
          <w:tcPr>
            <w:tcW w:w="1800" w:type="dxa"/>
            <w:tcBorders>
              <w:top w:val="nil"/>
              <w:left w:val="nil"/>
              <w:bottom w:val="nil"/>
              <w:right w:val="nil"/>
            </w:tcBorders>
          </w:tcPr>
          <w:p w:rsidR="00E3253B" w:rsidRPr="00C00B65" w:rsidRDefault="00250A09" w:rsidP="0044227A">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370B0F">
                  <w:pPr>
                    <w:rPr>
                      <w:rFonts w:cs="Arial"/>
                      <w:szCs w:val="20"/>
                    </w:rPr>
                  </w:pPr>
                  <w:r>
                    <w:rPr>
                      <w:rFonts w:cs="Arial"/>
                      <w:szCs w:val="20"/>
                    </w:rPr>
                    <w:t>Glucose</w:t>
                  </w:r>
                </w:p>
              </w:tc>
            </w:tr>
            <w:tr w:rsidR="006A2770" w:rsidRPr="00DC7421" w:rsidTr="00824C10">
              <w:trPr>
                <w:gridAfter w:val="1"/>
                <w:wAfter w:w="3978" w:type="dxa"/>
              </w:trPr>
              <w:tc>
                <w:tcPr>
                  <w:tcW w:w="2389" w:type="dxa"/>
                </w:tcPr>
                <w:p w:rsidR="006A2770" w:rsidRPr="00DC7421" w:rsidRDefault="001F5D12">
                  <w:pPr>
                    <w:rPr>
                      <w:rFonts w:cs="Arial"/>
                      <w:szCs w:val="20"/>
                    </w:rPr>
                  </w:pPr>
                  <w:r>
                    <w:rPr>
                      <w:rFonts w:cs="Arial"/>
                      <w:szCs w:val="20"/>
                    </w:rPr>
                    <w:t>Premature newborns</w:t>
                  </w:r>
                </w:p>
              </w:tc>
              <w:tc>
                <w:tcPr>
                  <w:tcW w:w="2700" w:type="dxa"/>
                  <w:tcBorders>
                    <w:left w:val="single" w:sz="4" w:space="0" w:color="auto"/>
                    <w:right w:val="single" w:sz="4" w:space="0" w:color="auto"/>
                  </w:tcBorders>
                </w:tcPr>
                <w:p w:rsidR="006A2770" w:rsidRPr="00DC7421" w:rsidRDefault="002F5F18">
                  <w:pPr>
                    <w:rPr>
                      <w:rFonts w:cs="Arial"/>
                      <w:szCs w:val="20"/>
                    </w:rPr>
                  </w:pPr>
                  <w:r>
                    <w:rPr>
                      <w:rFonts w:cs="Arial"/>
                      <w:szCs w:val="20"/>
                    </w:rPr>
                    <w:t>20 - 60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rsidP="00824C10">
                  <w:pPr>
                    <w:rPr>
                      <w:rFonts w:cs="Arial"/>
                      <w:szCs w:val="20"/>
                    </w:rPr>
                  </w:pPr>
                  <w:r>
                    <w:rPr>
                      <w:rFonts w:cs="Arial"/>
                      <w:szCs w:val="20"/>
                    </w:rPr>
                    <w:t>Neonates</w:t>
                  </w:r>
                </w:p>
              </w:tc>
              <w:tc>
                <w:tcPr>
                  <w:tcW w:w="2700" w:type="dxa"/>
                  <w:tcBorders>
                    <w:left w:val="single" w:sz="4" w:space="0" w:color="auto"/>
                    <w:right w:val="single" w:sz="4" w:space="0" w:color="auto"/>
                  </w:tcBorders>
                </w:tcPr>
                <w:p w:rsidR="00646E63" w:rsidRPr="00DC7421" w:rsidRDefault="002F5F18">
                  <w:pPr>
                    <w:rPr>
                      <w:rFonts w:cs="Arial"/>
                      <w:szCs w:val="20"/>
                    </w:rPr>
                  </w:pPr>
                  <w:r>
                    <w:rPr>
                      <w:rFonts w:cs="Arial"/>
                      <w:szCs w:val="20"/>
                    </w:rPr>
                    <w:t>30 - 60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pPr>
                    <w:rPr>
                      <w:rFonts w:cs="Arial"/>
                      <w:szCs w:val="20"/>
                    </w:rPr>
                  </w:pPr>
                  <w:r>
                    <w:rPr>
                      <w:rFonts w:cs="Arial"/>
                      <w:szCs w:val="20"/>
                    </w:rPr>
                    <w:t>Full term 0 – 1 day</w:t>
                  </w:r>
                </w:p>
              </w:tc>
              <w:tc>
                <w:tcPr>
                  <w:tcW w:w="2700" w:type="dxa"/>
                  <w:tcBorders>
                    <w:left w:val="single" w:sz="4" w:space="0" w:color="auto"/>
                    <w:right w:val="single" w:sz="4" w:space="0" w:color="auto"/>
                  </w:tcBorders>
                </w:tcPr>
                <w:p w:rsidR="00646E63" w:rsidRPr="00DC7421" w:rsidRDefault="002F5F18" w:rsidP="00646E63">
                  <w:pPr>
                    <w:rPr>
                      <w:rFonts w:cs="Arial"/>
                      <w:szCs w:val="20"/>
                    </w:rPr>
                  </w:pPr>
                  <w:r>
                    <w:rPr>
                      <w:rFonts w:cs="Arial"/>
                      <w:szCs w:val="20"/>
                    </w:rPr>
                    <w:t>40 - 60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pPr>
                    <w:rPr>
                      <w:rFonts w:cs="Arial"/>
                      <w:szCs w:val="20"/>
                    </w:rPr>
                  </w:pPr>
                  <w:r>
                    <w:rPr>
                      <w:rFonts w:cs="Arial"/>
                      <w:szCs w:val="20"/>
                    </w:rPr>
                    <w:t>1 to 364 days</w:t>
                  </w:r>
                </w:p>
              </w:tc>
              <w:tc>
                <w:tcPr>
                  <w:tcW w:w="2700" w:type="dxa"/>
                  <w:tcBorders>
                    <w:left w:val="single" w:sz="4" w:space="0" w:color="auto"/>
                    <w:right w:val="single" w:sz="4" w:space="0" w:color="auto"/>
                  </w:tcBorders>
                </w:tcPr>
                <w:p w:rsidR="00646E63" w:rsidRPr="00DC7421" w:rsidRDefault="002F5F18" w:rsidP="00646E63">
                  <w:pPr>
                    <w:rPr>
                      <w:rFonts w:cs="Arial"/>
                      <w:szCs w:val="20"/>
                    </w:rPr>
                  </w:pPr>
                  <w:r>
                    <w:rPr>
                      <w:rFonts w:cs="Arial"/>
                      <w:szCs w:val="20"/>
                    </w:rPr>
                    <w:t>50 - 80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rsidP="001F5D12">
                  <w:pPr>
                    <w:rPr>
                      <w:rFonts w:cs="Arial"/>
                      <w:szCs w:val="20"/>
                    </w:rPr>
                  </w:pPr>
                  <w:r>
                    <w:rPr>
                      <w:rFonts w:cs="Arial"/>
                      <w:szCs w:val="20"/>
                    </w:rPr>
                    <w:t>1 – 18 years</w:t>
                  </w:r>
                </w:p>
              </w:tc>
              <w:tc>
                <w:tcPr>
                  <w:tcW w:w="2700" w:type="dxa"/>
                  <w:tcBorders>
                    <w:left w:val="single" w:sz="4" w:space="0" w:color="auto"/>
                    <w:right w:val="single" w:sz="4" w:space="0" w:color="auto"/>
                  </w:tcBorders>
                </w:tcPr>
                <w:p w:rsidR="00646E63" w:rsidRPr="00DC7421" w:rsidRDefault="002F5F18" w:rsidP="00646E63">
                  <w:pPr>
                    <w:rPr>
                      <w:rFonts w:cs="Arial"/>
                      <w:szCs w:val="20"/>
                    </w:rPr>
                  </w:pPr>
                  <w:r>
                    <w:rPr>
                      <w:rFonts w:cs="Arial"/>
                      <w:szCs w:val="20"/>
                    </w:rPr>
                    <w:t>60 - 100</w:t>
                  </w:r>
                  <w:r w:rsidR="001F5D12">
                    <w:rPr>
                      <w:rFonts w:cs="Arial"/>
                      <w:szCs w:val="20"/>
                    </w:rPr>
                    <w:t xml:space="preserve"> mg/dL</w:t>
                  </w:r>
                </w:p>
              </w:tc>
            </w:tr>
            <w:tr w:rsidR="00824C10" w:rsidRPr="00DC7421" w:rsidTr="00824C10">
              <w:trPr>
                <w:gridAfter w:val="1"/>
                <w:wAfter w:w="3978" w:type="dxa"/>
              </w:trPr>
              <w:tc>
                <w:tcPr>
                  <w:tcW w:w="2389" w:type="dxa"/>
                </w:tcPr>
                <w:p w:rsidR="00824C10" w:rsidRPr="00DC7421" w:rsidRDefault="002F5F18">
                  <w:pPr>
                    <w:rPr>
                      <w:rFonts w:cs="Arial"/>
                      <w:szCs w:val="20"/>
                    </w:rPr>
                  </w:pPr>
                  <w:r>
                    <w:rPr>
                      <w:rFonts w:cs="Arial"/>
                      <w:szCs w:val="20"/>
                    </w:rPr>
                    <w:t>60 – 89 years</w:t>
                  </w:r>
                </w:p>
              </w:tc>
              <w:tc>
                <w:tcPr>
                  <w:tcW w:w="2700" w:type="dxa"/>
                  <w:tcBorders>
                    <w:left w:val="single" w:sz="4" w:space="0" w:color="auto"/>
                    <w:right w:val="single" w:sz="4" w:space="0" w:color="auto"/>
                  </w:tcBorders>
                </w:tcPr>
                <w:p w:rsidR="00824C10" w:rsidRPr="00DC7421" w:rsidRDefault="002F5F18" w:rsidP="00646E63">
                  <w:pPr>
                    <w:rPr>
                      <w:rFonts w:cs="Arial"/>
                      <w:szCs w:val="20"/>
                    </w:rPr>
                  </w:pPr>
                  <w:r>
                    <w:rPr>
                      <w:rFonts w:cs="Arial"/>
                      <w:szCs w:val="20"/>
                    </w:rPr>
                    <w:t>82 - 115</w:t>
                  </w:r>
                  <w:r w:rsidR="001F5D12">
                    <w:rPr>
                      <w:rFonts w:cs="Arial"/>
                      <w:szCs w:val="20"/>
                    </w:rPr>
                    <w:t xml:space="preserve"> mg/dL</w:t>
                  </w:r>
                </w:p>
              </w:tc>
            </w:tr>
            <w:tr w:rsidR="002F5F18" w:rsidRPr="00DC7421" w:rsidTr="00824C10">
              <w:trPr>
                <w:gridAfter w:val="1"/>
                <w:wAfter w:w="3978" w:type="dxa"/>
              </w:trPr>
              <w:tc>
                <w:tcPr>
                  <w:tcW w:w="2389" w:type="dxa"/>
                </w:tcPr>
                <w:p w:rsidR="002F5F18" w:rsidRDefault="002F5F18">
                  <w:pPr>
                    <w:rPr>
                      <w:rFonts w:cs="Arial"/>
                      <w:szCs w:val="20"/>
                    </w:rPr>
                  </w:pPr>
                  <w:r>
                    <w:rPr>
                      <w:rFonts w:cs="Arial"/>
                      <w:szCs w:val="20"/>
                    </w:rPr>
                    <w:t>&gt;90 years</w:t>
                  </w:r>
                </w:p>
              </w:tc>
              <w:tc>
                <w:tcPr>
                  <w:tcW w:w="2700" w:type="dxa"/>
                  <w:tcBorders>
                    <w:left w:val="single" w:sz="4" w:space="0" w:color="auto"/>
                    <w:right w:val="single" w:sz="4" w:space="0" w:color="auto"/>
                  </w:tcBorders>
                </w:tcPr>
                <w:p w:rsidR="002F5F18" w:rsidRDefault="002F5F18" w:rsidP="00646E63">
                  <w:pPr>
                    <w:rPr>
                      <w:rFonts w:cs="Arial"/>
                      <w:szCs w:val="20"/>
                    </w:rPr>
                  </w:pPr>
                  <w:r>
                    <w:rPr>
                      <w:rFonts w:cs="Arial"/>
                      <w:szCs w:val="20"/>
                    </w:rPr>
                    <w:t>75 – 121 mg/dL</w:t>
                  </w:r>
                </w:p>
              </w:tc>
            </w:tr>
            <w:tr w:rsidR="00E3253B" w:rsidRPr="00DC7421" w:rsidTr="00646E63">
              <w:trPr>
                <w:cantSplit/>
              </w:trPr>
              <w:tc>
                <w:tcPr>
                  <w:tcW w:w="9067" w:type="dxa"/>
                  <w:gridSpan w:val="3"/>
                  <w:tcBorders>
                    <w:top w:val="nil"/>
                    <w:left w:val="nil"/>
                    <w:bottom w:val="nil"/>
                    <w:right w:val="nil"/>
                  </w:tcBorders>
                </w:tcPr>
                <w:p w:rsidR="00E3253B" w:rsidRDefault="00E3253B" w:rsidP="00824C10">
                  <w:pPr>
                    <w:rPr>
                      <w:rFonts w:cs="Arial"/>
                      <w:szCs w:val="20"/>
                    </w:rPr>
                  </w:pPr>
                </w:p>
                <w:p w:rsidR="00817429" w:rsidRDefault="00817429" w:rsidP="00817429">
                  <w:pPr>
                    <w:pStyle w:val="Pa5"/>
                    <w:spacing w:after="60"/>
                    <w:rPr>
                      <w:rFonts w:ascii="Arial" w:hAnsi="Arial" w:cs="Arial"/>
                      <w:color w:val="000000"/>
                      <w:sz w:val="20"/>
                      <w:szCs w:val="15"/>
                    </w:rPr>
                  </w:pPr>
                  <w:r>
                    <w:rPr>
                      <w:rFonts w:ascii="Arial" w:hAnsi="Arial" w:cs="Arial"/>
                      <w:b/>
                      <w:bCs/>
                      <w:color w:val="000000"/>
                      <w:sz w:val="20"/>
                      <w:szCs w:val="15"/>
                    </w:rPr>
                    <w:t>Fasting glucose:</w:t>
                  </w:r>
                  <w:r>
                    <w:rPr>
                      <w:rFonts w:ascii="Arial" w:hAnsi="Arial" w:cs="Arial"/>
                      <w:color w:val="000000"/>
                      <w:sz w:val="20"/>
                      <w:szCs w:val="15"/>
                    </w:rPr>
                    <w:t xml:space="preserve"> </w:t>
                  </w:r>
                  <w:r>
                    <w:rPr>
                      <w:rStyle w:val="A10"/>
                      <w:rFonts w:ascii="Arial" w:hAnsi="Arial" w:cs="Arial"/>
                      <w:sz w:val="20"/>
                      <w:u w:val="none"/>
                    </w:rPr>
                    <w:t xml:space="preserve">&lt; </w:t>
                  </w:r>
                  <w:r>
                    <w:rPr>
                      <w:rFonts w:ascii="Arial" w:hAnsi="Arial" w:cs="Arial"/>
                      <w:color w:val="000000"/>
                      <w:sz w:val="20"/>
                      <w:szCs w:val="15"/>
                    </w:rPr>
                    <w:t xml:space="preserve">100 mg/dL </w:t>
                  </w:r>
                </w:p>
                <w:p w:rsidR="00817429" w:rsidRDefault="00817429" w:rsidP="00817429">
                  <w:pPr>
                    <w:pStyle w:val="Pa5"/>
                    <w:spacing w:after="60"/>
                    <w:rPr>
                      <w:color w:val="000000"/>
                      <w:sz w:val="15"/>
                      <w:szCs w:val="15"/>
                    </w:rPr>
                  </w:pPr>
                  <w:r>
                    <w:rPr>
                      <w:rFonts w:ascii="Arial" w:hAnsi="Arial" w:cs="Arial"/>
                      <w:color w:val="000000"/>
                      <w:sz w:val="20"/>
                      <w:szCs w:val="15"/>
                    </w:rPr>
                    <w:t>Impaired fasting glucose (IFG), a fasting glucose between 100 and 125 mg/dL is defined by the ADA as a category at risk for future diabetes and cardiovascular disease.</w:t>
                  </w:r>
                  <w:r>
                    <w:rPr>
                      <w:rStyle w:val="A8"/>
                      <w:rFonts w:ascii="Arial" w:hAnsi="Arial" w:cs="Arial"/>
                      <w:sz w:val="20"/>
                    </w:rPr>
                    <w:t xml:space="preserve"> </w:t>
                  </w:r>
                  <w:r>
                    <w:rPr>
                      <w:rFonts w:ascii="Arial" w:hAnsi="Arial" w:cs="Arial"/>
                      <w:color w:val="000000"/>
                      <w:sz w:val="20"/>
                      <w:szCs w:val="15"/>
                    </w:rPr>
                    <w:t xml:space="preserve">Normal fasting plasma glucose is defined as &lt;100 mg/dL </w:t>
                  </w:r>
                </w:p>
                <w:p w:rsidR="00817429" w:rsidRDefault="00817429" w:rsidP="00824C10">
                  <w:pPr>
                    <w:rPr>
                      <w:rFonts w:cs="Arial"/>
                      <w:szCs w:val="20"/>
                    </w:rPr>
                  </w:pPr>
                </w:p>
                <w:tbl>
                  <w:tblPr>
                    <w:tblW w:w="70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4747"/>
                  </w:tblGrid>
                  <w:tr w:rsidR="00817429" w:rsidTr="00C27F49">
                    <w:tc>
                      <w:tcPr>
                        <w:tcW w:w="2340" w:type="dxa"/>
                        <w:tcBorders>
                          <w:top w:val="single" w:sz="4" w:space="0" w:color="auto"/>
                          <w:left w:val="single" w:sz="4" w:space="0" w:color="auto"/>
                          <w:bottom w:val="single" w:sz="4" w:space="0" w:color="auto"/>
                          <w:right w:val="single" w:sz="4" w:space="0" w:color="auto"/>
                        </w:tcBorders>
                      </w:tcPr>
                      <w:p w:rsidR="00817429" w:rsidRDefault="00817429" w:rsidP="00817429">
                        <w:pPr>
                          <w:pStyle w:val="ConcSD"/>
                          <w:widowControl w:val="0"/>
                          <w:tabs>
                            <w:tab w:val="left" w:pos="720"/>
                          </w:tabs>
                          <w:spacing w:after="0" w:line="240" w:lineRule="auto"/>
                          <w:rPr>
                            <w:rFonts w:ascii="Arial" w:hAnsi="Arial"/>
                            <w:snapToGrid w:val="0"/>
                          </w:rPr>
                        </w:pPr>
                        <w:r>
                          <w:rPr>
                            <w:rFonts w:ascii="Arial" w:hAnsi="Arial"/>
                            <w:snapToGrid w:val="0"/>
                          </w:rPr>
                          <w:t>Test</w:t>
                        </w:r>
                      </w:p>
                    </w:tc>
                    <w:tc>
                      <w:tcPr>
                        <w:tcW w:w="4747" w:type="dxa"/>
                        <w:tcBorders>
                          <w:top w:val="single" w:sz="4" w:space="0" w:color="auto"/>
                          <w:left w:val="single" w:sz="4" w:space="0" w:color="auto"/>
                          <w:bottom w:val="single" w:sz="4" w:space="0" w:color="auto"/>
                          <w:right w:val="single" w:sz="4" w:space="0" w:color="auto"/>
                        </w:tcBorders>
                      </w:tcPr>
                      <w:p w:rsidR="00817429" w:rsidRDefault="00817429" w:rsidP="00817429">
                        <w:pPr>
                          <w:widowControl w:val="0"/>
                          <w:snapToGrid w:val="0"/>
                          <w:rPr>
                            <w:szCs w:val="20"/>
                          </w:rPr>
                        </w:pPr>
                        <w:r>
                          <w:rPr>
                            <w:b/>
                          </w:rPr>
                          <w:t>Reference range</w:t>
                        </w:r>
                      </w:p>
                    </w:tc>
                  </w:tr>
                  <w:tr w:rsidR="00817429" w:rsidTr="00C27F49">
                    <w:tc>
                      <w:tcPr>
                        <w:tcW w:w="2340" w:type="dxa"/>
                        <w:tcBorders>
                          <w:top w:val="single" w:sz="4" w:space="0" w:color="auto"/>
                          <w:left w:val="single" w:sz="4" w:space="0" w:color="auto"/>
                          <w:bottom w:val="single" w:sz="4" w:space="0" w:color="auto"/>
                          <w:right w:val="single" w:sz="4" w:space="0" w:color="auto"/>
                        </w:tcBorders>
                      </w:tcPr>
                      <w:p w:rsidR="00817429" w:rsidRDefault="00817429" w:rsidP="00817429">
                        <w:r>
                          <w:rPr>
                            <w:b/>
                          </w:rPr>
                          <w:t>CSF</w:t>
                        </w:r>
                        <w:r>
                          <w:t>:</w:t>
                        </w:r>
                      </w:p>
                    </w:tc>
                    <w:tc>
                      <w:tcPr>
                        <w:tcW w:w="4747" w:type="dxa"/>
                        <w:tcBorders>
                          <w:top w:val="single" w:sz="4" w:space="0" w:color="auto"/>
                          <w:left w:val="single" w:sz="4" w:space="0" w:color="auto"/>
                          <w:bottom w:val="single" w:sz="4" w:space="0" w:color="auto"/>
                          <w:right w:val="single" w:sz="4" w:space="0" w:color="auto"/>
                        </w:tcBorders>
                      </w:tcPr>
                      <w:p w:rsidR="00817429" w:rsidRDefault="00817429" w:rsidP="00817429">
                        <w:r>
                          <w:t>40-75 mg/dL or 60% of a concurrently measured plasma value</w:t>
                        </w:r>
                      </w:p>
                    </w:tc>
                  </w:tr>
                </w:tbl>
                <w:p w:rsidR="00817429" w:rsidRPr="00DC7421" w:rsidRDefault="00817429" w:rsidP="00824C10">
                  <w:pPr>
                    <w:rPr>
                      <w:rFonts w:cs="Arial"/>
                      <w:szCs w:val="20"/>
                    </w:rPr>
                  </w:pPr>
                </w:p>
              </w:tc>
            </w:tr>
          </w:tbl>
          <w:p w:rsidR="00E3253B" w:rsidRPr="00DC7421" w:rsidRDefault="00E3253B">
            <w:pPr>
              <w:rPr>
                <w:rFonts w:cs="Arial"/>
                <w:szCs w:val="20"/>
              </w:rPr>
            </w:pPr>
          </w:p>
        </w:tc>
      </w:tr>
      <w:tr w:rsidR="00E3253B" w:rsidTr="003F06E2">
        <w:trPr>
          <w:trHeight w:val="558"/>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Critical Value</w:t>
            </w:r>
            <w:r w:rsidR="0044227A">
              <w:rPr>
                <w:rFonts w:cs="Arial"/>
                <w:b/>
                <w:bCs/>
                <w:color w:val="0000FF"/>
                <w:szCs w:val="20"/>
              </w:rPr>
              <w:t>s</w:t>
            </w:r>
          </w:p>
        </w:tc>
        <w:tc>
          <w:tcPr>
            <w:tcW w:w="9360" w:type="dxa"/>
            <w:gridSpan w:val="4"/>
            <w:tcBorders>
              <w:top w:val="single" w:sz="18" w:space="0" w:color="BFBFBF"/>
              <w:left w:val="nil"/>
              <w:bottom w:val="single" w:sz="18" w:space="0" w:color="BFBFBF"/>
              <w:right w:val="nil"/>
            </w:tcBorders>
          </w:tcPr>
          <w:p w:rsidR="001C641E" w:rsidRDefault="002F5F18" w:rsidP="001C641E">
            <w:pPr>
              <w:pStyle w:val="Header"/>
              <w:rPr>
                <w:rFonts w:cs="Arial"/>
                <w:szCs w:val="20"/>
              </w:rPr>
            </w:pPr>
            <w:r w:rsidRPr="00817429">
              <w:rPr>
                <w:rFonts w:cs="Arial"/>
                <w:b/>
                <w:szCs w:val="20"/>
              </w:rPr>
              <w:t>Plasma/Serum</w:t>
            </w:r>
            <w:r>
              <w:rPr>
                <w:rFonts w:cs="Arial"/>
                <w:szCs w:val="20"/>
              </w:rPr>
              <w:t>: &lt; 50 mg/dL or &gt; 300</w:t>
            </w:r>
            <w:r w:rsidR="001C641E" w:rsidRPr="001C641E">
              <w:rPr>
                <w:rFonts w:cs="Arial"/>
                <w:szCs w:val="20"/>
              </w:rPr>
              <w:t xml:space="preserve"> mg/dL.</w:t>
            </w:r>
          </w:p>
          <w:p w:rsidR="00817429" w:rsidRDefault="00817429" w:rsidP="00817429">
            <w:pPr>
              <w:pStyle w:val="Header"/>
              <w:tabs>
                <w:tab w:val="left" w:pos="720"/>
              </w:tabs>
            </w:pPr>
            <w:r>
              <w:rPr>
                <w:b/>
                <w:bCs/>
              </w:rPr>
              <w:t>CSF</w:t>
            </w:r>
            <w:r>
              <w:t>: &lt; 30 mg/dL</w:t>
            </w:r>
          </w:p>
          <w:p w:rsidR="00817429" w:rsidRPr="001C641E" w:rsidRDefault="00817429" w:rsidP="001C641E">
            <w:pPr>
              <w:pStyle w:val="Header"/>
              <w:rPr>
                <w:rFonts w:cs="Arial"/>
                <w:szCs w:val="20"/>
              </w:rPr>
            </w:pPr>
          </w:p>
          <w:p w:rsidR="00E3253B" w:rsidRPr="00DC7421" w:rsidRDefault="001C641E" w:rsidP="001C641E">
            <w:pPr>
              <w:pStyle w:val="Header"/>
              <w:tabs>
                <w:tab w:val="clear" w:pos="4320"/>
                <w:tab w:val="clear" w:pos="8640"/>
              </w:tabs>
              <w:rPr>
                <w:rFonts w:cs="Arial"/>
                <w:szCs w:val="20"/>
              </w:rPr>
            </w:pPr>
            <w:r w:rsidRPr="001C641E">
              <w:rPr>
                <w:rFonts w:cs="Arial"/>
                <w:szCs w:val="20"/>
              </w:rPr>
              <w:t xml:space="preserve">Critical values must be called </w:t>
            </w:r>
            <w:r w:rsidR="00201CAA">
              <w:rPr>
                <w:rFonts w:cs="Arial"/>
                <w:szCs w:val="20"/>
              </w:rPr>
              <w:t xml:space="preserve">and documented </w:t>
            </w:r>
            <w:r w:rsidRPr="001C641E">
              <w:rPr>
                <w:rFonts w:cs="Arial"/>
                <w:szCs w:val="20"/>
              </w:rPr>
              <w:t>according to the Critical Limit Test Value Policy.</w:t>
            </w: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370B0F">
              <w:rPr>
                <w:rFonts w:cs="Arial"/>
                <w:color w:val="000000"/>
                <w:szCs w:val="20"/>
              </w:rPr>
              <w:t>glucose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1:5</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Do not manually dilute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2F5F18"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 xml:space="preserve">ructions for programming automated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2F5F18">
                    <w:rPr>
                      <w:rFonts w:eastAsia="HelenPro-Regular" w:cs="Arial"/>
                      <w:szCs w:val="20"/>
                    </w:rPr>
                    <w:t>e of the measuring interval of 5</w:t>
                  </w:r>
                  <w:r>
                    <w:rPr>
                      <w:rFonts w:eastAsia="HelenPro-Regular" w:cs="Arial"/>
                      <w:szCs w:val="20"/>
                    </w:rPr>
                    <w:t>.0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3F06E2">
        <w:trPr>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2F5F18">
            <w:pPr>
              <w:pStyle w:val="Header"/>
              <w:numPr>
                <w:ilvl w:val="0"/>
                <w:numId w:val="5"/>
              </w:numPr>
              <w:tabs>
                <w:tab w:val="clear" w:pos="4320"/>
                <w:tab w:val="clear" w:pos="8640"/>
              </w:tabs>
              <w:rPr>
                <w:rFonts w:cs="Arial"/>
                <w:szCs w:val="20"/>
              </w:rPr>
            </w:pPr>
            <w:r>
              <w:rPr>
                <w:rFonts w:cs="Arial"/>
                <w:szCs w:val="20"/>
              </w:rPr>
              <w:t>Results between 50 – 30</w:t>
            </w:r>
            <w:r w:rsidR="000E63E3">
              <w:rPr>
                <w:rFonts w:cs="Arial"/>
                <w:szCs w:val="20"/>
              </w:rPr>
              <w:t>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Pr="00DC7421" w:rsidRDefault="002F5F18">
            <w:pPr>
              <w:numPr>
                <w:ilvl w:val="0"/>
                <w:numId w:val="5"/>
              </w:numPr>
              <w:rPr>
                <w:rFonts w:cs="Arial"/>
                <w:szCs w:val="20"/>
              </w:rPr>
            </w:pPr>
            <w:r>
              <w:rPr>
                <w:rFonts w:cs="Arial"/>
                <w:szCs w:val="20"/>
              </w:rPr>
              <w:t>Results below 50</w:t>
            </w:r>
            <w:r w:rsidR="00E3253B" w:rsidRPr="00DC7421">
              <w:rPr>
                <w:rFonts w:cs="Arial"/>
                <w:szCs w:val="20"/>
              </w:rPr>
              <w:t xml:space="preserve"> </w:t>
            </w:r>
            <w:r w:rsidR="000E63E3">
              <w:rPr>
                <w:rFonts w:cs="Arial"/>
                <w:szCs w:val="20"/>
              </w:rPr>
              <w:t>mg/dL</w:t>
            </w:r>
            <w:r>
              <w:rPr>
                <w:rFonts w:cs="Arial"/>
                <w:szCs w:val="20"/>
              </w:rPr>
              <w:t xml:space="preserve"> and above 300 mg/dL but within the AMR must be called and documented as critical.</w:t>
            </w:r>
          </w:p>
          <w:p w:rsidR="00E3253B" w:rsidRDefault="002F5F18">
            <w:pPr>
              <w:numPr>
                <w:ilvl w:val="0"/>
                <w:numId w:val="5"/>
              </w:numPr>
              <w:rPr>
                <w:rFonts w:cs="Arial"/>
                <w:szCs w:val="20"/>
              </w:rPr>
            </w:pPr>
            <w:r>
              <w:rPr>
                <w:rFonts w:cs="Arial"/>
                <w:szCs w:val="20"/>
              </w:rPr>
              <w:t>Results &lt;5.0</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w:t>
            </w:r>
            <w:r>
              <w:rPr>
                <w:rFonts w:cs="Arial"/>
                <w:szCs w:val="20"/>
              </w:rPr>
              <w:t>are reported as &lt; 5.0 mg/dL</w:t>
            </w:r>
          </w:p>
          <w:p w:rsidR="001C641E" w:rsidRDefault="002F5F18">
            <w:pPr>
              <w:numPr>
                <w:ilvl w:val="0"/>
                <w:numId w:val="5"/>
              </w:numPr>
              <w:rPr>
                <w:rFonts w:cs="Arial"/>
                <w:szCs w:val="20"/>
              </w:rPr>
            </w:pPr>
            <w:r>
              <w:rPr>
                <w:rFonts w:cs="Arial"/>
                <w:szCs w:val="20"/>
              </w:rPr>
              <w:t>Results &gt; 800</w:t>
            </w:r>
            <w:r w:rsidR="001C641E">
              <w:rPr>
                <w:rFonts w:cs="Arial"/>
                <w:szCs w:val="20"/>
              </w:rPr>
              <w:t xml:space="preserve"> mg/dL</w:t>
            </w:r>
            <w:r>
              <w:rPr>
                <w:rFonts w:cs="Arial"/>
                <w:szCs w:val="20"/>
              </w:rPr>
              <w:t xml:space="preserve"> should be diluted using the onboard automated 1:5 dilution.  Release results without error messages following dilution.</w:t>
            </w:r>
          </w:p>
          <w:p w:rsidR="002F5F18" w:rsidRPr="00DC7421" w:rsidRDefault="002F5F18">
            <w:pPr>
              <w:numPr>
                <w:ilvl w:val="0"/>
                <w:numId w:val="5"/>
              </w:numPr>
              <w:rPr>
                <w:rFonts w:cs="Arial"/>
                <w:szCs w:val="20"/>
              </w:rPr>
            </w:pPr>
            <w:r>
              <w:rPr>
                <w:rFonts w:cs="Arial"/>
                <w:szCs w:val="20"/>
              </w:rPr>
              <w:t>Results &gt; 4000 mg/dL following automated dilution are reported as &gt;4000 mg/dL.</w:t>
            </w:r>
          </w:p>
          <w:p w:rsidR="00387FF5" w:rsidRPr="00DC7421" w:rsidRDefault="00387FF5" w:rsidP="00824C10">
            <w:pPr>
              <w:rPr>
                <w:rFonts w:cs="Arial"/>
                <w:szCs w:val="20"/>
              </w:rPr>
            </w:pPr>
          </w:p>
        </w:tc>
      </w:tr>
      <w:tr w:rsidR="00E3253B" w:rsidTr="003F06E2">
        <w:trPr>
          <w:trHeight w:val="738"/>
          <w:tblHeader/>
        </w:trPr>
        <w:tc>
          <w:tcPr>
            <w:tcW w:w="1800" w:type="dxa"/>
            <w:tcBorders>
              <w:top w:val="nil"/>
              <w:left w:val="nil"/>
              <w:bottom w:val="nil"/>
              <w:right w:val="nil"/>
            </w:tcBorders>
          </w:tcPr>
          <w:p w:rsidR="00E3253B" w:rsidRPr="00C00B65" w:rsidRDefault="00E3253B" w:rsidP="0044227A">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3F06E2">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370B0F">
              <w:rPr>
                <w:rFonts w:cs="Arial"/>
                <w:szCs w:val="20"/>
              </w:rPr>
              <w:t>Glucose</w:t>
            </w:r>
            <w:r w:rsidRPr="00DC7421">
              <w:rPr>
                <w:rFonts w:cs="Arial"/>
                <w:szCs w:val="20"/>
              </w:rPr>
              <w:t xml:space="preserve"> Package Insert, Abbott Laboratories Diagnostics Division, Abbo</w:t>
            </w:r>
            <w:r w:rsidR="00370B0F">
              <w:rPr>
                <w:rFonts w:cs="Arial"/>
                <w:szCs w:val="20"/>
              </w:rPr>
              <w:t>tt Park, IL 60064, May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370B0F">
              <w:rPr>
                <w:rFonts w:cs="Arial"/>
                <w:szCs w:val="20"/>
              </w:rPr>
              <w:t>Glucose</w:t>
            </w:r>
            <w:r w:rsidRPr="00DC7421">
              <w:rPr>
                <w:rFonts w:cs="Arial"/>
                <w:szCs w:val="20"/>
              </w:rPr>
              <w:t xml:space="preserve"> Package Insert, Abbott Laboratories Diagnostics Division, Abbo</w:t>
            </w:r>
            <w:r w:rsidR="001C641E">
              <w:rPr>
                <w:rFonts w:cs="Arial"/>
                <w:szCs w:val="20"/>
              </w:rPr>
              <w:t>tt Park, IL 60064, February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 xml:space="preserve">Architect </w:t>
            </w:r>
            <w:r w:rsidR="00EF1271" w:rsidRPr="00DC7421">
              <w:rPr>
                <w:rFonts w:cs="Arial"/>
                <w:szCs w:val="20"/>
              </w:rPr>
              <w:t>Multiconstituent</w:t>
            </w:r>
            <w:r w:rsidRPr="00DC7421">
              <w:rPr>
                <w:rFonts w:cs="Arial"/>
                <w:szCs w:val="20"/>
              </w:rPr>
              <w:t xml:space="preserve"> Calibrator Package Insert, Abbott Laboratories Diagnostics Division, Abbott Park, IL 60064, August 2017.</w:t>
            </w:r>
          </w:p>
          <w:p w:rsidR="00E3253B" w:rsidRPr="00D450FF"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w:t>
            </w:r>
            <w:proofErr w:type="spellStart"/>
            <w:r w:rsidR="00D450FF">
              <w:rPr>
                <w:rFonts w:cs="Arial"/>
                <w:bCs/>
                <w:szCs w:val="20"/>
              </w:rPr>
              <w:t>Multiqual</w:t>
            </w:r>
            <w:proofErr w:type="spellEnd"/>
            <w:r w:rsidR="00D450FF">
              <w:rPr>
                <w:rFonts w:cs="Arial"/>
                <w:bCs/>
                <w:szCs w:val="20"/>
              </w:rPr>
              <w:t xml:space="preserve"> 1,2,3 </w:t>
            </w:r>
            <w:r w:rsidR="00E3253B" w:rsidRPr="00DC7421">
              <w:rPr>
                <w:rFonts w:cs="Arial"/>
                <w:bCs/>
                <w:szCs w:val="20"/>
              </w:rPr>
              <w:t>Unassayed Chemistry Control Product Insert, Bio-Rad</w:t>
            </w:r>
            <w:r w:rsidR="009C4BDA" w:rsidRPr="00DC7421">
              <w:rPr>
                <w:rFonts w:cs="Arial"/>
                <w:bCs/>
                <w:szCs w:val="20"/>
              </w:rPr>
              <w:t xml:space="preserve"> Laboratories, Irvine, CA 92618</w:t>
            </w:r>
          </w:p>
          <w:p w:rsidR="00D450FF" w:rsidRPr="00DC7421" w:rsidRDefault="00D450FF" w:rsidP="00F63DA5">
            <w:pPr>
              <w:numPr>
                <w:ilvl w:val="0"/>
                <w:numId w:val="33"/>
              </w:numPr>
              <w:rPr>
                <w:rFonts w:cs="Arial"/>
                <w:szCs w:val="20"/>
              </w:rPr>
            </w:pPr>
            <w:r>
              <w:rPr>
                <w:rFonts w:cs="Arial"/>
                <w:bCs/>
                <w:szCs w:val="20"/>
              </w:rPr>
              <w:t>Bio-Rad Liquichek Spinal Fluid Control Insert</w:t>
            </w:r>
            <w:r w:rsidRPr="00DC7421">
              <w:rPr>
                <w:rFonts w:cs="Arial"/>
                <w:bCs/>
                <w:szCs w:val="20"/>
              </w:rPr>
              <w:t xml:space="preserve">, Bio-Rad Laboratories, </w:t>
            </w:r>
            <w:r>
              <w:rPr>
                <w:rFonts w:cs="Arial"/>
                <w:bCs/>
                <w:szCs w:val="20"/>
              </w:rPr>
              <w:t xml:space="preserve">Bio-Rad Laboratories, </w:t>
            </w:r>
            <w:r w:rsidRPr="00DC7421">
              <w:rPr>
                <w:rFonts w:cs="Arial"/>
                <w:bCs/>
                <w:szCs w:val="20"/>
              </w:rPr>
              <w:t>Irvine, CA 92618</w:t>
            </w:r>
          </w:p>
          <w:p w:rsidR="00E3253B" w:rsidRPr="00DC7421" w:rsidRDefault="00E3253B" w:rsidP="00F63DA5">
            <w:pPr>
              <w:rPr>
                <w:rFonts w:cs="Arial"/>
                <w:szCs w:val="20"/>
              </w:rPr>
            </w:pPr>
          </w:p>
        </w:tc>
      </w:tr>
      <w:tr w:rsidR="00F50200" w:rsidTr="003F06E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3F06E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3F06E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2971E2" w:rsidRDefault="00F50200">
            <w:pPr>
              <w:rPr>
                <w:rFonts w:cs="Arial"/>
                <w:iCs/>
              </w:rPr>
            </w:pPr>
          </w:p>
        </w:tc>
        <w:tc>
          <w:tcPr>
            <w:tcW w:w="2430" w:type="dxa"/>
            <w:tcBorders>
              <w:top w:val="single" w:sz="4" w:space="0" w:color="auto"/>
              <w:left w:val="single" w:sz="4" w:space="0" w:color="auto"/>
              <w:bottom w:val="single" w:sz="4" w:space="0" w:color="auto"/>
              <w:right w:val="single" w:sz="4" w:space="0" w:color="auto"/>
            </w:tcBorders>
          </w:tcPr>
          <w:p w:rsidR="00F50200" w:rsidRPr="002971E2" w:rsidRDefault="002971E2">
            <w:pPr>
              <w:rPr>
                <w:rFonts w:cs="Arial"/>
                <w:iCs/>
              </w:rPr>
            </w:pPr>
            <w:r w:rsidRPr="002971E2">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2971E2" w:rsidRDefault="002971E2">
            <w:pPr>
              <w:rPr>
                <w:rFonts w:cs="Arial"/>
                <w:iCs/>
              </w:rPr>
            </w:pPr>
            <w:r w:rsidRPr="002971E2">
              <w:rPr>
                <w:rFonts w:cs="Arial"/>
                <w:iCs/>
              </w:rPr>
              <w:t>April 23, 2020</w:t>
            </w:r>
          </w:p>
        </w:tc>
        <w:tc>
          <w:tcPr>
            <w:tcW w:w="4410" w:type="dxa"/>
            <w:tcBorders>
              <w:top w:val="single" w:sz="4" w:space="0" w:color="auto"/>
              <w:left w:val="single" w:sz="4" w:space="0" w:color="auto"/>
              <w:bottom w:val="single" w:sz="4" w:space="0" w:color="auto"/>
              <w:right w:val="single" w:sz="4" w:space="0" w:color="auto"/>
            </w:tcBorders>
          </w:tcPr>
          <w:p w:rsidR="00F50200" w:rsidRPr="002971E2" w:rsidRDefault="002971E2">
            <w:pPr>
              <w:rPr>
                <w:rFonts w:cs="Arial"/>
                <w:iCs/>
              </w:rPr>
            </w:pPr>
            <w:r w:rsidRPr="002971E2">
              <w:rPr>
                <w:rFonts w:cs="Arial"/>
                <w:iCs/>
              </w:rPr>
              <w:t>Added St Paul Alinity c analyzer</w:t>
            </w:r>
          </w:p>
        </w:tc>
      </w:tr>
      <w:tr w:rsidR="00D450FF" w:rsidTr="003F06E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rsidR="00D450FF" w:rsidRDefault="00D450FF">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D450FF" w:rsidRPr="002971E2" w:rsidRDefault="00D450FF">
            <w:pPr>
              <w:rPr>
                <w:rFonts w:cs="Arial"/>
                <w:iCs/>
              </w:rPr>
            </w:pPr>
            <w:r>
              <w:rPr>
                <w:rFonts w:cs="Arial"/>
                <w:iCs/>
              </w:rPr>
              <w:t>3</w:t>
            </w:r>
          </w:p>
        </w:tc>
        <w:tc>
          <w:tcPr>
            <w:tcW w:w="2430" w:type="dxa"/>
            <w:tcBorders>
              <w:top w:val="single" w:sz="4" w:space="0" w:color="auto"/>
              <w:left w:val="single" w:sz="4" w:space="0" w:color="auto"/>
              <w:bottom w:val="single" w:sz="4" w:space="0" w:color="auto"/>
              <w:right w:val="single" w:sz="4" w:space="0" w:color="auto"/>
            </w:tcBorders>
          </w:tcPr>
          <w:p w:rsidR="00D450FF" w:rsidRPr="002971E2" w:rsidRDefault="00D450FF">
            <w:pPr>
              <w:rPr>
                <w:rFonts w:cs="Arial"/>
                <w:iCs/>
              </w:rPr>
            </w:pPr>
            <w:r>
              <w:rPr>
                <w:rFonts w:cs="Arial"/>
                <w:iCs/>
              </w:rPr>
              <w:t>Erin Bartos</w:t>
            </w:r>
          </w:p>
        </w:tc>
        <w:tc>
          <w:tcPr>
            <w:tcW w:w="1530" w:type="dxa"/>
            <w:tcBorders>
              <w:top w:val="single" w:sz="4" w:space="0" w:color="auto"/>
              <w:left w:val="single" w:sz="4" w:space="0" w:color="auto"/>
              <w:bottom w:val="single" w:sz="4" w:space="0" w:color="auto"/>
              <w:right w:val="single" w:sz="4" w:space="0" w:color="auto"/>
            </w:tcBorders>
          </w:tcPr>
          <w:p w:rsidR="00D450FF" w:rsidRPr="002971E2" w:rsidRDefault="00D450FF">
            <w:pPr>
              <w:rPr>
                <w:rFonts w:cs="Arial"/>
                <w:iCs/>
              </w:rPr>
            </w:pPr>
            <w:r>
              <w:rPr>
                <w:rFonts w:cs="Arial"/>
                <w:iCs/>
              </w:rPr>
              <w:t>10/28/2020</w:t>
            </w:r>
          </w:p>
        </w:tc>
        <w:tc>
          <w:tcPr>
            <w:tcW w:w="4410" w:type="dxa"/>
            <w:tcBorders>
              <w:top w:val="single" w:sz="4" w:space="0" w:color="auto"/>
              <w:left w:val="single" w:sz="4" w:space="0" w:color="auto"/>
              <w:bottom w:val="single" w:sz="4" w:space="0" w:color="auto"/>
              <w:right w:val="single" w:sz="4" w:space="0" w:color="auto"/>
            </w:tcBorders>
          </w:tcPr>
          <w:p w:rsidR="00D450FF" w:rsidRPr="002971E2" w:rsidRDefault="00D450FF">
            <w:pPr>
              <w:rPr>
                <w:rFonts w:cs="Arial"/>
                <w:iCs/>
              </w:rPr>
            </w:pPr>
            <w:r>
              <w:rPr>
                <w:rFonts w:cs="Arial"/>
                <w:iCs/>
              </w:rPr>
              <w:t>Added Alinity ci Mpls, Added HIL box, added CSF and body fluid, changed QC, updated AMR for body fluids.  Added ref ranges and critical for CSF.</w:t>
            </w:r>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D7186D">
      <w:rPr>
        <w:noProof/>
        <w:sz w:val="18"/>
      </w:rPr>
      <w:t>3</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D7186D">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817429">
      <w:rPr>
        <w:rFonts w:cs="Arial"/>
      </w:rPr>
      <w:t>CH 6.391 Glucose</w:t>
    </w:r>
    <w:r w:rsidR="00E55C7B">
      <w:rPr>
        <w:rFonts w:cs="Arial"/>
      </w:rPr>
      <w:t xml:space="preserve"> </w:t>
    </w:r>
  </w:p>
  <w:p w:rsidR="00B13C1A" w:rsidRDefault="00817429">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817429">
      <w:rPr>
        <w:rFonts w:cs="Arial"/>
      </w:rPr>
      <w:t xml:space="preserve">October 28, 2020 </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60D77"/>
    <w:multiLevelType w:val="hybridMultilevel"/>
    <w:tmpl w:val="77D49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9"/>
  </w:num>
  <w:num w:numId="4">
    <w:abstractNumId w:val="33"/>
  </w:num>
  <w:num w:numId="5">
    <w:abstractNumId w:val="5"/>
  </w:num>
  <w:num w:numId="6">
    <w:abstractNumId w:val="9"/>
  </w:num>
  <w:num w:numId="7">
    <w:abstractNumId w:val="25"/>
  </w:num>
  <w:num w:numId="8">
    <w:abstractNumId w:val="20"/>
  </w:num>
  <w:num w:numId="9">
    <w:abstractNumId w:val="12"/>
  </w:num>
  <w:num w:numId="10">
    <w:abstractNumId w:val="2"/>
  </w:num>
  <w:num w:numId="11">
    <w:abstractNumId w:val="26"/>
  </w:num>
  <w:num w:numId="12">
    <w:abstractNumId w:val="8"/>
  </w:num>
  <w:num w:numId="13">
    <w:abstractNumId w:val="27"/>
  </w:num>
  <w:num w:numId="14">
    <w:abstractNumId w:val="35"/>
  </w:num>
  <w:num w:numId="15">
    <w:abstractNumId w:val="18"/>
  </w:num>
  <w:num w:numId="16">
    <w:abstractNumId w:val="1"/>
  </w:num>
  <w:num w:numId="17">
    <w:abstractNumId w:val="38"/>
  </w:num>
  <w:num w:numId="18">
    <w:abstractNumId w:val="10"/>
  </w:num>
  <w:num w:numId="19">
    <w:abstractNumId w:val="17"/>
  </w:num>
  <w:num w:numId="20">
    <w:abstractNumId w:val="24"/>
  </w:num>
  <w:num w:numId="21">
    <w:abstractNumId w:val="31"/>
  </w:num>
  <w:num w:numId="22">
    <w:abstractNumId w:val="36"/>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30"/>
  </w:num>
  <w:num w:numId="30">
    <w:abstractNumId w:val="28"/>
  </w:num>
  <w:num w:numId="31">
    <w:abstractNumId w:val="19"/>
  </w:num>
  <w:num w:numId="32">
    <w:abstractNumId w:val="15"/>
  </w:num>
  <w:num w:numId="33">
    <w:abstractNumId w:val="4"/>
  </w:num>
  <w:num w:numId="34">
    <w:abstractNumId w:val="34"/>
  </w:num>
  <w:num w:numId="35">
    <w:abstractNumId w:val="32"/>
  </w:num>
  <w:num w:numId="36">
    <w:abstractNumId w:val="14"/>
  </w:num>
  <w:num w:numId="37">
    <w:abstractNumId w:val="37"/>
  </w:num>
  <w:num w:numId="38">
    <w:abstractNumId w:val="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41E4"/>
    <w:rsid w:val="0015181F"/>
    <w:rsid w:val="001B58ED"/>
    <w:rsid w:val="001C1CFA"/>
    <w:rsid w:val="001C641E"/>
    <w:rsid w:val="001D1786"/>
    <w:rsid w:val="001F5D12"/>
    <w:rsid w:val="00201CAA"/>
    <w:rsid w:val="00250A09"/>
    <w:rsid w:val="00252F1D"/>
    <w:rsid w:val="002971E2"/>
    <w:rsid w:val="002C12BF"/>
    <w:rsid w:val="002C29CB"/>
    <w:rsid w:val="002E718D"/>
    <w:rsid w:val="002F5C68"/>
    <w:rsid w:val="002F5F18"/>
    <w:rsid w:val="0030640D"/>
    <w:rsid w:val="00370B0F"/>
    <w:rsid w:val="00387FF5"/>
    <w:rsid w:val="003A65AD"/>
    <w:rsid w:val="003D5BD7"/>
    <w:rsid w:val="003D713F"/>
    <w:rsid w:val="003E0A08"/>
    <w:rsid w:val="003E168B"/>
    <w:rsid w:val="003F06E2"/>
    <w:rsid w:val="00420763"/>
    <w:rsid w:val="00440E37"/>
    <w:rsid w:val="0044227A"/>
    <w:rsid w:val="004735E9"/>
    <w:rsid w:val="00486653"/>
    <w:rsid w:val="004A698D"/>
    <w:rsid w:val="004B5D63"/>
    <w:rsid w:val="004C14CE"/>
    <w:rsid w:val="005665A7"/>
    <w:rsid w:val="005A7373"/>
    <w:rsid w:val="005C6F36"/>
    <w:rsid w:val="00646E63"/>
    <w:rsid w:val="00655B61"/>
    <w:rsid w:val="00685D61"/>
    <w:rsid w:val="00693888"/>
    <w:rsid w:val="006A26B2"/>
    <w:rsid w:val="006A2770"/>
    <w:rsid w:val="006A5A84"/>
    <w:rsid w:val="007132A9"/>
    <w:rsid w:val="00747868"/>
    <w:rsid w:val="007B1809"/>
    <w:rsid w:val="007B2A3E"/>
    <w:rsid w:val="007D4CC0"/>
    <w:rsid w:val="008044BA"/>
    <w:rsid w:val="00817429"/>
    <w:rsid w:val="00824C10"/>
    <w:rsid w:val="008A71A5"/>
    <w:rsid w:val="008D3369"/>
    <w:rsid w:val="008F2C66"/>
    <w:rsid w:val="00914DEC"/>
    <w:rsid w:val="00944DFA"/>
    <w:rsid w:val="00950E15"/>
    <w:rsid w:val="00984816"/>
    <w:rsid w:val="009A1A3D"/>
    <w:rsid w:val="009C08FA"/>
    <w:rsid w:val="009C4BDA"/>
    <w:rsid w:val="009D085B"/>
    <w:rsid w:val="009F5F31"/>
    <w:rsid w:val="00A002D3"/>
    <w:rsid w:val="00A23FFE"/>
    <w:rsid w:val="00A32948"/>
    <w:rsid w:val="00A64AE8"/>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E16FB"/>
    <w:rsid w:val="00CF08A6"/>
    <w:rsid w:val="00D271B1"/>
    <w:rsid w:val="00D450FF"/>
    <w:rsid w:val="00D63C07"/>
    <w:rsid w:val="00D7186D"/>
    <w:rsid w:val="00D75850"/>
    <w:rsid w:val="00D955F6"/>
    <w:rsid w:val="00DC24D6"/>
    <w:rsid w:val="00DC7421"/>
    <w:rsid w:val="00DF5549"/>
    <w:rsid w:val="00E049CF"/>
    <w:rsid w:val="00E107DD"/>
    <w:rsid w:val="00E246BA"/>
    <w:rsid w:val="00E3253B"/>
    <w:rsid w:val="00E55C7B"/>
    <w:rsid w:val="00E854F1"/>
    <w:rsid w:val="00E93074"/>
    <w:rsid w:val="00EB4B6C"/>
    <w:rsid w:val="00EE145B"/>
    <w:rsid w:val="00EF1271"/>
    <w:rsid w:val="00EF1741"/>
    <w:rsid w:val="00F0405E"/>
    <w:rsid w:val="00F236AF"/>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429"/>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A8">
    <w:name w:val="A8"/>
    <w:rsid w:val="00817429"/>
    <w:rPr>
      <w:color w:val="000000"/>
      <w:sz w:val="8"/>
      <w:szCs w:val="8"/>
    </w:rPr>
  </w:style>
  <w:style w:type="character" w:customStyle="1" w:styleId="A10">
    <w:name w:val="A10"/>
    <w:rsid w:val="00817429"/>
    <w:rPr>
      <w:color w:val="000000"/>
      <w:sz w:val="15"/>
      <w:szCs w:val="15"/>
      <w:u w:val="single"/>
    </w:rPr>
  </w:style>
  <w:style w:type="paragraph" w:customStyle="1" w:styleId="ConcSD">
    <w:name w:val="Conc/SD"/>
    <w:basedOn w:val="BodyText"/>
    <w:rsid w:val="00817429"/>
    <w:pPr>
      <w:tabs>
        <w:tab w:val="center" w:pos="1800"/>
        <w:tab w:val="center" w:pos="4320"/>
      </w:tabs>
      <w:spacing w:after="40" w:line="160" w:lineRule="atLeast"/>
    </w:pPr>
    <w:rPr>
      <w:rFonts w:ascii="Times New Roman" w:hAnsi="Times New Roman"/>
      <w:b/>
      <w:szCs w:val="20"/>
    </w:rPr>
  </w:style>
  <w:style w:type="character" w:styleId="FollowedHyperlink">
    <w:name w:val="FollowedHyperlink"/>
    <w:basedOn w:val="DefaultParagraphFont"/>
    <w:uiPriority w:val="99"/>
    <w:semiHidden/>
    <w:unhideWhenUsed/>
    <w:rsid w:val="00D718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DAF6B-3672-4218-A598-D5A2E241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2328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16308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7</cp:revision>
  <cp:lastPrinted>2011-06-16T20:29:00Z</cp:lastPrinted>
  <dcterms:created xsi:type="dcterms:W3CDTF">2020-10-26T19:20:00Z</dcterms:created>
  <dcterms:modified xsi:type="dcterms:W3CDTF">2020-10-26T21:33:00Z</dcterms:modified>
</cp:coreProperties>
</file>