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60465C">
        <w:trPr>
          <w:tblHeader/>
        </w:trPr>
        <w:tc>
          <w:tcPr>
            <w:tcW w:w="11160" w:type="dxa"/>
            <w:gridSpan w:val="7"/>
            <w:tcBorders>
              <w:top w:val="nil"/>
              <w:left w:val="nil"/>
              <w:bottom w:val="nil"/>
              <w:right w:val="nil"/>
            </w:tcBorders>
          </w:tcPr>
          <w:p w:rsidR="00E3253B" w:rsidRDefault="006A12A7" w:rsidP="0060465C">
            <w:pPr>
              <w:rPr>
                <w:rFonts w:cs="Arial"/>
                <w:b/>
                <w:bCs/>
                <w:color w:val="0000FF"/>
              </w:rPr>
            </w:pPr>
            <w:r>
              <w:rPr>
                <w:rFonts w:cs="Arial"/>
                <w:b/>
                <w:bCs/>
                <w:color w:val="0000FF"/>
                <w:sz w:val="36"/>
              </w:rPr>
              <w:t>Total Protein</w:t>
            </w: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6A12A7">
              <w:rPr>
                <w:rStyle w:val="A7"/>
                <w:rFonts w:cs="Arial"/>
                <w:b w:val="0"/>
                <w:bCs w:val="0"/>
                <w:sz w:val="20"/>
                <w:szCs w:val="20"/>
              </w:rPr>
              <w:t>TOTAL PROTEIN</w:t>
            </w:r>
            <w:r w:rsidR="009D085B" w:rsidRPr="00DC7421">
              <w:rPr>
                <w:rStyle w:val="A7"/>
                <w:rFonts w:cs="Arial"/>
                <w:b w:val="0"/>
                <w:bCs w:val="0"/>
                <w:sz w:val="20"/>
                <w:szCs w:val="20"/>
              </w:rPr>
              <w:t xml:space="preserve"> ON ABBOTT INSTRUMEN</w:t>
            </w:r>
            <w:r w:rsidR="0060465C">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6A12A7">
              <w:rPr>
                <w:rFonts w:cs="Arial"/>
                <w:szCs w:val="20"/>
              </w:rPr>
              <w:t xml:space="preserve"> The total protein</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 xml:space="preserve">diagnostic test for the quantitative measurement of </w:t>
            </w:r>
            <w:r w:rsidR="006A12A7">
              <w:rPr>
                <w:rFonts w:cs="Arial"/>
                <w:szCs w:val="20"/>
              </w:rPr>
              <w:t>total protein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D02AF8">
              <w:rPr>
                <w:rFonts w:cs="Arial"/>
                <w:szCs w:val="20"/>
              </w:rPr>
              <w:t>chemistry analyzers, or in peritoneal, pericardial or chest fluid on the Minneapolis Abbott Alinity ci chemistry analyzer.</w:t>
            </w:r>
          </w:p>
          <w:p w:rsidR="00E3253B" w:rsidRPr="00DC7421" w:rsidRDefault="00E3253B">
            <w:pPr>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60465C">
        <w:trPr>
          <w:trHeight w:val="1278"/>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Principle</w:t>
            </w:r>
          </w:p>
        </w:tc>
        <w:tc>
          <w:tcPr>
            <w:tcW w:w="9360" w:type="dxa"/>
            <w:gridSpan w:val="6"/>
            <w:tcBorders>
              <w:top w:val="single" w:sz="18" w:space="0" w:color="BFBFBF"/>
              <w:left w:val="nil"/>
              <w:bottom w:val="single" w:sz="18" w:space="0" w:color="BFBFBF"/>
              <w:right w:val="nil"/>
            </w:tcBorders>
          </w:tcPr>
          <w:p w:rsidR="001C3AEC" w:rsidRDefault="001C3AEC" w:rsidP="001C3AEC">
            <w:pPr>
              <w:pStyle w:val="Header"/>
              <w:rPr>
                <w:rFonts w:cs="Arial"/>
                <w:color w:val="000000"/>
                <w:szCs w:val="20"/>
              </w:rPr>
            </w:pPr>
            <w:r w:rsidRPr="001C3AEC">
              <w:rPr>
                <w:rFonts w:cs="Arial"/>
                <w:color w:val="000000"/>
                <w:szCs w:val="20"/>
              </w:rPr>
              <w:t>Polypeptides containing at least two peptide bonds react with biuret</w:t>
            </w:r>
            <w:r>
              <w:rPr>
                <w:rFonts w:cs="Arial"/>
                <w:color w:val="000000"/>
                <w:szCs w:val="20"/>
              </w:rPr>
              <w:t xml:space="preserve"> </w:t>
            </w:r>
            <w:r w:rsidRPr="001C3AEC">
              <w:rPr>
                <w:rFonts w:cs="Arial"/>
                <w:color w:val="000000"/>
                <w:szCs w:val="20"/>
              </w:rPr>
              <w:t>reagent. In alkaline solution, cupric ion forms a coordination complex</w:t>
            </w:r>
            <w:r>
              <w:rPr>
                <w:rFonts w:cs="Arial"/>
                <w:color w:val="000000"/>
                <w:szCs w:val="20"/>
              </w:rPr>
              <w:t xml:space="preserve"> </w:t>
            </w:r>
            <w:r w:rsidRPr="001C3AEC">
              <w:rPr>
                <w:rFonts w:cs="Arial"/>
                <w:color w:val="000000"/>
                <w:szCs w:val="20"/>
              </w:rPr>
              <w:t>with protein nitrogen with very little difference between albumin and</w:t>
            </w:r>
            <w:r>
              <w:rPr>
                <w:rFonts w:cs="Arial"/>
                <w:color w:val="000000"/>
                <w:szCs w:val="20"/>
              </w:rPr>
              <w:t xml:space="preserve"> </w:t>
            </w:r>
            <w:r w:rsidRPr="001C3AEC">
              <w:rPr>
                <w:rFonts w:cs="Arial"/>
                <w:color w:val="000000"/>
                <w:szCs w:val="20"/>
              </w:rPr>
              <w:t>globulin on a protein-nitrogen basis.</w:t>
            </w:r>
          </w:p>
          <w:p w:rsidR="001C3AEC" w:rsidRPr="001C3AEC" w:rsidRDefault="001C3AEC" w:rsidP="001C3AEC">
            <w:pPr>
              <w:pStyle w:val="Header"/>
              <w:rPr>
                <w:rFonts w:cs="Arial"/>
                <w:color w:val="000000"/>
                <w:szCs w:val="20"/>
              </w:rPr>
            </w:pPr>
          </w:p>
          <w:p w:rsidR="005C6F36" w:rsidRDefault="001C3AEC" w:rsidP="001C3AEC">
            <w:pPr>
              <w:pStyle w:val="Header"/>
              <w:tabs>
                <w:tab w:val="clear" w:pos="4320"/>
                <w:tab w:val="clear" w:pos="8640"/>
              </w:tabs>
              <w:rPr>
                <w:rFonts w:cs="Arial"/>
                <w:color w:val="000000"/>
                <w:szCs w:val="20"/>
              </w:rPr>
            </w:pPr>
            <w:r w:rsidRPr="001C3AEC">
              <w:rPr>
                <w:rFonts w:cs="Arial"/>
                <w:color w:val="000000"/>
                <w:szCs w:val="20"/>
              </w:rPr>
              <w:t>Methodology: Biuret</w:t>
            </w:r>
          </w:p>
          <w:p w:rsidR="0060465C" w:rsidRPr="00DC7421" w:rsidRDefault="0060465C" w:rsidP="001C3AEC">
            <w:pPr>
              <w:pStyle w:val="Header"/>
              <w:tabs>
                <w:tab w:val="clear" w:pos="4320"/>
                <w:tab w:val="clear" w:pos="8640"/>
              </w:tabs>
              <w:rPr>
                <w:rFonts w:cs="Arial"/>
                <w:color w:val="000000"/>
                <w:szCs w:val="20"/>
              </w:rPr>
            </w:pPr>
          </w:p>
        </w:tc>
      </w:tr>
      <w:tr w:rsidR="00E3253B" w:rsidTr="0060465C">
        <w:trPr>
          <w:trHeight w:val="1665"/>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Clin</w:t>
            </w:r>
            <w:r w:rsidR="0060465C">
              <w:rPr>
                <w:rFonts w:cs="Arial"/>
                <w:b/>
                <w:bCs/>
                <w:color w:val="0000FF"/>
                <w:szCs w:val="20"/>
              </w:rPr>
              <w:t>i</w:t>
            </w:r>
            <w:r w:rsidRPr="00C00B65">
              <w:rPr>
                <w:rFonts w:cs="Arial"/>
                <w:b/>
                <w:bCs/>
                <w:color w:val="0000FF"/>
                <w:szCs w:val="20"/>
              </w:rPr>
              <w:t>cal Significance</w:t>
            </w:r>
          </w:p>
        </w:tc>
        <w:tc>
          <w:tcPr>
            <w:tcW w:w="9360" w:type="dxa"/>
            <w:gridSpan w:val="6"/>
            <w:tcBorders>
              <w:top w:val="single" w:sz="18" w:space="0" w:color="BFBFBF"/>
              <w:left w:val="nil"/>
              <w:bottom w:val="single" w:sz="18" w:space="0" w:color="BFBFBF"/>
              <w:right w:val="nil"/>
            </w:tcBorders>
          </w:tcPr>
          <w:p w:rsidR="005C6F36" w:rsidRDefault="003012D1" w:rsidP="003012D1">
            <w:pPr>
              <w:rPr>
                <w:rFonts w:cs="Arial"/>
                <w:szCs w:val="20"/>
              </w:rPr>
            </w:pPr>
            <w:r w:rsidRPr="003012D1">
              <w:rPr>
                <w:rFonts w:cs="Arial"/>
                <w:szCs w:val="20"/>
              </w:rPr>
              <w:t>Plasma proteins derive primarily from synthesis in the liver, plasma</w:t>
            </w:r>
            <w:r>
              <w:rPr>
                <w:rFonts w:cs="Arial"/>
                <w:szCs w:val="20"/>
              </w:rPr>
              <w:t xml:space="preserve"> </w:t>
            </w:r>
            <w:r w:rsidRPr="003012D1">
              <w:rPr>
                <w:rFonts w:cs="Arial"/>
                <w:szCs w:val="20"/>
              </w:rPr>
              <w:t xml:space="preserve">cells, lymph nodes, spleen, and bone marrow. </w:t>
            </w:r>
            <w:r>
              <w:rPr>
                <w:rFonts w:cs="Arial"/>
                <w:szCs w:val="20"/>
              </w:rPr>
              <w:t xml:space="preserve"> </w:t>
            </w:r>
            <w:r w:rsidRPr="003012D1">
              <w:rPr>
                <w:rFonts w:cs="Arial"/>
                <w:szCs w:val="20"/>
              </w:rPr>
              <w:t>In disease states</w:t>
            </w:r>
            <w:r>
              <w:rPr>
                <w:rFonts w:cs="Arial"/>
                <w:szCs w:val="20"/>
              </w:rPr>
              <w:t xml:space="preserve"> </w:t>
            </w:r>
            <w:r w:rsidRPr="003012D1">
              <w:rPr>
                <w:rFonts w:cs="Arial"/>
                <w:szCs w:val="20"/>
              </w:rPr>
              <w:t>both the total plasma protein level and the ratio of the individual</w:t>
            </w:r>
            <w:r>
              <w:rPr>
                <w:rFonts w:cs="Arial"/>
                <w:szCs w:val="20"/>
              </w:rPr>
              <w:t xml:space="preserve"> </w:t>
            </w:r>
            <w:r w:rsidRPr="003012D1">
              <w:rPr>
                <w:rFonts w:cs="Arial"/>
                <w:szCs w:val="20"/>
              </w:rPr>
              <w:t>fractions may be dramatically altered from their normal values.</w:t>
            </w:r>
            <w:r>
              <w:rPr>
                <w:rFonts w:cs="Arial"/>
                <w:szCs w:val="20"/>
              </w:rPr>
              <w:t xml:space="preserve">  </w:t>
            </w:r>
            <w:r w:rsidRPr="003012D1">
              <w:rPr>
                <w:rFonts w:cs="Arial"/>
                <w:szCs w:val="20"/>
              </w:rPr>
              <w:t>Hypoproteinemia may be caused by such conditions as nephrotic</w:t>
            </w:r>
            <w:r>
              <w:rPr>
                <w:rFonts w:cs="Arial"/>
                <w:szCs w:val="20"/>
              </w:rPr>
              <w:t xml:space="preserve"> </w:t>
            </w:r>
            <w:r w:rsidRPr="003012D1">
              <w:rPr>
                <w:rFonts w:cs="Arial"/>
                <w:szCs w:val="20"/>
              </w:rPr>
              <w:t>syndrome, extensive bleeding, sprue (deficient protein absorption),</w:t>
            </w:r>
            <w:r>
              <w:rPr>
                <w:rFonts w:cs="Arial"/>
                <w:szCs w:val="20"/>
              </w:rPr>
              <w:t xml:space="preserve"> </w:t>
            </w:r>
            <w:r w:rsidRPr="003012D1">
              <w:rPr>
                <w:rFonts w:cs="Arial"/>
                <w:szCs w:val="20"/>
              </w:rPr>
              <w:t>severe burns, salt retention syndromes, and Kwashiorkor (acute</w:t>
            </w:r>
            <w:r>
              <w:rPr>
                <w:rFonts w:cs="Arial"/>
                <w:szCs w:val="20"/>
              </w:rPr>
              <w:t xml:space="preserve"> </w:t>
            </w:r>
            <w:r w:rsidRPr="003012D1">
              <w:rPr>
                <w:rFonts w:cs="Arial"/>
                <w:szCs w:val="20"/>
              </w:rPr>
              <w:t>protein starvation).</w:t>
            </w:r>
            <w:r>
              <w:rPr>
                <w:rFonts w:cs="Arial"/>
                <w:szCs w:val="20"/>
              </w:rPr>
              <w:t xml:space="preserve"> </w:t>
            </w:r>
            <w:r w:rsidRPr="003012D1">
              <w:rPr>
                <w:rFonts w:cs="Arial"/>
                <w:szCs w:val="20"/>
              </w:rPr>
              <w:t xml:space="preserve"> Hyperproteinemia may be observed in cases of</w:t>
            </w:r>
            <w:r>
              <w:rPr>
                <w:rFonts w:cs="Arial"/>
                <w:szCs w:val="20"/>
              </w:rPr>
              <w:t xml:space="preserve"> </w:t>
            </w:r>
            <w:r w:rsidRPr="003012D1">
              <w:rPr>
                <w:rFonts w:cs="Arial"/>
                <w:szCs w:val="20"/>
              </w:rPr>
              <w:t>severe dehydration and disease states such as multiple myeloma.</w:t>
            </w:r>
            <w:r>
              <w:rPr>
                <w:rFonts w:cs="Arial"/>
                <w:szCs w:val="20"/>
              </w:rPr>
              <w:t xml:space="preserve">  </w:t>
            </w:r>
            <w:r w:rsidRPr="003012D1">
              <w:rPr>
                <w:rFonts w:cs="Arial"/>
                <w:szCs w:val="20"/>
              </w:rPr>
              <w:t>Changes in the proportions of the plasma proteins may occur in one</w:t>
            </w:r>
            <w:r>
              <w:rPr>
                <w:rFonts w:cs="Arial"/>
                <w:szCs w:val="20"/>
              </w:rPr>
              <w:t xml:space="preserve"> </w:t>
            </w:r>
            <w:r w:rsidRPr="003012D1">
              <w:rPr>
                <w:rFonts w:cs="Arial"/>
                <w:szCs w:val="20"/>
              </w:rPr>
              <w:t>or several of the protein fractions and often without alterations in the</w:t>
            </w:r>
            <w:r>
              <w:rPr>
                <w:rFonts w:cs="Arial"/>
                <w:szCs w:val="20"/>
              </w:rPr>
              <w:t xml:space="preserve"> </w:t>
            </w:r>
            <w:r w:rsidRPr="003012D1">
              <w:rPr>
                <w:rFonts w:cs="Arial"/>
                <w:szCs w:val="20"/>
              </w:rPr>
              <w:t>quantity of the total protein.</w:t>
            </w:r>
            <w:r>
              <w:rPr>
                <w:rFonts w:cs="Arial"/>
                <w:szCs w:val="20"/>
              </w:rPr>
              <w:t xml:space="preserve"> </w:t>
            </w:r>
            <w:r w:rsidRPr="003012D1">
              <w:rPr>
                <w:rFonts w:cs="Arial"/>
                <w:szCs w:val="20"/>
              </w:rPr>
              <w:t xml:space="preserve"> The A/G ratio has commonly been used</w:t>
            </w:r>
            <w:r>
              <w:rPr>
                <w:rFonts w:cs="Arial"/>
                <w:szCs w:val="20"/>
              </w:rPr>
              <w:t xml:space="preserve"> </w:t>
            </w:r>
            <w:r w:rsidRPr="003012D1">
              <w:rPr>
                <w:rFonts w:cs="Arial"/>
                <w:szCs w:val="20"/>
              </w:rPr>
              <w:t>as an index of the distribution between the albumin and globulin</w:t>
            </w:r>
            <w:r>
              <w:rPr>
                <w:rFonts w:cs="Arial"/>
                <w:szCs w:val="20"/>
              </w:rPr>
              <w:t xml:space="preserve"> </w:t>
            </w:r>
            <w:r w:rsidRPr="003012D1">
              <w:rPr>
                <w:rFonts w:cs="Arial"/>
                <w:szCs w:val="20"/>
              </w:rPr>
              <w:t xml:space="preserve">fractions. </w:t>
            </w:r>
            <w:r>
              <w:rPr>
                <w:rFonts w:cs="Arial"/>
                <w:szCs w:val="20"/>
              </w:rPr>
              <w:t xml:space="preserve"> </w:t>
            </w:r>
            <w:r w:rsidRPr="003012D1">
              <w:rPr>
                <w:rFonts w:cs="Arial"/>
                <w:szCs w:val="20"/>
              </w:rPr>
              <w:t>This ratio can be significantly altered in such conditions</w:t>
            </w:r>
            <w:r>
              <w:rPr>
                <w:rFonts w:cs="Arial"/>
                <w:szCs w:val="20"/>
              </w:rPr>
              <w:t xml:space="preserve"> </w:t>
            </w:r>
            <w:r w:rsidRPr="003012D1">
              <w:rPr>
                <w:rFonts w:cs="Arial"/>
                <w:szCs w:val="20"/>
              </w:rPr>
              <w:t>as cirrhosis of the liver, glomerulonephritis, nephrotic syndrome,</w:t>
            </w:r>
            <w:r>
              <w:rPr>
                <w:rFonts w:cs="Arial"/>
                <w:szCs w:val="20"/>
              </w:rPr>
              <w:t xml:space="preserve"> </w:t>
            </w:r>
            <w:r w:rsidRPr="003012D1">
              <w:rPr>
                <w:rFonts w:cs="Arial"/>
                <w:szCs w:val="20"/>
              </w:rPr>
              <w:t xml:space="preserve">acute hepatitis, lupus </w:t>
            </w:r>
            <w:proofErr w:type="spellStart"/>
            <w:r w:rsidRPr="003012D1">
              <w:rPr>
                <w:rFonts w:cs="Arial"/>
                <w:szCs w:val="20"/>
              </w:rPr>
              <w:t>erythematosis</w:t>
            </w:r>
            <w:proofErr w:type="spellEnd"/>
            <w:r w:rsidRPr="003012D1">
              <w:rPr>
                <w:rFonts w:cs="Arial"/>
                <w:szCs w:val="20"/>
              </w:rPr>
              <w:t>, and in some acute and chronic</w:t>
            </w:r>
            <w:r>
              <w:rPr>
                <w:rFonts w:cs="Arial"/>
                <w:szCs w:val="20"/>
              </w:rPr>
              <w:t xml:space="preserve"> </w:t>
            </w:r>
            <w:r w:rsidRPr="003012D1">
              <w:rPr>
                <w:rFonts w:cs="Arial"/>
                <w:szCs w:val="20"/>
              </w:rPr>
              <w:t>infections.</w:t>
            </w:r>
          </w:p>
          <w:p w:rsidR="00D02AF8" w:rsidRDefault="00D02AF8" w:rsidP="003012D1">
            <w:pPr>
              <w:rPr>
                <w:rFonts w:cs="Arial"/>
                <w:szCs w:val="20"/>
              </w:rPr>
            </w:pPr>
          </w:p>
          <w:p w:rsidR="00D02AF8" w:rsidRDefault="00D02AF8" w:rsidP="003012D1">
            <w:pPr>
              <w:rPr>
                <w:rFonts w:cs="Arial"/>
                <w:szCs w:val="20"/>
              </w:rPr>
            </w:pPr>
            <w:r>
              <w:rPr>
                <w:rFonts w:cs="Arial"/>
                <w:szCs w:val="20"/>
              </w:rPr>
              <w:t>No clinical claims are made in regards to body fluid testing.</w:t>
            </w:r>
          </w:p>
          <w:p w:rsidR="001C3AEC" w:rsidRPr="00DC7421" w:rsidRDefault="001C3AEC" w:rsidP="003012D1">
            <w:pPr>
              <w:rPr>
                <w:rFonts w:cs="Arial"/>
                <w:szCs w:val="20"/>
              </w:rPr>
            </w:pPr>
          </w:p>
        </w:tc>
      </w:tr>
      <w:tr w:rsidR="00E3253B" w:rsidTr="0060465C">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D02AF8">
              <w:rPr>
                <w:rFonts w:cs="Arial"/>
                <w:b/>
                <w:bCs/>
                <w:color w:val="7030A0"/>
                <w:szCs w:val="20"/>
              </w:rPr>
              <w:t xml:space="preserve"> or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2344ED">
              <w:rPr>
                <w:rFonts w:cs="Arial"/>
                <w:b/>
                <w:bCs/>
                <w:color w:val="984806" w:themeColor="accent6" w:themeShade="80"/>
                <w:szCs w:val="20"/>
              </w:rPr>
              <w:t xml:space="preserve">, Abbott Alinity c (Sunquest method code: </w:t>
            </w:r>
            <w:r w:rsidR="00730B8F">
              <w:rPr>
                <w:rFonts w:cs="Arial"/>
                <w:b/>
                <w:bCs/>
                <w:color w:val="984806" w:themeColor="accent6" w:themeShade="80"/>
                <w:szCs w:val="20"/>
              </w:rPr>
              <w:t>SALIC</w:t>
            </w:r>
            <w:r w:rsidR="002344ED">
              <w:rPr>
                <w:rFonts w:cs="Arial"/>
                <w:b/>
                <w:bCs/>
                <w:color w:val="984806" w:themeColor="accent6" w:themeShade="80"/>
                <w:szCs w:val="20"/>
              </w:rPr>
              <w:t>)</w:t>
            </w:r>
          </w:p>
        </w:tc>
      </w:tr>
      <w:tr w:rsidR="00E3253B" w:rsidTr="0060465C">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60465C" w:rsidRDefault="00722DD7">
            <w:pPr>
              <w:pStyle w:val="Heading2"/>
              <w:jc w:val="left"/>
              <w:rPr>
                <w:b w:val="0"/>
                <w:bCs w:val="0"/>
                <w:sz w:val="20"/>
                <w:szCs w:val="20"/>
              </w:rPr>
            </w:pPr>
            <w:r>
              <w:rPr>
                <w:sz w:val="20"/>
                <w:szCs w:val="20"/>
              </w:rPr>
              <w:t>TP</w:t>
            </w:r>
            <w:r w:rsidR="00E3253B" w:rsidRPr="00DC7421">
              <w:rPr>
                <w:sz w:val="20"/>
                <w:szCs w:val="20"/>
              </w:rPr>
              <w:t xml:space="preserve">: </w:t>
            </w:r>
            <w:r w:rsidR="006A12A7">
              <w:rPr>
                <w:b w:val="0"/>
                <w:bCs w:val="0"/>
                <w:sz w:val="20"/>
                <w:szCs w:val="20"/>
              </w:rPr>
              <w:t>Total protein</w:t>
            </w:r>
            <w:r w:rsidR="00E3253B" w:rsidRPr="00DC7421">
              <w:rPr>
                <w:b w:val="0"/>
                <w:bCs w:val="0"/>
                <w:sz w:val="20"/>
                <w:szCs w:val="20"/>
              </w:rPr>
              <w:t xml:space="preserve"> in serum and plasma</w:t>
            </w:r>
          </w:p>
          <w:p w:rsidR="00D02AF8" w:rsidRPr="00D02AF8" w:rsidRDefault="00D02AF8" w:rsidP="00D02AF8">
            <w:r w:rsidRPr="00D02AF8">
              <w:rPr>
                <w:b/>
              </w:rPr>
              <w:t>FTP</w:t>
            </w:r>
            <w:r>
              <w:t>: Protein in body fluid</w:t>
            </w:r>
          </w:p>
          <w:p w:rsidR="00E3253B" w:rsidRPr="00DC7421" w:rsidRDefault="00E3253B">
            <w:pPr>
              <w:pStyle w:val="Heading2"/>
              <w:jc w:val="left"/>
              <w:rPr>
                <w:sz w:val="20"/>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D02AF8" w:rsidRDefault="00D02AF8" w:rsidP="00AA5656">
            <w:pPr>
              <w:rPr>
                <w:rFonts w:cs="Arial"/>
                <w:szCs w:val="20"/>
              </w:rPr>
            </w:pPr>
          </w:p>
          <w:p w:rsidR="00D02AF8" w:rsidRPr="00DC7421" w:rsidRDefault="00D02AF8" w:rsidP="00AA5656">
            <w:pPr>
              <w:rPr>
                <w:rFonts w:cs="Arial"/>
                <w:szCs w:val="20"/>
              </w:rPr>
            </w:pPr>
            <w:r>
              <w:rPr>
                <w:rFonts w:cs="Arial"/>
                <w:szCs w:val="20"/>
              </w:rPr>
              <w:t>Body Fluid: collected in a sterile container or red tube without gel.  Ensure sample is not viscous or clotted.  Centrifuge to remove particulate matter</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DF6DFD" w:rsidRDefault="009A1A3D">
            <w:pPr>
              <w:pStyle w:val="Header"/>
              <w:tabs>
                <w:tab w:val="clear" w:pos="4320"/>
                <w:tab w:val="clear" w:pos="8640"/>
              </w:tabs>
              <w:rPr>
                <w:rFonts w:cs="Arial"/>
                <w:szCs w:val="20"/>
              </w:rPr>
            </w:pPr>
            <w:r w:rsidRPr="00DC7421">
              <w:rPr>
                <w:rFonts w:cs="Arial"/>
                <w:b/>
                <w:bCs/>
                <w:szCs w:val="20"/>
              </w:rPr>
              <w:t>Stability when separated from cells/gel:</w:t>
            </w:r>
            <w:r w:rsidR="001C3AEC">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1C3AEC">
              <w:rPr>
                <w:rFonts w:cs="Arial"/>
                <w:szCs w:val="20"/>
              </w:rPr>
              <w:t xml:space="preserve"> 1 month</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1C3AEC">
              <w:rPr>
                <w:rFonts w:cs="Arial"/>
                <w:szCs w:val="20"/>
              </w:rPr>
              <w:t>2</w:t>
            </w:r>
            <w:r w:rsidR="00F6060A" w:rsidRPr="00DC7421">
              <w:rPr>
                <w:rFonts w:cs="Arial"/>
                <w:szCs w:val="20"/>
              </w:rPr>
              <w:t xml:space="preserve"> months</w:t>
            </w:r>
            <w:r w:rsidR="00D02AF8">
              <w:rPr>
                <w:rFonts w:cs="Arial"/>
                <w:szCs w:val="20"/>
              </w:rPr>
              <w:t xml:space="preserve"> </w:t>
            </w:r>
          </w:p>
          <w:p w:rsidR="00E3253B" w:rsidRPr="00DC7421" w:rsidRDefault="00D02AF8">
            <w:pPr>
              <w:pStyle w:val="Header"/>
              <w:tabs>
                <w:tab w:val="clear" w:pos="4320"/>
                <w:tab w:val="clear" w:pos="8640"/>
              </w:tabs>
              <w:rPr>
                <w:rFonts w:cs="Arial"/>
                <w:szCs w:val="20"/>
              </w:rPr>
            </w:pPr>
            <w:r>
              <w:rPr>
                <w:rFonts w:cs="Arial"/>
                <w:szCs w:val="20"/>
              </w:rPr>
              <w:t xml:space="preserve"> Do not freeze body fluids; store in a refrigerated rack for 7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9D24F1">
              <w:rPr>
                <w:rFonts w:cs="Arial"/>
                <w:szCs w:val="20"/>
              </w:rPr>
              <w:t>.  See Interferences sec</w:t>
            </w:r>
            <w:r w:rsidR="003D0EF0">
              <w:rPr>
                <w:rFonts w:cs="Arial"/>
                <w:szCs w:val="20"/>
              </w:rPr>
              <w:t>tion for handling of</w:t>
            </w:r>
            <w:r w:rsidR="009D24F1">
              <w:rPr>
                <w:rFonts w:cs="Arial"/>
                <w:szCs w:val="20"/>
              </w:rPr>
              <w:t xml:space="preserve">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D02AF8" w:rsidRPr="00817429" w:rsidRDefault="00D02AF8" w:rsidP="00D02AF8">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D02AF8" w:rsidRPr="00817429" w:rsidRDefault="00D02AF8" w:rsidP="00D02AF8">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D02AF8" w:rsidRPr="00817429" w:rsidRDefault="00D02AF8" w:rsidP="00D02AF8">
            <w:pPr>
              <w:numPr>
                <w:ilvl w:val="0"/>
                <w:numId w:val="26"/>
              </w:numPr>
              <w:jc w:val="both"/>
              <w:rPr>
                <w:rFonts w:cs="Arial"/>
                <w:szCs w:val="20"/>
              </w:rPr>
            </w:pPr>
            <w:r w:rsidRPr="00817429">
              <w:rPr>
                <w:rFonts w:cs="Arial"/>
                <w:szCs w:val="20"/>
              </w:rPr>
              <w:t xml:space="preserve">Specimens should be free of particulate matter. </w:t>
            </w:r>
          </w:p>
          <w:p w:rsidR="00D02AF8" w:rsidRPr="00817429" w:rsidRDefault="00D02AF8" w:rsidP="00D02AF8">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D02AF8" w:rsidRPr="00817429" w:rsidRDefault="00D02AF8" w:rsidP="00D02AF8">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D02AF8" w:rsidRPr="00817429" w:rsidRDefault="00D02AF8" w:rsidP="00D02AF8">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60465C">
        <w:trPr>
          <w:tblHeader/>
        </w:trPr>
        <w:tc>
          <w:tcPr>
            <w:tcW w:w="1800" w:type="dxa"/>
            <w:tcBorders>
              <w:top w:val="nil"/>
              <w:left w:val="nil"/>
              <w:bottom w:val="nil"/>
              <w:right w:val="nil"/>
            </w:tcBorders>
          </w:tcPr>
          <w:p w:rsidR="00D955F6" w:rsidRPr="00C00B65" w:rsidRDefault="00D955F6" w:rsidP="0060465C">
            <w:pPr>
              <w:rPr>
                <w:rFonts w:cs="Arial"/>
                <w:b/>
                <w:bCs/>
                <w:color w:val="0000FF"/>
                <w:szCs w:val="20"/>
              </w:rPr>
            </w:pPr>
            <w:r w:rsidRPr="00C00B65">
              <w:rPr>
                <w:rFonts w:cs="Arial"/>
                <w:b/>
                <w:bCs/>
                <w:color w:val="0000FF"/>
                <w:szCs w:val="20"/>
              </w:rPr>
              <w:lastRenderedPageBreak/>
              <w:t>Reagents</w:t>
            </w: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1C3AE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1C3AEC">
                    <w:rPr>
                      <w:rFonts w:cs="Arial"/>
                      <w:szCs w:val="20"/>
                    </w:rPr>
                    <w:t xml:space="preserve">    Total P</w:t>
                  </w:r>
                  <w:r w:rsidR="006A12A7">
                    <w:rPr>
                      <w:rFonts w:cs="Arial"/>
                      <w:szCs w:val="20"/>
                    </w:rPr>
                    <w:t>rotein</w:t>
                  </w:r>
                  <w:r w:rsidR="002F5C68" w:rsidRPr="00DC7421">
                    <w:rPr>
                      <w:rFonts w:cs="Arial"/>
                      <w:szCs w:val="20"/>
                    </w:rPr>
                    <w:t xml:space="preserve"> Reagent</w:t>
                  </w:r>
                </w:p>
                <w:p w:rsidR="00D955F6" w:rsidRPr="00DC7421" w:rsidRDefault="001C3AEC" w:rsidP="00B01603">
                  <w:pPr>
                    <w:autoSpaceDE w:val="0"/>
                    <w:autoSpaceDN w:val="0"/>
                    <w:adjustRightInd w:val="0"/>
                    <w:rPr>
                      <w:rFonts w:cs="Arial"/>
                      <w:szCs w:val="20"/>
                    </w:rPr>
                  </w:pPr>
                  <w:r>
                    <w:rPr>
                      <w:rFonts w:cs="Arial"/>
                      <w:szCs w:val="20"/>
                    </w:rPr>
                    <w:t>CHC# 32630</w:t>
                  </w:r>
                </w:p>
              </w:tc>
              <w:tc>
                <w:tcPr>
                  <w:tcW w:w="1710" w:type="dxa"/>
                  <w:vAlign w:val="center"/>
                </w:tcPr>
                <w:p w:rsidR="00D955F6" w:rsidRPr="00DC7421" w:rsidRDefault="001C3AEC" w:rsidP="00E3253B">
                  <w:pPr>
                    <w:pStyle w:val="BodyText"/>
                    <w:tabs>
                      <w:tab w:val="left" w:pos="3240"/>
                    </w:tabs>
                    <w:rPr>
                      <w:rFonts w:cs="Arial"/>
                      <w:szCs w:val="20"/>
                    </w:rPr>
                  </w:pPr>
                  <w:r w:rsidRPr="001C3AEC">
                    <w:rPr>
                      <w:rFonts w:cs="Arial"/>
                      <w:szCs w:val="20"/>
                    </w:rPr>
                    <w:t>07P52-20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1C3AEC" w:rsidRPr="001C3AEC">
                    <w:rPr>
                      <w:rFonts w:ascii="Arial" w:hAnsi="Arial" w:cs="Arial"/>
                      <w:bCs/>
                    </w:rPr>
                    <w:t>15 - 30°C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1C3AEC">
                    <w:rPr>
                      <w:rFonts w:cs="Arial"/>
                      <w:b/>
                      <w:bCs/>
                      <w:szCs w:val="20"/>
                    </w:rPr>
                    <w:t>23</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w:t>
                  </w:r>
                  <w:r w:rsidR="001C3AEC">
                    <w:rPr>
                      <w:rFonts w:cs="Arial"/>
                      <w:bCs/>
                      <w:szCs w:val="20"/>
                    </w:rPr>
                    <w:t xml:space="preserve"> at </w:t>
                  </w:r>
                  <w:r w:rsidR="001C3AEC" w:rsidRPr="00DC7421">
                    <w:rPr>
                      <w:rFonts w:cs="Arial"/>
                      <w:bCs/>
                    </w:rPr>
                    <w:t>2 – 8 °C</w:t>
                  </w:r>
                  <w:r w:rsidR="00B11633" w:rsidRPr="00DC7421">
                    <w:rPr>
                      <w:rFonts w:cs="Arial"/>
                      <w:bCs/>
                      <w:szCs w:val="20"/>
                    </w:rPr>
                    <w:t>.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60465C">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1C3AEC">
                    <w:rPr>
                      <w:rFonts w:ascii="Arial" w:hAnsi="Arial" w:cs="Arial"/>
                    </w:rPr>
                    <w:t xml:space="preserve">    Total P</w:t>
                  </w:r>
                  <w:r w:rsidR="006A12A7">
                    <w:rPr>
                      <w:rFonts w:ascii="Arial" w:hAnsi="Arial" w:cs="Arial"/>
                    </w:rPr>
                    <w:t>rotein</w:t>
                  </w:r>
                  <w:r w:rsidR="002F5C68" w:rsidRPr="00DC7421">
                    <w:rPr>
                      <w:rFonts w:ascii="Arial" w:hAnsi="Arial" w:cs="Arial"/>
                    </w:rPr>
                    <w:t xml:space="preserve"> Reagent</w:t>
                  </w:r>
                </w:p>
                <w:p w:rsidR="009A1A3D" w:rsidRPr="00DC7421" w:rsidRDefault="001C3AEC" w:rsidP="001C3AEC">
                  <w:pPr>
                    <w:pStyle w:val="Reagents"/>
                    <w:rPr>
                      <w:rFonts w:ascii="Arial" w:hAnsi="Arial" w:cs="Arial"/>
                    </w:rPr>
                  </w:pPr>
                  <w:r>
                    <w:rPr>
                      <w:rFonts w:ascii="Arial" w:hAnsi="Arial" w:cs="Arial"/>
                    </w:rPr>
                    <w:t>CHC# 32554</w:t>
                  </w:r>
                </w:p>
              </w:tc>
              <w:tc>
                <w:tcPr>
                  <w:tcW w:w="1710" w:type="dxa"/>
                  <w:vAlign w:val="center"/>
                </w:tcPr>
                <w:p w:rsidR="00D955F6" w:rsidRPr="00DC7421" w:rsidRDefault="001C3AEC" w:rsidP="00B13C1A">
                  <w:pPr>
                    <w:pStyle w:val="Reagents"/>
                    <w:rPr>
                      <w:rFonts w:ascii="Arial" w:hAnsi="Arial" w:cs="Arial"/>
                    </w:rPr>
                  </w:pPr>
                  <w:r w:rsidRPr="001C3AEC">
                    <w:rPr>
                      <w:rFonts w:ascii="Arial" w:hAnsi="Arial" w:cs="Arial"/>
                    </w:rPr>
                    <w:t>07D73-21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1C3AEC">
                    <w:rPr>
                      <w:rFonts w:cs="Arial"/>
                      <w:bCs/>
                      <w:szCs w:val="20"/>
                    </w:rPr>
                    <w:t>23</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60465C">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1C3AEC" w:rsidRPr="00DC7421" w:rsidRDefault="001C3AEC" w:rsidP="001C3AEC">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1C3AEC" w:rsidRDefault="003E0A08" w:rsidP="001C3AEC">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w:t>
                  </w:r>
                  <w:r w:rsidR="001C3AEC">
                    <w:rPr>
                      <w:rFonts w:cs="Arial"/>
                      <w:color w:val="000000"/>
                      <w:szCs w:val="20"/>
                    </w:rPr>
                    <w:t>s</w:t>
                  </w:r>
                  <w:r w:rsidR="00950E15" w:rsidRPr="00DC7421">
                    <w:rPr>
                      <w:rFonts w:cs="Arial"/>
                      <w:color w:val="000000"/>
                      <w:szCs w:val="20"/>
                    </w:rPr>
                    <w:t xml:space="preserve">: </w:t>
                  </w:r>
                  <w:r w:rsidR="001C3AEC" w:rsidRPr="001C3AEC">
                    <w:rPr>
                      <w:rFonts w:cs="Arial"/>
                      <w:b/>
                      <w:color w:val="000000"/>
                      <w:szCs w:val="20"/>
                    </w:rPr>
                    <w:t>DANGER</w:t>
                  </w:r>
                  <w:r w:rsidR="001C3AEC" w:rsidRPr="001C3AEC">
                    <w:rPr>
                      <w:rFonts w:cs="Arial"/>
                      <w:color w:val="000000"/>
                      <w:szCs w:val="20"/>
                    </w:rPr>
                    <w:t>. Conta</w:t>
                  </w:r>
                  <w:r w:rsidR="001C3AEC">
                    <w:rPr>
                      <w:rFonts w:cs="Arial"/>
                      <w:color w:val="000000"/>
                      <w:szCs w:val="20"/>
                    </w:rPr>
                    <w:t xml:space="preserve">ins sodium hydroxide and copper </w:t>
                  </w:r>
                  <w:r w:rsidR="001C3AEC" w:rsidRPr="001C3AEC">
                    <w:rPr>
                      <w:rFonts w:cs="Arial"/>
                      <w:color w:val="000000"/>
                      <w:szCs w:val="20"/>
                    </w:rPr>
                    <w:t>sulfate.</w:t>
                  </w:r>
                  <w:r w:rsidR="001C3AEC">
                    <w:rPr>
                      <w:rFonts w:cs="Arial"/>
                      <w:color w:val="000000"/>
                      <w:szCs w:val="20"/>
                    </w:rPr>
                    <w:t xml:space="preserve"> </w:t>
                  </w:r>
                  <w:r w:rsidR="001C3AEC" w:rsidRPr="001C3AEC">
                    <w:rPr>
                      <w:rFonts w:cs="Arial"/>
                      <w:color w:val="000000"/>
                      <w:szCs w:val="20"/>
                    </w:rPr>
                    <w:t xml:space="preserve"> Causes serious eye damage.</w:t>
                  </w:r>
                  <w:r w:rsidR="001C3AEC">
                    <w:rPr>
                      <w:rFonts w:cs="Arial"/>
                      <w:color w:val="000000"/>
                      <w:szCs w:val="20"/>
                    </w:rPr>
                    <w:t xml:space="preserve"> </w:t>
                  </w:r>
                  <w:r w:rsidR="001C3AEC" w:rsidRPr="001C3AEC">
                    <w:rPr>
                      <w:rFonts w:cs="Arial"/>
                      <w:color w:val="000000"/>
                      <w:szCs w:val="20"/>
                    </w:rPr>
                    <w:t xml:space="preserve"> Causes skin irritation.</w:t>
                  </w:r>
                  <w:r w:rsidR="001C3AEC">
                    <w:rPr>
                      <w:rFonts w:cs="Arial"/>
                      <w:color w:val="000000"/>
                      <w:szCs w:val="20"/>
                    </w:rPr>
                    <w:t xml:space="preserve">  </w:t>
                  </w:r>
                  <w:r w:rsidR="001C3AEC" w:rsidRPr="001C3AEC">
                    <w:rPr>
                      <w:rFonts w:cs="Arial"/>
                      <w:color w:val="000000"/>
                      <w:szCs w:val="20"/>
                    </w:rPr>
                    <w:t>Harmful to aquatic life with long lasting</w:t>
                  </w:r>
                  <w:r w:rsidR="001C3AEC">
                    <w:rPr>
                      <w:rFonts w:cs="Arial"/>
                      <w:color w:val="000000"/>
                      <w:szCs w:val="20"/>
                    </w:rPr>
                    <w:t xml:space="preserve"> effects.  </w:t>
                  </w:r>
                  <w:r w:rsidR="001C3AEC" w:rsidRPr="001C3AEC">
                    <w:rPr>
                      <w:rFonts w:cs="Arial"/>
                      <w:color w:val="000000"/>
                      <w:szCs w:val="20"/>
                    </w:rPr>
                    <w:t xml:space="preserve">May be corrosive to metals. </w:t>
                  </w:r>
                  <w:r w:rsidR="001C3AEC">
                    <w:rPr>
                      <w:rFonts w:cs="Arial"/>
                      <w:color w:val="000000"/>
                      <w:szCs w:val="20"/>
                    </w:rPr>
                    <w:t xml:space="preserve"> Recap and dispose of in Alkaline Waste Stream</w:t>
                  </w:r>
                  <w:r w:rsidRPr="00DC7421">
                    <w:rPr>
                      <w:rFonts w:cs="Arial"/>
                      <w:color w:val="000000"/>
                      <w:szCs w:val="20"/>
                    </w:rPr>
                    <w:t xml:space="preserve">.  </w:t>
                  </w:r>
                </w:p>
                <w:p w:rsidR="001C3AEC" w:rsidRDefault="001C3AEC" w:rsidP="001C3AEC">
                  <w:pPr>
                    <w:autoSpaceDE w:val="0"/>
                    <w:autoSpaceDN w:val="0"/>
                    <w:adjustRightInd w:val="0"/>
                    <w:rPr>
                      <w:rFonts w:cs="Arial"/>
                      <w:color w:val="000000"/>
                      <w:szCs w:val="20"/>
                    </w:rPr>
                  </w:pPr>
                </w:p>
                <w:p w:rsidR="003E0A08" w:rsidRPr="00DC7421" w:rsidRDefault="003E0A08" w:rsidP="001C3AEC">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60465C">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F51461" w:rsidRDefault="00F51461" w:rsidP="00F51461">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2F5C68" w:rsidRPr="00DC7421">
              <w:rPr>
                <w:rFonts w:cs="Arial"/>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Default="00D02AF8" w:rsidP="00A32948">
                  <w:pPr>
                    <w:pStyle w:val="CalVerTable"/>
                    <w:ind w:left="0" w:firstLine="0"/>
                    <w:rPr>
                      <w:rFonts w:ascii="Arial" w:hAnsi="Arial" w:cs="Arial"/>
                    </w:rPr>
                  </w:pPr>
                  <w:r>
                    <w:rPr>
                      <w:rFonts w:ascii="Arial" w:hAnsi="Arial" w:cs="Arial"/>
                    </w:rPr>
                    <w:t>1.0 – 13.0</w:t>
                  </w:r>
                  <w:r w:rsidR="00F51461">
                    <w:rPr>
                      <w:rFonts w:ascii="Arial" w:hAnsi="Arial" w:cs="Arial"/>
                    </w:rPr>
                    <w:t xml:space="preserve"> </w:t>
                  </w:r>
                  <w:r w:rsidR="008D3369" w:rsidRPr="00DC7421">
                    <w:rPr>
                      <w:rFonts w:ascii="Arial" w:hAnsi="Arial" w:cs="Arial"/>
                    </w:rPr>
                    <w:t xml:space="preserve"> g/dL</w:t>
                  </w:r>
                  <w:r>
                    <w:rPr>
                      <w:rFonts w:ascii="Arial" w:hAnsi="Arial" w:cs="Arial"/>
                    </w:rPr>
                    <w:t xml:space="preserve"> (blood)</w:t>
                  </w:r>
                </w:p>
                <w:p w:rsidR="00D02AF8" w:rsidRPr="00DC7421" w:rsidRDefault="00D02AF8" w:rsidP="00A32948">
                  <w:pPr>
                    <w:pStyle w:val="CalVerTable"/>
                    <w:ind w:left="0" w:firstLine="0"/>
                    <w:rPr>
                      <w:rFonts w:ascii="Arial" w:hAnsi="Arial" w:cs="Arial"/>
                    </w:rPr>
                  </w:pPr>
                  <w:r>
                    <w:rPr>
                      <w:rFonts w:ascii="Arial" w:hAnsi="Arial" w:cs="Arial"/>
                    </w:rPr>
                    <w:t>1.0 - 10.0 g/dL (body fluid)</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F51461" w:rsidP="004A698D">
                  <w:pPr>
                    <w:pStyle w:val="Pa10"/>
                    <w:rPr>
                      <w:rFonts w:ascii="Arial" w:hAnsi="Arial" w:cs="Arial"/>
                      <w:sz w:val="20"/>
                      <w:szCs w:val="20"/>
                    </w:rPr>
                  </w:pPr>
                  <w:r>
                    <w:rPr>
                      <w:rFonts w:ascii="Arial" w:hAnsi="Arial" w:cs="Arial"/>
                      <w:sz w:val="20"/>
                      <w:szCs w:val="20"/>
                    </w:rPr>
                    <w:t>23</w:t>
                  </w:r>
                  <w:r w:rsidR="003E0A08" w:rsidRPr="00DC7421">
                    <w:rPr>
                      <w:rFonts w:ascii="Arial" w:hAnsi="Arial" w:cs="Arial"/>
                      <w:sz w:val="20"/>
                      <w:szCs w:val="20"/>
                    </w:rPr>
                    <w:t xml:space="preserve"> Days</w:t>
                  </w:r>
                </w:p>
              </w:tc>
            </w:tr>
            <w:tr w:rsidR="00F50200" w:rsidRPr="00DC7421" w:rsidTr="00F51461">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annually using the Maine Standards GC1 Product # 1100ab</w:t>
                  </w:r>
                  <w:r w:rsidR="00D02AF8">
                    <w:rPr>
                      <w:rFonts w:cs="Arial"/>
                      <w:szCs w:val="20"/>
                    </w:rPr>
                    <w:t xml:space="preserve"> and Body Fluid product</w:t>
                  </w:r>
                  <w:r w:rsidRPr="00DC7421">
                    <w:rPr>
                      <w:rFonts w:cs="Arial"/>
                      <w:szCs w:val="20"/>
                    </w:rPr>
                    <w:t xml:space="preserve">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60465C">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E3253B" w:rsidP="00F51461">
            <w:pPr>
              <w:tabs>
                <w:tab w:val="left" w:pos="648"/>
              </w:tabs>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proofErr w:type="spellStart"/>
            <w:r w:rsidR="00D02AF8">
              <w:rPr>
                <w:rFonts w:cs="Arial"/>
                <w:szCs w:val="20"/>
              </w:rPr>
              <w:t>Multiqual</w:t>
            </w:r>
            <w:proofErr w:type="spellEnd"/>
            <w:r w:rsidR="00D02AF8">
              <w:rPr>
                <w:rFonts w:cs="Arial"/>
                <w:szCs w:val="20"/>
              </w:rPr>
              <w:t xml:space="preserve"> 1,2,3 </w:t>
            </w:r>
            <w:r w:rsidRPr="00DC7421">
              <w:rPr>
                <w:rFonts w:cs="Arial"/>
                <w:szCs w:val="20"/>
              </w:rPr>
              <w:t xml:space="preserve">Unassayed Chemistry Control </w:t>
            </w:r>
            <w:r w:rsidR="00D02AF8">
              <w:rPr>
                <w:rFonts w:cs="Arial"/>
                <w:szCs w:val="20"/>
              </w:rPr>
              <w:t>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D02AF8">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lastRenderedPageBreak/>
              <w:t>Interferences</w:t>
            </w:r>
          </w:p>
        </w:tc>
        <w:tc>
          <w:tcPr>
            <w:tcW w:w="9360" w:type="dxa"/>
            <w:gridSpan w:val="6"/>
            <w:tcBorders>
              <w:top w:val="single" w:sz="18" w:space="0" w:color="BFBFBF"/>
              <w:left w:val="nil"/>
              <w:bottom w:val="single" w:sz="18" w:space="0" w:color="BFBFBF"/>
              <w:right w:val="nil"/>
            </w:tcBorders>
          </w:tcPr>
          <w:p w:rsidR="00D02AF8" w:rsidRDefault="002F5C68" w:rsidP="00824C10">
            <w:pPr>
              <w:autoSpaceDE w:val="0"/>
              <w:autoSpaceDN w:val="0"/>
              <w:adjustRightInd w:val="0"/>
              <w:rPr>
                <w:rFonts w:cs="Arial"/>
                <w:b/>
                <w:bCs/>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D02AF8" w:rsidRPr="00234207" w:rsidRDefault="002F5C68" w:rsidP="00D02AF8">
            <w:pPr>
              <w:autoSpaceDE w:val="0"/>
              <w:autoSpaceDN w:val="0"/>
              <w:adjustRightInd w:val="0"/>
              <w:rPr>
                <w:rFonts w:cs="Arial"/>
                <w:b/>
                <w:bCs/>
                <w:szCs w:val="20"/>
              </w:rPr>
            </w:pPr>
            <w:r w:rsidRPr="00DC7421">
              <w:rPr>
                <w:rFonts w:cs="Arial"/>
                <w:b/>
                <w:bCs/>
                <w:color w:val="5F497A"/>
                <w:szCs w:val="20"/>
              </w:rPr>
              <w:t xml:space="preserve"> </w:t>
            </w:r>
            <w:bookmarkStart w:id="0" w:name="_GoBack"/>
            <w:r w:rsidR="00D02AF8" w:rsidRPr="00234207">
              <w:rPr>
                <w:rFonts w:cs="Arial"/>
                <w:b/>
                <w:bCs/>
                <w:szCs w:val="20"/>
              </w:rPr>
              <w:t>Hemolysis, Icter</w:t>
            </w:r>
            <w:r w:rsidR="00D02AF8">
              <w:rPr>
                <w:rFonts w:cs="Arial"/>
                <w:b/>
                <w:bCs/>
                <w:szCs w:val="20"/>
              </w:rPr>
              <w:t>us &amp; Lipemia (HIL) Index Values apply to serum/plasma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D02AF8" w:rsidRPr="006A26B2" w:rsidTr="00C27F49">
              <w:tc>
                <w:tcPr>
                  <w:tcW w:w="472" w:type="dxa"/>
                </w:tcPr>
                <w:p w:rsidR="00D02AF8" w:rsidRPr="006A26B2" w:rsidRDefault="00D02AF8" w:rsidP="00D02AF8">
                  <w:pPr>
                    <w:autoSpaceDE w:val="0"/>
                    <w:autoSpaceDN w:val="0"/>
                    <w:adjustRightInd w:val="0"/>
                    <w:jc w:val="both"/>
                    <w:rPr>
                      <w:rFonts w:cs="Arial"/>
                      <w:b/>
                      <w:szCs w:val="20"/>
                    </w:rPr>
                  </w:pPr>
                  <w:r w:rsidRPr="006A26B2">
                    <w:rPr>
                      <w:rFonts w:cs="Arial"/>
                      <w:b/>
                      <w:szCs w:val="20"/>
                    </w:rPr>
                    <w:t>H</w:t>
                  </w:r>
                </w:p>
              </w:tc>
              <w:tc>
                <w:tcPr>
                  <w:tcW w:w="394" w:type="dxa"/>
                </w:tcPr>
                <w:p w:rsidR="00D02AF8" w:rsidRPr="006A26B2" w:rsidRDefault="00D02AF8" w:rsidP="00D02AF8">
                  <w:pPr>
                    <w:autoSpaceDE w:val="0"/>
                    <w:autoSpaceDN w:val="0"/>
                    <w:adjustRightInd w:val="0"/>
                    <w:jc w:val="both"/>
                    <w:rPr>
                      <w:rFonts w:cs="Arial"/>
                      <w:b/>
                      <w:szCs w:val="20"/>
                    </w:rPr>
                  </w:pPr>
                  <w:r w:rsidRPr="006A26B2">
                    <w:rPr>
                      <w:rFonts w:cs="Arial"/>
                      <w:b/>
                      <w:szCs w:val="20"/>
                    </w:rPr>
                    <w:t>I</w:t>
                  </w:r>
                </w:p>
              </w:tc>
              <w:tc>
                <w:tcPr>
                  <w:tcW w:w="443" w:type="dxa"/>
                </w:tcPr>
                <w:p w:rsidR="00D02AF8" w:rsidRPr="006A26B2" w:rsidRDefault="00D02AF8" w:rsidP="00D02AF8">
                  <w:pPr>
                    <w:autoSpaceDE w:val="0"/>
                    <w:autoSpaceDN w:val="0"/>
                    <w:adjustRightInd w:val="0"/>
                    <w:jc w:val="both"/>
                    <w:rPr>
                      <w:rFonts w:cs="Arial"/>
                      <w:b/>
                      <w:szCs w:val="20"/>
                    </w:rPr>
                  </w:pPr>
                  <w:r w:rsidRPr="006A26B2">
                    <w:rPr>
                      <w:rFonts w:cs="Arial"/>
                      <w:b/>
                      <w:szCs w:val="20"/>
                    </w:rPr>
                    <w:t>L</w:t>
                  </w:r>
                </w:p>
              </w:tc>
            </w:tr>
            <w:tr w:rsidR="00D02AF8" w:rsidRPr="006A26B2" w:rsidTr="00C27F49">
              <w:tc>
                <w:tcPr>
                  <w:tcW w:w="472" w:type="dxa"/>
                </w:tcPr>
                <w:p w:rsidR="00D02AF8" w:rsidRPr="006A26B2" w:rsidRDefault="00D02AF8" w:rsidP="00D02AF8">
                  <w:pPr>
                    <w:autoSpaceDE w:val="0"/>
                    <w:autoSpaceDN w:val="0"/>
                    <w:adjustRightInd w:val="0"/>
                    <w:jc w:val="both"/>
                    <w:rPr>
                      <w:rFonts w:cs="Arial"/>
                      <w:b/>
                      <w:szCs w:val="20"/>
                    </w:rPr>
                  </w:pPr>
                  <w:r>
                    <w:rPr>
                      <w:rFonts w:cs="Arial"/>
                      <w:b/>
                      <w:szCs w:val="20"/>
                    </w:rPr>
                    <w:t>3</w:t>
                  </w:r>
                </w:p>
              </w:tc>
              <w:tc>
                <w:tcPr>
                  <w:tcW w:w="394" w:type="dxa"/>
                </w:tcPr>
                <w:p w:rsidR="00D02AF8" w:rsidRPr="006A26B2" w:rsidRDefault="00D02AF8" w:rsidP="00D02AF8">
                  <w:pPr>
                    <w:autoSpaceDE w:val="0"/>
                    <w:autoSpaceDN w:val="0"/>
                    <w:adjustRightInd w:val="0"/>
                    <w:jc w:val="both"/>
                    <w:rPr>
                      <w:rFonts w:cs="Arial"/>
                      <w:b/>
                      <w:szCs w:val="20"/>
                    </w:rPr>
                  </w:pPr>
                  <w:r>
                    <w:rPr>
                      <w:rFonts w:cs="Arial"/>
                      <w:b/>
                      <w:szCs w:val="20"/>
                    </w:rPr>
                    <w:t>-</w:t>
                  </w:r>
                </w:p>
              </w:tc>
              <w:tc>
                <w:tcPr>
                  <w:tcW w:w="443" w:type="dxa"/>
                </w:tcPr>
                <w:p w:rsidR="00D02AF8" w:rsidRPr="006A26B2" w:rsidRDefault="00D02AF8" w:rsidP="00D02AF8">
                  <w:pPr>
                    <w:autoSpaceDE w:val="0"/>
                    <w:autoSpaceDN w:val="0"/>
                    <w:adjustRightInd w:val="0"/>
                    <w:jc w:val="both"/>
                    <w:rPr>
                      <w:rFonts w:cs="Arial"/>
                      <w:b/>
                      <w:szCs w:val="20"/>
                    </w:rPr>
                  </w:pPr>
                  <w:r>
                    <w:rPr>
                      <w:rFonts w:cs="Arial"/>
                      <w:b/>
                      <w:szCs w:val="20"/>
                    </w:rPr>
                    <w:t>-</w:t>
                  </w:r>
                </w:p>
              </w:tc>
            </w:tr>
          </w:tbl>
          <w:p w:rsidR="00D02AF8" w:rsidRPr="00DC7421" w:rsidRDefault="00D02AF8" w:rsidP="00D02AF8">
            <w:pPr>
              <w:autoSpaceDE w:val="0"/>
              <w:autoSpaceDN w:val="0"/>
              <w:adjustRightInd w:val="0"/>
              <w:rPr>
                <w:rFonts w:cs="Arial"/>
                <w:b/>
                <w:bCs/>
                <w:color w:val="5F497A"/>
                <w:szCs w:val="20"/>
              </w:rPr>
            </w:pPr>
          </w:p>
          <w:p w:rsidR="00D02AF8" w:rsidRDefault="00D02AF8" w:rsidP="00D02AF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D02AF8" w:rsidRDefault="00D02AF8" w:rsidP="00D02AF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D02AF8" w:rsidRDefault="00D02AF8" w:rsidP="00D02AF8">
            <w:pPr>
              <w:autoSpaceDE w:val="0"/>
              <w:autoSpaceDN w:val="0"/>
              <w:adjustRightInd w:val="0"/>
              <w:rPr>
                <w:rFonts w:eastAsia="HelenPro-Regular" w:cs="Arial"/>
                <w:szCs w:val="20"/>
              </w:rPr>
            </w:pPr>
            <w:r>
              <w:rPr>
                <w:rFonts w:eastAsia="HelenPro-Regular" w:cs="Arial"/>
                <w:szCs w:val="20"/>
              </w:rPr>
              <w:t>-BIN for “Bilirubin Interference”</w:t>
            </w:r>
          </w:p>
          <w:p w:rsidR="00D02AF8" w:rsidRDefault="00D02AF8" w:rsidP="00D02AF8">
            <w:pPr>
              <w:autoSpaceDE w:val="0"/>
              <w:autoSpaceDN w:val="0"/>
              <w:adjustRightInd w:val="0"/>
              <w:rPr>
                <w:rFonts w:eastAsia="HelenPro-Regular" w:cs="Arial"/>
                <w:szCs w:val="20"/>
              </w:rPr>
            </w:pPr>
            <w:r>
              <w:rPr>
                <w:rFonts w:eastAsia="HelenPro-Regular" w:cs="Arial"/>
                <w:szCs w:val="20"/>
              </w:rPr>
              <w:t xml:space="preserve">-LINT for “Lipid Interference”  </w:t>
            </w:r>
          </w:p>
          <w:bookmarkEnd w:id="0"/>
          <w:p w:rsidR="002F5C68" w:rsidRPr="00DC7421" w:rsidRDefault="002F5C68"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w:t>
            </w:r>
            <w:r w:rsidR="00F51461" w:rsidRPr="00F51461">
              <w:rPr>
                <w:rFonts w:eastAsia="HelenPro-Regular" w:cs="Arial"/>
                <w:szCs w:val="20"/>
              </w:rPr>
              <w:t>using NCCLS EP7</w:t>
            </w:r>
            <w:r w:rsidR="00F51461" w:rsidRPr="00F51461">
              <w:rPr>
                <w:rFonts w:ascii="MS Gothic" w:eastAsia="HelenPro-Regular" w:hAnsi="MS Gothic" w:cs="MS Gothic"/>
                <w:szCs w:val="20"/>
              </w:rPr>
              <w:t>‑</w:t>
            </w:r>
            <w:r w:rsidR="00F51461">
              <w:rPr>
                <w:rFonts w:eastAsia="HelenPro-Regular" w:cs="Arial"/>
                <w:szCs w:val="20"/>
              </w:rPr>
              <w:t>P</w:t>
            </w:r>
            <w:r w:rsidRPr="00DC7421">
              <w:rPr>
                <w:rFonts w:eastAsia="HelenPro-Regular" w:cs="Arial"/>
                <w:szCs w:val="20"/>
              </w:rPr>
              <w:t>.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Inte</w:t>
            </w:r>
            <w:r w:rsidR="003D0EF0">
              <w:rPr>
                <w:rFonts w:cs="Arial"/>
                <w:szCs w:val="20"/>
              </w:rPr>
              <w:t>rference is less than 10% at total protein levels at the medical decision levels of the analyte</w:t>
            </w:r>
            <w:r w:rsidR="002E718D" w:rsidRPr="00DC7421">
              <w:rPr>
                <w:rFonts w:cs="Arial"/>
                <w:szCs w:val="20"/>
              </w:rPr>
              <w:t xml:space="preserve"> for:</w:t>
            </w:r>
          </w:p>
          <w:p w:rsidR="003D0EF0" w:rsidRPr="00DC7421" w:rsidRDefault="003D0EF0" w:rsidP="00824C10">
            <w:pPr>
              <w:autoSpaceDE w:val="0"/>
              <w:autoSpaceDN w:val="0"/>
              <w:adjustRightInd w:val="0"/>
              <w:rPr>
                <w:rFonts w:cs="Arial"/>
                <w:szCs w:val="20"/>
              </w:rPr>
            </w:pPr>
          </w:p>
          <w:p w:rsidR="002E718D" w:rsidRPr="00DC7421" w:rsidRDefault="00F51461" w:rsidP="00655B61">
            <w:pPr>
              <w:numPr>
                <w:ilvl w:val="0"/>
                <w:numId w:val="20"/>
              </w:numPr>
              <w:jc w:val="both"/>
              <w:rPr>
                <w:rFonts w:cs="Arial"/>
                <w:szCs w:val="20"/>
              </w:rPr>
            </w:pPr>
            <w:r>
              <w:rPr>
                <w:rFonts w:cs="Arial"/>
                <w:szCs w:val="20"/>
              </w:rPr>
              <w:t>Hemoglobin: up to 125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24C10" w:rsidP="00655B61">
            <w:pPr>
              <w:numPr>
                <w:ilvl w:val="0"/>
                <w:numId w:val="20"/>
              </w:numPr>
              <w:jc w:val="both"/>
              <w:rPr>
                <w:rFonts w:cs="Arial"/>
                <w:szCs w:val="20"/>
              </w:rPr>
            </w:pPr>
            <w:r w:rsidRPr="00DC7421">
              <w:rPr>
                <w:rFonts w:cs="Arial"/>
                <w:szCs w:val="20"/>
              </w:rPr>
              <w:t>Lipemia (Intralipid®): up to 1</w:t>
            </w:r>
            <w:r w:rsidR="002E718D" w:rsidRPr="00DC7421">
              <w:rPr>
                <w:rFonts w:cs="Arial"/>
                <w:szCs w:val="20"/>
              </w:rPr>
              <w:t>000 mg/dL</w:t>
            </w:r>
          </w:p>
          <w:p w:rsidR="00F51461" w:rsidRDefault="00F51461" w:rsidP="00F51461">
            <w:pPr>
              <w:jc w:val="both"/>
              <w:rPr>
                <w:rFonts w:cs="Arial"/>
                <w:szCs w:val="20"/>
              </w:rPr>
            </w:pPr>
          </w:p>
          <w:p w:rsidR="00D02AF8" w:rsidRDefault="00F51461" w:rsidP="009D24F1">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sidR="009D24F1">
              <w:rPr>
                <w:rFonts w:cs="Arial"/>
                <w:bCs/>
                <w:szCs w:val="20"/>
              </w:rPr>
              <w:t xml:space="preserve">Samples that contain visible hemolysis should not be used, whenever possible.  Otherwise, </w:t>
            </w:r>
            <w:r w:rsidR="00D02AF8">
              <w:rPr>
                <w:rFonts w:cs="Arial"/>
                <w:bCs/>
                <w:szCs w:val="20"/>
              </w:rPr>
              <w:t xml:space="preserve">append </w:t>
            </w:r>
          </w:p>
          <w:p w:rsidR="009D24F1" w:rsidRPr="00C643FD" w:rsidRDefault="00D02AF8" w:rsidP="009D24F1">
            <w:pPr>
              <w:autoSpaceDE w:val="0"/>
              <w:autoSpaceDN w:val="0"/>
              <w:adjustRightInd w:val="0"/>
              <w:rPr>
                <w:rFonts w:cs="Arial"/>
                <w:bCs/>
                <w:szCs w:val="20"/>
              </w:rPr>
            </w:pPr>
            <w:r>
              <w:rPr>
                <w:rFonts w:cs="Arial"/>
                <w:bCs/>
                <w:szCs w:val="20"/>
              </w:rPr>
              <w:t>-H</w:t>
            </w:r>
            <w:r w:rsidR="009D24F1">
              <w:rPr>
                <w:rFonts w:cs="Arial"/>
                <w:bCs/>
                <w:szCs w:val="20"/>
              </w:rPr>
              <w:t xml:space="preserve">P to the appropriate tests.  </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3D0EF0"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60465C">
        <w:trPr>
          <w:tblHeader/>
        </w:trPr>
        <w:tc>
          <w:tcPr>
            <w:tcW w:w="1800" w:type="dxa"/>
            <w:tcBorders>
              <w:top w:val="nil"/>
              <w:left w:val="nil"/>
              <w:bottom w:val="nil"/>
              <w:right w:val="nil"/>
            </w:tcBorders>
          </w:tcPr>
          <w:p w:rsidR="00E3253B" w:rsidRPr="00C00B65" w:rsidRDefault="00250A09" w:rsidP="0060465C">
            <w:pPr>
              <w:rPr>
                <w:rFonts w:cs="Arial"/>
                <w:b/>
                <w:bCs/>
                <w:color w:val="0000FF"/>
                <w:szCs w:val="20"/>
              </w:rPr>
            </w:pPr>
            <w:r>
              <w:rPr>
                <w:rFonts w:cs="Arial"/>
                <w:b/>
                <w:bCs/>
                <w:color w:val="0000FF"/>
                <w:szCs w:val="20"/>
              </w:rPr>
              <w:t>Reference Intervals</w:t>
            </w: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3D0EF0">
                  <w:pPr>
                    <w:rPr>
                      <w:rFonts w:cs="Arial"/>
                      <w:szCs w:val="20"/>
                    </w:rPr>
                  </w:pPr>
                  <w:r>
                    <w:rPr>
                      <w:rFonts w:cs="Arial"/>
                      <w:szCs w:val="20"/>
                    </w:rPr>
                    <w:t>Total P</w:t>
                  </w:r>
                  <w:r w:rsidR="006A12A7">
                    <w:rPr>
                      <w:rFonts w:cs="Arial"/>
                      <w:szCs w:val="20"/>
                    </w:rPr>
                    <w:t>rotein</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rsidR="006A2770" w:rsidRPr="00DC7421" w:rsidRDefault="00BB5F78">
                  <w:pPr>
                    <w:rPr>
                      <w:rFonts w:cs="Arial"/>
                      <w:szCs w:val="20"/>
                    </w:rPr>
                  </w:pPr>
                  <w:r>
                    <w:rPr>
                      <w:rFonts w:cs="Arial"/>
                      <w:szCs w:val="20"/>
                    </w:rPr>
                    <w:t>5.3 – 8.3</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rsidP="00824C10">
                  <w:pPr>
                    <w:rPr>
                      <w:rFonts w:cs="Arial"/>
                      <w:szCs w:val="20"/>
                    </w:rPr>
                  </w:pPr>
                  <w:r w:rsidRPr="00DC7421">
                    <w:rPr>
                      <w:rFonts w:cs="Arial"/>
                      <w:szCs w:val="20"/>
                    </w:rPr>
                    <w:t xml:space="preserve">15 days - </w:t>
                  </w:r>
                  <w:r w:rsidR="00646E63" w:rsidRPr="00DC7421">
                    <w:rPr>
                      <w:rFonts w:cs="Arial"/>
                      <w:szCs w:val="20"/>
                    </w:rPr>
                    <w:t>1 year</w:t>
                  </w:r>
                </w:p>
              </w:tc>
              <w:tc>
                <w:tcPr>
                  <w:tcW w:w="2700" w:type="dxa"/>
                  <w:tcBorders>
                    <w:left w:val="single" w:sz="4" w:space="0" w:color="auto"/>
                    <w:right w:val="single" w:sz="4" w:space="0" w:color="auto"/>
                  </w:tcBorders>
                </w:tcPr>
                <w:p w:rsidR="00646E63" w:rsidRPr="00DC7421" w:rsidRDefault="00BB5F78">
                  <w:pPr>
                    <w:rPr>
                      <w:rFonts w:cs="Arial"/>
                      <w:szCs w:val="20"/>
                    </w:rPr>
                  </w:pPr>
                  <w:r>
                    <w:rPr>
                      <w:rFonts w:cs="Arial"/>
                      <w:szCs w:val="20"/>
                    </w:rPr>
                    <w:t>4.4 – 7.1</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1 - 5</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6.1 – 7.5</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6 - 8</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6.4 – 7.7</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9 – 18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6.5 – 8.1</w:t>
                  </w:r>
                  <w:r w:rsidR="00646E63" w:rsidRPr="00DC7421">
                    <w:rPr>
                      <w:rFonts w:cs="Arial"/>
                      <w:szCs w:val="20"/>
                    </w:rPr>
                    <w:t xml:space="preserve"> g/dL</w:t>
                  </w:r>
                </w:p>
              </w:tc>
            </w:tr>
            <w:tr w:rsidR="00824C10" w:rsidRPr="00DC7421" w:rsidTr="00824C10">
              <w:trPr>
                <w:gridAfter w:val="1"/>
                <w:wAfter w:w="3978" w:type="dxa"/>
              </w:trPr>
              <w:tc>
                <w:tcPr>
                  <w:tcW w:w="2389" w:type="dxa"/>
                </w:tcPr>
                <w:p w:rsidR="00824C10" w:rsidRPr="00DC7421" w:rsidRDefault="00BB5F78">
                  <w:pPr>
                    <w:rPr>
                      <w:rFonts w:cs="Arial"/>
                      <w:szCs w:val="20"/>
                    </w:rPr>
                  </w:pPr>
                  <w:r>
                    <w:rPr>
                      <w:rFonts w:cs="Arial"/>
                      <w:szCs w:val="20"/>
                    </w:rPr>
                    <w:t>Adult</w:t>
                  </w:r>
                </w:p>
              </w:tc>
              <w:tc>
                <w:tcPr>
                  <w:tcW w:w="2700" w:type="dxa"/>
                  <w:tcBorders>
                    <w:left w:val="single" w:sz="4" w:space="0" w:color="auto"/>
                    <w:right w:val="single" w:sz="4" w:space="0" w:color="auto"/>
                  </w:tcBorders>
                </w:tcPr>
                <w:p w:rsidR="00824C10" w:rsidRPr="00DC7421" w:rsidRDefault="00BB5F78" w:rsidP="00646E63">
                  <w:pPr>
                    <w:rPr>
                      <w:rFonts w:cs="Arial"/>
                      <w:szCs w:val="20"/>
                    </w:rPr>
                  </w:pPr>
                  <w:r>
                    <w:rPr>
                      <w:rFonts w:cs="Arial"/>
                      <w:szCs w:val="20"/>
                    </w:rPr>
                    <w:t xml:space="preserve">6.0 – 8.3 </w:t>
                  </w:r>
                  <w:r w:rsidR="00824C10" w:rsidRPr="00DC7421">
                    <w:rPr>
                      <w:rFonts w:cs="Arial"/>
                      <w:szCs w:val="20"/>
                    </w:rPr>
                    <w:t>g/dL</w:t>
                  </w:r>
                </w:p>
              </w:tc>
            </w:tr>
            <w:tr w:rsidR="00E3253B" w:rsidRPr="00DC7421" w:rsidTr="00646E63">
              <w:trPr>
                <w:cantSplit/>
              </w:trPr>
              <w:tc>
                <w:tcPr>
                  <w:tcW w:w="9067" w:type="dxa"/>
                  <w:gridSpan w:val="3"/>
                  <w:tcBorders>
                    <w:top w:val="nil"/>
                    <w:left w:val="nil"/>
                    <w:bottom w:val="nil"/>
                    <w:right w:val="nil"/>
                  </w:tcBorders>
                </w:tcPr>
                <w:p w:rsidR="00E3253B" w:rsidRDefault="00E3253B" w:rsidP="00824C10">
                  <w:pPr>
                    <w:rPr>
                      <w:rFonts w:cs="Arial"/>
                      <w:szCs w:val="20"/>
                    </w:rPr>
                  </w:pPr>
                </w:p>
                <w:p w:rsidR="00D02AF8" w:rsidRPr="00DC7421" w:rsidRDefault="00D02AF8" w:rsidP="00824C10">
                  <w:pPr>
                    <w:rPr>
                      <w:rFonts w:cs="Arial"/>
                      <w:szCs w:val="20"/>
                    </w:rPr>
                  </w:pPr>
                  <w:r>
                    <w:rPr>
                      <w:rFonts w:cs="Arial"/>
                      <w:szCs w:val="20"/>
                    </w:rPr>
                    <w:t>Body Fluids do not have an applicable reference range.</w:t>
                  </w:r>
                </w:p>
              </w:tc>
            </w:tr>
          </w:tbl>
          <w:p w:rsidR="00E3253B" w:rsidRPr="00DC7421" w:rsidRDefault="00E3253B">
            <w:pPr>
              <w:rPr>
                <w:rFonts w:cs="Arial"/>
                <w:szCs w:val="20"/>
              </w:rPr>
            </w:pPr>
          </w:p>
        </w:tc>
      </w:tr>
      <w:tr w:rsidR="00E3253B" w:rsidTr="0060465C">
        <w:trPr>
          <w:trHeight w:val="558"/>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Critical Values</w:t>
            </w:r>
          </w:p>
        </w:tc>
        <w:tc>
          <w:tcPr>
            <w:tcW w:w="9360" w:type="dxa"/>
            <w:gridSpan w:val="6"/>
            <w:tcBorders>
              <w:top w:val="single" w:sz="18" w:space="0" w:color="BFBFBF"/>
              <w:left w:val="nil"/>
              <w:bottom w:val="single" w:sz="18" w:space="0" w:color="BFBFBF"/>
              <w:right w:val="nil"/>
            </w:tcBorders>
          </w:tcPr>
          <w:p w:rsidR="00E3253B" w:rsidRDefault="00E3253B">
            <w:pPr>
              <w:pStyle w:val="Header"/>
              <w:tabs>
                <w:tab w:val="clear" w:pos="4320"/>
                <w:tab w:val="clear" w:pos="8640"/>
              </w:tabs>
              <w:rPr>
                <w:rFonts w:cs="Arial"/>
                <w:szCs w:val="20"/>
              </w:rPr>
            </w:pPr>
            <w:r w:rsidRPr="00DC7421">
              <w:rPr>
                <w:rFonts w:cs="Arial"/>
                <w:szCs w:val="20"/>
              </w:rPr>
              <w:t>None specified.</w:t>
            </w:r>
          </w:p>
          <w:p w:rsidR="0060465C" w:rsidRPr="00DC7421" w:rsidRDefault="0060465C">
            <w:pPr>
              <w:pStyle w:val="Header"/>
              <w:tabs>
                <w:tab w:val="clear" w:pos="4320"/>
                <w:tab w:val="clear" w:pos="8640"/>
              </w:tabs>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Limitations</w:t>
            </w: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6A12A7">
              <w:rPr>
                <w:rFonts w:cs="Arial"/>
                <w:color w:val="000000"/>
                <w:szCs w:val="20"/>
              </w:rPr>
              <w:t>total protein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3D0EF0" w:rsidRDefault="003D0EF0" w:rsidP="00944DFA">
            <w:pPr>
              <w:autoSpaceDE w:val="0"/>
              <w:autoSpaceDN w:val="0"/>
              <w:adjustRightInd w:val="0"/>
              <w:rPr>
                <w:rFonts w:eastAsia="HelenPro-Regular" w:cs="Arial"/>
                <w:szCs w:val="20"/>
              </w:rPr>
            </w:pPr>
          </w:p>
          <w:p w:rsidR="00D02AF8" w:rsidRDefault="003D0EF0" w:rsidP="003D0EF0">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Pr>
                <w:rFonts w:cs="Arial"/>
                <w:bCs/>
                <w:szCs w:val="20"/>
              </w:rPr>
              <w:t xml:space="preserve">Samples that contain visible hemolysis should not be used, whenever possible.  Otherwise, append </w:t>
            </w:r>
          </w:p>
          <w:p w:rsidR="003D0EF0" w:rsidRPr="00C643FD" w:rsidRDefault="00D02AF8" w:rsidP="003D0EF0">
            <w:pPr>
              <w:autoSpaceDE w:val="0"/>
              <w:autoSpaceDN w:val="0"/>
              <w:adjustRightInd w:val="0"/>
              <w:rPr>
                <w:rFonts w:cs="Arial"/>
                <w:bCs/>
                <w:szCs w:val="20"/>
              </w:rPr>
            </w:pPr>
            <w:r>
              <w:rPr>
                <w:rFonts w:cs="Arial"/>
                <w:bCs/>
                <w:szCs w:val="20"/>
              </w:rPr>
              <w:t>–HP to the appropriate tests.</w:t>
            </w:r>
          </w:p>
          <w:p w:rsidR="00DC7421" w:rsidRPr="00DC7421" w:rsidRDefault="00DC7421">
            <w:pPr>
              <w:autoSpaceDE w:val="0"/>
              <w:autoSpaceDN w:val="0"/>
              <w:adjustRightInd w:val="0"/>
              <w:rPr>
                <w:rFonts w:cs="Arial"/>
                <w:bCs/>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lastRenderedPageBreak/>
              <w:t>Dilutions</w:t>
            </w: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722DD7" w:rsidRPr="00EC40A2" w:rsidTr="005043DD">
              <w:tc>
                <w:tcPr>
                  <w:tcW w:w="9067" w:type="dxa"/>
                  <w:gridSpan w:val="2"/>
                </w:tcPr>
                <w:p w:rsidR="00722DD7" w:rsidRPr="00EC40A2" w:rsidRDefault="00722DD7" w:rsidP="00722DD7">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r w:rsidR="00D02AF8">
                    <w:rPr>
                      <w:rFonts w:cs="Arial"/>
                      <w:b/>
                      <w:bCs/>
                      <w:color w:val="5F497A"/>
                      <w:szCs w:val="20"/>
                    </w:rPr>
                    <w:t>(Blood specimens only)</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Auto</w:t>
                  </w:r>
                  <w:r>
                    <w:rPr>
                      <w:rFonts w:cs="Arial"/>
                      <w:szCs w:val="20"/>
                    </w:rPr>
                    <w:t>mated</w:t>
                  </w:r>
                  <w:r w:rsidRPr="00EC40A2">
                    <w:rPr>
                      <w:rFonts w:cs="Arial"/>
                      <w:szCs w:val="20"/>
                    </w:rPr>
                    <w:t xml:space="preserve"> Dilution:</w:t>
                  </w:r>
                </w:p>
              </w:tc>
              <w:tc>
                <w:tcPr>
                  <w:tcW w:w="7038" w:type="dxa"/>
                </w:tcPr>
                <w:p w:rsidR="00722DD7" w:rsidRPr="00EC40A2" w:rsidRDefault="00BB5F78" w:rsidP="00722DD7">
                  <w:pPr>
                    <w:autoSpaceDE w:val="0"/>
                    <w:autoSpaceDN w:val="0"/>
                    <w:adjustRightInd w:val="0"/>
                    <w:rPr>
                      <w:rFonts w:cs="Arial"/>
                      <w:szCs w:val="20"/>
                    </w:rPr>
                  </w:pPr>
                  <w:r>
                    <w:rPr>
                      <w:rFonts w:cs="Arial"/>
                      <w:szCs w:val="20"/>
                    </w:rPr>
                    <w:t>None</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Maximum Manual Dilution:</w:t>
                  </w:r>
                </w:p>
              </w:tc>
              <w:tc>
                <w:tcPr>
                  <w:tcW w:w="7038" w:type="dxa"/>
                </w:tcPr>
                <w:p w:rsidR="00722DD7" w:rsidRPr="00EC40A2" w:rsidRDefault="00BB5F78" w:rsidP="00722DD7">
                  <w:pPr>
                    <w:autoSpaceDE w:val="0"/>
                    <w:autoSpaceDN w:val="0"/>
                    <w:adjustRightInd w:val="0"/>
                    <w:rPr>
                      <w:rFonts w:cs="Arial"/>
                      <w:szCs w:val="20"/>
                    </w:rPr>
                  </w:pPr>
                  <w:r>
                    <w:rPr>
                      <w:rFonts w:cs="Arial"/>
                      <w:szCs w:val="20"/>
                    </w:rPr>
                    <w:t>1:2</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Diluent:</w:t>
                  </w:r>
                </w:p>
              </w:tc>
              <w:tc>
                <w:tcPr>
                  <w:tcW w:w="7038" w:type="dxa"/>
                </w:tcPr>
                <w:p w:rsidR="00722DD7" w:rsidRPr="00EC40A2" w:rsidRDefault="00BB5F78" w:rsidP="00722DD7">
                  <w:pPr>
                    <w:autoSpaceDE w:val="0"/>
                    <w:autoSpaceDN w:val="0"/>
                    <w:adjustRightInd w:val="0"/>
                    <w:rPr>
                      <w:rFonts w:cs="Arial"/>
                      <w:szCs w:val="20"/>
                    </w:rPr>
                  </w:pPr>
                  <w:r>
                    <w:rPr>
                      <w:rFonts w:cs="Arial"/>
                      <w:szCs w:val="20"/>
                    </w:rPr>
                    <w:t>S</w:t>
                  </w:r>
                  <w:r w:rsidR="00722DD7">
                    <w:rPr>
                      <w:rFonts w:cs="Arial"/>
                      <w:szCs w:val="20"/>
                    </w:rPr>
                    <w:t>aline</w:t>
                  </w:r>
                </w:p>
              </w:tc>
            </w:tr>
            <w:tr w:rsidR="00722DD7" w:rsidTr="005043DD">
              <w:tc>
                <w:tcPr>
                  <w:tcW w:w="2029" w:type="dxa"/>
                </w:tcPr>
                <w:p w:rsidR="00722DD7" w:rsidRDefault="00722DD7" w:rsidP="00722DD7">
                  <w:pPr>
                    <w:rPr>
                      <w:rFonts w:cs="Arial"/>
                      <w:szCs w:val="20"/>
                    </w:rPr>
                  </w:pPr>
                  <w:r>
                    <w:rPr>
                      <w:rFonts w:cs="Arial"/>
                      <w:szCs w:val="20"/>
                    </w:rPr>
                    <w:t>Manual Dilution:</w:t>
                  </w:r>
                </w:p>
              </w:tc>
              <w:tc>
                <w:tcPr>
                  <w:tcW w:w="7038" w:type="dxa"/>
                </w:tcPr>
                <w:p w:rsidR="00722DD7" w:rsidRPr="00EC40A2" w:rsidRDefault="00722DD7" w:rsidP="00722DD7">
                  <w:pPr>
                    <w:autoSpaceDE w:val="0"/>
                    <w:autoSpaceDN w:val="0"/>
                    <w:adjustRightInd w:val="0"/>
                    <w:rPr>
                      <w:rFonts w:eastAsia="HelenPro-Regular" w:cs="Arial"/>
                      <w:szCs w:val="20"/>
                    </w:rPr>
                  </w:pPr>
                  <w:r w:rsidRPr="00EC40A2">
                    <w:rPr>
                      <w:rFonts w:cs="Arial"/>
                      <w:szCs w:val="20"/>
                    </w:rPr>
                    <w:t xml:space="preserve">Follow Abbott </w:t>
                  </w:r>
                  <w:hyperlink r:id="rId12" w:history="1">
                    <w:r w:rsidRPr="006353B1">
                      <w:rPr>
                        <w:rStyle w:val="Hyperlink"/>
                        <w:rFonts w:cs="Arial"/>
                        <w:szCs w:val="20"/>
                      </w:rPr>
                      <w:t>Architect Operator’s Manual</w:t>
                    </w:r>
                  </w:hyperlink>
                  <w:r w:rsidRPr="00EC40A2">
                    <w:rPr>
                      <w:rFonts w:cs="Arial"/>
                      <w:szCs w:val="20"/>
                    </w:rPr>
                    <w:t xml:space="preserve"> or </w:t>
                  </w:r>
                  <w:hyperlink r:id="rId13" w:history="1">
                    <w:r w:rsidRPr="006353B1">
                      <w:rPr>
                        <w:rStyle w:val="Hyperlink"/>
                        <w:rFonts w:cs="Arial"/>
                        <w:szCs w:val="20"/>
                      </w:rPr>
                      <w:t>Alinity Operator’s Manual</w:t>
                    </w:r>
                  </w:hyperlink>
                  <w:r w:rsidRPr="00EC40A2">
                    <w:rPr>
                      <w:rFonts w:cs="Arial"/>
                      <w:szCs w:val="20"/>
                    </w:rPr>
                    <w:t xml:space="preserve"> ins</w:t>
                  </w:r>
                  <w:r>
                    <w:rPr>
                      <w:rFonts w:cs="Arial"/>
                      <w:szCs w:val="20"/>
                    </w:rPr>
                    <w:t>tru</w:t>
                  </w:r>
                  <w:r w:rsidR="00BB5F78">
                    <w:rPr>
                      <w:rFonts w:cs="Arial"/>
                      <w:szCs w:val="20"/>
                    </w:rPr>
                    <w:t>ctions for programming manual</w:t>
                  </w:r>
                  <w:r w:rsidRPr="00EC40A2">
                    <w:rPr>
                      <w:rFonts w:cs="Arial"/>
                      <w:szCs w:val="20"/>
                    </w:rPr>
                    <w:t xml:space="preserve"> dilutions</w:t>
                  </w:r>
                  <w:r w:rsidR="00BB5F78">
                    <w:rPr>
                      <w:rFonts w:cs="Arial"/>
                      <w:szCs w:val="20"/>
                    </w:rPr>
                    <w:t>, including the manual dilution factor</w:t>
                  </w:r>
                  <w:r w:rsidRPr="00EC40A2">
                    <w:rPr>
                      <w:rFonts w:cs="Arial"/>
                      <w:szCs w:val="20"/>
                    </w:rPr>
                    <w:t xml:space="preserve">.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722DD7" w:rsidRPr="00EC40A2" w:rsidRDefault="00722DD7" w:rsidP="00722DD7">
                  <w:pPr>
                    <w:autoSpaceDE w:val="0"/>
                    <w:autoSpaceDN w:val="0"/>
                    <w:adjustRightInd w:val="0"/>
                    <w:rPr>
                      <w:rFonts w:eastAsia="HelenPro-Regular" w:cs="Arial"/>
                      <w:szCs w:val="20"/>
                    </w:rPr>
                  </w:pPr>
                </w:p>
                <w:p w:rsidR="00722DD7" w:rsidRDefault="00722DD7" w:rsidP="00722DD7">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Result Reporting</w:t>
            </w:r>
          </w:p>
        </w:tc>
        <w:tc>
          <w:tcPr>
            <w:tcW w:w="9360" w:type="dxa"/>
            <w:gridSpan w:val="6"/>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D02AF8">
            <w:pPr>
              <w:pStyle w:val="Header"/>
              <w:numPr>
                <w:ilvl w:val="0"/>
                <w:numId w:val="5"/>
              </w:numPr>
              <w:tabs>
                <w:tab w:val="clear" w:pos="4320"/>
                <w:tab w:val="clear" w:pos="8640"/>
              </w:tabs>
              <w:rPr>
                <w:rFonts w:cs="Arial"/>
                <w:szCs w:val="20"/>
              </w:rPr>
            </w:pPr>
            <w:r>
              <w:rPr>
                <w:rFonts w:cs="Arial"/>
                <w:szCs w:val="20"/>
              </w:rPr>
              <w:t>Results between 1.0 – 13.0</w:t>
            </w:r>
            <w:r w:rsidR="00E3253B" w:rsidRPr="00DC7421">
              <w:rPr>
                <w:rFonts w:cs="Arial"/>
                <w:szCs w:val="20"/>
              </w:rPr>
              <w:t xml:space="preserve"> g/dL without error messages are released</w:t>
            </w:r>
            <w:r>
              <w:rPr>
                <w:rFonts w:cs="Arial"/>
                <w:szCs w:val="20"/>
              </w:rPr>
              <w:t xml:space="preserve"> (1 to 10.0 for body fluids)</w:t>
            </w:r>
          </w:p>
          <w:p w:rsidR="00E3253B" w:rsidRPr="00DC7421" w:rsidRDefault="00D02AF8">
            <w:pPr>
              <w:numPr>
                <w:ilvl w:val="0"/>
                <w:numId w:val="5"/>
              </w:numPr>
              <w:rPr>
                <w:rFonts w:cs="Arial"/>
                <w:szCs w:val="20"/>
              </w:rPr>
            </w:pPr>
            <w:r>
              <w:rPr>
                <w:rFonts w:cs="Arial"/>
                <w:szCs w:val="20"/>
              </w:rPr>
              <w:t>Results below 1.0 g/dL: report as &lt; 1.0</w:t>
            </w:r>
            <w:r w:rsidR="00E3253B" w:rsidRPr="00DC7421">
              <w:rPr>
                <w:rFonts w:cs="Arial"/>
                <w:szCs w:val="20"/>
              </w:rPr>
              <w:t xml:space="preserve"> g/dL instead of the numerical </w:t>
            </w:r>
            <w:r w:rsidR="00387FF5" w:rsidRPr="00DC7421">
              <w:rPr>
                <w:rFonts w:cs="Arial"/>
                <w:szCs w:val="20"/>
              </w:rPr>
              <w:t>value</w:t>
            </w:r>
            <w:r>
              <w:rPr>
                <w:rFonts w:cs="Arial"/>
                <w:szCs w:val="20"/>
              </w:rPr>
              <w:t>, for blood or body fluid.</w:t>
            </w:r>
          </w:p>
          <w:p w:rsidR="00E3253B" w:rsidRDefault="00DC24D6">
            <w:pPr>
              <w:numPr>
                <w:ilvl w:val="0"/>
                <w:numId w:val="5"/>
              </w:numPr>
              <w:rPr>
                <w:rFonts w:cs="Arial"/>
                <w:szCs w:val="20"/>
              </w:rPr>
            </w:pPr>
            <w:r w:rsidRPr="00DC7421">
              <w:rPr>
                <w:rFonts w:cs="Arial"/>
                <w:szCs w:val="20"/>
              </w:rPr>
              <w:t>Results &gt;</w:t>
            </w:r>
            <w:r w:rsidR="00D02AF8">
              <w:rPr>
                <w:rFonts w:cs="Arial"/>
                <w:szCs w:val="20"/>
              </w:rPr>
              <w:t>13.0</w:t>
            </w:r>
            <w:r w:rsidR="00E3253B" w:rsidRPr="00DC7421">
              <w:rPr>
                <w:rFonts w:cs="Arial"/>
                <w:szCs w:val="20"/>
              </w:rPr>
              <w:t xml:space="preserve"> g/dL without erro</w:t>
            </w:r>
            <w:r w:rsidRPr="00DC7421">
              <w:rPr>
                <w:rFonts w:cs="Arial"/>
                <w:szCs w:val="20"/>
              </w:rPr>
              <w:t>r</w:t>
            </w:r>
            <w:r w:rsidR="00D02AF8">
              <w:rPr>
                <w:rFonts w:cs="Arial"/>
                <w:szCs w:val="20"/>
              </w:rPr>
              <w:t xml:space="preserve"> messages are diluted 1:2 manually with saline and reported the numerical value or as &gt; 26.0</w:t>
            </w:r>
            <w:r w:rsidR="00E3253B" w:rsidRPr="00DC7421">
              <w:rPr>
                <w:rFonts w:cs="Arial"/>
                <w:szCs w:val="20"/>
              </w:rPr>
              <w:t xml:space="preserve"> g/dL</w:t>
            </w:r>
            <w:r w:rsidR="00D02AF8">
              <w:rPr>
                <w:rFonts w:cs="Arial"/>
                <w:szCs w:val="20"/>
              </w:rPr>
              <w:t xml:space="preserve"> for blood specimens. Results &gt;10.0 g/dL for body fluids are reported as such.</w:t>
            </w:r>
          </w:p>
          <w:p w:rsidR="003D0EF0" w:rsidRDefault="003D0EF0" w:rsidP="003D0EF0">
            <w:pPr>
              <w:rPr>
                <w:rFonts w:cs="Arial"/>
                <w:szCs w:val="20"/>
              </w:rPr>
            </w:pPr>
          </w:p>
          <w:p w:rsidR="00D02AF8" w:rsidRDefault="003D0EF0" w:rsidP="003D0EF0">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Pr>
                <w:rFonts w:cs="Arial"/>
                <w:bCs/>
                <w:szCs w:val="20"/>
              </w:rPr>
              <w:t xml:space="preserve">Samples that contain visible hemolysis should not be used, whenever possible.  Otherwise, append </w:t>
            </w:r>
          </w:p>
          <w:p w:rsidR="003D0EF0" w:rsidRPr="00C643FD" w:rsidRDefault="003D0EF0" w:rsidP="003D0EF0">
            <w:pPr>
              <w:autoSpaceDE w:val="0"/>
              <w:autoSpaceDN w:val="0"/>
              <w:adjustRightInd w:val="0"/>
              <w:rPr>
                <w:rFonts w:cs="Arial"/>
                <w:bCs/>
                <w:szCs w:val="20"/>
              </w:rPr>
            </w:pPr>
            <w:r>
              <w:rPr>
                <w:rFonts w:cs="Arial"/>
                <w:bCs/>
                <w:szCs w:val="20"/>
              </w:rPr>
              <w:t xml:space="preserve">–HP to the appropriate tests.  </w:t>
            </w:r>
          </w:p>
          <w:p w:rsidR="00387FF5" w:rsidRPr="00DC7421" w:rsidRDefault="00387FF5" w:rsidP="00824C10">
            <w:pPr>
              <w:rPr>
                <w:rFonts w:cs="Arial"/>
                <w:szCs w:val="20"/>
              </w:rPr>
            </w:pPr>
          </w:p>
        </w:tc>
      </w:tr>
      <w:tr w:rsidR="00E3253B" w:rsidTr="0060465C">
        <w:trPr>
          <w:trHeight w:val="702"/>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Specimen Storage</w:t>
            </w:r>
          </w:p>
        </w:tc>
        <w:tc>
          <w:tcPr>
            <w:tcW w:w="9360" w:type="dxa"/>
            <w:gridSpan w:val="6"/>
            <w:tcBorders>
              <w:top w:val="single" w:sz="18" w:space="0" w:color="BFBFBF"/>
              <w:left w:val="nil"/>
              <w:bottom w:val="single" w:sz="18" w:space="0" w:color="BFBFBF"/>
              <w:right w:val="nil"/>
            </w:tcBorders>
          </w:tcPr>
          <w:p w:rsidR="00E3253B"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r w:rsidR="00D02AF8">
              <w:rPr>
                <w:rFonts w:cs="Arial"/>
                <w:szCs w:val="20"/>
              </w:rPr>
              <w:t xml:space="preserve">  Do not freeze body fluids; instead, store in a refrigerated rack.</w:t>
            </w:r>
          </w:p>
          <w:p w:rsidR="00D02AF8" w:rsidRPr="00DC7421" w:rsidRDefault="00D02AF8">
            <w:pPr>
              <w:pStyle w:val="Header"/>
              <w:tabs>
                <w:tab w:val="clear" w:pos="4320"/>
                <w:tab w:val="clear" w:pos="8640"/>
              </w:tabs>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722DD7">
              <w:rPr>
                <w:rFonts w:cs="Arial"/>
                <w:szCs w:val="20"/>
              </w:rPr>
              <w:t>Total P</w:t>
            </w:r>
            <w:r w:rsidR="006A12A7">
              <w:rPr>
                <w:rFonts w:cs="Arial"/>
                <w:szCs w:val="20"/>
              </w:rPr>
              <w:t>rotein</w:t>
            </w:r>
            <w:r w:rsidRPr="00DC7421">
              <w:rPr>
                <w:rFonts w:cs="Arial"/>
                <w:szCs w:val="20"/>
              </w:rPr>
              <w:t xml:space="preserve"> Package Insert, Abbott Laboratories Diagnostics Division, Abbo</w:t>
            </w:r>
            <w:r w:rsidR="00722DD7">
              <w:rPr>
                <w:rFonts w:cs="Arial"/>
                <w:szCs w:val="20"/>
              </w:rPr>
              <w:t>tt Park, IL 60064, December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722DD7">
              <w:rPr>
                <w:rFonts w:cs="Arial"/>
                <w:szCs w:val="20"/>
              </w:rPr>
              <w:t>Total P</w:t>
            </w:r>
            <w:r w:rsidR="006A12A7">
              <w:rPr>
                <w:rFonts w:cs="Arial"/>
                <w:szCs w:val="20"/>
              </w:rPr>
              <w:t>rotein</w:t>
            </w:r>
            <w:r w:rsidR="00722DD7">
              <w:rPr>
                <w:rFonts w:cs="Arial"/>
                <w:szCs w:val="20"/>
              </w:rPr>
              <w:t xml:space="preserve"> </w:t>
            </w:r>
            <w:r w:rsidRPr="00DC7421">
              <w:rPr>
                <w:rFonts w:cs="Arial"/>
                <w:szCs w:val="20"/>
              </w:rPr>
              <w:t xml:space="preserve">Package Insert, Abbott Laboratories Diagnostics Division, Abbott Park, IL 60064, December 2017.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proofErr w:type="spellStart"/>
            <w:r w:rsidR="00D02AF8">
              <w:rPr>
                <w:rFonts w:cs="Arial"/>
                <w:bCs/>
                <w:szCs w:val="20"/>
              </w:rPr>
              <w:t>Multiqual</w:t>
            </w:r>
            <w:proofErr w:type="spellEnd"/>
            <w:r w:rsidR="00D02AF8">
              <w:rPr>
                <w:rFonts w:cs="Arial"/>
                <w:bCs/>
                <w:szCs w:val="20"/>
              </w:rPr>
              <w:t xml:space="preserve">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2344ED" w:rsidRDefault="00F50200">
            <w:pPr>
              <w:rPr>
                <w:rFonts w:cs="Arial"/>
                <w:iCs/>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2344ED" w:rsidRDefault="002344ED">
            <w:pPr>
              <w:rPr>
                <w:rFonts w:cs="Arial"/>
                <w:iCs/>
              </w:rPr>
            </w:pPr>
            <w:r w:rsidRPr="002344ED">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2344ED" w:rsidRDefault="002344ED">
            <w:pPr>
              <w:rPr>
                <w:rFonts w:cs="Arial"/>
                <w:iCs/>
              </w:rPr>
            </w:pPr>
            <w:r w:rsidRPr="002344ED">
              <w:rPr>
                <w:rFonts w:cs="Arial"/>
                <w:iCs/>
              </w:rPr>
              <w:t>April 23, 2020</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2344ED" w:rsidRDefault="002344ED">
            <w:pPr>
              <w:rPr>
                <w:rFonts w:cs="Arial"/>
                <w:iCs/>
              </w:rPr>
            </w:pPr>
            <w:r w:rsidRPr="002344ED">
              <w:rPr>
                <w:rFonts w:cs="Arial"/>
                <w:iCs/>
              </w:rPr>
              <w:t>Added St Paul Alinity c as an analyzer</w:t>
            </w:r>
          </w:p>
        </w:tc>
      </w:tr>
      <w:tr w:rsidR="00D02AF8"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D02AF8" w:rsidRDefault="00D02AF8">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D02AF8" w:rsidRPr="002344ED" w:rsidRDefault="00D02AF8">
            <w:pPr>
              <w:rPr>
                <w:rFonts w:cs="Arial"/>
                <w:iCs/>
              </w:rPr>
            </w:pPr>
            <w:r>
              <w:rPr>
                <w:rFonts w:cs="Arial"/>
                <w:iCs/>
              </w:rPr>
              <w:t>2</w:t>
            </w:r>
          </w:p>
        </w:tc>
        <w:tc>
          <w:tcPr>
            <w:tcW w:w="2430" w:type="dxa"/>
            <w:gridSpan w:val="2"/>
            <w:tcBorders>
              <w:top w:val="single" w:sz="4" w:space="0" w:color="auto"/>
              <w:left w:val="single" w:sz="4" w:space="0" w:color="auto"/>
              <w:bottom w:val="single" w:sz="4" w:space="0" w:color="auto"/>
              <w:right w:val="single" w:sz="4" w:space="0" w:color="auto"/>
            </w:tcBorders>
          </w:tcPr>
          <w:p w:rsidR="00D02AF8" w:rsidRPr="002344ED" w:rsidRDefault="00D02AF8">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D02AF8" w:rsidRPr="002344ED" w:rsidRDefault="00D02AF8">
            <w:pPr>
              <w:rPr>
                <w:rFonts w:cs="Arial"/>
                <w:iCs/>
              </w:rPr>
            </w:pPr>
            <w:r>
              <w:rPr>
                <w:rFonts w:cs="Arial"/>
                <w:iCs/>
              </w:rPr>
              <w:t>10/28/2020</w:t>
            </w:r>
          </w:p>
        </w:tc>
        <w:tc>
          <w:tcPr>
            <w:tcW w:w="4410" w:type="dxa"/>
            <w:gridSpan w:val="2"/>
            <w:tcBorders>
              <w:top w:val="single" w:sz="4" w:space="0" w:color="auto"/>
              <w:left w:val="single" w:sz="4" w:space="0" w:color="auto"/>
              <w:bottom w:val="single" w:sz="4" w:space="0" w:color="auto"/>
              <w:right w:val="single" w:sz="4" w:space="0" w:color="auto"/>
            </w:tcBorders>
          </w:tcPr>
          <w:p w:rsidR="00D02AF8" w:rsidRPr="002344ED" w:rsidRDefault="00D02AF8">
            <w:pPr>
              <w:rPr>
                <w:rFonts w:cs="Arial"/>
                <w:iCs/>
              </w:rPr>
            </w:pPr>
            <w:r>
              <w:rPr>
                <w:rFonts w:cs="Arial"/>
                <w:iCs/>
              </w:rPr>
              <w:t xml:space="preserve">Added Alinity ci, TP on body fluids, new QC, HIL box, changed AMR, added body fluid </w:t>
            </w:r>
            <w:proofErr w:type="spellStart"/>
            <w:r>
              <w:rPr>
                <w:rFonts w:cs="Arial"/>
                <w:iCs/>
              </w:rPr>
              <w:t>cal</w:t>
            </w:r>
            <w:proofErr w:type="spellEnd"/>
            <w:r>
              <w:rPr>
                <w:rFonts w:cs="Arial"/>
                <w:iCs/>
              </w:rPr>
              <w:t xml:space="preserve"> </w:t>
            </w:r>
            <w:proofErr w:type="spellStart"/>
            <w:r>
              <w:rPr>
                <w:rFonts w:cs="Arial"/>
                <w:iCs/>
              </w:rPr>
              <w:t>ver</w:t>
            </w:r>
            <w:proofErr w:type="spellEnd"/>
            <w:r>
              <w:rPr>
                <w:rFonts w:cs="Arial"/>
                <w:iCs/>
              </w:rPr>
              <w:t xml:space="preserve"> material.</w:t>
            </w: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DF6DFD">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DF6DFD">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6A12A7">
      <w:rPr>
        <w:rFonts w:cs="Arial"/>
      </w:rPr>
      <w:t>CH 6.86</w:t>
    </w:r>
    <w:r w:rsidR="00E55C7B">
      <w:rPr>
        <w:rFonts w:cs="Arial"/>
      </w:rPr>
      <w:t>1</w:t>
    </w:r>
    <w:r w:rsidR="006A12A7">
      <w:rPr>
        <w:rFonts w:cs="Arial"/>
      </w:rPr>
      <w:t xml:space="preserve"> Total Protein</w:t>
    </w:r>
    <w:r w:rsidR="00E55C7B">
      <w:rPr>
        <w:rFonts w:cs="Arial"/>
      </w:rPr>
      <w:t xml:space="preserve"> </w:t>
    </w:r>
  </w:p>
  <w:p w:rsidR="00B13C1A" w:rsidRDefault="00D02AF8">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2C29CB">
      <w:rPr>
        <w:rFonts w:cs="Arial"/>
      </w:rPr>
      <w:t xml:space="preserve">October </w:t>
    </w:r>
    <w:r w:rsidR="00D02AF8">
      <w:rPr>
        <w:rFonts w:cs="Arial"/>
      </w:rPr>
      <w:t>28, 2020</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C3AEC"/>
    <w:rsid w:val="001D1786"/>
    <w:rsid w:val="002344ED"/>
    <w:rsid w:val="00250A09"/>
    <w:rsid w:val="00252F1D"/>
    <w:rsid w:val="002C12BF"/>
    <w:rsid w:val="002C29CB"/>
    <w:rsid w:val="002E718D"/>
    <w:rsid w:val="002F5C68"/>
    <w:rsid w:val="003012D1"/>
    <w:rsid w:val="0030640D"/>
    <w:rsid w:val="00387FF5"/>
    <w:rsid w:val="003A65AD"/>
    <w:rsid w:val="003D0EF0"/>
    <w:rsid w:val="003D5BD7"/>
    <w:rsid w:val="003D713F"/>
    <w:rsid w:val="003E0A08"/>
    <w:rsid w:val="00420763"/>
    <w:rsid w:val="00440E37"/>
    <w:rsid w:val="004735E9"/>
    <w:rsid w:val="004A698D"/>
    <w:rsid w:val="004C14CE"/>
    <w:rsid w:val="0055710A"/>
    <w:rsid w:val="005665A7"/>
    <w:rsid w:val="005A7373"/>
    <w:rsid w:val="005C6F36"/>
    <w:rsid w:val="0060465C"/>
    <w:rsid w:val="00646E63"/>
    <w:rsid w:val="00655B61"/>
    <w:rsid w:val="00664C1B"/>
    <w:rsid w:val="00685D61"/>
    <w:rsid w:val="00693888"/>
    <w:rsid w:val="006A12A7"/>
    <w:rsid w:val="006A26B2"/>
    <w:rsid w:val="006A2770"/>
    <w:rsid w:val="006A5A84"/>
    <w:rsid w:val="00722DD7"/>
    <w:rsid w:val="00730B8F"/>
    <w:rsid w:val="00747868"/>
    <w:rsid w:val="007B2A3E"/>
    <w:rsid w:val="008044BA"/>
    <w:rsid w:val="00824C10"/>
    <w:rsid w:val="008A71A5"/>
    <w:rsid w:val="008D3369"/>
    <w:rsid w:val="008F2C66"/>
    <w:rsid w:val="00944DFA"/>
    <w:rsid w:val="00950E15"/>
    <w:rsid w:val="00984816"/>
    <w:rsid w:val="009A1A3D"/>
    <w:rsid w:val="009C08FA"/>
    <w:rsid w:val="009C4BDA"/>
    <w:rsid w:val="009D085B"/>
    <w:rsid w:val="009D24F1"/>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B5F78"/>
    <w:rsid w:val="00BD0E0F"/>
    <w:rsid w:val="00BD3CED"/>
    <w:rsid w:val="00C00B65"/>
    <w:rsid w:val="00CE16FB"/>
    <w:rsid w:val="00CF08A6"/>
    <w:rsid w:val="00D02AF8"/>
    <w:rsid w:val="00D271B1"/>
    <w:rsid w:val="00D63C07"/>
    <w:rsid w:val="00D75850"/>
    <w:rsid w:val="00D955F6"/>
    <w:rsid w:val="00DC24D6"/>
    <w:rsid w:val="00DC7421"/>
    <w:rsid w:val="00DF6DFD"/>
    <w:rsid w:val="00E049CF"/>
    <w:rsid w:val="00E246BA"/>
    <w:rsid w:val="00E3253B"/>
    <w:rsid w:val="00E55C7B"/>
    <w:rsid w:val="00E93074"/>
    <w:rsid w:val="00EB4B6C"/>
    <w:rsid w:val="00EE145B"/>
    <w:rsid w:val="00EF1741"/>
    <w:rsid w:val="00F0405E"/>
    <w:rsid w:val="00F50200"/>
    <w:rsid w:val="00F51461"/>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61"/>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722DD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68F1-7E67-438E-A042-114F9405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15529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2011-06-16T20:29:00Z</cp:lastPrinted>
  <dcterms:created xsi:type="dcterms:W3CDTF">2020-10-26T21:13:00Z</dcterms:created>
  <dcterms:modified xsi:type="dcterms:W3CDTF">2020-10-26T21:27:00Z</dcterms:modified>
</cp:coreProperties>
</file>