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0E90F754" w:rsidR="006C5661" w:rsidRDefault="00054ED5">
            <w:pPr>
              <w:rPr>
                <w:rFonts w:cs="Arial"/>
                <w:b/>
                <w:bCs/>
                <w:color w:val="0000FF"/>
              </w:rPr>
            </w:pPr>
            <w:r>
              <w:rPr>
                <w:rFonts w:cs="Arial"/>
                <w:b/>
                <w:bCs/>
                <w:color w:val="0000FF"/>
                <w:sz w:val="36"/>
              </w:rPr>
              <w:t>Acetaminophen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48DD938C" w:rsidR="00E3253B" w:rsidRDefault="00A34EE2" w:rsidP="00054ED5">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054ED5">
              <w:rPr>
                <w:rStyle w:val="A7"/>
                <w:rFonts w:cs="Arial"/>
                <w:b w:val="0"/>
                <w:bCs w:val="0"/>
                <w:sz w:val="20"/>
                <w:szCs w:val="20"/>
              </w:rPr>
              <w:t>for performing ACETAMINOPHEN</w:t>
            </w:r>
            <w:r w:rsidR="00DF6343">
              <w:rPr>
                <w:rStyle w:val="A7"/>
                <w:rFonts w:cs="Arial"/>
                <w:b w:val="0"/>
                <w:bCs w:val="0"/>
                <w:sz w:val="20"/>
                <w:szCs w:val="20"/>
              </w:rPr>
              <w:t xml:space="preserve"> </w:t>
            </w:r>
            <w:r w:rsidR="00054ED5">
              <w:rPr>
                <w:rStyle w:val="A7"/>
                <w:rFonts w:cs="Arial"/>
                <w:b w:val="0"/>
                <w:bCs w:val="0"/>
                <w:sz w:val="20"/>
                <w:szCs w:val="20"/>
              </w:rPr>
              <w:t>on</w:t>
            </w:r>
            <w:r w:rsidRPr="00DC7421">
              <w:rPr>
                <w:rStyle w:val="A7"/>
                <w:rFonts w:cs="Arial"/>
                <w:b w:val="0"/>
                <w:bCs w:val="0"/>
                <w:sz w:val="20"/>
                <w:szCs w:val="20"/>
              </w:rPr>
              <w:t xml:space="preserve"> ABBOTT </w:t>
            </w:r>
            <w:r w:rsidR="00054ED5">
              <w:rPr>
                <w:rStyle w:val="A7"/>
                <w:rFonts w:cs="Arial"/>
                <w:b w:val="0"/>
                <w:bCs w:val="0"/>
                <w:sz w:val="20"/>
                <w:szCs w:val="20"/>
              </w:rPr>
              <w:t xml:space="preserve">ALINITY </w:t>
            </w:r>
            <w:r w:rsidRPr="00DC7421">
              <w:rPr>
                <w:rStyle w:val="A7"/>
                <w:rFonts w:cs="Arial"/>
                <w:b w:val="0"/>
                <w:bCs w:val="0"/>
                <w:sz w:val="20"/>
                <w:szCs w:val="20"/>
              </w:rPr>
              <w:t>INSTRUMEN</w:t>
            </w:r>
            <w:r>
              <w:rPr>
                <w:rStyle w:val="A7"/>
                <w:rFonts w:cs="Arial"/>
                <w:b w:val="0"/>
                <w:bCs w:val="0"/>
                <w:sz w:val="20"/>
                <w:szCs w:val="20"/>
              </w:rPr>
              <w:t>T</w:t>
            </w:r>
            <w:r w:rsidR="00054ED5">
              <w:rPr>
                <w:rStyle w:val="A7"/>
                <w:rFonts w:cs="Arial"/>
                <w:b w:val="0"/>
                <w:bCs w:val="0"/>
                <w:sz w:val="20"/>
                <w:szCs w:val="20"/>
              </w:rPr>
              <w:t>ATION f</w:t>
            </w:r>
            <w:r w:rsidR="00054ED5" w:rsidRPr="00054ED5">
              <w:rPr>
                <w:rStyle w:val="A7"/>
                <w:rFonts w:cs="Arial"/>
                <w:b w:val="0"/>
                <w:bCs w:val="0"/>
                <w:sz w:val="20"/>
                <w:szCs w:val="20"/>
              </w:rPr>
              <w:t xml:space="preserve">or the IN VITRO quantitative measurement of </w:t>
            </w:r>
            <w:r w:rsidR="00054ED5">
              <w:rPr>
                <w:rStyle w:val="A7"/>
                <w:rFonts w:cs="Arial"/>
                <w:b w:val="0"/>
                <w:bCs w:val="0"/>
                <w:sz w:val="20"/>
                <w:szCs w:val="20"/>
              </w:rPr>
              <w:t xml:space="preserve">acetaminophen in serum, lithium </w:t>
            </w:r>
            <w:r w:rsidR="00054ED5" w:rsidRPr="00054ED5">
              <w:rPr>
                <w:rStyle w:val="A7"/>
                <w:rFonts w:cs="Arial"/>
                <w:b w:val="0"/>
                <w:bCs w:val="0"/>
                <w:sz w:val="20"/>
                <w:szCs w:val="20"/>
              </w:rPr>
              <w:t>heparin plasma and sodium heparin plasma. Measu</w:t>
            </w:r>
            <w:r w:rsidR="00054ED5">
              <w:rPr>
                <w:rStyle w:val="A7"/>
                <w:rFonts w:cs="Arial"/>
                <w:b w:val="0"/>
                <w:bCs w:val="0"/>
                <w:sz w:val="20"/>
                <w:szCs w:val="20"/>
              </w:rPr>
              <w:t xml:space="preserve">rement of acetaminophen is used </w:t>
            </w:r>
            <w:r w:rsidR="00054ED5" w:rsidRPr="00054ED5">
              <w:rPr>
                <w:rStyle w:val="A7"/>
                <w:rFonts w:cs="Arial"/>
                <w:b w:val="0"/>
                <w:bCs w:val="0"/>
                <w:sz w:val="20"/>
                <w:szCs w:val="20"/>
              </w:rPr>
              <w:t>in the diagnosis and treatment of acetaminophen overdose toxicity.</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4F46DD81" w:rsidR="001A1584" w:rsidRPr="001A1584" w:rsidRDefault="001A1584" w:rsidP="001A1584">
            <w:pPr>
              <w:rPr>
                <w:rFonts w:cs="Arial"/>
                <w:szCs w:val="20"/>
              </w:rPr>
            </w:pPr>
            <w:r w:rsidRPr="001A1584">
              <w:rPr>
                <w:rFonts w:cs="Arial"/>
                <w:szCs w:val="20"/>
              </w:rPr>
              <w:t>This procedure applies to all personnel responsible for operating the Abbott Alinity c</w:t>
            </w:r>
            <w:r w:rsidR="00054ED5">
              <w:rPr>
                <w:rFonts w:cs="Arial"/>
                <w:szCs w:val="20"/>
              </w:rPr>
              <w:t>i or Alinity c</w:t>
            </w:r>
            <w:r w:rsidRPr="001A1584">
              <w:rPr>
                <w:rFonts w:cs="Arial"/>
                <w:szCs w:val="20"/>
              </w:rPr>
              <w:t xml:space="preserve">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F08BC0A" w14:textId="478DF548" w:rsidR="00631AC9" w:rsidRDefault="00054ED5" w:rsidP="00054ED5">
            <w:pPr>
              <w:pStyle w:val="Header"/>
              <w:rPr>
                <w:rFonts w:cs="Arial"/>
                <w:color w:val="000000"/>
                <w:szCs w:val="20"/>
              </w:rPr>
            </w:pPr>
            <w:r w:rsidRPr="00054ED5">
              <w:rPr>
                <w:rFonts w:cs="Arial"/>
                <w:color w:val="000000"/>
                <w:szCs w:val="20"/>
              </w:rPr>
              <w:t xml:space="preserve">The enzyme, acyl amidohydrolase, cleaves the </w:t>
            </w:r>
            <w:r>
              <w:rPr>
                <w:rFonts w:cs="Arial"/>
                <w:color w:val="000000"/>
                <w:szCs w:val="20"/>
              </w:rPr>
              <w:t xml:space="preserve">amide bond of the acetaminophen </w:t>
            </w:r>
            <w:r w:rsidRPr="00054ED5">
              <w:rPr>
                <w:rFonts w:cs="Arial"/>
                <w:color w:val="000000"/>
                <w:szCs w:val="20"/>
              </w:rPr>
              <w:t>molecule, leaving p-aminophenol and acetate. Th</w:t>
            </w:r>
            <w:r>
              <w:rPr>
                <w:rFonts w:cs="Arial"/>
                <w:color w:val="000000"/>
                <w:szCs w:val="20"/>
              </w:rPr>
              <w:t xml:space="preserve">e p-aminophenol is reacted with </w:t>
            </w:r>
            <w:r w:rsidRPr="00054ED5">
              <w:rPr>
                <w:rFonts w:cs="Arial"/>
                <w:color w:val="000000"/>
                <w:szCs w:val="20"/>
              </w:rPr>
              <w:t>2,5-dimethylphenol in the presence of manganese i</w:t>
            </w:r>
            <w:r>
              <w:rPr>
                <w:rFonts w:cs="Arial"/>
                <w:color w:val="000000"/>
                <w:szCs w:val="20"/>
              </w:rPr>
              <w:t xml:space="preserve">ons to form a colored compound, </w:t>
            </w:r>
            <w:r w:rsidRPr="00054ED5">
              <w:rPr>
                <w:rFonts w:cs="Arial"/>
                <w:color w:val="000000"/>
                <w:szCs w:val="20"/>
              </w:rPr>
              <w:t>4-(4-iminophenol)-2,5-dimethylcyclohexadiene-1-one. Th</w:t>
            </w:r>
            <w:r>
              <w:rPr>
                <w:rFonts w:cs="Arial"/>
                <w:color w:val="000000"/>
                <w:szCs w:val="20"/>
              </w:rPr>
              <w:t xml:space="preserve">e increased absorbance at </w:t>
            </w:r>
            <w:r w:rsidRPr="00054ED5">
              <w:rPr>
                <w:rFonts w:cs="Arial"/>
                <w:color w:val="000000"/>
                <w:szCs w:val="20"/>
              </w:rPr>
              <w:t>605 nm due to the form</w:t>
            </w:r>
            <w:r>
              <w:rPr>
                <w:rFonts w:cs="Arial"/>
                <w:color w:val="000000"/>
                <w:szCs w:val="20"/>
              </w:rPr>
              <w:t>ation of 4-(4-iminophenol)-2,5- imethylcyclohexadiene-1-</w:t>
            </w:r>
            <w:r w:rsidRPr="00054ED5">
              <w:rPr>
                <w:rFonts w:cs="Arial"/>
                <w:color w:val="000000"/>
                <w:szCs w:val="20"/>
              </w:rPr>
              <w:t xml:space="preserve">one is directly proportional to the concentration of acetaminophen in the sample. </w:t>
            </w:r>
          </w:p>
          <w:p w14:paraId="2C07ACCA" w14:textId="77777777" w:rsidR="00054ED5" w:rsidRPr="00631AC9" w:rsidRDefault="00054ED5" w:rsidP="00054ED5">
            <w:pPr>
              <w:pStyle w:val="Header"/>
              <w:rPr>
                <w:rFonts w:cs="Arial"/>
                <w:color w:val="000000"/>
                <w:szCs w:val="20"/>
              </w:rPr>
            </w:pPr>
          </w:p>
          <w:p w14:paraId="7B1A0B7F" w14:textId="3D7C8EDC" w:rsidR="006C5661" w:rsidRDefault="00631AC9" w:rsidP="00631AC9">
            <w:pPr>
              <w:pStyle w:val="Header"/>
              <w:rPr>
                <w:rFonts w:cs="Arial"/>
                <w:color w:val="000000"/>
                <w:szCs w:val="20"/>
              </w:rPr>
            </w:pPr>
            <w:r w:rsidRPr="00631AC9">
              <w:rPr>
                <w:rFonts w:cs="Arial"/>
                <w:b/>
                <w:color w:val="000000"/>
                <w:szCs w:val="20"/>
              </w:rPr>
              <w:t>Methodology:</w:t>
            </w:r>
            <w:r w:rsidRPr="00631AC9">
              <w:rPr>
                <w:rFonts w:cs="Arial"/>
                <w:color w:val="000000"/>
                <w:szCs w:val="20"/>
              </w:rPr>
              <w:t xml:space="preserve"> </w:t>
            </w:r>
            <w:r w:rsidR="00054ED5">
              <w:rPr>
                <w:rFonts w:cs="Arial"/>
                <w:color w:val="000000"/>
                <w:szCs w:val="20"/>
              </w:rPr>
              <w:t>Enzymatic, colorimetric</w:t>
            </w:r>
          </w:p>
          <w:p w14:paraId="3137F702" w14:textId="77777777" w:rsidR="00631AC9" w:rsidRDefault="00631AC9" w:rsidP="00631AC9">
            <w:pPr>
              <w:pStyle w:val="Header"/>
              <w:rPr>
                <w:rFonts w:cs="Arial"/>
                <w:color w:val="000000"/>
                <w:szCs w:val="20"/>
              </w:rPr>
            </w:pPr>
          </w:p>
          <w:p w14:paraId="04F28729" w14:textId="77777777" w:rsidR="00631AC9" w:rsidRDefault="00631AC9" w:rsidP="00631AC9">
            <w:pPr>
              <w:autoSpaceDE w:val="0"/>
              <w:autoSpaceDN w:val="0"/>
              <w:adjustRightInd w:val="0"/>
              <w:rPr>
                <w:rFonts w:eastAsia="HelenPro-Regular" w:cs="Arial"/>
                <w:i/>
                <w:szCs w:val="20"/>
              </w:rPr>
            </w:pPr>
            <w:r w:rsidRPr="00631AC9">
              <w:rPr>
                <w:rFonts w:eastAsia="HelenPro-Regular" w:cs="Arial"/>
                <w:i/>
                <w:szCs w:val="20"/>
              </w:rPr>
              <w:t>For additional information on system and assay technology, refer to the Alinity ci-series Operations Manual, Section 3.</w:t>
            </w:r>
          </w:p>
          <w:p w14:paraId="5CCFFF81" w14:textId="580AFF54" w:rsidR="00190525" w:rsidRPr="00631AC9" w:rsidRDefault="00190525" w:rsidP="00631AC9">
            <w:pPr>
              <w:autoSpaceDE w:val="0"/>
              <w:autoSpaceDN w:val="0"/>
              <w:adjustRightInd w:val="0"/>
              <w:rPr>
                <w:rFonts w:eastAsia="HelenPro-Regular" w:cs="Arial"/>
                <w:i/>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B48D792" w14:textId="41303DE5" w:rsidR="00054ED5" w:rsidRDefault="00054ED5" w:rsidP="00054ED5">
            <w:r>
              <w:t>Acetaminophen (paracetamol) is used as an analgesic in many different formulations. While therapeutic doses rarely cause adverse side effects, the effect of long term treatment with acetaminophen is unclear. Cases have been reported where chronic excessive use of acetaminophen has led to hepatotoxicity and nephrotoxicity. In cases of acute overdosage, acetaminophen can cause severe hepatic damage leading to hepatic failure if untreated.</w:t>
            </w:r>
          </w:p>
          <w:p w14:paraId="38D9725B" w14:textId="77777777" w:rsidR="00054ED5" w:rsidRDefault="00054ED5" w:rsidP="00054ED5"/>
          <w:p w14:paraId="1B4B6788" w14:textId="5DF9C6E1" w:rsidR="00054ED5" w:rsidRDefault="00054ED5" w:rsidP="00054ED5">
            <w:r>
              <w:t>The management of acetaminophen overdose requires early recognition of the drug in the bloodstream. Toxicity is generally reported at concentrations over 200 μg/mL (1324 μmol/L). N-acetylcysteine has been used as an antidote in conjunction with intensive support care. Early diagnosis of acetaminophen-induced hepatotoxicity is important since initiation of therapy within 8 hours of ingestion lessens the potential for hepatic injury and decreases the mortality rate.</w:t>
            </w:r>
          </w:p>
          <w:p w14:paraId="524F9229" w14:textId="77777777" w:rsidR="00054ED5" w:rsidRDefault="00054ED5" w:rsidP="00054ED5"/>
          <w:p w14:paraId="7D736E41" w14:textId="77777777" w:rsidR="002462C0" w:rsidRDefault="00054ED5" w:rsidP="00054ED5">
            <w:r>
              <w:t>The majority of methods for measuring acetaminophen are based on spectrophotometric or chromatographic principles. Chromatographic methods are specific for the parent compound; however, they are not well suited to emergency laboratories. Spectrophotometric methods are simpler and more rapid, but do not always offer the desired specificity.</w:t>
            </w:r>
          </w:p>
          <w:p w14:paraId="5CCFFF86" w14:textId="5900596C" w:rsidR="00054ED5" w:rsidRPr="00370B0F" w:rsidRDefault="00054ED5" w:rsidP="00054ED5"/>
        </w:tc>
      </w:tr>
      <w:tr w:rsidR="00E3253B" w14:paraId="5CCFFF8A" w14:textId="77777777" w:rsidTr="00504F3B">
        <w:trPr>
          <w:trHeight w:val="450"/>
          <w:tblHeader/>
        </w:trPr>
        <w:tc>
          <w:tcPr>
            <w:tcW w:w="1800" w:type="dxa"/>
            <w:tcBorders>
              <w:top w:val="nil"/>
              <w:left w:val="nil"/>
              <w:bottom w:val="nil"/>
              <w:right w:val="nil"/>
            </w:tcBorders>
          </w:tcPr>
          <w:p w14:paraId="5CCFFF88" w14:textId="51A7025D"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5EAC1A41"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054ED5">
              <w:rPr>
                <w:rFonts w:cs="Arial"/>
                <w:b/>
                <w:bCs/>
                <w:color w:val="7030A0"/>
                <w:szCs w:val="20"/>
              </w:rPr>
              <w:t>i (Sunquest method code: MAC</w:t>
            </w:r>
            <w:r>
              <w:rPr>
                <w:rFonts w:cs="Arial"/>
                <w:b/>
                <w:bCs/>
                <w:color w:val="7030A0"/>
                <w:szCs w:val="20"/>
              </w:rPr>
              <w:t>C)</w:t>
            </w:r>
          </w:p>
          <w:p w14:paraId="6737D728" w14:textId="77777777" w:rsidR="006200C0" w:rsidRDefault="007F5B07" w:rsidP="002755B6">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2755B6">
              <w:rPr>
                <w:rFonts w:cs="Arial"/>
                <w:b/>
                <w:bCs/>
                <w:color w:val="984806" w:themeColor="accent6" w:themeShade="80"/>
                <w:szCs w:val="20"/>
              </w:rPr>
              <w:t xml:space="preserve"> SALIC</w:t>
            </w:r>
            <w:r w:rsidRPr="00DC7421">
              <w:rPr>
                <w:rFonts w:cs="Arial"/>
                <w:b/>
                <w:bCs/>
                <w:color w:val="984806" w:themeColor="accent6" w:themeShade="80"/>
                <w:szCs w:val="20"/>
              </w:rPr>
              <w:t>)</w:t>
            </w:r>
          </w:p>
          <w:p w14:paraId="5CCFFF89" w14:textId="384E2FFF" w:rsidR="00190525" w:rsidRPr="00DC7421" w:rsidRDefault="00190525" w:rsidP="002755B6">
            <w:pPr>
              <w:pStyle w:val="BodyText2"/>
              <w:spacing w:after="60" w:line="240" w:lineRule="auto"/>
              <w:rPr>
                <w:rFonts w:cs="Arial"/>
                <w:b/>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1B8D4516" w:rsidR="00370B0F" w:rsidRPr="00504F3B" w:rsidRDefault="00054ED5" w:rsidP="00504F3B">
            <w:r>
              <w:t>ACET</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ABB2DA4"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2527BB">
              <w:rPr>
                <w:rStyle w:val="BoldBodyText"/>
                <w:rFonts w:ascii="Arial" w:hAnsi="Arial" w:cs="Arial"/>
                <w:b w:val="0"/>
                <w:bCs w:val="0"/>
                <w:sz w:val="20"/>
                <w:szCs w:val="20"/>
              </w:rPr>
              <w:t>Serum or Plasm</w:t>
            </w:r>
            <w:r w:rsidR="0045342A">
              <w:rPr>
                <w:rStyle w:val="BoldBodyText"/>
                <w:rFonts w:ascii="Arial" w:hAnsi="Arial" w:cs="Arial"/>
                <w:b w:val="0"/>
                <w:bCs w:val="0"/>
                <w:sz w:val="20"/>
                <w:szCs w:val="20"/>
              </w:rPr>
              <w:t>a (with or without gel barrier), NO HEMOLYSIS.</w:t>
            </w:r>
          </w:p>
          <w:p w14:paraId="34021B1C" w14:textId="39E6F8A2" w:rsidR="00981A4A" w:rsidRPr="002527BB" w:rsidRDefault="0017089C">
            <w:pPr>
              <w:rPr>
                <w:rFonts w:cs="Arial"/>
                <w:szCs w:val="20"/>
              </w:rPr>
            </w:pPr>
            <w:r w:rsidRPr="009475C8">
              <w:rPr>
                <w:rFonts w:cs="Arial"/>
                <w:b/>
                <w:szCs w:val="20"/>
              </w:rPr>
              <w:t>Preferred:</w:t>
            </w:r>
            <w:r w:rsidR="006C5661" w:rsidRPr="009475C8">
              <w:rPr>
                <w:rFonts w:cs="Arial"/>
                <w:b/>
                <w:szCs w:val="20"/>
              </w:rPr>
              <w:t xml:space="preserve"> </w:t>
            </w:r>
            <w:r w:rsidR="002527BB">
              <w:rPr>
                <w:rFonts w:cs="Arial"/>
                <w:szCs w:val="20"/>
              </w:rPr>
              <w:t>Lithium Heparin</w:t>
            </w:r>
          </w:p>
          <w:p w14:paraId="60FE11B0" w14:textId="41185730" w:rsidR="0017089C" w:rsidRPr="002527BB" w:rsidRDefault="0017089C">
            <w:pPr>
              <w:rPr>
                <w:rFonts w:cs="Arial"/>
                <w:szCs w:val="20"/>
              </w:rPr>
            </w:pPr>
            <w:r w:rsidRPr="009475C8">
              <w:rPr>
                <w:rFonts w:cs="Arial"/>
                <w:b/>
                <w:szCs w:val="20"/>
              </w:rPr>
              <w:t>Alternative:</w:t>
            </w:r>
            <w:r w:rsidR="002527BB">
              <w:rPr>
                <w:rFonts w:cs="Arial"/>
                <w:b/>
                <w:szCs w:val="20"/>
              </w:rPr>
              <w:t xml:space="preserve"> </w:t>
            </w:r>
            <w:r w:rsidR="002527BB">
              <w:rPr>
                <w:rFonts w:cs="Arial"/>
                <w:szCs w:val="20"/>
              </w:rPr>
              <w:t xml:space="preserve">SST, </w:t>
            </w:r>
            <w:r w:rsidR="00054ED5">
              <w:rPr>
                <w:rFonts w:cs="Arial"/>
                <w:szCs w:val="20"/>
              </w:rPr>
              <w:t>Sodium H</w:t>
            </w:r>
            <w:r w:rsidR="00E96C36">
              <w:rPr>
                <w:rFonts w:cs="Arial"/>
                <w:szCs w:val="20"/>
              </w:rPr>
              <w:t>eparin</w:t>
            </w:r>
          </w:p>
          <w:p w14:paraId="34F12611" w14:textId="77777777" w:rsidR="0017089C" w:rsidRPr="00DC7421" w:rsidRDefault="0017089C">
            <w:pPr>
              <w:rPr>
                <w:rFonts w:cs="Arial"/>
                <w:szCs w:val="20"/>
              </w:rPr>
            </w:pPr>
          </w:p>
          <w:p w14:paraId="5CCFFF96" w14:textId="5CC30766"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2527BB">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2527BB">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421E7C15" w:rsidR="0017089C" w:rsidRPr="00E96C36" w:rsidRDefault="0017089C">
            <w:pPr>
              <w:pStyle w:val="Header"/>
              <w:tabs>
                <w:tab w:val="clear" w:pos="4320"/>
                <w:tab w:val="clear" w:pos="8640"/>
              </w:tabs>
              <w:rPr>
                <w:rFonts w:cs="Arial"/>
                <w:szCs w:val="20"/>
              </w:rPr>
            </w:pPr>
            <w:r w:rsidRPr="00E96C36">
              <w:rPr>
                <w:rFonts w:cs="Arial"/>
                <w:b/>
                <w:szCs w:val="20"/>
              </w:rPr>
              <w:t>20 to 25°C</w:t>
            </w:r>
            <w:r w:rsidR="002527BB" w:rsidRPr="00E96C36">
              <w:rPr>
                <w:rFonts w:cs="Arial"/>
                <w:b/>
                <w:szCs w:val="20"/>
              </w:rPr>
              <w:t xml:space="preserve">: </w:t>
            </w:r>
            <w:r w:rsidR="00E96C36" w:rsidRPr="00E96C36">
              <w:rPr>
                <w:rFonts w:cs="Arial"/>
                <w:szCs w:val="20"/>
              </w:rPr>
              <w:t>Not tested</w:t>
            </w:r>
            <w:r w:rsidR="00E96C36">
              <w:rPr>
                <w:rFonts w:cs="Arial"/>
                <w:szCs w:val="20"/>
              </w:rPr>
              <w:t>.  Run within 4 hours of draw or refrigerate.</w:t>
            </w:r>
          </w:p>
          <w:p w14:paraId="5CCFFF99" w14:textId="7A772C48" w:rsidR="00E3253B" w:rsidRPr="002527BB" w:rsidRDefault="00BD0AE4">
            <w:pPr>
              <w:pStyle w:val="Header"/>
              <w:tabs>
                <w:tab w:val="clear" w:pos="4320"/>
                <w:tab w:val="clear" w:pos="8640"/>
              </w:tabs>
              <w:rPr>
                <w:rFonts w:cs="Arial"/>
                <w:szCs w:val="20"/>
              </w:rPr>
            </w:pPr>
            <w:r w:rsidRPr="009475C8">
              <w:rPr>
                <w:rFonts w:cs="Arial"/>
                <w:b/>
                <w:szCs w:val="20"/>
              </w:rPr>
              <w:t>2 to 8°C</w:t>
            </w:r>
            <w:r w:rsidR="002527BB">
              <w:rPr>
                <w:rFonts w:cs="Arial"/>
                <w:b/>
                <w:szCs w:val="20"/>
              </w:rPr>
              <w:t xml:space="preserve">: </w:t>
            </w:r>
            <w:r w:rsidR="00E96C36">
              <w:rPr>
                <w:rFonts w:cs="Arial"/>
                <w:szCs w:val="20"/>
              </w:rPr>
              <w:t>14</w:t>
            </w:r>
            <w:r w:rsidR="002527BB">
              <w:rPr>
                <w:rFonts w:cs="Arial"/>
                <w:szCs w:val="20"/>
              </w:rPr>
              <w:t xml:space="preserve"> days (when removed from cell and/or gel barrier) </w:t>
            </w:r>
            <w:r w:rsidR="00437425" w:rsidRPr="009475C8">
              <w:rPr>
                <w:rFonts w:cs="Arial"/>
                <w:b/>
                <w:szCs w:val="20"/>
              </w:rPr>
              <w:tab/>
            </w:r>
          </w:p>
          <w:p w14:paraId="594E4A3A" w14:textId="6E61B0B3" w:rsidR="00BD0AE4" w:rsidRDefault="00BD0AE4">
            <w:pPr>
              <w:pStyle w:val="Header"/>
              <w:tabs>
                <w:tab w:val="clear" w:pos="4320"/>
                <w:tab w:val="clear" w:pos="8640"/>
              </w:tabs>
              <w:rPr>
                <w:rFonts w:cs="Arial"/>
                <w:szCs w:val="20"/>
              </w:rPr>
            </w:pPr>
            <w:r w:rsidRPr="009475C8">
              <w:rPr>
                <w:rFonts w:cs="Arial"/>
                <w:b/>
                <w:szCs w:val="20"/>
              </w:rPr>
              <w:t>-20°C</w:t>
            </w:r>
            <w:r w:rsidR="002527BB">
              <w:rPr>
                <w:rFonts w:cs="Arial"/>
                <w:b/>
                <w:szCs w:val="20"/>
              </w:rPr>
              <w:t xml:space="preserve">: </w:t>
            </w:r>
            <w:r w:rsidR="00E96C36">
              <w:rPr>
                <w:rFonts w:cs="Arial"/>
                <w:szCs w:val="20"/>
              </w:rPr>
              <w:t>45</w:t>
            </w:r>
            <w:r w:rsidR="002527BB">
              <w:rPr>
                <w:rFonts w:cs="Arial"/>
                <w:szCs w:val="20"/>
              </w:rPr>
              <w:t xml:space="preserve"> days (when removed from cells and/or gel barrier)</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20C21B32" w:rsidR="00E3253B" w:rsidRPr="00DC7421" w:rsidRDefault="00E3253B">
            <w:pPr>
              <w:rPr>
                <w:rFonts w:cs="Arial"/>
                <w:szCs w:val="20"/>
              </w:rPr>
            </w:pPr>
            <w:r w:rsidRPr="00DC7421">
              <w:rPr>
                <w:rFonts w:cs="Arial"/>
                <w:b/>
                <w:bCs/>
                <w:szCs w:val="20"/>
              </w:rPr>
              <w:t>Rejection criteria:</w:t>
            </w:r>
            <w:r w:rsidRPr="00DC7421">
              <w:rPr>
                <w:rFonts w:cs="Arial"/>
                <w:szCs w:val="20"/>
              </w:rPr>
              <w:t xml:space="preserve"> </w:t>
            </w:r>
            <w:r w:rsidR="0045342A">
              <w:rPr>
                <w:rFonts w:cs="Arial"/>
                <w:szCs w:val="20"/>
              </w:rPr>
              <w:t>DO NOT USE HEMOLYZED SAMPLES.</w:t>
            </w:r>
            <w:r w:rsidR="00B67D0D">
              <w:rPr>
                <w:rFonts w:cs="Arial"/>
                <w:szCs w:val="20"/>
              </w:rPr>
              <w:t xml:space="preserve">  Request redraw.</w:t>
            </w:r>
            <w:r w:rsidR="0045342A">
              <w:rPr>
                <w:rFonts w:cs="Arial"/>
                <w:szCs w:val="20"/>
              </w:rPr>
              <w:t xml:space="preserve">  </w:t>
            </w:r>
            <w:r w:rsidRPr="00DC7421">
              <w:rPr>
                <w:rFonts w:cs="Arial"/>
                <w:szCs w:val="20"/>
              </w:rPr>
              <w:t xml:space="preserve">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700EEA8E" w14:textId="77777777" w:rsidR="00133A3C" w:rsidRPr="00133A3C" w:rsidRDefault="00133A3C" w:rsidP="00133A3C">
            <w:pPr>
              <w:numPr>
                <w:ilvl w:val="0"/>
                <w:numId w:val="26"/>
              </w:numPr>
              <w:jc w:val="both"/>
              <w:rPr>
                <w:rFonts w:cs="Arial"/>
                <w:szCs w:val="20"/>
              </w:rPr>
            </w:pPr>
            <w:r w:rsidRPr="00133A3C">
              <w:rPr>
                <w:rFonts w:cs="Arial"/>
                <w:szCs w:val="20"/>
              </w:rPr>
              <w:t>Whole blood specimens should be centrifuged following complete clot formation, according to Specimen Processing procedures prior to analysis.</w:t>
            </w:r>
          </w:p>
          <w:p w14:paraId="0749460C" w14:textId="77777777" w:rsidR="00133A3C" w:rsidRPr="00133A3C" w:rsidRDefault="00133A3C" w:rsidP="00133A3C">
            <w:pPr>
              <w:numPr>
                <w:ilvl w:val="0"/>
                <w:numId w:val="26"/>
              </w:numPr>
              <w:jc w:val="both"/>
              <w:rPr>
                <w:rFonts w:cs="Arial"/>
                <w:szCs w:val="20"/>
              </w:rPr>
            </w:pPr>
            <w:r w:rsidRPr="00133A3C">
              <w:rPr>
                <w:rFonts w:cs="Arial"/>
                <w:szCs w:val="20"/>
              </w:rPr>
              <w:t>Serum or plasma should be physically separated from cells as soon as possible with a maximum limit of two hours from the time of collection.</w:t>
            </w:r>
          </w:p>
          <w:p w14:paraId="2110E299" w14:textId="77777777" w:rsidR="00133A3C" w:rsidRPr="00133A3C" w:rsidRDefault="00133A3C" w:rsidP="00133A3C">
            <w:pPr>
              <w:numPr>
                <w:ilvl w:val="0"/>
                <w:numId w:val="26"/>
              </w:numPr>
              <w:jc w:val="both"/>
              <w:rPr>
                <w:rFonts w:cs="Arial"/>
                <w:szCs w:val="20"/>
              </w:rPr>
            </w:pPr>
            <w:r w:rsidRPr="00133A3C">
              <w:rPr>
                <w:rFonts w:cs="Arial"/>
                <w:szCs w:val="20"/>
              </w:rPr>
              <w:t xml:space="preserve">Specimens should be free of particulate matter. </w:t>
            </w:r>
          </w:p>
          <w:p w14:paraId="1FD1CFD1" w14:textId="77777777" w:rsidR="00133A3C" w:rsidRPr="00133A3C" w:rsidRDefault="00133A3C" w:rsidP="00133A3C">
            <w:pPr>
              <w:numPr>
                <w:ilvl w:val="0"/>
                <w:numId w:val="26"/>
              </w:numPr>
              <w:jc w:val="both"/>
              <w:rPr>
                <w:rFonts w:cs="Arial"/>
                <w:szCs w:val="20"/>
              </w:rPr>
            </w:pPr>
            <w:r w:rsidRPr="00133A3C">
              <w:rPr>
                <w:rFonts w:cs="Arial"/>
                <w:szCs w:val="20"/>
              </w:rPr>
              <w:t xml:space="preserve">Transfer serum or plasma directly to a properly labeled pilot tube.  </w:t>
            </w:r>
          </w:p>
          <w:p w14:paraId="4F1E3C4C" w14:textId="77777777" w:rsidR="00133A3C" w:rsidRPr="00133A3C" w:rsidRDefault="00133A3C" w:rsidP="00133A3C">
            <w:pPr>
              <w:numPr>
                <w:ilvl w:val="0"/>
                <w:numId w:val="26"/>
              </w:numPr>
              <w:jc w:val="both"/>
              <w:rPr>
                <w:rFonts w:cs="Arial"/>
                <w:szCs w:val="20"/>
              </w:rPr>
            </w:pPr>
            <w:r w:rsidRPr="00133A3C">
              <w:rPr>
                <w:rFonts w:cs="Arial"/>
                <w:szCs w:val="20"/>
              </w:rPr>
              <w:t xml:space="preserve">Architect and Alinity systems utilize a specimen level detect mechanism, so special racks specific to tube-type are not required.  </w:t>
            </w:r>
          </w:p>
          <w:p w14:paraId="55FC125D" w14:textId="77777777" w:rsidR="00133A3C" w:rsidRPr="00133A3C" w:rsidRDefault="00133A3C" w:rsidP="00133A3C">
            <w:pPr>
              <w:numPr>
                <w:ilvl w:val="0"/>
                <w:numId w:val="26"/>
              </w:numPr>
              <w:jc w:val="both"/>
              <w:rPr>
                <w:rFonts w:cs="Arial"/>
                <w:szCs w:val="20"/>
              </w:rPr>
            </w:pPr>
            <w:r w:rsidRPr="00133A3C">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347F930F" w:rsidR="007B410A" w:rsidRPr="00E96C36"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3EB40E51" w:rsidR="007B410A" w:rsidRPr="00DC7421" w:rsidRDefault="00E96C36" w:rsidP="007B410A">
            <w:pPr>
              <w:autoSpaceDE w:val="0"/>
              <w:autoSpaceDN w:val="0"/>
              <w:adjustRightInd w:val="0"/>
              <w:spacing w:after="208"/>
              <w:rPr>
                <w:rFonts w:cs="Arial"/>
                <w:color w:val="000000"/>
                <w:szCs w:val="20"/>
              </w:rPr>
            </w:pPr>
            <w:r>
              <w:rPr>
                <w:rFonts w:cs="Arial"/>
                <w:color w:val="000000"/>
                <w:szCs w:val="20"/>
              </w:rPr>
              <w:t xml:space="preserve">Acetaminophen L3K is a third party reagent made by Sekisui Diagnostics.  The reagents are liquid and ready to use.  </w:t>
            </w:r>
          </w:p>
          <w:p w14:paraId="47D90F33" w14:textId="2DAE295E" w:rsidR="00A062E1" w:rsidRPr="00DC7421" w:rsidRDefault="007B410A" w:rsidP="00E96C36">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4E5200">
              <w:rPr>
                <w:rFonts w:cs="Arial"/>
                <w:color w:val="000000"/>
                <w:szCs w:val="20"/>
              </w:rPr>
              <w:t>1</w:t>
            </w:r>
            <w:r w:rsidRPr="00DC7421">
              <w:rPr>
                <w:rFonts w:cs="Arial"/>
                <w:color w:val="000000"/>
                <w:szCs w:val="20"/>
              </w:rPr>
              <w:t xml:space="preserve"> hour before use to allow bubbles that may have formed to dissipate. </w:t>
            </w: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B67D0D">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973825E"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231E565F" w:rsidR="0081197E" w:rsidRPr="00DC7421" w:rsidRDefault="0081197E" w:rsidP="0081197E">
                  <w:pPr>
                    <w:pStyle w:val="Reagents"/>
                    <w:rPr>
                      <w:rFonts w:ascii="Arial" w:hAnsi="Arial" w:cs="Arial"/>
                      <w:b/>
                      <w:bCs/>
                    </w:rPr>
                  </w:pPr>
                  <w:r w:rsidRPr="00DC7421">
                    <w:rPr>
                      <w:rFonts w:ascii="Arial" w:hAnsi="Arial" w:cs="Arial"/>
                      <w:b/>
                      <w:bCs/>
                      <w:i/>
                      <w:iCs/>
                    </w:rPr>
                    <w:t>Stability</w:t>
                  </w:r>
                  <w:r w:rsidR="00461983">
                    <w:rPr>
                      <w:rFonts w:ascii="Arial" w:hAnsi="Arial" w:cs="Arial"/>
                      <w:b/>
                      <w:bCs/>
                      <w:i/>
                      <w:iCs/>
                    </w:rPr>
                    <w:t xml:space="preserve"> and Handling</w:t>
                  </w:r>
                </w:p>
              </w:tc>
            </w:tr>
            <w:tr w:rsidR="0081197E" w:rsidRPr="00DC7421" w14:paraId="6CAC17D9" w14:textId="77777777" w:rsidTr="00413A69">
              <w:tc>
                <w:tcPr>
                  <w:tcW w:w="2857" w:type="dxa"/>
                  <w:vAlign w:val="center"/>
                </w:tcPr>
                <w:p w14:paraId="299ED36B" w14:textId="77777777" w:rsidR="00461983" w:rsidRDefault="00461983" w:rsidP="004E5200">
                  <w:pPr>
                    <w:autoSpaceDE w:val="0"/>
                    <w:autoSpaceDN w:val="0"/>
                    <w:adjustRightInd w:val="0"/>
                    <w:rPr>
                      <w:rFonts w:cs="Arial"/>
                      <w:szCs w:val="20"/>
                    </w:rPr>
                  </w:pPr>
                  <w:r>
                    <w:rPr>
                      <w:rFonts w:cs="Arial"/>
                      <w:szCs w:val="20"/>
                    </w:rPr>
                    <w:t xml:space="preserve">THIRD PARTY REAGENT:   </w:t>
                  </w:r>
                  <w:r w:rsidR="00E96C36">
                    <w:rPr>
                      <w:rFonts w:cs="Arial"/>
                      <w:szCs w:val="20"/>
                    </w:rPr>
                    <w:t>Acetaminoph</w:t>
                  </w:r>
                  <w:r>
                    <w:rPr>
                      <w:rFonts w:cs="Arial"/>
                      <w:szCs w:val="20"/>
                    </w:rPr>
                    <w:t xml:space="preserve">en L3K, </w:t>
                  </w:r>
                  <w:proofErr w:type="spellStart"/>
                  <w:r>
                    <w:rPr>
                      <w:rFonts w:cs="Arial"/>
                      <w:szCs w:val="20"/>
                    </w:rPr>
                    <w:t>Sekure</w:t>
                  </w:r>
                  <w:proofErr w:type="spellEnd"/>
                  <w:r>
                    <w:rPr>
                      <w:rFonts w:cs="Arial"/>
                      <w:szCs w:val="20"/>
                    </w:rPr>
                    <w:t xml:space="preserve"> Chemistry</w:t>
                  </w:r>
                  <w:r w:rsidR="00E96C36">
                    <w:rPr>
                      <w:rFonts w:cs="Arial"/>
                      <w:szCs w:val="20"/>
                    </w:rPr>
                    <w:t>,</w:t>
                  </w:r>
                  <w:r>
                    <w:rPr>
                      <w:rFonts w:cs="Arial"/>
                      <w:szCs w:val="20"/>
                    </w:rPr>
                    <w:t xml:space="preserve"> made by Sekisui Diagnostics;</w:t>
                  </w:r>
                  <w:r w:rsidR="00E96C36">
                    <w:rPr>
                      <w:rFonts w:cs="Arial"/>
                      <w:szCs w:val="20"/>
                    </w:rPr>
                    <w:t xml:space="preserve"> distributed by Abbott Diagnostics.  </w:t>
                  </w:r>
                </w:p>
                <w:p w14:paraId="036FFA02" w14:textId="4D218AE9" w:rsidR="0081197E" w:rsidRDefault="00E96C36" w:rsidP="004E5200">
                  <w:pPr>
                    <w:autoSpaceDE w:val="0"/>
                    <w:autoSpaceDN w:val="0"/>
                    <w:adjustRightInd w:val="0"/>
                    <w:rPr>
                      <w:rFonts w:cs="Arial"/>
                      <w:szCs w:val="20"/>
                    </w:rPr>
                  </w:pPr>
                  <w:r>
                    <w:rPr>
                      <w:rFonts w:cs="Arial"/>
                      <w:szCs w:val="20"/>
                    </w:rPr>
                    <w:t xml:space="preserve">Includes: </w:t>
                  </w:r>
                </w:p>
                <w:p w14:paraId="3E45A95A" w14:textId="77777777" w:rsidR="00E96C36" w:rsidRDefault="00E96C36" w:rsidP="004E5200">
                  <w:pPr>
                    <w:autoSpaceDE w:val="0"/>
                    <w:autoSpaceDN w:val="0"/>
                    <w:adjustRightInd w:val="0"/>
                    <w:rPr>
                      <w:rFonts w:cs="Arial"/>
                      <w:szCs w:val="20"/>
                    </w:rPr>
                  </w:pPr>
                  <w:r>
                    <w:rPr>
                      <w:rFonts w:cs="Arial"/>
                      <w:szCs w:val="20"/>
                    </w:rPr>
                    <w:t>3 x 10 mL R1 Reagent</w:t>
                  </w:r>
                </w:p>
                <w:p w14:paraId="45468FF1" w14:textId="77777777" w:rsidR="00E96C36" w:rsidRDefault="00E96C36" w:rsidP="004E5200">
                  <w:pPr>
                    <w:autoSpaceDE w:val="0"/>
                    <w:autoSpaceDN w:val="0"/>
                    <w:adjustRightInd w:val="0"/>
                    <w:rPr>
                      <w:rFonts w:cs="Arial"/>
                      <w:szCs w:val="20"/>
                    </w:rPr>
                  </w:pPr>
                  <w:r>
                    <w:rPr>
                      <w:rFonts w:cs="Arial"/>
                      <w:szCs w:val="20"/>
                    </w:rPr>
                    <w:t>6 x 10 mL R2 Reagent</w:t>
                  </w:r>
                </w:p>
                <w:p w14:paraId="04BD94E7" w14:textId="01E7DD16" w:rsidR="00E96C36" w:rsidRPr="00DC7421" w:rsidRDefault="00E96C36" w:rsidP="004E5200">
                  <w:pPr>
                    <w:autoSpaceDE w:val="0"/>
                    <w:autoSpaceDN w:val="0"/>
                    <w:adjustRightInd w:val="0"/>
                    <w:rPr>
                      <w:rFonts w:cs="Arial"/>
                      <w:szCs w:val="20"/>
                    </w:rPr>
                  </w:pPr>
                  <w:r>
                    <w:rPr>
                      <w:rFonts w:cs="Arial"/>
                      <w:szCs w:val="20"/>
                    </w:rPr>
                    <w:t>1 x 5 mL Calibrator, 151 µg/mL acetaminophen conc</w:t>
                  </w:r>
                  <w:r w:rsidR="00461983">
                    <w:rPr>
                      <w:rFonts w:cs="Arial"/>
                      <w:szCs w:val="20"/>
                    </w:rPr>
                    <w:t>entration</w:t>
                  </w:r>
                </w:p>
              </w:tc>
              <w:tc>
                <w:tcPr>
                  <w:tcW w:w="1710" w:type="dxa"/>
                  <w:vAlign w:val="center"/>
                </w:tcPr>
                <w:p w14:paraId="78062055" w14:textId="70C22013" w:rsidR="0081197E" w:rsidRPr="00DC7421" w:rsidRDefault="00E96C36" w:rsidP="0081197E">
                  <w:pPr>
                    <w:pStyle w:val="BodyText"/>
                    <w:tabs>
                      <w:tab w:val="left" w:pos="3240"/>
                    </w:tabs>
                    <w:rPr>
                      <w:rFonts w:cs="Arial"/>
                      <w:szCs w:val="20"/>
                    </w:rPr>
                  </w:pPr>
                  <w:r w:rsidRPr="00E96C36">
                    <w:rPr>
                      <w:rFonts w:cs="Arial"/>
                      <w:szCs w:val="20"/>
                    </w:rPr>
                    <w:t>06R7701</w:t>
                  </w:r>
                </w:p>
              </w:tc>
              <w:tc>
                <w:tcPr>
                  <w:tcW w:w="4533" w:type="dxa"/>
                  <w:vAlign w:val="center"/>
                </w:tcPr>
                <w:p w14:paraId="1E13427C" w14:textId="04688548"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4E5200" w:rsidRPr="004E5200">
                    <w:rPr>
                      <w:rFonts w:ascii="Arial" w:hAnsi="Arial" w:cs="Arial"/>
                      <w:bCs/>
                    </w:rPr>
                    <w:t>2 to 8°C</w:t>
                  </w:r>
                </w:p>
                <w:p w14:paraId="188F00FD" w14:textId="17EFCB25"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4E5200">
                    <w:rPr>
                      <w:rFonts w:ascii="Arial" w:hAnsi="Arial" w:cs="Arial"/>
                      <w:b/>
                      <w:bCs/>
                    </w:rPr>
                    <w:t>Until expiration Date</w:t>
                  </w:r>
                </w:p>
                <w:p w14:paraId="2EC74C2E" w14:textId="1324D747"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E96C36">
                    <w:rPr>
                      <w:rFonts w:ascii="Arial" w:hAnsi="Arial" w:cs="Arial"/>
                      <w:bCs/>
                    </w:rPr>
                    <w:t>7 days</w:t>
                  </w:r>
                </w:p>
                <w:p w14:paraId="5D9FEB19" w14:textId="6445FA43" w:rsidR="00461983" w:rsidRDefault="00461983" w:rsidP="0081197E">
                  <w:pPr>
                    <w:pStyle w:val="Reagents"/>
                    <w:spacing w:after="80"/>
                    <w:rPr>
                      <w:rFonts w:ascii="Arial" w:hAnsi="Arial" w:cs="Arial"/>
                      <w:bCs/>
                    </w:rPr>
                  </w:pPr>
                  <w:r>
                    <w:rPr>
                      <w:rFonts w:ascii="Arial" w:hAnsi="Arial" w:cs="Arial"/>
                      <w:bCs/>
                    </w:rPr>
                    <w:t>Handling:</w:t>
                  </w:r>
                  <w:r w:rsidR="00190525">
                    <w:rPr>
                      <w:rFonts w:ascii="Arial" w:hAnsi="Arial" w:cs="Arial"/>
                      <w:bCs/>
                    </w:rPr>
                    <w:t xml:space="preserve">  Immediately prior to loading the cartridge, gently invert each bottle to mix, avoiding bubbles.</w:t>
                  </w:r>
                  <w:r>
                    <w:rPr>
                      <w:rFonts w:ascii="Arial" w:hAnsi="Arial" w:cs="Arial"/>
                      <w:bCs/>
                    </w:rPr>
                    <w:t xml:space="preserve"> Pour one 10 mL bottle of R1 into the large cartridge of an empty, black Alinity reagent cartridge.  Pour two 10 mL bottles of R2 Reagent into the smaller empty bottle of the same Alinity reagent cartridge.  </w:t>
                  </w:r>
                </w:p>
                <w:p w14:paraId="5DE44CDB" w14:textId="50A1D5B7" w:rsidR="00461983" w:rsidRDefault="00461983" w:rsidP="0081197E">
                  <w:pPr>
                    <w:pStyle w:val="Reagents"/>
                    <w:spacing w:after="80"/>
                    <w:rPr>
                      <w:rFonts w:ascii="Arial" w:hAnsi="Arial" w:cs="Arial"/>
                      <w:bCs/>
                    </w:rPr>
                  </w:pPr>
                  <w:r>
                    <w:rPr>
                      <w:rFonts w:ascii="Arial" w:hAnsi="Arial" w:cs="Arial"/>
                      <w:bCs/>
                    </w:rPr>
                    <w:t xml:space="preserve">See </w:t>
                  </w:r>
                  <w:hyperlink r:id="rId12" w:history="1">
                    <w:r w:rsidRPr="00461983">
                      <w:rPr>
                        <w:rStyle w:val="Hyperlink"/>
                        <w:rFonts w:ascii="Arial" w:hAnsi="Arial" w:cs="Arial"/>
                        <w:bCs/>
                      </w:rPr>
                      <w:t>Alinity c</w:t>
                    </w:r>
                  </w:hyperlink>
                  <w:r>
                    <w:rPr>
                      <w:rFonts w:ascii="Arial" w:hAnsi="Arial" w:cs="Arial"/>
                      <w:bCs/>
                    </w:rPr>
                    <w:t xml:space="preserve"> or </w:t>
                  </w:r>
                  <w:hyperlink r:id="rId13" w:history="1">
                    <w:r w:rsidRPr="00461983">
                      <w:rPr>
                        <w:rStyle w:val="Hyperlink"/>
                        <w:rFonts w:ascii="Arial" w:hAnsi="Arial" w:cs="Arial"/>
                        <w:bCs/>
                      </w:rPr>
                      <w:t>Alinity ci Operating Procedures</w:t>
                    </w:r>
                  </w:hyperlink>
                  <w:r>
                    <w:rPr>
                      <w:rFonts w:ascii="Arial" w:hAnsi="Arial" w:cs="Arial"/>
                      <w:bCs/>
                    </w:rPr>
                    <w:t xml:space="preserve"> for more labeling and loading instructions.</w:t>
                  </w:r>
                </w:p>
                <w:p w14:paraId="2EC23D08" w14:textId="53F4514A" w:rsidR="0081197E" w:rsidRPr="003F688A" w:rsidRDefault="0081197E" w:rsidP="00115DD6">
                  <w:pPr>
                    <w:pStyle w:val="Reagents"/>
                    <w:spacing w:after="80"/>
                    <w:rPr>
                      <w:rFonts w:ascii="Arial" w:hAnsi="Arial" w:cs="Arial"/>
                      <w:bCs/>
                    </w:rPr>
                  </w:pP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255B894" w14:textId="07637C76" w:rsidR="004E5200" w:rsidRDefault="004E5200" w:rsidP="004E5200">
            <w:pPr>
              <w:rPr>
                <w:szCs w:val="20"/>
              </w:rPr>
            </w:pPr>
            <w:r>
              <w:rPr>
                <w:noProof/>
              </w:rPr>
              <w:drawing>
                <wp:inline distT="0" distB="0" distL="0" distR="0" wp14:anchorId="5E4F4D30" wp14:editId="45A2C738">
                  <wp:extent cx="628015" cy="548640"/>
                  <wp:effectExtent l="0" t="0" r="635" b="3810"/>
                  <wp:docPr id="1" name="Picture 1" descr="C:\Users\CE154502\AppData\Local\Temp\SNAGHTML43bb5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154502\AppData\Local\Temp\SNAGHTML43bb59f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548640"/>
                          </a:xfrm>
                          <a:prstGeom prst="rect">
                            <a:avLst/>
                          </a:prstGeom>
                          <a:noFill/>
                          <a:ln>
                            <a:noFill/>
                          </a:ln>
                        </pic:spPr>
                      </pic:pic>
                    </a:graphicData>
                  </a:graphic>
                </wp:inline>
              </w:drawing>
            </w:r>
            <w:r w:rsidRPr="004E5200">
              <w:rPr>
                <w:b/>
                <w:bCs/>
                <w:szCs w:val="20"/>
              </w:rPr>
              <w:t xml:space="preserve"> CAUTION: </w:t>
            </w:r>
            <w:r w:rsidRPr="004E5200">
              <w:rPr>
                <w:szCs w:val="20"/>
              </w:rPr>
              <w:t>This product contains human-sourced and/or</w:t>
            </w:r>
            <w:r>
              <w:rPr>
                <w:szCs w:val="20"/>
              </w:rPr>
              <w:t xml:space="preserve"> </w:t>
            </w:r>
            <w:r w:rsidRPr="004E5200">
              <w:rPr>
                <w:szCs w:val="20"/>
              </w:rPr>
              <w:t>potentially infectious components</w:t>
            </w:r>
            <w:r>
              <w:rPr>
                <w:szCs w:val="20"/>
              </w:rPr>
              <w:t>*</w:t>
            </w:r>
            <w:r w:rsidRPr="004E5200">
              <w:rPr>
                <w:szCs w:val="20"/>
              </w:rPr>
              <w:t>. No known test method can offer complete</w:t>
            </w:r>
            <w:r>
              <w:rPr>
                <w:szCs w:val="20"/>
              </w:rPr>
              <w:t xml:space="preserve"> </w:t>
            </w:r>
            <w:r w:rsidRPr="004E5200">
              <w:rPr>
                <w:szCs w:val="20"/>
              </w:rPr>
              <w:t>assurance that products derived from human sources or inactivated</w:t>
            </w:r>
            <w:r>
              <w:rPr>
                <w:szCs w:val="20"/>
              </w:rPr>
              <w:t xml:space="preserve"> </w:t>
            </w:r>
            <w:r w:rsidRPr="004E5200">
              <w:rPr>
                <w:szCs w:val="20"/>
              </w:rPr>
              <w:t>microorganisms will not transmit infection. Therefore, all human</w:t>
            </w:r>
            <w:r w:rsidR="00E96C36">
              <w:rPr>
                <w:szCs w:val="20"/>
              </w:rPr>
              <w:t>-</w:t>
            </w:r>
            <w:r w:rsidRPr="004E5200">
              <w:rPr>
                <w:szCs w:val="20"/>
              </w:rPr>
              <w:t>sourced</w:t>
            </w:r>
            <w:r>
              <w:rPr>
                <w:szCs w:val="20"/>
              </w:rPr>
              <w:t xml:space="preserve"> </w:t>
            </w:r>
            <w:r w:rsidRPr="004E5200">
              <w:rPr>
                <w:szCs w:val="20"/>
              </w:rPr>
              <w:t>materials should be considered potentially infectious. It</w:t>
            </w:r>
            <w:r>
              <w:rPr>
                <w:szCs w:val="20"/>
              </w:rPr>
              <w:t xml:space="preserve"> </w:t>
            </w:r>
            <w:r w:rsidRPr="004E5200">
              <w:rPr>
                <w:szCs w:val="20"/>
              </w:rPr>
              <w:t>is recommended that these reagents and human specimens be</w:t>
            </w:r>
            <w:r>
              <w:rPr>
                <w:szCs w:val="20"/>
              </w:rPr>
              <w:t xml:space="preserve"> </w:t>
            </w:r>
            <w:r w:rsidRPr="004E5200">
              <w:rPr>
                <w:szCs w:val="20"/>
              </w:rPr>
              <w:t>handled in accordance with the OSHA Standard on Bloodborne</w:t>
            </w:r>
            <w:r>
              <w:rPr>
                <w:szCs w:val="20"/>
              </w:rPr>
              <w:t xml:space="preserve"> </w:t>
            </w:r>
            <w:r w:rsidRPr="004E5200">
              <w:rPr>
                <w:szCs w:val="20"/>
              </w:rPr>
              <w:t>Pathogens. Biosafety Level 2 or other appropriate biosafety practices</w:t>
            </w:r>
            <w:r>
              <w:rPr>
                <w:szCs w:val="20"/>
              </w:rPr>
              <w:t xml:space="preserve"> </w:t>
            </w:r>
            <w:r w:rsidRPr="004E5200">
              <w:rPr>
                <w:szCs w:val="20"/>
              </w:rPr>
              <w:t>should be used for materials that contain or are suspected of</w:t>
            </w:r>
            <w:r>
              <w:rPr>
                <w:szCs w:val="20"/>
              </w:rPr>
              <w:t xml:space="preserve"> </w:t>
            </w:r>
            <w:r w:rsidRPr="004E5200">
              <w:rPr>
                <w:szCs w:val="20"/>
              </w:rPr>
              <w:t>containing infectious agents.</w:t>
            </w:r>
            <w:r>
              <w:rPr>
                <w:szCs w:val="20"/>
              </w:rPr>
              <w:t xml:space="preserve"> </w:t>
            </w:r>
            <w:r w:rsidRPr="004E5200">
              <w:rPr>
                <w:szCs w:val="20"/>
              </w:rPr>
              <w:t>The human-sourced material used in and has been tested</w:t>
            </w:r>
            <w:r>
              <w:rPr>
                <w:szCs w:val="20"/>
              </w:rPr>
              <w:t xml:space="preserve"> </w:t>
            </w:r>
            <w:r w:rsidRPr="004E5200">
              <w:rPr>
                <w:szCs w:val="20"/>
              </w:rPr>
              <w:t>and found to be nonreactive for HBsAg, HCV RNA, and HIV-1/HIV-2.</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5"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3E29772E"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1E12C4D9" w:rsidR="00F50200" w:rsidRPr="00DC7421" w:rsidRDefault="00B03D50" w:rsidP="00A32948">
                  <w:pPr>
                    <w:pStyle w:val="CalVerTable"/>
                    <w:ind w:left="0" w:firstLine="0"/>
                    <w:rPr>
                      <w:rFonts w:ascii="Arial" w:hAnsi="Arial" w:cs="Arial"/>
                    </w:rPr>
                  </w:pPr>
                  <w:r>
                    <w:rPr>
                      <w:rFonts w:ascii="Arial" w:hAnsi="Arial" w:cs="Arial"/>
                    </w:rPr>
                    <w:t>6</w:t>
                  </w:r>
                  <w:r w:rsidR="001C3DC6">
                    <w:rPr>
                      <w:rFonts w:ascii="Arial" w:hAnsi="Arial" w:cs="Arial"/>
                    </w:rPr>
                    <w:t xml:space="preserve">.0 to 377.5 </w:t>
                  </w:r>
                  <w:r w:rsidR="001C3DC6" w:rsidRPr="001C3DC6">
                    <w:rPr>
                      <w:rFonts w:ascii="Arial" w:hAnsi="Arial" w:cs="Arial"/>
                    </w:rPr>
                    <w:t>µg/mL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1EE32DA7" w:rsidR="00F50200" w:rsidRPr="00DC7421" w:rsidRDefault="001C3DC6" w:rsidP="00440E37">
                  <w:pPr>
                    <w:pStyle w:val="BodyText"/>
                    <w:rPr>
                      <w:rFonts w:cs="Arial"/>
                      <w:szCs w:val="20"/>
                    </w:rPr>
                  </w:pPr>
                  <w:r>
                    <w:rPr>
                      <w:rFonts w:cs="Arial"/>
                      <w:szCs w:val="20"/>
                    </w:rPr>
                    <w:t>Acetaminophen Calibrator, included in reagent box</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7D1C6E71" w:rsidR="005B66A7" w:rsidRPr="00DC7421" w:rsidRDefault="001C3DC6" w:rsidP="001D1786">
                  <w:pPr>
                    <w:pStyle w:val="CalVerTable"/>
                    <w:ind w:left="0" w:firstLine="0"/>
                    <w:rPr>
                      <w:rFonts w:ascii="Arial" w:hAnsi="Arial" w:cs="Arial"/>
                    </w:rPr>
                  </w:pPr>
                  <w:r>
                    <w:rPr>
                      <w:rFonts w:ascii="Arial" w:hAnsi="Arial" w:cs="Arial"/>
                    </w:rPr>
                    <w:t xml:space="preserve">151 </w:t>
                  </w:r>
                  <w:r w:rsidRPr="001C3DC6">
                    <w:rPr>
                      <w:rFonts w:ascii="Arial" w:hAnsi="Arial" w:cs="Arial"/>
                    </w:rPr>
                    <w:t>µg/mL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126BE4B" w:rsidR="00F50200" w:rsidRPr="00DC7421" w:rsidRDefault="001C3DC6" w:rsidP="005B66A7">
                  <w:pPr>
                    <w:pStyle w:val="CalVerTable"/>
                    <w:ind w:left="0" w:firstLine="0"/>
                    <w:rPr>
                      <w:rFonts w:ascii="Arial" w:hAnsi="Arial" w:cs="Arial"/>
                    </w:rPr>
                  </w:pPr>
                  <w:r>
                    <w:rPr>
                      <w:rFonts w:ascii="Arial" w:hAnsi="Arial" w:cs="Arial"/>
                    </w:rPr>
                    <w:t>1 Level</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365F0808" w:rsidR="00F50200" w:rsidRPr="00DC7421" w:rsidRDefault="001C3DC6" w:rsidP="004A698D">
                  <w:pPr>
                    <w:pStyle w:val="Pa10"/>
                    <w:rPr>
                      <w:rFonts w:ascii="Arial" w:hAnsi="Arial" w:cs="Arial"/>
                      <w:sz w:val="20"/>
                      <w:szCs w:val="20"/>
                    </w:rPr>
                  </w:pPr>
                  <w:r>
                    <w:rPr>
                      <w:rFonts w:ascii="Arial" w:hAnsi="Arial" w:cs="Arial"/>
                      <w:sz w:val="20"/>
                      <w:szCs w:val="20"/>
                    </w:rPr>
                    <w:t xml:space="preserve">7 days.  The reagent is stable on board for 7 days and should be calibrated with each new reagent AND if quality control indicates a need for calibration.  Calibration must be validated by two levels of QC immediately after calibrating.  </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6F7A99A9" w:rsidR="00F50200" w:rsidRPr="00DC7421" w:rsidRDefault="009475C8" w:rsidP="001C3DC6">
                  <w:pPr>
                    <w:autoSpaceDE w:val="0"/>
                    <w:autoSpaceDN w:val="0"/>
                    <w:adjustRightInd w:val="0"/>
                    <w:rPr>
                      <w:rFonts w:cs="Arial"/>
                      <w:szCs w:val="20"/>
                    </w:rPr>
                  </w:pPr>
                  <w:r w:rsidRPr="00DC7421">
                    <w:rPr>
                      <w:rFonts w:cs="Arial"/>
                      <w:szCs w:val="20"/>
                    </w:rPr>
                    <w:t>AMR is verified twice annual</w:t>
                  </w:r>
                  <w:r w:rsidR="001C3DC6">
                    <w:rPr>
                      <w:rFonts w:cs="Arial"/>
                      <w:szCs w:val="20"/>
                    </w:rPr>
                    <w:t>ly using</w:t>
                  </w:r>
                  <w:r>
                    <w:rPr>
                      <w:rFonts w:cs="Arial"/>
                      <w:szCs w:val="20"/>
                    </w:rPr>
                    <w:t xml:space="preserve"> </w:t>
                  </w:r>
                  <w:r w:rsidRPr="001C3DC6">
                    <w:rPr>
                      <w:rFonts w:cs="Arial"/>
                      <w:szCs w:val="20"/>
                    </w:rPr>
                    <w:t>Maine Standards</w:t>
                  </w:r>
                  <w:r w:rsidR="001C3DC6">
                    <w:rPr>
                      <w:rFonts w:cs="Arial"/>
                      <w:szCs w:val="20"/>
                    </w:rPr>
                    <w:t xml:space="preserve"> TDM1, Product # 301b,</w:t>
                  </w:r>
                  <w:r>
                    <w:rPr>
                      <w:rFonts w:cs="Arial"/>
                      <w:szCs w:val="20"/>
                    </w:rPr>
                    <w:t xml:space="preserve"> </w:t>
                  </w:r>
                  <w:r w:rsidRPr="00DC7421">
                    <w:rPr>
                      <w:rFonts w:cs="Arial"/>
                      <w:szCs w:val="20"/>
                    </w:rPr>
                    <w:t xml:space="preserve">by running all applicable levels in triplicate.  Assay results are submitted </w:t>
                  </w:r>
                  <w:r w:rsidRPr="001C3DC6">
                    <w:rPr>
                      <w:rFonts w:cs="Arial"/>
                      <w:szCs w:val="20"/>
                    </w:rPr>
                    <w:t>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CCFFFEE" w14:textId="56828AD1" w:rsidR="002F5C68" w:rsidRPr="00DC7421" w:rsidRDefault="002F5C68" w:rsidP="008D3369">
            <w:pPr>
              <w:pStyle w:val="Header"/>
              <w:tabs>
                <w:tab w:val="clear" w:pos="4320"/>
                <w:tab w:val="clear" w:pos="8640"/>
              </w:tabs>
              <w:jc w:val="both"/>
              <w:rPr>
                <w:rFonts w:cs="Arial"/>
                <w:b/>
                <w:bCs/>
                <w:color w:val="5F497A"/>
                <w:szCs w:val="20"/>
              </w:rPr>
            </w:pPr>
          </w:p>
          <w:p w14:paraId="5CCFFFF0" w14:textId="459CD368" w:rsidR="008044BA" w:rsidRDefault="00190525" w:rsidP="00CE16FB">
            <w:pPr>
              <w:autoSpaceDE w:val="0"/>
              <w:autoSpaceDN w:val="0"/>
              <w:adjustRightInd w:val="0"/>
              <w:jc w:val="both"/>
              <w:rPr>
                <w:rFonts w:cs="Arial"/>
                <w:b/>
                <w:szCs w:val="20"/>
              </w:rPr>
            </w:pPr>
            <w:r>
              <w:rPr>
                <w:rFonts w:cs="Arial"/>
                <w:b/>
                <w:szCs w:val="20"/>
              </w:rPr>
              <w:t>QC</w:t>
            </w:r>
            <w:r w:rsidR="00E47DE5" w:rsidRPr="00E47DE5">
              <w:rPr>
                <w:rFonts w:cs="Arial"/>
                <w:b/>
                <w:szCs w:val="20"/>
              </w:rPr>
              <w:t xml:space="preserve"> Material:</w:t>
            </w:r>
            <w:r w:rsidR="001C3DC6">
              <w:rPr>
                <w:rFonts w:cs="Arial"/>
                <w:b/>
                <w:szCs w:val="20"/>
              </w:rPr>
              <w:t xml:space="preserve"> BioRad </w:t>
            </w:r>
            <w:r w:rsidR="0045342A">
              <w:rPr>
                <w:rFonts w:cs="Arial"/>
                <w:b/>
                <w:szCs w:val="20"/>
              </w:rPr>
              <w:t xml:space="preserve">Liquid Unassayed </w:t>
            </w:r>
            <w:r w:rsidR="001C3DC6">
              <w:rPr>
                <w:rFonts w:cs="Arial"/>
                <w:b/>
                <w:szCs w:val="20"/>
              </w:rPr>
              <w:t>Multiqual Levels 1 and 3</w:t>
            </w:r>
          </w:p>
          <w:p w14:paraId="68312245" w14:textId="77777777" w:rsidR="00E47DE5" w:rsidRPr="00E47DE5" w:rsidRDefault="00E47DE5" w:rsidP="00CE16FB">
            <w:pPr>
              <w:autoSpaceDE w:val="0"/>
              <w:autoSpaceDN w:val="0"/>
              <w:adjustRightInd w:val="0"/>
              <w:jc w:val="both"/>
              <w:rPr>
                <w:rFonts w:cs="Arial"/>
                <w:b/>
                <w:szCs w:val="20"/>
              </w:rPr>
            </w:pPr>
          </w:p>
          <w:p w14:paraId="5CCFFFF1" w14:textId="34E84FE7" w:rsidR="00E3253B" w:rsidRPr="001C3DC6" w:rsidRDefault="001C3DC6" w:rsidP="00CE16FB">
            <w:pPr>
              <w:autoSpaceDE w:val="0"/>
              <w:autoSpaceDN w:val="0"/>
              <w:adjustRightInd w:val="0"/>
              <w:jc w:val="both"/>
              <w:rPr>
                <w:rFonts w:cs="Arial"/>
                <w:szCs w:val="20"/>
              </w:rPr>
            </w:pPr>
            <w:r>
              <w:rPr>
                <w:rFonts w:cs="Arial"/>
                <w:b/>
                <w:bCs/>
                <w:szCs w:val="20"/>
              </w:rPr>
              <w:t>Frequen</w:t>
            </w:r>
            <w:r w:rsidR="00E3253B" w:rsidRPr="00DC7421">
              <w:rPr>
                <w:rFonts w:cs="Arial"/>
                <w:b/>
                <w:bCs/>
                <w:szCs w:val="20"/>
              </w:rPr>
              <w:t xml:space="preserve">cy: </w:t>
            </w:r>
            <w:r>
              <w:rPr>
                <w:rFonts w:cs="Arial"/>
                <w:bCs/>
                <w:szCs w:val="20"/>
              </w:rPr>
              <w:t>2 Levels per day</w:t>
            </w:r>
          </w:p>
          <w:p w14:paraId="5CCFFFF2" w14:textId="77777777" w:rsidR="00E3253B" w:rsidRPr="00DC7421" w:rsidRDefault="00E3253B" w:rsidP="00CE16FB">
            <w:pPr>
              <w:autoSpaceDE w:val="0"/>
              <w:autoSpaceDN w:val="0"/>
              <w:adjustRightInd w:val="0"/>
              <w:jc w:val="both"/>
              <w:rPr>
                <w:rFonts w:cs="Arial"/>
                <w:szCs w:val="20"/>
              </w:rPr>
            </w:pPr>
          </w:p>
          <w:p w14:paraId="28D37AE8" w14:textId="0B48F469" w:rsidR="0002771B" w:rsidRDefault="00E3253B" w:rsidP="00E47DE5">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r w:rsidR="001C3DC6" w:rsidRPr="001C3DC6">
              <w:rPr>
                <w:rFonts w:cs="Arial"/>
                <w:bCs/>
                <w:szCs w:val="20"/>
              </w:rPr>
              <w:t>7 days when stored at 2 to 8°C</w:t>
            </w:r>
          </w:p>
          <w:p w14:paraId="06A8C762" w14:textId="77777777" w:rsidR="001C3DC6" w:rsidRPr="001C3DC6" w:rsidRDefault="001C3DC6" w:rsidP="00E47DE5">
            <w:pPr>
              <w:autoSpaceDE w:val="0"/>
              <w:autoSpaceDN w:val="0"/>
              <w:adjustRightInd w:val="0"/>
              <w:rPr>
                <w:rFonts w:cs="Arial"/>
                <w:b/>
                <w:bCs/>
                <w:szCs w:val="20"/>
              </w:rPr>
            </w:pPr>
          </w:p>
          <w:p w14:paraId="5CCFFFF5" w14:textId="4CAABD69" w:rsidR="008D3369"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r w:rsidR="001C3DC6">
              <w:rPr>
                <w:rFonts w:cs="Arial"/>
                <w:szCs w:val="20"/>
              </w:rPr>
              <w:t xml:space="preserve">Allow to thaw for one hour at room temperature, minimizing extra time left at room temperature.  After thawing, swirl and mix gently to bring any precipitate into solution.  Keep tightly capped and return promptly to </w:t>
            </w:r>
            <w:r w:rsidR="001C3DC6" w:rsidRPr="001C3DC6">
              <w:rPr>
                <w:rFonts w:cs="Arial"/>
                <w:szCs w:val="20"/>
              </w:rPr>
              <w:t>2 to 8°C</w:t>
            </w:r>
            <w:r w:rsidR="001C3DC6">
              <w:rPr>
                <w:rFonts w:cs="Arial"/>
                <w:szCs w:val="20"/>
              </w:rPr>
              <w:t xml:space="preserve"> when not in use.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69BADCAE"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6"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0B057835" w14:textId="77777777" w:rsidR="00EA6A61" w:rsidRPr="00234207" w:rsidRDefault="00EA6A61" w:rsidP="00EA6A61">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EA6A61" w:rsidRPr="006A26B2" w14:paraId="56C974B0" w14:textId="77777777" w:rsidTr="00C27F49">
              <w:tc>
                <w:tcPr>
                  <w:tcW w:w="472" w:type="dxa"/>
                </w:tcPr>
                <w:p w14:paraId="6BE1432C" w14:textId="77777777" w:rsidR="00EA6A61" w:rsidRPr="006A26B2" w:rsidRDefault="00EA6A61" w:rsidP="00EA6A61">
                  <w:pPr>
                    <w:autoSpaceDE w:val="0"/>
                    <w:autoSpaceDN w:val="0"/>
                    <w:adjustRightInd w:val="0"/>
                    <w:jc w:val="both"/>
                    <w:rPr>
                      <w:rFonts w:cs="Arial"/>
                      <w:b/>
                      <w:szCs w:val="20"/>
                    </w:rPr>
                  </w:pPr>
                  <w:r w:rsidRPr="006A26B2">
                    <w:rPr>
                      <w:rFonts w:cs="Arial"/>
                      <w:b/>
                      <w:szCs w:val="20"/>
                    </w:rPr>
                    <w:t>H</w:t>
                  </w:r>
                </w:p>
              </w:tc>
              <w:tc>
                <w:tcPr>
                  <w:tcW w:w="394" w:type="dxa"/>
                </w:tcPr>
                <w:p w14:paraId="3BDAD87C" w14:textId="77777777" w:rsidR="00EA6A61" w:rsidRPr="006A26B2" w:rsidRDefault="00EA6A61" w:rsidP="00EA6A61">
                  <w:pPr>
                    <w:autoSpaceDE w:val="0"/>
                    <w:autoSpaceDN w:val="0"/>
                    <w:adjustRightInd w:val="0"/>
                    <w:jc w:val="both"/>
                    <w:rPr>
                      <w:rFonts w:cs="Arial"/>
                      <w:b/>
                      <w:szCs w:val="20"/>
                    </w:rPr>
                  </w:pPr>
                  <w:r w:rsidRPr="006A26B2">
                    <w:rPr>
                      <w:rFonts w:cs="Arial"/>
                      <w:b/>
                      <w:szCs w:val="20"/>
                    </w:rPr>
                    <w:t>I</w:t>
                  </w:r>
                </w:p>
              </w:tc>
              <w:tc>
                <w:tcPr>
                  <w:tcW w:w="443" w:type="dxa"/>
                </w:tcPr>
                <w:p w14:paraId="55AFDD4B" w14:textId="77777777" w:rsidR="00EA6A61" w:rsidRPr="006A26B2" w:rsidRDefault="00EA6A61" w:rsidP="00EA6A61">
                  <w:pPr>
                    <w:autoSpaceDE w:val="0"/>
                    <w:autoSpaceDN w:val="0"/>
                    <w:adjustRightInd w:val="0"/>
                    <w:jc w:val="both"/>
                    <w:rPr>
                      <w:rFonts w:cs="Arial"/>
                      <w:b/>
                      <w:szCs w:val="20"/>
                    </w:rPr>
                  </w:pPr>
                  <w:r w:rsidRPr="006A26B2">
                    <w:rPr>
                      <w:rFonts w:cs="Arial"/>
                      <w:b/>
                      <w:szCs w:val="20"/>
                    </w:rPr>
                    <w:t>L</w:t>
                  </w:r>
                </w:p>
              </w:tc>
            </w:tr>
            <w:tr w:rsidR="00EA6A61" w:rsidRPr="006A26B2" w14:paraId="3CEBF522" w14:textId="77777777" w:rsidTr="00C27F49">
              <w:tc>
                <w:tcPr>
                  <w:tcW w:w="472" w:type="dxa"/>
                </w:tcPr>
                <w:p w14:paraId="098E7A1A" w14:textId="193D6368" w:rsidR="00EA6A61" w:rsidRPr="006A26B2" w:rsidRDefault="0045342A" w:rsidP="00EA6A61">
                  <w:pPr>
                    <w:autoSpaceDE w:val="0"/>
                    <w:autoSpaceDN w:val="0"/>
                    <w:adjustRightInd w:val="0"/>
                    <w:jc w:val="both"/>
                    <w:rPr>
                      <w:rFonts w:cs="Arial"/>
                      <w:b/>
                      <w:szCs w:val="20"/>
                    </w:rPr>
                  </w:pPr>
                  <w:r>
                    <w:rPr>
                      <w:rFonts w:cs="Arial"/>
                      <w:b/>
                      <w:szCs w:val="20"/>
                    </w:rPr>
                    <w:t>*</w:t>
                  </w:r>
                </w:p>
              </w:tc>
              <w:tc>
                <w:tcPr>
                  <w:tcW w:w="394" w:type="dxa"/>
                </w:tcPr>
                <w:p w14:paraId="39EEFC15" w14:textId="0D1C2572" w:rsidR="00EA6A61" w:rsidRPr="006A26B2" w:rsidRDefault="00EA6A61" w:rsidP="00EA6A61">
                  <w:pPr>
                    <w:autoSpaceDE w:val="0"/>
                    <w:autoSpaceDN w:val="0"/>
                    <w:adjustRightInd w:val="0"/>
                    <w:jc w:val="both"/>
                    <w:rPr>
                      <w:rFonts w:cs="Arial"/>
                      <w:b/>
                      <w:szCs w:val="20"/>
                    </w:rPr>
                  </w:pPr>
                  <w:r>
                    <w:rPr>
                      <w:rFonts w:cs="Arial"/>
                      <w:b/>
                      <w:szCs w:val="20"/>
                    </w:rPr>
                    <w:t>4</w:t>
                  </w:r>
                </w:p>
              </w:tc>
              <w:tc>
                <w:tcPr>
                  <w:tcW w:w="443" w:type="dxa"/>
                </w:tcPr>
                <w:p w14:paraId="204973CB" w14:textId="77777777" w:rsidR="00EA6A61" w:rsidRPr="006A26B2" w:rsidRDefault="00EA6A61" w:rsidP="00EA6A61">
                  <w:pPr>
                    <w:autoSpaceDE w:val="0"/>
                    <w:autoSpaceDN w:val="0"/>
                    <w:adjustRightInd w:val="0"/>
                    <w:jc w:val="both"/>
                    <w:rPr>
                      <w:rFonts w:cs="Arial"/>
                      <w:b/>
                      <w:szCs w:val="20"/>
                    </w:rPr>
                  </w:pPr>
                  <w:r>
                    <w:rPr>
                      <w:rFonts w:cs="Arial"/>
                      <w:b/>
                      <w:szCs w:val="20"/>
                    </w:rPr>
                    <w:t>-</w:t>
                  </w:r>
                </w:p>
              </w:tc>
            </w:tr>
          </w:tbl>
          <w:p w14:paraId="4327F0A5" w14:textId="77777777" w:rsidR="00EA6A61" w:rsidRPr="00DC7421" w:rsidRDefault="00EA6A61" w:rsidP="00EA6A61">
            <w:pPr>
              <w:autoSpaceDE w:val="0"/>
              <w:autoSpaceDN w:val="0"/>
              <w:adjustRightInd w:val="0"/>
              <w:rPr>
                <w:rFonts w:cs="Arial"/>
                <w:b/>
                <w:bCs/>
                <w:color w:val="5F497A"/>
                <w:szCs w:val="20"/>
              </w:rPr>
            </w:pPr>
          </w:p>
          <w:p w14:paraId="631B4DAB" w14:textId="7763F23A" w:rsidR="0045342A" w:rsidRDefault="0045342A" w:rsidP="0045342A">
            <w:pPr>
              <w:pStyle w:val="ListParagraph"/>
              <w:numPr>
                <w:ilvl w:val="0"/>
                <w:numId w:val="19"/>
              </w:numPr>
              <w:autoSpaceDE w:val="0"/>
              <w:autoSpaceDN w:val="0"/>
              <w:adjustRightInd w:val="0"/>
              <w:rPr>
                <w:rFonts w:eastAsia="HelenPro-Regular" w:cs="Arial"/>
                <w:szCs w:val="20"/>
              </w:rPr>
            </w:pPr>
            <w:r>
              <w:rPr>
                <w:rFonts w:eastAsia="HelenPro-Regular" w:cs="Arial"/>
                <w:szCs w:val="20"/>
              </w:rPr>
              <w:t>*</w:t>
            </w:r>
            <w:r w:rsidRPr="0045342A">
              <w:rPr>
                <w:rFonts w:eastAsia="HelenPro-Regular" w:cs="Arial"/>
                <w:b/>
                <w:szCs w:val="20"/>
              </w:rPr>
              <w:t>DO NOT USE HEMOLYZED SAMPLES</w:t>
            </w:r>
            <w:r>
              <w:rPr>
                <w:rFonts w:eastAsia="HelenPro-Regular" w:cs="Arial"/>
                <w:szCs w:val="20"/>
              </w:rPr>
              <w:t xml:space="preserve">.  Hemolysis causes significant bias with this method.  </w:t>
            </w:r>
            <w:r w:rsidR="00B67D0D">
              <w:rPr>
                <w:rFonts w:eastAsia="HelenPro-Regular" w:cs="Arial"/>
                <w:szCs w:val="20"/>
              </w:rPr>
              <w:t>Request redraw.  If redraw cannot be obtained, ensure –HP comment is appended.</w:t>
            </w:r>
          </w:p>
          <w:p w14:paraId="132B960B" w14:textId="77777777" w:rsidR="0045342A" w:rsidRPr="0045342A" w:rsidRDefault="0045342A" w:rsidP="0045342A">
            <w:pPr>
              <w:pStyle w:val="ListParagraph"/>
              <w:autoSpaceDE w:val="0"/>
              <w:autoSpaceDN w:val="0"/>
              <w:adjustRightInd w:val="0"/>
              <w:ind w:left="360"/>
              <w:rPr>
                <w:rFonts w:eastAsia="HelenPro-Regular" w:cs="Arial"/>
                <w:szCs w:val="20"/>
              </w:rPr>
            </w:pPr>
          </w:p>
          <w:p w14:paraId="4FF29B10" w14:textId="67273A5B" w:rsidR="00EA6A61" w:rsidRDefault="0045342A" w:rsidP="00EA6A61">
            <w:pPr>
              <w:autoSpaceDE w:val="0"/>
              <w:autoSpaceDN w:val="0"/>
              <w:adjustRightInd w:val="0"/>
              <w:rPr>
                <w:rFonts w:eastAsia="HelenPro-Regular" w:cs="Arial"/>
                <w:szCs w:val="20"/>
              </w:rPr>
            </w:pPr>
            <w:r>
              <w:rPr>
                <w:rFonts w:eastAsia="HelenPro-Regular" w:cs="Arial"/>
                <w:szCs w:val="20"/>
              </w:rPr>
              <w:t xml:space="preserve">Icteric samples may be manually diluted 1:2 with saline in an effort to reduce the bilirubin interference.  If the sample has no flags after dilution, it may be reported along with the appended comment below: </w:t>
            </w:r>
          </w:p>
          <w:p w14:paraId="66F6A29A" w14:textId="7B2C2A59" w:rsidR="0045342A" w:rsidRDefault="00EA6A61" w:rsidP="00EA6A61">
            <w:pPr>
              <w:autoSpaceDE w:val="0"/>
              <w:autoSpaceDN w:val="0"/>
              <w:adjustRightInd w:val="0"/>
              <w:rPr>
                <w:rFonts w:eastAsia="HelenPro-Regular" w:cs="Arial"/>
                <w:szCs w:val="20"/>
              </w:rPr>
            </w:pPr>
            <w:r>
              <w:rPr>
                <w:rFonts w:eastAsia="HelenPro-Regular" w:cs="Arial"/>
                <w:szCs w:val="20"/>
              </w:rPr>
              <w:t>-BIN for “Bilirubin Interference”</w:t>
            </w:r>
            <w:r w:rsidR="00B67D0D">
              <w:rPr>
                <w:rFonts w:eastAsia="HelenPro-Regular" w:cs="Arial"/>
                <w:szCs w:val="20"/>
              </w:rPr>
              <w:t xml:space="preserve">.  </w:t>
            </w:r>
            <w:r w:rsidR="0045342A">
              <w:rPr>
                <w:rFonts w:eastAsia="HelenPro-Regular" w:cs="Arial"/>
                <w:szCs w:val="20"/>
              </w:rPr>
              <w:t xml:space="preserve">If the diluted value gives a less than </w:t>
            </w:r>
            <w:r w:rsidR="009B3DB8">
              <w:rPr>
                <w:rFonts w:eastAsia="HelenPro-Regular" w:cs="Arial"/>
                <w:szCs w:val="20"/>
              </w:rPr>
              <w:t>linearity result, report the undiluted value, if there is one, with the above comment instead.  Note: a conversation with the provider must be had if ingestion is suspected, the sample is icteric, and all results are less than linearity because icteremia causes decreased acetaminophen recov</w:t>
            </w:r>
            <w:r w:rsidR="00B67D0D">
              <w:rPr>
                <w:rFonts w:eastAsia="HelenPro-Regular" w:cs="Arial"/>
                <w:szCs w:val="20"/>
              </w:rPr>
              <w:t>ery.  Ensure the sample is</w:t>
            </w:r>
            <w:r w:rsidR="009B3DB8">
              <w:rPr>
                <w:rFonts w:eastAsia="HelenPro-Regular" w:cs="Arial"/>
                <w:szCs w:val="20"/>
              </w:rPr>
              <w:t xml:space="preserve"> icteric and not hemolyzed, as this is cause for rejection and redraw.</w:t>
            </w:r>
          </w:p>
          <w:p w14:paraId="55DCFE07" w14:textId="77777777" w:rsidR="0045342A" w:rsidRDefault="0045342A" w:rsidP="0045342A">
            <w:pPr>
              <w:jc w:val="both"/>
              <w:rPr>
                <w:rFonts w:cs="Arial"/>
                <w:szCs w:val="20"/>
              </w:rPr>
            </w:pPr>
          </w:p>
          <w:p w14:paraId="1A0A3500" w14:textId="000D334A" w:rsidR="0045342A" w:rsidRDefault="0045342A" w:rsidP="0045342A">
            <w:pPr>
              <w:jc w:val="both"/>
              <w:rPr>
                <w:rFonts w:cs="Arial"/>
                <w:szCs w:val="20"/>
              </w:rPr>
            </w:pPr>
            <w:r w:rsidRPr="0045342A">
              <w:rPr>
                <w:rFonts w:cs="Arial"/>
                <w:szCs w:val="20"/>
              </w:rPr>
              <w:t>Samples containing elevated levels of Immunoglobulin M (IgM) or samples from patients with Waldenstrom’s Macroglobulinemia may produce unreliable results.</w:t>
            </w:r>
          </w:p>
          <w:p w14:paraId="15755B54" w14:textId="77777777" w:rsidR="0045342A" w:rsidRDefault="0045342A" w:rsidP="0045342A">
            <w:pPr>
              <w:jc w:val="both"/>
              <w:rPr>
                <w:rFonts w:cs="Arial"/>
                <w:szCs w:val="20"/>
              </w:rPr>
            </w:pPr>
          </w:p>
          <w:p w14:paraId="523D56E5" w14:textId="7D557199" w:rsidR="0045342A" w:rsidRPr="0045342A" w:rsidRDefault="0045342A" w:rsidP="0045342A">
            <w:pPr>
              <w:jc w:val="both"/>
              <w:rPr>
                <w:rFonts w:cs="Arial"/>
                <w:szCs w:val="20"/>
              </w:rPr>
            </w:pPr>
            <w:r w:rsidRPr="0045342A">
              <w:rPr>
                <w:rFonts w:cs="Arial"/>
                <w:szCs w:val="20"/>
              </w:rPr>
              <w:t>Samples containing NAPQ1 (N-Acetyl-4-benzoquinoneimine) may cause elevated levels of measured acetaminophen. Samples containing &gt;20 mg/L metamizole may cause elevated levels of measured acetaminophen.</w:t>
            </w:r>
          </w:p>
          <w:p w14:paraId="5CD00011" w14:textId="53F6C617" w:rsidR="000244AC" w:rsidRPr="00DC7421" w:rsidRDefault="000244AC" w:rsidP="00DC7091">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0A27DD05"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6FE0DA8A" w:rsidR="0039587D" w:rsidRPr="00DC7421" w:rsidRDefault="009B3DB8" w:rsidP="0039587D">
            <w:pPr>
              <w:rPr>
                <w:rFonts w:cs="Arial"/>
                <w:szCs w:val="20"/>
              </w:rPr>
            </w:pPr>
            <w:r>
              <w:rPr>
                <w:rFonts w:cs="Arial"/>
                <w:szCs w:val="20"/>
              </w:rPr>
              <w:t xml:space="preserve">Therapeutic Range: 10 – 25 </w:t>
            </w:r>
            <w:r w:rsidRPr="009B3DB8">
              <w:rPr>
                <w:rFonts w:cs="Arial"/>
                <w:szCs w:val="20"/>
              </w:rPr>
              <w:t>µg/mL</w:t>
            </w:r>
            <w:r>
              <w:rPr>
                <w:rFonts w:cs="Arial"/>
                <w:szCs w:val="20"/>
              </w:rPr>
              <w:t xml:space="preserve"> </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33BC73DF" w14:textId="77777777" w:rsidR="0030158E" w:rsidRDefault="009B3DB8" w:rsidP="009B3DB8">
            <w:pPr>
              <w:pStyle w:val="Header"/>
              <w:tabs>
                <w:tab w:val="clear" w:pos="4320"/>
                <w:tab w:val="clear" w:pos="8640"/>
              </w:tabs>
              <w:ind w:left="360"/>
              <w:rPr>
                <w:rFonts w:cs="Arial"/>
                <w:b/>
                <w:szCs w:val="20"/>
              </w:rPr>
            </w:pPr>
            <w:r w:rsidRPr="0030158E">
              <w:rPr>
                <w:rFonts w:cs="Arial"/>
                <w:b/>
                <w:szCs w:val="20"/>
              </w:rPr>
              <w:t>&gt;25.0 µg/mL</w:t>
            </w:r>
          </w:p>
          <w:p w14:paraId="5CD0001B" w14:textId="630EBD1A" w:rsidR="0030158E" w:rsidRPr="0030158E" w:rsidRDefault="0030158E" w:rsidP="009B3DB8">
            <w:pPr>
              <w:pStyle w:val="Header"/>
              <w:tabs>
                <w:tab w:val="clear" w:pos="4320"/>
                <w:tab w:val="clear" w:pos="8640"/>
              </w:tabs>
              <w:ind w:left="360"/>
              <w:rPr>
                <w:rFonts w:cs="Arial"/>
                <w:szCs w:val="20"/>
              </w:rPr>
            </w:pPr>
            <w:r>
              <w:rPr>
                <w:rFonts w:cs="Arial"/>
                <w:szCs w:val="20"/>
              </w:rPr>
              <w:t>Call according to critical value policies.</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0E4358BD" w14:textId="77777777" w:rsidR="00DC7421" w:rsidRDefault="0030158E" w:rsidP="00E47DE5">
            <w:pPr>
              <w:autoSpaceDE w:val="0"/>
              <w:autoSpaceDN w:val="0"/>
              <w:adjustRightInd w:val="0"/>
              <w:rPr>
                <w:rFonts w:cs="Arial"/>
                <w:bCs/>
                <w:szCs w:val="20"/>
              </w:rPr>
            </w:pPr>
            <w:r>
              <w:rPr>
                <w:rFonts w:cs="Arial"/>
                <w:bCs/>
                <w:szCs w:val="20"/>
              </w:rPr>
              <w:t>See interferences section.</w:t>
            </w:r>
          </w:p>
          <w:p w14:paraId="5CD00021" w14:textId="77777777" w:rsidR="0030158E" w:rsidRPr="00DC7421" w:rsidRDefault="0030158E" w:rsidP="00E47DE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48AFFEB3"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9B3DB8" w:rsidRDefault="00F83DB0" w:rsidP="00F83DB0">
                  <w:pPr>
                    <w:rPr>
                      <w:rFonts w:cs="Arial"/>
                      <w:szCs w:val="20"/>
                    </w:rPr>
                  </w:pPr>
                  <w:r w:rsidRPr="009B3DB8">
                    <w:rPr>
                      <w:rFonts w:cs="Arial"/>
                      <w:szCs w:val="20"/>
                    </w:rPr>
                    <w:t>Max Auto Dilution:</w:t>
                  </w:r>
                </w:p>
              </w:tc>
              <w:tc>
                <w:tcPr>
                  <w:tcW w:w="7200" w:type="dxa"/>
                </w:tcPr>
                <w:p w14:paraId="1B18B669" w14:textId="73FA9CBF" w:rsidR="00F83DB0" w:rsidRPr="009B3DB8" w:rsidRDefault="009B3DB8" w:rsidP="00F83DB0">
                  <w:pPr>
                    <w:autoSpaceDE w:val="0"/>
                    <w:autoSpaceDN w:val="0"/>
                    <w:adjustRightInd w:val="0"/>
                    <w:rPr>
                      <w:rFonts w:cs="Arial"/>
                      <w:szCs w:val="20"/>
                    </w:rPr>
                  </w:pPr>
                  <w:r w:rsidRPr="009B3DB8">
                    <w:rPr>
                      <w:rFonts w:cs="Arial"/>
                      <w:szCs w:val="20"/>
                    </w:rPr>
                    <w:t>none</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1D966B28" w:rsidR="00F83DB0" w:rsidRPr="00A23086" w:rsidRDefault="009B3DB8" w:rsidP="00F83DB0">
                  <w:pPr>
                    <w:autoSpaceDE w:val="0"/>
                    <w:autoSpaceDN w:val="0"/>
                    <w:adjustRightInd w:val="0"/>
                    <w:rPr>
                      <w:rFonts w:cs="Arial"/>
                      <w:szCs w:val="20"/>
                      <w:highlight w:val="yellow"/>
                    </w:rPr>
                  </w:pPr>
                  <w:r>
                    <w:rPr>
                      <w:rFonts w:cs="Arial"/>
                      <w:szCs w:val="20"/>
                    </w:rPr>
                    <w:t>1:10</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5C54E9F4" w:rsidR="00F83DB0" w:rsidRPr="00EC40A2" w:rsidRDefault="00A23086" w:rsidP="00F83DB0">
                  <w:pPr>
                    <w:autoSpaceDE w:val="0"/>
                    <w:autoSpaceDN w:val="0"/>
                    <w:adjustRightInd w:val="0"/>
                    <w:rPr>
                      <w:rFonts w:cs="Arial"/>
                      <w:szCs w:val="20"/>
                    </w:rPr>
                  </w:pPr>
                  <w:r>
                    <w:rPr>
                      <w:rFonts w:cs="Arial"/>
                      <w:szCs w:val="20"/>
                    </w:rPr>
                    <w:t>Saline</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467AAE4A" w:rsidR="00F83DB0" w:rsidRPr="00EC40A2" w:rsidRDefault="009B3DB8" w:rsidP="00F83DB0">
                  <w:pPr>
                    <w:autoSpaceDE w:val="0"/>
                    <w:autoSpaceDN w:val="0"/>
                    <w:adjustRightInd w:val="0"/>
                    <w:rPr>
                      <w:rFonts w:eastAsia="HelenPro-Regular" w:cs="Arial"/>
                      <w:szCs w:val="20"/>
                    </w:rPr>
                  </w:pPr>
                  <w:r>
                    <w:rPr>
                      <w:rFonts w:cs="Arial"/>
                      <w:szCs w:val="20"/>
                    </w:rPr>
                    <w:t xml:space="preserve">First perform a 1:2 dilution, programming the dilution factor into the instrument software.  </w:t>
                  </w:r>
                  <w:r w:rsidR="00F83DB0">
                    <w:rPr>
                      <w:rFonts w:cs="Arial"/>
                      <w:szCs w:val="20"/>
                    </w:rPr>
                    <w:t>Follow Abbott</w:t>
                  </w:r>
                  <w:r w:rsidR="00F83DB0" w:rsidRPr="00EC40A2">
                    <w:rPr>
                      <w:rFonts w:cs="Arial"/>
                      <w:szCs w:val="20"/>
                    </w:rPr>
                    <w:t xml:space="preserve"> </w:t>
                  </w:r>
                  <w:hyperlink r:id="rId17" w:history="1">
                    <w:r w:rsidR="00F83DB0" w:rsidRPr="00EC40A2">
                      <w:rPr>
                        <w:rStyle w:val="Hyperlink"/>
                        <w:rFonts w:cs="Arial"/>
                        <w:szCs w:val="20"/>
                      </w:rPr>
                      <w:t>Alinity Operator’s Manual</w:t>
                    </w:r>
                  </w:hyperlink>
                  <w:r w:rsidR="00F83DB0" w:rsidRPr="00EC40A2">
                    <w:rPr>
                      <w:rFonts w:cs="Arial"/>
                      <w:szCs w:val="20"/>
                    </w:rPr>
                    <w:t xml:space="preserve"> inst</w:t>
                  </w:r>
                  <w:r w:rsidR="00F83DB0">
                    <w:rPr>
                      <w:rFonts w:cs="Arial"/>
                      <w:szCs w:val="20"/>
                    </w:rPr>
                    <w:t>ru</w:t>
                  </w:r>
                  <w:r>
                    <w:rPr>
                      <w:rFonts w:cs="Arial"/>
                      <w:szCs w:val="20"/>
                    </w:rPr>
                    <w:t>ctions for programming</w:t>
                  </w:r>
                  <w:r w:rsidR="00F83DB0">
                    <w:rPr>
                      <w:rFonts w:cs="Arial"/>
                      <w:szCs w:val="20"/>
                    </w:rPr>
                    <w:t xml:space="preserve"> dilutions.  </w:t>
                  </w:r>
                  <w:r w:rsidR="00F83DB0" w:rsidRPr="00EC40A2">
                    <w:rPr>
                      <w:rFonts w:eastAsia="HelenPro-Regular" w:cs="Arial"/>
                      <w:szCs w:val="20"/>
                    </w:rPr>
                    <w:t xml:space="preserve">The system </w:t>
                  </w:r>
                  <w:r w:rsidR="00F83DB0">
                    <w:rPr>
                      <w:rFonts w:eastAsia="HelenPro-Regular" w:cs="Arial"/>
                      <w:szCs w:val="20"/>
                    </w:rPr>
                    <w:t>will</w:t>
                  </w:r>
                  <w:r w:rsidR="00F83DB0"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078B7E14" w:rsidR="00F83DB0" w:rsidRPr="00EC40A2" w:rsidRDefault="00F83DB0" w:rsidP="009B3DB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w:t>
                  </w:r>
                  <w:r w:rsidR="00190525">
                    <w:rPr>
                      <w:rFonts w:eastAsia="HelenPro-Regular" w:cs="Arial"/>
                      <w:szCs w:val="20"/>
                    </w:rPr>
                    <w:t xml:space="preserve"> 6</w:t>
                  </w:r>
                  <w:r w:rsidR="009B3DB8">
                    <w:rPr>
                      <w:rFonts w:eastAsia="HelenPro-Regular" w:cs="Arial"/>
                      <w:szCs w:val="20"/>
                    </w:rPr>
                    <w:t>.0</w:t>
                  </w:r>
                  <w:r w:rsidR="009B3DB8">
                    <w:t xml:space="preserve"> </w:t>
                  </w:r>
                  <w:r w:rsidR="009B3DB8" w:rsidRPr="009B3DB8">
                    <w:rPr>
                      <w:rFonts w:eastAsia="HelenPro-Regular" w:cs="Arial"/>
                      <w:szCs w:val="20"/>
                    </w:rPr>
                    <w:t>µg/mL</w:t>
                  </w:r>
                  <w:r w:rsidRPr="009B3DB8">
                    <w:rPr>
                      <w:rFonts w:eastAsia="HelenPro-Regular" w:cs="Arial"/>
                      <w:szCs w:val="20"/>
                    </w:rPr>
                    <w:t>,</w:t>
                  </w:r>
                  <w:r w:rsidRPr="00EC40A2">
                    <w:rPr>
                      <w:rFonts w:eastAsia="HelenPro-Regular" w:cs="Arial"/>
                      <w:szCs w:val="20"/>
                    </w:rPr>
                    <w:t xml:space="preserve">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39662E59" w:rsidR="00EA580E" w:rsidRDefault="00EA580E" w:rsidP="00EA580E">
            <w:pPr>
              <w:rPr>
                <w:rFonts w:cs="Arial"/>
                <w:b/>
                <w:bCs/>
                <w:color w:val="7030A0"/>
                <w:szCs w:val="20"/>
              </w:rPr>
            </w:pPr>
          </w:p>
          <w:p w14:paraId="7EEC7ABE" w14:textId="6781BF20"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B03D50">
              <w:rPr>
                <w:rFonts w:cs="Arial"/>
                <w:szCs w:val="20"/>
              </w:rPr>
              <w:t>6</w:t>
            </w:r>
            <w:r w:rsidR="009B3DB8">
              <w:rPr>
                <w:rFonts w:cs="Arial"/>
                <w:szCs w:val="20"/>
              </w:rPr>
              <w:t>.0</w:t>
            </w:r>
            <w:r w:rsidR="00E47DE5">
              <w:rPr>
                <w:rFonts w:cs="Arial"/>
                <w:szCs w:val="20"/>
              </w:rPr>
              <w:t xml:space="preserve"> </w:t>
            </w:r>
            <w:r>
              <w:rPr>
                <w:rFonts w:cs="Arial"/>
                <w:szCs w:val="20"/>
              </w:rPr>
              <w:t xml:space="preserve">and </w:t>
            </w:r>
            <w:r w:rsidR="009B3DB8">
              <w:rPr>
                <w:rFonts w:cs="Arial"/>
                <w:szCs w:val="20"/>
              </w:rPr>
              <w:t>25.0</w:t>
            </w:r>
            <w:r w:rsidR="00E47DE5" w:rsidRPr="00DC7421">
              <w:rPr>
                <w:rFonts w:cs="Arial"/>
                <w:szCs w:val="20"/>
              </w:rPr>
              <w:t xml:space="preserve"> </w:t>
            </w:r>
            <w:r w:rsidRPr="00DC7421">
              <w:rPr>
                <w:rFonts w:cs="Arial"/>
                <w:szCs w:val="20"/>
              </w:rPr>
              <w:t>without error messages are released</w:t>
            </w:r>
          </w:p>
          <w:p w14:paraId="512DB6C5" w14:textId="06658333" w:rsidR="00F84C8E" w:rsidRPr="00DC7421" w:rsidRDefault="00F84C8E" w:rsidP="00F84C8E">
            <w:pPr>
              <w:numPr>
                <w:ilvl w:val="0"/>
                <w:numId w:val="40"/>
              </w:numPr>
              <w:rPr>
                <w:rFonts w:cs="Arial"/>
                <w:szCs w:val="20"/>
              </w:rPr>
            </w:pPr>
            <w:r>
              <w:rPr>
                <w:rFonts w:cs="Arial"/>
                <w:szCs w:val="20"/>
              </w:rPr>
              <w:t xml:space="preserve">Results below </w:t>
            </w:r>
            <w:r w:rsidR="00B03D50">
              <w:rPr>
                <w:rFonts w:cs="Arial"/>
                <w:szCs w:val="20"/>
              </w:rPr>
              <w:t>6</w:t>
            </w:r>
            <w:r w:rsidR="009B3DB8">
              <w:rPr>
                <w:rFonts w:cs="Arial"/>
                <w:szCs w:val="20"/>
              </w:rPr>
              <w:t>.0</w:t>
            </w:r>
            <w:r w:rsidR="00E47DE5">
              <w:rPr>
                <w:rFonts w:cs="Arial"/>
                <w:szCs w:val="20"/>
              </w:rPr>
              <w:t xml:space="preserve"> </w:t>
            </w:r>
            <w:r>
              <w:rPr>
                <w:rFonts w:cs="Arial"/>
                <w:szCs w:val="20"/>
              </w:rPr>
              <w:t>without e</w:t>
            </w:r>
            <w:r w:rsidR="009B3DB8">
              <w:rPr>
                <w:rFonts w:cs="Arial"/>
                <w:szCs w:val="20"/>
              </w:rPr>
              <w:t>r</w:t>
            </w:r>
            <w:r w:rsidR="00B03D50">
              <w:rPr>
                <w:rFonts w:cs="Arial"/>
                <w:szCs w:val="20"/>
              </w:rPr>
              <w:t>ror messages are reported as &lt; 6</w:t>
            </w:r>
            <w:r w:rsidR="001F27B3">
              <w:rPr>
                <w:rFonts w:cs="Arial"/>
                <w:szCs w:val="20"/>
              </w:rPr>
              <w:t>.0</w:t>
            </w:r>
            <w:r>
              <w:rPr>
                <w:rFonts w:cs="Arial"/>
                <w:szCs w:val="20"/>
              </w:rPr>
              <w:t>.</w:t>
            </w:r>
          </w:p>
          <w:p w14:paraId="61C98532" w14:textId="0695FFFB" w:rsidR="00F84C8E" w:rsidRDefault="00F84C8E" w:rsidP="00F84C8E">
            <w:pPr>
              <w:numPr>
                <w:ilvl w:val="0"/>
                <w:numId w:val="40"/>
              </w:numPr>
              <w:rPr>
                <w:rFonts w:cs="Arial"/>
                <w:szCs w:val="20"/>
              </w:rPr>
            </w:pPr>
            <w:r>
              <w:rPr>
                <w:rFonts w:cs="Arial"/>
                <w:szCs w:val="20"/>
              </w:rPr>
              <w:t>Results &gt;</w:t>
            </w:r>
            <w:r w:rsidR="009B3DB8">
              <w:rPr>
                <w:rFonts w:cs="Arial"/>
                <w:szCs w:val="20"/>
              </w:rPr>
              <w:t xml:space="preserve"> 377.5</w:t>
            </w:r>
            <w:r w:rsidR="00E47DE5">
              <w:rPr>
                <w:rFonts w:cs="Arial"/>
                <w:szCs w:val="20"/>
              </w:rPr>
              <w:t xml:space="preserve"> </w:t>
            </w:r>
            <w:r>
              <w:rPr>
                <w:rFonts w:cs="Arial"/>
                <w:szCs w:val="20"/>
              </w:rPr>
              <w:t>should be dil</w:t>
            </w:r>
            <w:r w:rsidR="009B3DB8">
              <w:rPr>
                <w:rFonts w:cs="Arial"/>
                <w:szCs w:val="20"/>
              </w:rPr>
              <w:t>uted using a beginning dilution of 1:2 with saline</w:t>
            </w:r>
            <w:r>
              <w:rPr>
                <w:rFonts w:cs="Arial"/>
                <w:szCs w:val="20"/>
              </w:rPr>
              <w:t>.  Release results without error messages following this dilution.</w:t>
            </w:r>
            <w:r w:rsidR="001F27B3">
              <w:rPr>
                <w:rFonts w:cs="Arial"/>
                <w:szCs w:val="20"/>
              </w:rPr>
              <w:t xml:space="preserve"> If the result is still greater than linearity, dilute 1:10 with saline, ensuring it is programmed correctly in the instrument software according to the procedure referenced above.</w:t>
            </w:r>
          </w:p>
          <w:p w14:paraId="0C806BEA" w14:textId="7B206213" w:rsidR="00387FF5" w:rsidRPr="001F27B3" w:rsidRDefault="00F84C8E" w:rsidP="00824C10">
            <w:pPr>
              <w:numPr>
                <w:ilvl w:val="0"/>
                <w:numId w:val="40"/>
              </w:numPr>
              <w:rPr>
                <w:rFonts w:cs="Arial"/>
                <w:szCs w:val="20"/>
              </w:rPr>
            </w:pPr>
            <w:r>
              <w:rPr>
                <w:rFonts w:cs="Arial"/>
                <w:szCs w:val="20"/>
              </w:rPr>
              <w:t xml:space="preserve">Results &gt; </w:t>
            </w:r>
            <w:r w:rsidR="001F27B3">
              <w:rPr>
                <w:rFonts w:cs="Arial"/>
                <w:szCs w:val="20"/>
              </w:rPr>
              <w:t>3775.0</w:t>
            </w:r>
            <w:r w:rsidR="00E47DE5">
              <w:rPr>
                <w:rFonts w:cs="Arial"/>
                <w:szCs w:val="20"/>
              </w:rPr>
              <w:t xml:space="preserve"> </w:t>
            </w:r>
            <w:r w:rsidR="001F27B3">
              <w:rPr>
                <w:rFonts w:cs="Arial"/>
                <w:szCs w:val="20"/>
              </w:rPr>
              <w:t>following 1:10 manual</w:t>
            </w:r>
            <w:r>
              <w:rPr>
                <w:rFonts w:cs="Arial"/>
                <w:szCs w:val="20"/>
              </w:rPr>
              <w:t xml:space="preserve"> dilution are reported as &gt; </w:t>
            </w:r>
            <w:r w:rsidR="001F27B3">
              <w:rPr>
                <w:rFonts w:cs="Arial"/>
                <w:szCs w:val="20"/>
              </w:rPr>
              <w:t>3775.0</w:t>
            </w:r>
            <w:r w:rsidRPr="00A166AA">
              <w:rPr>
                <w:rFonts w:cs="Arial"/>
                <w:szCs w:val="20"/>
              </w:rPr>
              <w:t>.</w:t>
            </w:r>
          </w:p>
          <w:p w14:paraId="5CD0003C" w14:textId="77777777" w:rsidR="00F83DB0" w:rsidRPr="00DC7421" w:rsidRDefault="00F83DB0" w:rsidP="001F27B3">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2F815AF0"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190525">
              <w:rPr>
                <w:rFonts w:cs="Arial"/>
                <w:szCs w:val="20"/>
              </w:rPr>
              <w:t xml:space="preserve"> Samples are retained 14</w:t>
            </w:r>
            <w:bookmarkStart w:id="0" w:name="_GoBack"/>
            <w:bookmarkEnd w:id="0"/>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14:paraId="631BDADE" w14:textId="77777777" w:rsidR="00E3253B" w:rsidRDefault="0030158E" w:rsidP="00B415C8">
            <w:pPr>
              <w:numPr>
                <w:ilvl w:val="0"/>
                <w:numId w:val="33"/>
              </w:numPr>
              <w:rPr>
                <w:rFonts w:cs="Arial"/>
                <w:szCs w:val="20"/>
              </w:rPr>
            </w:pPr>
            <w:proofErr w:type="spellStart"/>
            <w:r>
              <w:rPr>
                <w:rFonts w:cs="Arial"/>
                <w:szCs w:val="20"/>
              </w:rPr>
              <w:t>Sekure</w:t>
            </w:r>
            <w:proofErr w:type="spellEnd"/>
            <w:r>
              <w:rPr>
                <w:rFonts w:cs="Arial"/>
                <w:szCs w:val="20"/>
              </w:rPr>
              <w:t xml:space="preserve"> Chemistry Acetaminophen L3K Assay Instructions for Use, Sekisui Diagnostics, </w:t>
            </w:r>
            <w:proofErr w:type="spellStart"/>
            <w:r>
              <w:rPr>
                <w:rFonts w:cs="Arial"/>
                <w:szCs w:val="20"/>
              </w:rPr>
              <w:t>CharlottetownPE</w:t>
            </w:r>
            <w:proofErr w:type="spellEnd"/>
            <w:r>
              <w:rPr>
                <w:rFonts w:cs="Arial"/>
                <w:szCs w:val="20"/>
              </w:rPr>
              <w:t xml:space="preserve"> C1E Canada.  Revised August 30, 2019</w:t>
            </w:r>
          </w:p>
          <w:p w14:paraId="56133552" w14:textId="77777777" w:rsidR="0030158E" w:rsidRDefault="0030158E" w:rsidP="00B415C8">
            <w:pPr>
              <w:numPr>
                <w:ilvl w:val="0"/>
                <w:numId w:val="33"/>
              </w:numPr>
              <w:rPr>
                <w:rFonts w:cs="Arial"/>
                <w:szCs w:val="20"/>
              </w:rPr>
            </w:pPr>
            <w:r>
              <w:rPr>
                <w:rFonts w:cs="Arial"/>
                <w:szCs w:val="20"/>
              </w:rPr>
              <w:t>Sekisui Diagnostics Assay Configuration file for Alinity ci-series Application for Acetaminophen 507, Sekisui Diagnostics. Nov 6 2019</w:t>
            </w:r>
          </w:p>
          <w:p w14:paraId="7CFEC289" w14:textId="77777777" w:rsidR="0030158E" w:rsidRDefault="0030158E" w:rsidP="00B415C8">
            <w:pPr>
              <w:numPr>
                <w:ilvl w:val="0"/>
                <w:numId w:val="33"/>
              </w:numPr>
              <w:rPr>
                <w:rFonts w:cs="Arial"/>
                <w:szCs w:val="20"/>
              </w:rPr>
            </w:pPr>
            <w:r>
              <w:rPr>
                <w:rFonts w:cs="Arial"/>
                <w:szCs w:val="20"/>
              </w:rPr>
              <w:t xml:space="preserve">Bio-Rad Liquichek Immunoassay Plus Control Package Insert, Bio-Rad Laboratories, Irvine CA USA.  </w:t>
            </w:r>
          </w:p>
          <w:p w14:paraId="5CD00046" w14:textId="7071BAAB" w:rsidR="0030158E" w:rsidRPr="00DC7421" w:rsidRDefault="0030158E" w:rsidP="0030158E">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547A0139"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1326F388" w:rsidR="00F50200" w:rsidRPr="00DC7421" w:rsidRDefault="001F27B3">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1" w14:textId="0F7A34CF" w:rsidR="00F50200" w:rsidRPr="00DC7421" w:rsidRDefault="001F27B3">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2" w14:textId="25BA6779" w:rsidR="00F50200" w:rsidRPr="00DC7421" w:rsidRDefault="00824C10">
            <w:pPr>
              <w:rPr>
                <w:rFonts w:cs="Arial"/>
                <w:iCs/>
                <w:szCs w:val="20"/>
              </w:rPr>
            </w:pPr>
            <w:r w:rsidRPr="00DC7421">
              <w:rPr>
                <w:rFonts w:cs="Arial"/>
                <w:iCs/>
                <w:szCs w:val="20"/>
              </w:rPr>
              <w:t>Ne</w:t>
            </w:r>
            <w:r w:rsidR="001F27B3">
              <w:rPr>
                <w:rFonts w:cs="Arial"/>
                <w:iCs/>
                <w:szCs w:val="20"/>
              </w:rPr>
              <w:t>w Procedure for Abbott Alinity</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54D006D3" w:rsidR="00F50200" w:rsidRPr="00F84C8E" w:rsidRDefault="00F50200">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5CD00057" w14:textId="39B44BE3" w:rsidR="00F50200" w:rsidRPr="00F84C8E"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8" w14:textId="4BA2B1CE" w:rsidR="00F50200" w:rsidRPr="00F84C8E" w:rsidRDefault="00F50200">
            <w:pPr>
              <w:rPr>
                <w:rFonts w:cs="Arial"/>
                <w:iCs/>
                <w:szCs w:val="20"/>
              </w:rPr>
            </w:pPr>
          </w:p>
        </w:tc>
      </w:tr>
    </w:tbl>
    <w:p w14:paraId="5CD0005A" w14:textId="77777777" w:rsidR="00E3253B" w:rsidRPr="00BC1DCC" w:rsidRDefault="00E3253B" w:rsidP="007132A9">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190525">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190525">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2DE66752"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054ED5">
      <w:rPr>
        <w:rFonts w:cs="Arial"/>
      </w:rPr>
      <w:t>6.011 Acetaminophen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B166F28" w:rsidR="00B13C1A" w:rsidRDefault="00B13C1A">
    <w:pPr>
      <w:ind w:left="-1260" w:right="-1260"/>
      <w:rPr>
        <w:rFonts w:cs="Arial"/>
      </w:rPr>
    </w:pPr>
    <w:r>
      <w:rPr>
        <w:rFonts w:cs="Arial"/>
      </w:rPr>
      <w:t xml:space="preserve">Effective Date: </w:t>
    </w:r>
    <w:r w:rsidR="00054ED5">
      <w:rPr>
        <w:rFonts w:cs="Arial"/>
      </w:rPr>
      <w:t>10/28/2020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6176E8"/>
    <w:multiLevelType w:val="hybridMultilevel"/>
    <w:tmpl w:val="AA66B6C4"/>
    <w:lvl w:ilvl="0" w:tplc="35EC23B8">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5"/>
  </w:num>
  <w:num w:numId="3">
    <w:abstractNumId w:val="31"/>
  </w:num>
  <w:num w:numId="4">
    <w:abstractNumId w:val="35"/>
  </w:num>
  <w:num w:numId="5">
    <w:abstractNumId w:val="6"/>
  </w:num>
  <w:num w:numId="6">
    <w:abstractNumId w:val="11"/>
  </w:num>
  <w:num w:numId="7">
    <w:abstractNumId w:val="27"/>
  </w:num>
  <w:num w:numId="8">
    <w:abstractNumId w:val="22"/>
  </w:num>
  <w:num w:numId="9">
    <w:abstractNumId w:val="14"/>
  </w:num>
  <w:num w:numId="10">
    <w:abstractNumId w:val="3"/>
  </w:num>
  <w:num w:numId="11">
    <w:abstractNumId w:val="28"/>
  </w:num>
  <w:num w:numId="12">
    <w:abstractNumId w:val="9"/>
  </w:num>
  <w:num w:numId="13">
    <w:abstractNumId w:val="29"/>
  </w:num>
  <w:num w:numId="14">
    <w:abstractNumId w:val="37"/>
  </w:num>
  <w:num w:numId="15">
    <w:abstractNumId w:val="20"/>
  </w:num>
  <w:num w:numId="16">
    <w:abstractNumId w:val="1"/>
  </w:num>
  <w:num w:numId="17">
    <w:abstractNumId w:val="40"/>
  </w:num>
  <w:num w:numId="18">
    <w:abstractNumId w:val="12"/>
  </w:num>
  <w:num w:numId="19">
    <w:abstractNumId w:val="19"/>
  </w:num>
  <w:num w:numId="20">
    <w:abstractNumId w:val="26"/>
  </w:num>
  <w:num w:numId="21">
    <w:abstractNumId w:val="33"/>
  </w:num>
  <w:num w:numId="22">
    <w:abstractNumId w:val="38"/>
  </w:num>
  <w:num w:numId="23">
    <w:abstractNumId w:val="24"/>
  </w:num>
  <w:num w:numId="24">
    <w:abstractNumId w:val="7"/>
  </w:num>
  <w:num w:numId="25">
    <w:abstractNumId w:val="18"/>
  </w:num>
  <w:num w:numId="26">
    <w:abstractNumId w:val="13"/>
  </w:num>
  <w:num w:numId="27">
    <w:abstractNumId w:val="8"/>
  </w:num>
  <w:num w:numId="28">
    <w:abstractNumId w:val="23"/>
  </w:num>
  <w:num w:numId="29">
    <w:abstractNumId w:val="32"/>
  </w:num>
  <w:num w:numId="30">
    <w:abstractNumId w:val="30"/>
  </w:num>
  <w:num w:numId="31">
    <w:abstractNumId w:val="21"/>
  </w:num>
  <w:num w:numId="32">
    <w:abstractNumId w:val="17"/>
  </w:num>
  <w:num w:numId="33">
    <w:abstractNumId w:val="5"/>
  </w:num>
  <w:num w:numId="34">
    <w:abstractNumId w:val="36"/>
  </w:num>
  <w:num w:numId="35">
    <w:abstractNumId w:val="34"/>
  </w:num>
  <w:num w:numId="36">
    <w:abstractNumId w:val="16"/>
  </w:num>
  <w:num w:numId="37">
    <w:abstractNumId w:val="39"/>
  </w:num>
  <w:num w:numId="38">
    <w:abstractNumId w:val="0"/>
  </w:num>
  <w:num w:numId="39">
    <w:abstractNumId w:val="10"/>
  </w:num>
  <w:num w:numId="40">
    <w:abstractNumId w:val="2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54ED5"/>
    <w:rsid w:val="00064AD2"/>
    <w:rsid w:val="000A3E5A"/>
    <w:rsid w:val="000E63E3"/>
    <w:rsid w:val="001102B2"/>
    <w:rsid w:val="00115DD6"/>
    <w:rsid w:val="001241E4"/>
    <w:rsid w:val="00133A3C"/>
    <w:rsid w:val="0017089C"/>
    <w:rsid w:val="00190525"/>
    <w:rsid w:val="001A1584"/>
    <w:rsid w:val="001B58ED"/>
    <w:rsid w:val="001C1CFA"/>
    <w:rsid w:val="001C3DC6"/>
    <w:rsid w:val="001C641E"/>
    <w:rsid w:val="001D1786"/>
    <w:rsid w:val="001D284B"/>
    <w:rsid w:val="001F27B3"/>
    <w:rsid w:val="001F5D12"/>
    <w:rsid w:val="00233AA0"/>
    <w:rsid w:val="00234774"/>
    <w:rsid w:val="002462C0"/>
    <w:rsid w:val="00250A09"/>
    <w:rsid w:val="002527BB"/>
    <w:rsid w:val="00252F1D"/>
    <w:rsid w:val="002755B6"/>
    <w:rsid w:val="002A3FA3"/>
    <w:rsid w:val="002C12BF"/>
    <w:rsid w:val="002C29CB"/>
    <w:rsid w:val="002C3006"/>
    <w:rsid w:val="002E350C"/>
    <w:rsid w:val="002E718D"/>
    <w:rsid w:val="002F5C68"/>
    <w:rsid w:val="002F5F18"/>
    <w:rsid w:val="0030158E"/>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5342A"/>
    <w:rsid w:val="00461983"/>
    <w:rsid w:val="004735E9"/>
    <w:rsid w:val="00486653"/>
    <w:rsid w:val="004A698D"/>
    <w:rsid w:val="004B5D63"/>
    <w:rsid w:val="004C14CE"/>
    <w:rsid w:val="004C6A64"/>
    <w:rsid w:val="004E5200"/>
    <w:rsid w:val="00504F3B"/>
    <w:rsid w:val="005125A4"/>
    <w:rsid w:val="005665A7"/>
    <w:rsid w:val="00575F3F"/>
    <w:rsid w:val="005A7373"/>
    <w:rsid w:val="005B66A7"/>
    <w:rsid w:val="005C6F36"/>
    <w:rsid w:val="006200C0"/>
    <w:rsid w:val="00631AC9"/>
    <w:rsid w:val="00646E63"/>
    <w:rsid w:val="00655B61"/>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14DEC"/>
    <w:rsid w:val="00944DFA"/>
    <w:rsid w:val="009475C8"/>
    <w:rsid w:val="00950E15"/>
    <w:rsid w:val="00981A4A"/>
    <w:rsid w:val="00984816"/>
    <w:rsid w:val="009A1A3D"/>
    <w:rsid w:val="009B3DB8"/>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3D50"/>
    <w:rsid w:val="00B067D8"/>
    <w:rsid w:val="00B109AB"/>
    <w:rsid w:val="00B11633"/>
    <w:rsid w:val="00B13C1A"/>
    <w:rsid w:val="00B2749D"/>
    <w:rsid w:val="00B415C8"/>
    <w:rsid w:val="00B67D0D"/>
    <w:rsid w:val="00BB3F98"/>
    <w:rsid w:val="00BC1DCC"/>
    <w:rsid w:val="00BD0AE4"/>
    <w:rsid w:val="00BD0E0F"/>
    <w:rsid w:val="00BD3CED"/>
    <w:rsid w:val="00BD7F88"/>
    <w:rsid w:val="00C00B65"/>
    <w:rsid w:val="00C13C50"/>
    <w:rsid w:val="00CD06C7"/>
    <w:rsid w:val="00CE07E8"/>
    <w:rsid w:val="00CE16FB"/>
    <w:rsid w:val="00CF08A6"/>
    <w:rsid w:val="00D271B1"/>
    <w:rsid w:val="00D302B9"/>
    <w:rsid w:val="00D63C07"/>
    <w:rsid w:val="00D75850"/>
    <w:rsid w:val="00D955F6"/>
    <w:rsid w:val="00DC24D6"/>
    <w:rsid w:val="00DC7091"/>
    <w:rsid w:val="00DC7421"/>
    <w:rsid w:val="00DF5549"/>
    <w:rsid w:val="00DF6343"/>
    <w:rsid w:val="00E049CF"/>
    <w:rsid w:val="00E246BA"/>
    <w:rsid w:val="00E3253B"/>
    <w:rsid w:val="00E47DE5"/>
    <w:rsid w:val="00E55C7B"/>
    <w:rsid w:val="00E93074"/>
    <w:rsid w:val="00E96C36"/>
    <w:rsid w:val="00EA2B3F"/>
    <w:rsid w:val="00EA580E"/>
    <w:rsid w:val="00EA6A61"/>
    <w:rsid w:val="00EB4B6C"/>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 w:type="character" w:styleId="FollowedHyperlink">
    <w:name w:val="FollowedHyperlink"/>
    <w:basedOn w:val="DefaultParagraphFont"/>
    <w:uiPriority w:val="99"/>
    <w:semiHidden/>
    <w:unhideWhenUsed/>
    <w:rsid w:val="009B3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procedure/ch5.109-abbott-alinity-ci-operating-procedur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tarnet.childrenshc.org/References/labsop/chem/procedure/ch5.108-abbott-alinity-c-operating-procedure.pdf" TargetMode="External"/><Relationship Id="rId17" Type="http://schemas.openxmlformats.org/officeDocument/2006/relationships/hyperlink" Target="&#181;g/mL"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quality/ch-2.17-unity-real-time-qc-review-general-us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emergency-and-safet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microsoft.com/sharepoint.v3"/>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1848e11-9cf6-4ce4-877e-6837d2c2fa23"/>
    <ds:schemaRef ds:uri="199f0838-75a6-4f0c-9be1-f2c07140bccc"/>
    <ds:schemaRef ds:uri="http://schemas.microsoft.com/sharepoint/v3"/>
    <ds:schemaRef ds:uri="http://schemas.microsoft.com/sharepoint/v3/field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C651C00B-4A41-4E2E-BC77-096431C4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4174</TotalTime>
  <Pages>5</Pages>
  <Words>1622</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11562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10</cp:revision>
  <cp:lastPrinted>2020-04-15T15:00:00Z</cp:lastPrinted>
  <dcterms:created xsi:type="dcterms:W3CDTF">2020-10-24T13:57:00Z</dcterms:created>
  <dcterms:modified xsi:type="dcterms:W3CDTF">2020-12-16T14:25:00Z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