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050643AC" w:rsidR="006C5661" w:rsidRDefault="00BE2FA4">
            <w:pPr>
              <w:rPr>
                <w:rFonts w:cs="Arial"/>
                <w:b/>
                <w:bCs/>
                <w:color w:val="0000FF"/>
              </w:rPr>
            </w:pPr>
            <w:r>
              <w:rPr>
                <w:rFonts w:cs="Arial"/>
                <w:b/>
                <w:bCs/>
                <w:color w:val="0000FF"/>
                <w:sz w:val="36"/>
              </w:rPr>
              <w:t>AFP</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1FD4B34B" w:rsidR="00E3253B" w:rsidRDefault="00A34EE2" w:rsidP="00AD0E31">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7C384C">
              <w:rPr>
                <w:rStyle w:val="A7"/>
                <w:rFonts w:cs="Arial"/>
                <w:b w:val="0"/>
                <w:bCs w:val="0"/>
                <w:sz w:val="20"/>
                <w:szCs w:val="20"/>
              </w:rPr>
              <w:t>Alpha-fetoprotein</w:t>
            </w:r>
            <w:r w:rsidR="00DF6343">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AD0E31" w:rsidRPr="00AD0E31">
              <w:rPr>
                <w:rStyle w:val="A7"/>
                <w:rFonts w:cs="Arial"/>
                <w:b w:val="0"/>
                <w:bCs w:val="0"/>
                <w:sz w:val="20"/>
                <w:szCs w:val="20"/>
              </w:rPr>
              <w:t>The Alinity i AFP assay is a</w:t>
            </w:r>
            <w:r w:rsidR="00AD0E31">
              <w:rPr>
                <w:rStyle w:val="A7"/>
                <w:rFonts w:cs="Arial"/>
                <w:b w:val="0"/>
                <w:bCs w:val="0"/>
                <w:sz w:val="20"/>
                <w:szCs w:val="20"/>
              </w:rPr>
              <w:t xml:space="preserve"> chemiluminescent microparticle </w:t>
            </w:r>
            <w:r w:rsidR="00AD0E31" w:rsidRPr="00AD0E31">
              <w:rPr>
                <w:rStyle w:val="A7"/>
                <w:rFonts w:cs="Arial"/>
                <w:b w:val="0"/>
                <w:bCs w:val="0"/>
                <w:sz w:val="20"/>
                <w:szCs w:val="20"/>
              </w:rPr>
              <w:t>immunoassay (CMIA) used for the quan</w:t>
            </w:r>
            <w:r w:rsidR="00AD0E31">
              <w:rPr>
                <w:rStyle w:val="A7"/>
                <w:rFonts w:cs="Arial"/>
                <w:b w:val="0"/>
                <w:bCs w:val="0"/>
                <w:sz w:val="20"/>
                <w:szCs w:val="20"/>
              </w:rPr>
              <w:t xml:space="preserve">titative determination of </w:t>
            </w:r>
            <w:r w:rsidR="00AD0E31" w:rsidRPr="00AD0E31">
              <w:rPr>
                <w:rStyle w:val="A7"/>
                <w:rFonts w:cs="Arial"/>
                <w:b w:val="0"/>
                <w:bCs w:val="0"/>
                <w:sz w:val="20"/>
                <w:szCs w:val="20"/>
              </w:rPr>
              <w:t>alpha-fetoprotein (AFP</w:t>
            </w:r>
            <w:r w:rsidR="00AD0E31">
              <w:rPr>
                <w:rStyle w:val="A7"/>
                <w:rFonts w:cs="Arial"/>
                <w:b w:val="0"/>
                <w:bCs w:val="0"/>
                <w:sz w:val="20"/>
                <w:szCs w:val="20"/>
              </w:rPr>
              <w:t>) on the Alinity i analyzer in h</w:t>
            </w:r>
            <w:r w:rsidR="00AD0E31" w:rsidRPr="00AD0E31">
              <w:rPr>
                <w:rStyle w:val="A7"/>
                <w:rFonts w:cs="Arial"/>
                <w:b w:val="0"/>
                <w:bCs w:val="0"/>
                <w:sz w:val="20"/>
                <w:szCs w:val="20"/>
              </w:rPr>
              <w:t>uman serum or plasma to aid in</w:t>
            </w:r>
            <w:r w:rsidR="00AD0E31">
              <w:rPr>
                <w:rStyle w:val="A7"/>
                <w:rFonts w:cs="Arial"/>
                <w:b w:val="0"/>
                <w:bCs w:val="0"/>
                <w:sz w:val="20"/>
                <w:szCs w:val="20"/>
              </w:rPr>
              <w:t xml:space="preserve"> monitoring disease progression </w:t>
            </w:r>
            <w:r w:rsidR="00AD0E31" w:rsidRPr="00AD0E31">
              <w:rPr>
                <w:rStyle w:val="A7"/>
                <w:rFonts w:cs="Arial"/>
                <w:b w:val="0"/>
                <w:bCs w:val="0"/>
                <w:sz w:val="20"/>
                <w:szCs w:val="20"/>
              </w:rPr>
              <w:t>during the course of disease</w:t>
            </w:r>
            <w:r w:rsidR="00AD0E31">
              <w:rPr>
                <w:rStyle w:val="A7"/>
                <w:rFonts w:cs="Arial"/>
                <w:b w:val="0"/>
                <w:bCs w:val="0"/>
                <w:sz w:val="20"/>
                <w:szCs w:val="20"/>
              </w:rPr>
              <w:t xml:space="preserve"> and treatment of patients with </w:t>
            </w:r>
            <w:r w:rsidR="00AD0E31" w:rsidRPr="00AD0E31">
              <w:rPr>
                <w:rStyle w:val="A7"/>
                <w:rFonts w:cs="Arial"/>
                <w:b w:val="0"/>
                <w:bCs w:val="0"/>
                <w:sz w:val="20"/>
                <w:szCs w:val="20"/>
              </w:rPr>
              <w:t>nonseminomatous testicular cancer.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6079EE88" w:rsidR="001A1584" w:rsidRPr="001A1584" w:rsidRDefault="001A1584" w:rsidP="001A1584">
            <w:pPr>
              <w:rPr>
                <w:rFonts w:cs="Arial"/>
                <w:szCs w:val="20"/>
              </w:rPr>
            </w:pPr>
            <w:r w:rsidRPr="001A1584">
              <w:rPr>
                <w:rFonts w:cs="Arial"/>
                <w:szCs w:val="20"/>
              </w:rPr>
              <w:t>This procedure applies to all personnel responsible for operating the Abb</w:t>
            </w:r>
            <w:r w:rsidR="009666B7">
              <w:rPr>
                <w:rFonts w:cs="Arial"/>
                <w:szCs w:val="20"/>
              </w:rPr>
              <w:t>ott Alinity i</w:t>
            </w:r>
            <w:r w:rsidRPr="001A1584">
              <w:rPr>
                <w:rFonts w:cs="Arial"/>
                <w:szCs w:val="20"/>
              </w:rPr>
              <w:t xml:space="preserve">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7AEC99D" w14:textId="1B116862" w:rsidR="007C384C" w:rsidRPr="007C384C" w:rsidRDefault="007C384C" w:rsidP="007C384C">
            <w:pPr>
              <w:pStyle w:val="Header"/>
              <w:rPr>
                <w:rFonts w:cs="Arial"/>
                <w:color w:val="000000"/>
                <w:szCs w:val="20"/>
              </w:rPr>
            </w:pPr>
            <w:r w:rsidRPr="007C384C">
              <w:rPr>
                <w:rFonts w:cs="Arial"/>
                <w:color w:val="000000"/>
                <w:szCs w:val="20"/>
              </w:rPr>
              <w:t>This assay is a two-step immunoassay for the quantitative</w:t>
            </w:r>
            <w:r w:rsidR="002B7254">
              <w:rPr>
                <w:rFonts w:cs="Arial"/>
                <w:color w:val="000000"/>
                <w:szCs w:val="20"/>
              </w:rPr>
              <w:t xml:space="preserve"> </w:t>
            </w:r>
            <w:r w:rsidRPr="007C384C">
              <w:rPr>
                <w:rFonts w:cs="Arial"/>
                <w:color w:val="000000"/>
                <w:szCs w:val="20"/>
              </w:rPr>
              <w:t>determination of AFP in human serum, plasma and amniotic</w:t>
            </w:r>
            <w:r w:rsidR="002B7254">
              <w:rPr>
                <w:rFonts w:cs="Arial"/>
                <w:color w:val="000000"/>
                <w:szCs w:val="20"/>
              </w:rPr>
              <w:t xml:space="preserve"> </w:t>
            </w:r>
            <w:r w:rsidRPr="007C384C">
              <w:rPr>
                <w:rFonts w:cs="Arial"/>
                <w:color w:val="000000"/>
                <w:szCs w:val="20"/>
              </w:rPr>
              <w:t>fluid using chemiluminescent microparticle immunoassay (CMIA)</w:t>
            </w:r>
            <w:r w:rsidR="002B7254">
              <w:rPr>
                <w:rFonts w:cs="Arial"/>
                <w:color w:val="000000"/>
                <w:szCs w:val="20"/>
              </w:rPr>
              <w:t xml:space="preserve"> </w:t>
            </w:r>
            <w:r w:rsidRPr="007C384C">
              <w:rPr>
                <w:rFonts w:cs="Arial"/>
                <w:color w:val="000000"/>
                <w:szCs w:val="20"/>
              </w:rPr>
              <w:t>technology.</w:t>
            </w:r>
          </w:p>
          <w:p w14:paraId="3D58F952" w14:textId="4C082C15" w:rsidR="007C384C" w:rsidRDefault="007C384C" w:rsidP="007C384C">
            <w:pPr>
              <w:pStyle w:val="Header"/>
              <w:rPr>
                <w:rFonts w:cs="Arial"/>
                <w:color w:val="000000"/>
                <w:szCs w:val="20"/>
              </w:rPr>
            </w:pPr>
            <w:r w:rsidRPr="007C384C">
              <w:rPr>
                <w:rFonts w:cs="Arial"/>
                <w:color w:val="000000"/>
                <w:szCs w:val="20"/>
              </w:rPr>
              <w:t>Sample and anti-AFP coated paramagnetic microparticles are</w:t>
            </w:r>
            <w:r w:rsidR="002B7254">
              <w:rPr>
                <w:rFonts w:cs="Arial"/>
                <w:color w:val="000000"/>
                <w:szCs w:val="20"/>
              </w:rPr>
              <w:t xml:space="preserve"> </w:t>
            </w:r>
            <w:r w:rsidRPr="007C384C">
              <w:rPr>
                <w:rFonts w:cs="Arial"/>
                <w:color w:val="000000"/>
                <w:szCs w:val="20"/>
              </w:rPr>
              <w:t>combined and incubated. The AFP present in the sample binds to</w:t>
            </w:r>
            <w:r w:rsidR="002B7254">
              <w:rPr>
                <w:rFonts w:cs="Arial"/>
                <w:color w:val="000000"/>
                <w:szCs w:val="20"/>
              </w:rPr>
              <w:t xml:space="preserve"> </w:t>
            </w:r>
            <w:r w:rsidRPr="007C384C">
              <w:rPr>
                <w:rFonts w:cs="Arial"/>
                <w:color w:val="000000"/>
                <w:szCs w:val="20"/>
              </w:rPr>
              <w:t>the anti-AFP coated microparticles. The mixture is washed. Anti-AFP</w:t>
            </w:r>
            <w:r w:rsidR="002B7254">
              <w:rPr>
                <w:rFonts w:cs="Arial"/>
                <w:color w:val="000000"/>
                <w:szCs w:val="20"/>
              </w:rPr>
              <w:t xml:space="preserve"> </w:t>
            </w:r>
            <w:r w:rsidRPr="007C384C">
              <w:rPr>
                <w:rFonts w:cs="Arial"/>
                <w:color w:val="000000"/>
                <w:szCs w:val="20"/>
              </w:rPr>
              <w:t>acridinium-labeled conjugate is added to create a reaction mixture</w:t>
            </w:r>
            <w:r w:rsidR="002B7254">
              <w:rPr>
                <w:rFonts w:cs="Arial"/>
                <w:color w:val="000000"/>
                <w:szCs w:val="20"/>
              </w:rPr>
              <w:t xml:space="preserve"> </w:t>
            </w:r>
            <w:r w:rsidRPr="007C384C">
              <w:rPr>
                <w:rFonts w:cs="Arial"/>
                <w:color w:val="000000"/>
                <w:szCs w:val="20"/>
              </w:rPr>
              <w:t>and incubated. Following a wash cycle, Pre-Trigger and Trigger</w:t>
            </w:r>
            <w:r w:rsidR="002B7254">
              <w:rPr>
                <w:rFonts w:cs="Arial"/>
                <w:color w:val="000000"/>
                <w:szCs w:val="20"/>
              </w:rPr>
              <w:t xml:space="preserve"> </w:t>
            </w:r>
            <w:r w:rsidRPr="007C384C">
              <w:rPr>
                <w:rFonts w:cs="Arial"/>
                <w:color w:val="000000"/>
                <w:szCs w:val="20"/>
              </w:rPr>
              <w:t>Solutions are added.</w:t>
            </w:r>
          </w:p>
          <w:p w14:paraId="3DEF1193" w14:textId="77777777" w:rsidR="00AD0E31" w:rsidRPr="007C384C" w:rsidRDefault="00AD0E31" w:rsidP="007C384C">
            <w:pPr>
              <w:pStyle w:val="Header"/>
              <w:rPr>
                <w:rFonts w:cs="Arial"/>
                <w:color w:val="000000"/>
                <w:szCs w:val="20"/>
              </w:rPr>
            </w:pPr>
          </w:p>
          <w:p w14:paraId="401C7E3B" w14:textId="77777777" w:rsidR="00AF4023" w:rsidRDefault="007C384C" w:rsidP="002B7254">
            <w:pPr>
              <w:pStyle w:val="Header"/>
              <w:rPr>
                <w:rFonts w:cs="Arial"/>
                <w:color w:val="000000"/>
                <w:szCs w:val="20"/>
              </w:rPr>
            </w:pPr>
            <w:r w:rsidRPr="007C384C">
              <w:rPr>
                <w:rFonts w:cs="Arial"/>
                <w:color w:val="000000"/>
                <w:szCs w:val="20"/>
              </w:rPr>
              <w:t>The resulting chemiluminescent reaction is measured as relative light</w:t>
            </w:r>
            <w:r w:rsidR="002B7254">
              <w:rPr>
                <w:rFonts w:cs="Arial"/>
                <w:color w:val="000000"/>
                <w:szCs w:val="20"/>
              </w:rPr>
              <w:t xml:space="preserve"> </w:t>
            </w:r>
            <w:r w:rsidRPr="007C384C">
              <w:rPr>
                <w:rFonts w:cs="Arial"/>
                <w:color w:val="000000"/>
                <w:szCs w:val="20"/>
              </w:rPr>
              <w:t>units (RLUs). There is a direct relationship between the amount of</w:t>
            </w:r>
            <w:r w:rsidR="002B7254">
              <w:rPr>
                <w:rFonts w:cs="Arial"/>
                <w:color w:val="000000"/>
                <w:szCs w:val="20"/>
              </w:rPr>
              <w:t xml:space="preserve"> </w:t>
            </w:r>
            <w:r w:rsidRPr="007C384C">
              <w:rPr>
                <w:rFonts w:cs="Arial"/>
                <w:color w:val="000000"/>
                <w:szCs w:val="20"/>
              </w:rPr>
              <w:t>AFP in the sample and the RLUs detected by the system optics.</w:t>
            </w:r>
          </w:p>
          <w:p w14:paraId="0D97B39A" w14:textId="77777777" w:rsidR="00AF4023" w:rsidRDefault="002B7254" w:rsidP="002B7254">
            <w:pPr>
              <w:pStyle w:val="Header"/>
              <w:rPr>
                <w:rFonts w:cs="Arial"/>
                <w:color w:val="000000"/>
                <w:szCs w:val="20"/>
              </w:rPr>
            </w:pPr>
            <w:r>
              <w:rPr>
                <w:rFonts w:cs="Arial"/>
                <w:color w:val="000000"/>
                <w:szCs w:val="20"/>
              </w:rPr>
              <w:t xml:space="preserve"> </w:t>
            </w:r>
          </w:p>
          <w:p w14:paraId="009DC341" w14:textId="77777777" w:rsidR="006C5661" w:rsidRDefault="007C384C" w:rsidP="002B7254">
            <w:pPr>
              <w:pStyle w:val="Header"/>
              <w:rPr>
                <w:rFonts w:cs="Arial"/>
                <w:color w:val="000000"/>
                <w:szCs w:val="20"/>
              </w:rPr>
            </w:pPr>
            <w:r w:rsidRPr="007C384C">
              <w:rPr>
                <w:rFonts w:cs="Arial"/>
                <w:color w:val="000000"/>
                <w:szCs w:val="20"/>
              </w:rPr>
              <w:t>For additional information on system and assay technology, refer to</w:t>
            </w:r>
            <w:r w:rsidR="002B7254">
              <w:rPr>
                <w:rFonts w:cs="Arial"/>
                <w:color w:val="000000"/>
                <w:szCs w:val="20"/>
              </w:rPr>
              <w:t xml:space="preserve"> </w:t>
            </w:r>
            <w:r w:rsidRPr="007C384C">
              <w:rPr>
                <w:rFonts w:cs="Arial"/>
                <w:color w:val="000000"/>
                <w:szCs w:val="20"/>
              </w:rPr>
              <w:t>the Alinity ci-series Operations Manual, Section 3.</w:t>
            </w:r>
          </w:p>
          <w:p w14:paraId="5CCFFF81" w14:textId="0FD1D9D0" w:rsidR="00AF4023" w:rsidRPr="00DC7421" w:rsidRDefault="00AF4023" w:rsidP="002B7254">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37BE2BBF" w14:textId="7B8E5434" w:rsidR="002462C0" w:rsidRDefault="00FA0EBB" w:rsidP="00FA0EBB">
            <w:r w:rsidRPr="00FA0EBB">
              <w:t>The discovery of alpha-fetoprotein (AFP) in fetal serum was first</w:t>
            </w:r>
            <w:r w:rsidR="002B7254">
              <w:t xml:space="preserve"> </w:t>
            </w:r>
            <w:r w:rsidRPr="00FA0EBB">
              <w:t>recorded by Bergstrand and Czar in 1956.1 Alpha-fetoprotein is a</w:t>
            </w:r>
            <w:r w:rsidR="002B7254">
              <w:t xml:space="preserve"> </w:t>
            </w:r>
            <w:r w:rsidRPr="00FA0EBB">
              <w:t>single polypeptide chain glycoprotein with a molecular weight of</w:t>
            </w:r>
            <w:r w:rsidR="002B7254">
              <w:t xml:space="preserve"> </w:t>
            </w:r>
            <w:r w:rsidRPr="00FA0EBB">
              <w:t>approximately 70 000 daltons. The physicochemical properties and</w:t>
            </w:r>
            <w:r w:rsidR="002B7254">
              <w:t xml:space="preserve"> </w:t>
            </w:r>
            <w:r w:rsidRPr="00FA0EBB">
              <w:t>amino acid composition are s</w:t>
            </w:r>
            <w:r w:rsidR="002B7254">
              <w:t xml:space="preserve">imilar to those of albumin. </w:t>
            </w:r>
            <w:r w:rsidRPr="00FA0EBB">
              <w:t>Synthesis</w:t>
            </w:r>
            <w:r w:rsidR="002B7254">
              <w:t xml:space="preserve"> </w:t>
            </w:r>
            <w:r w:rsidRPr="00FA0EBB">
              <w:t>of AFP occurs primarily in the liver and yolk sac of the fetus. It</w:t>
            </w:r>
            <w:r w:rsidR="002B7254">
              <w:t xml:space="preserve"> </w:t>
            </w:r>
            <w:r w:rsidRPr="00FA0EBB">
              <w:t>is secreted into fetal serum, reaching a peak at about 13 weeks</w:t>
            </w:r>
            <w:r w:rsidR="002B7254">
              <w:t xml:space="preserve"> </w:t>
            </w:r>
            <w:r w:rsidRPr="00FA0EBB">
              <w:t>gestation and gradually declining thereafter. Elevated serum AFP</w:t>
            </w:r>
            <w:r w:rsidR="002B7254">
              <w:t xml:space="preserve"> </w:t>
            </w:r>
            <w:r w:rsidRPr="00FA0EBB">
              <w:t>levels subsequently reappear during pregnancy and in conjunction</w:t>
            </w:r>
            <w:r w:rsidR="002B7254">
              <w:t xml:space="preserve"> </w:t>
            </w:r>
            <w:r w:rsidRPr="00FA0EBB">
              <w:t>with several malignant diseases.</w:t>
            </w:r>
          </w:p>
          <w:p w14:paraId="02C2A7C8" w14:textId="77777777" w:rsidR="00EA7AC9" w:rsidRPr="00EA7AC9" w:rsidRDefault="00EA7AC9" w:rsidP="00EA7AC9"/>
          <w:tbl>
            <w:tblPr>
              <w:tblW w:w="0" w:type="auto"/>
              <w:tblBorders>
                <w:top w:val="nil"/>
                <w:left w:val="nil"/>
                <w:bottom w:val="nil"/>
                <w:right w:val="nil"/>
              </w:tblBorders>
              <w:tblLayout w:type="fixed"/>
              <w:tblLook w:val="0000" w:firstRow="0" w:lastRow="0" w:firstColumn="0" w:lastColumn="0" w:noHBand="0" w:noVBand="0"/>
            </w:tblPr>
            <w:tblGrid>
              <w:gridCol w:w="8679"/>
            </w:tblGrid>
            <w:tr w:rsidR="00EA7AC9" w:rsidRPr="00EA7AC9" w14:paraId="601A7A09" w14:textId="77777777">
              <w:trPr>
                <w:trHeight w:val="2739"/>
              </w:trPr>
              <w:tc>
                <w:tcPr>
                  <w:tcW w:w="8679" w:type="dxa"/>
                </w:tcPr>
                <w:p w14:paraId="00AB55A3" w14:textId="77777777" w:rsidR="00EA7AC9" w:rsidRPr="00EA7AC9" w:rsidRDefault="00EA7AC9" w:rsidP="00EA7AC9">
                  <w:r w:rsidRPr="00EA7AC9">
                    <w:t xml:space="preserve"> </w:t>
                  </w:r>
                  <w:r w:rsidRPr="00EA7AC9">
                    <w:rPr>
                      <w:b/>
                      <w:bCs/>
                    </w:rPr>
                    <w:t xml:space="preserve">Cancer Management </w:t>
                  </w:r>
                </w:p>
                <w:p w14:paraId="4801079D" w14:textId="77777777" w:rsidR="00EA7AC9" w:rsidRDefault="00EA7AC9" w:rsidP="00EA7AC9">
                  <w:r w:rsidRPr="00EA7AC9">
                    <w:t xml:space="preserve">Alpha-fetoprotein (AFP) was first described as a human tumor-associated protein in 1964 by Tatarinov. Since then, it has been shown that elevation of serum AFP above values typically found in healthy individuals occurs in several malignant diseases, most notably nonseminomatous testicular cancer and primary hepatocellular carcinoma. In the case of nonseminomatous testicular cancer, a direct relationship has been observed between the incidence of elevated AFP levels and the stage of disease. Elevated AFP levels have also been observed in patients diagnosed as having seminoma with nonseminomatous elements but have not been observed in patients with pure seminoma. Human chorionic gonadotropin (hCG) and AFP are also important prognostic indicators of survival rate among patients with advanced nonseminomatous germ cell testicular tumors. The usefulness of AFP measurements in the management of patients with nonseminomatous testicular cancers has been well documented. For patients in clinical remission following treatment, AFP levels generally decrease. Post-operative AFP values which fail to return to normal strongly suggest the presence of residual tumor. Tumor recurrence is often accompanied by a rise in AFP before progressive disease is clinically evident. Greater than 70% of patients with primary hepatocellular carcinoma have been reported to have elevated levels of serum AFP. </w:t>
                  </w:r>
                </w:p>
                <w:p w14:paraId="1781F944" w14:textId="77777777" w:rsidR="00AD0E31" w:rsidRPr="00EA7AC9" w:rsidRDefault="00AD0E31" w:rsidP="00EA7AC9"/>
                <w:p w14:paraId="27A469DB" w14:textId="77777777" w:rsidR="00EA7AC9" w:rsidRDefault="00EA7AC9" w:rsidP="00EA7AC9">
                  <w:r w:rsidRPr="00EA7AC9">
                    <w:t xml:space="preserve">Elevated AFP levels have occasionally been found in association with gastrointestinal tract cancers with and without liver metastases and only rarely in other malignancies. Serum AFP has been found to be elevated during pregnancy, in diseases such as ataxia telangiectasia, hereditary tyrosinemia, </w:t>
                  </w:r>
                  <w:proofErr w:type="gramStart"/>
                  <w:r w:rsidRPr="00EA7AC9">
                    <w:t>teratocarcinoma</w:t>
                  </w:r>
                  <w:proofErr w:type="gramEnd"/>
                  <w:r w:rsidRPr="00EA7AC9">
                    <w:t xml:space="preserve"> and in benign hepatic conditions such as acute viral hepatitis, chronic active hepatitis and cirrhosis. Elevation of serum AFP in benign hepatic diseases is usually transient. AFP testing is not recommended as a screening procedure to detect cancer in the general population. </w:t>
                  </w:r>
                </w:p>
                <w:p w14:paraId="6A8DE1C0" w14:textId="77777777" w:rsidR="009666B7" w:rsidRPr="00EA7AC9" w:rsidRDefault="009666B7" w:rsidP="00EA7AC9"/>
              </w:tc>
            </w:tr>
          </w:tbl>
          <w:p w14:paraId="5CCFFF86" w14:textId="14776031" w:rsidR="00EA7AC9" w:rsidRPr="00370B0F" w:rsidRDefault="00EA7AC9" w:rsidP="00FA0EBB"/>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lastRenderedPageBreak/>
              <w:t>Analyzer</w:t>
            </w:r>
          </w:p>
        </w:tc>
        <w:tc>
          <w:tcPr>
            <w:tcW w:w="9360" w:type="dxa"/>
            <w:gridSpan w:val="4"/>
            <w:tcBorders>
              <w:top w:val="single" w:sz="18" w:space="0" w:color="BFBFBF"/>
              <w:left w:val="nil"/>
              <w:bottom w:val="single" w:sz="18" w:space="0" w:color="BFBFBF"/>
              <w:right w:val="nil"/>
            </w:tcBorders>
          </w:tcPr>
          <w:p w14:paraId="5CBF0BF3" w14:textId="24DAFE7C" w:rsidR="006200C0" w:rsidRPr="00DC7421" w:rsidRDefault="009666B7" w:rsidP="006200C0">
            <w:pPr>
              <w:autoSpaceDE w:val="0"/>
              <w:autoSpaceDN w:val="0"/>
              <w:adjustRightInd w:val="0"/>
              <w:rPr>
                <w:rFonts w:cs="Arial"/>
                <w:bCs/>
                <w:szCs w:val="20"/>
              </w:rPr>
            </w:pPr>
            <w:r>
              <w:rPr>
                <w:rFonts w:cs="Arial"/>
                <w:b/>
                <w:bCs/>
                <w:color w:val="7030A0"/>
                <w:szCs w:val="20"/>
              </w:rPr>
              <w:t>Minneapolis: Abbott Alinity i (Sunquest method code: MACI</w:t>
            </w:r>
            <w:r w:rsidR="006200C0">
              <w:rPr>
                <w:rFonts w:cs="Arial"/>
                <w:b/>
                <w:bCs/>
                <w:color w:val="7030A0"/>
                <w:szCs w:val="20"/>
              </w:rPr>
              <w:t>)</w:t>
            </w:r>
          </w:p>
          <w:p w14:paraId="5CCFFF89" w14:textId="3D05FC6B" w:rsidR="006200C0" w:rsidRPr="00DC7421" w:rsidRDefault="009666B7" w:rsidP="00EA7AC9">
            <w:pPr>
              <w:pStyle w:val="BodyText2"/>
              <w:spacing w:after="60" w:line="240" w:lineRule="auto"/>
              <w:rPr>
                <w:rFonts w:cs="Arial"/>
                <w:b/>
                <w:bCs/>
                <w:color w:val="7030A0"/>
                <w:szCs w:val="20"/>
              </w:rPr>
            </w:pPr>
            <w:r>
              <w:rPr>
                <w:rFonts w:cs="Arial"/>
                <w:b/>
                <w:bCs/>
                <w:color w:val="984806" w:themeColor="accent6" w:themeShade="80"/>
                <w:szCs w:val="20"/>
              </w:rPr>
              <w:t>Backup: MML</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6E49FE0F" w:rsidR="009666B7" w:rsidRPr="00AF4023" w:rsidRDefault="009666B7" w:rsidP="00504F3B">
            <w:pPr>
              <w:rPr>
                <w:b/>
              </w:rPr>
            </w:pPr>
            <w:r w:rsidRPr="00AF4023">
              <w:rPr>
                <w:b/>
              </w:rPr>
              <w:t>AFPR</w:t>
            </w:r>
          </w:p>
        </w:tc>
      </w:tr>
      <w:tr w:rsidR="00E3253B" w14:paraId="5CCFFFA3" w14:textId="77777777" w:rsidTr="007132A9">
        <w:trPr>
          <w:tblHeader/>
        </w:trPr>
        <w:tc>
          <w:tcPr>
            <w:tcW w:w="1800" w:type="dxa"/>
            <w:tcBorders>
              <w:top w:val="nil"/>
              <w:left w:val="nil"/>
              <w:bottom w:val="nil"/>
              <w:right w:val="nil"/>
            </w:tcBorders>
          </w:tcPr>
          <w:p w14:paraId="5CCFFF8E" w14:textId="45F54AF9" w:rsidR="00E3253B" w:rsidRPr="00C00B65" w:rsidRDefault="00E3253B">
            <w:pPr>
              <w:rPr>
                <w:rFonts w:cs="Arial"/>
                <w:b/>
                <w:bCs/>
                <w:color w:val="0000FF"/>
                <w:szCs w:val="20"/>
              </w:rPr>
            </w:pPr>
            <w:r w:rsidRPr="00C00B65">
              <w:rPr>
                <w:rFonts w:cs="Arial"/>
                <w:b/>
                <w:bCs/>
                <w:color w:val="0000FF"/>
                <w:szCs w:val="20"/>
              </w:rPr>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34021B1C" w14:textId="16A68EA7" w:rsidR="00981A4A" w:rsidRPr="00EA7AC9" w:rsidRDefault="00E93074">
            <w:pPr>
              <w:rPr>
                <w:rFonts w:cs="Arial"/>
                <w:color w:val="00000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9666B7">
              <w:rPr>
                <w:rFonts w:cs="Arial"/>
                <w:color w:val="000000"/>
                <w:szCs w:val="20"/>
              </w:rPr>
              <w:t>Serum or SST</w:t>
            </w:r>
          </w:p>
          <w:p w14:paraId="60FE11B0" w14:textId="43C16211" w:rsidR="0017089C" w:rsidRPr="009475C8" w:rsidRDefault="0017089C">
            <w:pPr>
              <w:rPr>
                <w:rFonts w:cs="Arial"/>
                <w:b/>
                <w:szCs w:val="20"/>
              </w:rPr>
            </w:pPr>
            <w:r w:rsidRPr="009475C8">
              <w:rPr>
                <w:rFonts w:cs="Arial"/>
                <w:b/>
                <w:szCs w:val="20"/>
              </w:rPr>
              <w:t>Alternative:</w:t>
            </w:r>
            <w:r w:rsidR="00EA7AC9">
              <w:rPr>
                <w:rFonts w:cs="Arial"/>
                <w:b/>
                <w:szCs w:val="20"/>
              </w:rPr>
              <w:t xml:space="preserve"> Lithium heparin or sodium heparin</w:t>
            </w:r>
          </w:p>
          <w:p w14:paraId="34F12611" w14:textId="77777777" w:rsidR="0017089C" w:rsidRPr="00DC7421" w:rsidRDefault="0017089C">
            <w:pPr>
              <w:rPr>
                <w:rFonts w:cs="Arial"/>
                <w:szCs w:val="20"/>
              </w:rPr>
            </w:pPr>
          </w:p>
          <w:p w14:paraId="5CCFFF96" w14:textId="2B1FF87F"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7F3BF1">
              <w:rPr>
                <w:rFonts w:ascii="Arial" w:hAnsi="Arial" w:cs="Arial"/>
                <w:bCs/>
                <w:sz w:val="20"/>
                <w:szCs w:val="20"/>
              </w:rPr>
              <w:t>0.6 mL blood, 0.2 mL serum</w:t>
            </w:r>
          </w:p>
          <w:p w14:paraId="5CCFFF97" w14:textId="77777777" w:rsidR="00E3253B" w:rsidRPr="00DC7421" w:rsidRDefault="00E3253B">
            <w:pPr>
              <w:rPr>
                <w:rFonts w:cs="Arial"/>
                <w:szCs w:val="20"/>
              </w:rPr>
            </w:pPr>
          </w:p>
          <w:p w14:paraId="3DC60522" w14:textId="77777777" w:rsidR="00BD0AE4" w:rsidRPr="00AD0E31" w:rsidRDefault="009A1A3D">
            <w:pPr>
              <w:pStyle w:val="Header"/>
              <w:tabs>
                <w:tab w:val="clear" w:pos="4320"/>
                <w:tab w:val="clear" w:pos="8640"/>
              </w:tabs>
              <w:rPr>
                <w:rFonts w:cs="Arial"/>
                <w:szCs w:val="20"/>
              </w:rPr>
            </w:pPr>
            <w:r w:rsidRPr="00AD0E31">
              <w:rPr>
                <w:rFonts w:cs="Arial"/>
                <w:b/>
                <w:bCs/>
                <w:szCs w:val="20"/>
              </w:rPr>
              <w:t>Stability when separated from cells/gel:</w:t>
            </w:r>
            <w:r w:rsidR="00504F3B" w:rsidRPr="00AD0E31">
              <w:rPr>
                <w:rFonts w:cs="Arial"/>
                <w:szCs w:val="20"/>
              </w:rPr>
              <w:t xml:space="preserve"> </w:t>
            </w:r>
          </w:p>
          <w:p w14:paraId="10B93C4E" w14:textId="1C503D0F" w:rsidR="0017089C" w:rsidRPr="00AD0E31" w:rsidRDefault="0017089C">
            <w:pPr>
              <w:pStyle w:val="Header"/>
              <w:tabs>
                <w:tab w:val="clear" w:pos="4320"/>
                <w:tab w:val="clear" w:pos="8640"/>
              </w:tabs>
              <w:rPr>
                <w:rFonts w:cs="Arial"/>
                <w:b/>
                <w:szCs w:val="20"/>
              </w:rPr>
            </w:pPr>
            <w:r w:rsidRPr="00AD0E31">
              <w:rPr>
                <w:rFonts w:cs="Arial"/>
                <w:b/>
                <w:szCs w:val="20"/>
              </w:rPr>
              <w:t>20 to 25°C</w:t>
            </w:r>
            <w:r w:rsidR="00416DE0" w:rsidRPr="00AD0E31">
              <w:rPr>
                <w:rFonts w:cs="Arial"/>
                <w:b/>
                <w:szCs w:val="20"/>
              </w:rPr>
              <w:t>- 3 days</w:t>
            </w:r>
            <w:r w:rsidR="00437425" w:rsidRPr="00AD0E31">
              <w:rPr>
                <w:rFonts w:cs="Arial"/>
                <w:b/>
                <w:szCs w:val="20"/>
              </w:rPr>
              <w:tab/>
            </w:r>
          </w:p>
          <w:p w14:paraId="5CCFFF99" w14:textId="248D0E03" w:rsidR="00E3253B" w:rsidRPr="00AD0E31" w:rsidRDefault="00BD0AE4">
            <w:pPr>
              <w:pStyle w:val="Header"/>
              <w:tabs>
                <w:tab w:val="clear" w:pos="4320"/>
                <w:tab w:val="clear" w:pos="8640"/>
              </w:tabs>
              <w:rPr>
                <w:rFonts w:cs="Arial"/>
                <w:b/>
                <w:szCs w:val="20"/>
              </w:rPr>
            </w:pPr>
            <w:r w:rsidRPr="00AD0E31">
              <w:rPr>
                <w:rFonts w:cs="Arial"/>
                <w:b/>
                <w:szCs w:val="20"/>
              </w:rPr>
              <w:t>2 to 8°C</w:t>
            </w:r>
            <w:r w:rsidR="00416DE0" w:rsidRPr="00AD0E31">
              <w:rPr>
                <w:rFonts w:cs="Arial"/>
                <w:b/>
                <w:szCs w:val="20"/>
              </w:rPr>
              <w:t>- 7 days</w:t>
            </w:r>
            <w:r w:rsidR="00437425" w:rsidRPr="00AD0E31">
              <w:rPr>
                <w:rFonts w:cs="Arial"/>
                <w:b/>
                <w:szCs w:val="20"/>
              </w:rPr>
              <w:tab/>
            </w:r>
          </w:p>
          <w:p w14:paraId="594E4A3A" w14:textId="0F2ACC2F" w:rsidR="00BD0AE4" w:rsidRDefault="00BD0AE4">
            <w:pPr>
              <w:pStyle w:val="Header"/>
              <w:tabs>
                <w:tab w:val="clear" w:pos="4320"/>
                <w:tab w:val="clear" w:pos="8640"/>
              </w:tabs>
              <w:rPr>
                <w:rFonts w:cs="Arial"/>
                <w:szCs w:val="20"/>
              </w:rPr>
            </w:pPr>
            <w:r w:rsidRPr="00AD0E31">
              <w:rPr>
                <w:rFonts w:cs="Arial"/>
                <w:b/>
                <w:szCs w:val="20"/>
              </w:rPr>
              <w:t>-20°C</w:t>
            </w:r>
            <w:r w:rsidR="00416DE0" w:rsidRPr="00AD0E31">
              <w:rPr>
                <w:rFonts w:cs="Arial"/>
                <w:szCs w:val="20"/>
              </w:rPr>
              <w:t xml:space="preserve">- </w:t>
            </w:r>
            <w:r w:rsidR="009666B7" w:rsidRPr="00AD0E31">
              <w:rPr>
                <w:rFonts w:cs="Arial"/>
                <w:szCs w:val="20"/>
              </w:rPr>
              <w:t>7 days.  A</w:t>
            </w:r>
            <w:r w:rsidR="00416DE0" w:rsidRPr="00AD0E31">
              <w:rPr>
                <w:rFonts w:cs="Arial"/>
                <w:szCs w:val="20"/>
              </w:rPr>
              <w:t>void more than 5 freeze/thaw cycles</w:t>
            </w:r>
            <w:r w:rsidR="00437425" w:rsidRPr="00416DE0">
              <w:rPr>
                <w:rFonts w:cs="Arial"/>
                <w:sz w:val="24"/>
              </w:rPr>
              <w:tab/>
            </w:r>
          </w:p>
          <w:p w14:paraId="1787D068" w14:textId="77777777" w:rsidR="00BD0AE4" w:rsidRPr="00DC7421" w:rsidRDefault="00BD0AE4">
            <w:pPr>
              <w:pStyle w:val="Header"/>
              <w:tabs>
                <w:tab w:val="clear" w:pos="4320"/>
                <w:tab w:val="clear" w:pos="8640"/>
              </w:tabs>
              <w:rPr>
                <w:rFonts w:cs="Arial"/>
                <w:szCs w:val="20"/>
              </w:rPr>
            </w:pPr>
          </w:p>
          <w:p w14:paraId="7AA72EE8" w14:textId="77777777" w:rsidR="00EA7AC9" w:rsidRDefault="00E3253B" w:rsidP="00EA7AC9">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r w:rsidR="00EA7AC9">
              <w:rPr>
                <w:rFonts w:cs="Arial"/>
                <w:szCs w:val="20"/>
              </w:rPr>
              <w:t>.</w:t>
            </w:r>
            <w:r w:rsidR="00EA7AC9" w:rsidRPr="00EA7AC9">
              <w:rPr>
                <w:rFonts w:ascii="HelenPro-Regular" w:eastAsia="HelenPro-Regular" w:hAnsi="Times New Roman" w:cs="HelenPro-Regular"/>
                <w:sz w:val="17"/>
                <w:szCs w:val="17"/>
              </w:rPr>
              <w:t xml:space="preserve"> </w:t>
            </w:r>
          </w:p>
          <w:p w14:paraId="56B8965C" w14:textId="1FD8ECA4" w:rsidR="00EA7AC9" w:rsidRPr="00EA7AC9" w:rsidRDefault="00EA7AC9" w:rsidP="00EA7AC9">
            <w:pPr>
              <w:rPr>
                <w:rFonts w:cs="Arial"/>
                <w:szCs w:val="20"/>
              </w:rPr>
            </w:pPr>
            <w:r>
              <w:rPr>
                <w:rFonts w:cs="Arial"/>
                <w:szCs w:val="20"/>
              </w:rPr>
              <w:t>H</w:t>
            </w:r>
            <w:r w:rsidRPr="00EA7AC9">
              <w:rPr>
                <w:rFonts w:cs="Arial"/>
                <w:szCs w:val="20"/>
              </w:rPr>
              <w:t>eat-inactivated specimens</w:t>
            </w:r>
          </w:p>
          <w:p w14:paraId="026D1F9E" w14:textId="2F1C674D" w:rsidR="00EA7AC9" w:rsidRPr="00EA7AC9" w:rsidRDefault="00EA7AC9" w:rsidP="00EA7AC9">
            <w:pPr>
              <w:rPr>
                <w:rFonts w:cs="Arial"/>
                <w:szCs w:val="20"/>
              </w:rPr>
            </w:pPr>
            <w:r>
              <w:rPr>
                <w:rFonts w:cs="Arial"/>
                <w:szCs w:val="20"/>
              </w:rPr>
              <w:t>P</w:t>
            </w:r>
            <w:r w:rsidRPr="00EA7AC9">
              <w:rPr>
                <w:rFonts w:cs="Arial"/>
                <w:szCs w:val="20"/>
              </w:rPr>
              <w:t>ooled specimens</w:t>
            </w:r>
          </w:p>
          <w:p w14:paraId="2F629BDC" w14:textId="6633AD8A" w:rsidR="00EA7AC9" w:rsidRPr="00EA7AC9" w:rsidRDefault="00EA7AC9" w:rsidP="00EA7AC9">
            <w:pPr>
              <w:rPr>
                <w:rFonts w:cs="Arial"/>
                <w:szCs w:val="20"/>
              </w:rPr>
            </w:pPr>
            <w:r>
              <w:rPr>
                <w:rFonts w:cs="Arial" w:hint="eastAsia"/>
                <w:szCs w:val="20"/>
              </w:rPr>
              <w:t>G</w:t>
            </w:r>
            <w:r w:rsidRPr="00EA7AC9">
              <w:rPr>
                <w:rFonts w:cs="Arial"/>
                <w:szCs w:val="20"/>
              </w:rPr>
              <w:t>rossly hemolyzed specimens</w:t>
            </w:r>
          </w:p>
          <w:p w14:paraId="5CCFFF9A" w14:textId="3E34C6F1" w:rsidR="00E3253B" w:rsidRPr="00DC7421" w:rsidRDefault="00EA7AC9" w:rsidP="00EA7AC9">
            <w:pPr>
              <w:rPr>
                <w:rFonts w:cs="Arial"/>
                <w:szCs w:val="20"/>
              </w:rPr>
            </w:pPr>
            <w:r>
              <w:rPr>
                <w:rFonts w:cs="Arial" w:hint="eastAsia"/>
                <w:szCs w:val="20"/>
              </w:rPr>
              <w:t>S</w:t>
            </w:r>
            <w:r w:rsidRPr="00EA7AC9">
              <w:rPr>
                <w:rFonts w:cs="Arial"/>
                <w:szCs w:val="20"/>
              </w:rPr>
              <w:t>pecimens with obvious microbial contamination</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5CCFFF9D" w14:textId="37D3FC8A"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w:t>
            </w:r>
            <w:r w:rsidR="00A9779B">
              <w:rPr>
                <w:rFonts w:cs="Arial"/>
                <w:szCs w:val="20"/>
              </w:rPr>
              <w:t>llowing complete clot formation</w:t>
            </w:r>
            <w:r w:rsidRPr="00DC7421">
              <w:rPr>
                <w:rFonts w:cs="Arial"/>
                <w:szCs w:val="20"/>
              </w:rPr>
              <w:t xml:space="preserve"> according to Specimen Processing procedures prior to analysis.</w:t>
            </w:r>
          </w:p>
          <w:p w14:paraId="5CCFFF9E" w14:textId="77777777"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14:paraId="5CCFFF9F" w14:textId="77777777"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14:paraId="5CCFFFA0" w14:textId="0B32F4EF"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w:t>
            </w:r>
            <w:r w:rsidR="00AD0E31">
              <w:rPr>
                <w:rFonts w:cs="Arial"/>
                <w:szCs w:val="20"/>
              </w:rPr>
              <w:t xml:space="preserve">abeled pilot tube. </w:t>
            </w:r>
            <w:r w:rsidR="00A002D3" w:rsidRPr="00DC7421">
              <w:rPr>
                <w:rFonts w:cs="Arial"/>
                <w:szCs w:val="20"/>
              </w:rPr>
              <w:t xml:space="preserve">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14:paraId="5CCFFFA1" w14:textId="77777777"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22E82174" w14:textId="423054E4" w:rsidR="007B410A" w:rsidRPr="00DC7421" w:rsidRDefault="007B410A" w:rsidP="007B410A">
            <w:pPr>
              <w:autoSpaceDE w:val="0"/>
              <w:autoSpaceDN w:val="0"/>
              <w:adjustRightInd w:val="0"/>
              <w:rPr>
                <w:rFonts w:cs="Arial"/>
                <w:bCs/>
                <w:szCs w:val="20"/>
              </w:rPr>
            </w:pPr>
          </w:p>
          <w:p w14:paraId="24A18313" w14:textId="3196A40F" w:rsidR="00AD0E31" w:rsidRPr="00AD0E31" w:rsidRDefault="00AD0E31" w:rsidP="00AD0E31">
            <w:pPr>
              <w:autoSpaceDE w:val="0"/>
              <w:autoSpaceDN w:val="0"/>
              <w:adjustRightInd w:val="0"/>
              <w:spacing w:after="208"/>
              <w:rPr>
                <w:rFonts w:cs="Arial"/>
                <w:color w:val="000000"/>
                <w:szCs w:val="20"/>
              </w:rPr>
            </w:pPr>
            <w:r w:rsidRPr="00AD0E31">
              <w:rPr>
                <w:rFonts w:cs="Arial"/>
                <w:color w:val="000000"/>
                <w:szCs w:val="20"/>
              </w:rPr>
              <w:t>• Upon receipt, gently invert the u</w:t>
            </w:r>
            <w:r>
              <w:rPr>
                <w:rFonts w:cs="Arial"/>
                <w:color w:val="000000"/>
                <w:szCs w:val="20"/>
              </w:rPr>
              <w:t xml:space="preserve">nopened reagent kit by rotating </w:t>
            </w:r>
            <w:r w:rsidRPr="00AD0E31">
              <w:rPr>
                <w:rFonts w:cs="Arial"/>
                <w:color w:val="000000"/>
                <w:szCs w:val="20"/>
              </w:rPr>
              <w:t>it over and back for a full 180 de</w:t>
            </w:r>
            <w:r>
              <w:rPr>
                <w:rFonts w:cs="Arial"/>
                <w:color w:val="000000"/>
                <w:szCs w:val="20"/>
              </w:rPr>
              <w:t xml:space="preserve">grees, 5 times with green label </w:t>
            </w:r>
            <w:r w:rsidRPr="00AD0E31">
              <w:rPr>
                <w:rFonts w:cs="Arial"/>
                <w:color w:val="000000"/>
                <w:szCs w:val="20"/>
              </w:rPr>
              <w:t>stripe facing up and then 5 times with gree</w:t>
            </w:r>
            <w:r>
              <w:rPr>
                <w:rFonts w:cs="Arial"/>
                <w:color w:val="000000"/>
                <w:szCs w:val="20"/>
              </w:rPr>
              <w:t xml:space="preserve">n label stripe facing </w:t>
            </w:r>
            <w:r w:rsidRPr="00AD0E31">
              <w:rPr>
                <w:rFonts w:cs="Arial"/>
                <w:color w:val="000000"/>
                <w:szCs w:val="20"/>
              </w:rPr>
              <w:t xml:space="preserve">down. This ensures that liquid </w:t>
            </w:r>
            <w:r>
              <w:rPr>
                <w:rFonts w:cs="Arial"/>
                <w:color w:val="000000"/>
                <w:szCs w:val="20"/>
              </w:rPr>
              <w:t xml:space="preserve">covers all sides of the bottles </w:t>
            </w:r>
            <w:r w:rsidRPr="00AD0E31">
              <w:rPr>
                <w:rFonts w:cs="Arial"/>
                <w:color w:val="000000"/>
                <w:szCs w:val="20"/>
              </w:rPr>
              <w:t>within the cartridges. During r</w:t>
            </w:r>
            <w:r>
              <w:rPr>
                <w:rFonts w:cs="Arial"/>
                <w:color w:val="000000"/>
                <w:szCs w:val="20"/>
              </w:rPr>
              <w:t xml:space="preserve">eagent shipment, microparticles </w:t>
            </w:r>
            <w:r w:rsidRPr="00AD0E31">
              <w:rPr>
                <w:rFonts w:cs="Arial"/>
                <w:color w:val="000000"/>
                <w:szCs w:val="20"/>
              </w:rPr>
              <w:t>can settle on the reagent septum.</w:t>
            </w:r>
          </w:p>
          <w:p w14:paraId="01965249" w14:textId="5CF99420" w:rsidR="00AD0E31" w:rsidRPr="00AD0E31" w:rsidRDefault="00AD0E31" w:rsidP="00AD0E31">
            <w:pPr>
              <w:autoSpaceDE w:val="0"/>
              <w:autoSpaceDN w:val="0"/>
              <w:adjustRightInd w:val="0"/>
              <w:spacing w:after="208"/>
              <w:rPr>
                <w:rFonts w:cs="Arial"/>
                <w:b/>
                <w:color w:val="000000"/>
                <w:szCs w:val="20"/>
              </w:rPr>
            </w:pPr>
            <w:r w:rsidRPr="00AD0E31">
              <w:rPr>
                <w:rFonts w:cs="Arial"/>
                <w:b/>
                <w:color w:val="000000"/>
                <w:szCs w:val="20"/>
              </w:rPr>
              <w:t>–– Place a check in the square on</w:t>
            </w:r>
            <w:r w:rsidRPr="00AD0E31">
              <w:rPr>
                <w:rFonts w:cs="Arial"/>
                <w:b/>
                <w:color w:val="000000"/>
                <w:szCs w:val="20"/>
              </w:rPr>
              <w:t xml:space="preserve"> the reagent kit to indicate to </w:t>
            </w:r>
            <w:r w:rsidRPr="00AD0E31">
              <w:rPr>
                <w:rFonts w:cs="Arial"/>
                <w:b/>
                <w:color w:val="000000"/>
                <w:szCs w:val="20"/>
              </w:rPr>
              <w:t>others that the inversions have been completed.</w:t>
            </w:r>
          </w:p>
          <w:p w14:paraId="47D90F33" w14:textId="314EC6AB" w:rsidR="00A062E1" w:rsidRPr="00DC7421" w:rsidRDefault="00AD0E31" w:rsidP="00AD0E31">
            <w:pPr>
              <w:autoSpaceDE w:val="0"/>
              <w:autoSpaceDN w:val="0"/>
              <w:adjustRightInd w:val="0"/>
              <w:spacing w:after="208"/>
              <w:rPr>
                <w:rFonts w:cs="Arial"/>
                <w:color w:val="000000"/>
                <w:szCs w:val="20"/>
              </w:rPr>
            </w:pPr>
            <w:r w:rsidRPr="00AD0E31">
              <w:rPr>
                <w:rFonts w:cs="Arial"/>
                <w:color w:val="000000"/>
                <w:szCs w:val="20"/>
              </w:rPr>
              <w:t>• After mixing, place reagent cartri</w:t>
            </w:r>
            <w:r>
              <w:rPr>
                <w:rFonts w:cs="Arial"/>
                <w:color w:val="000000"/>
                <w:szCs w:val="20"/>
              </w:rPr>
              <w:t xml:space="preserve">dges in an upright position for </w:t>
            </w:r>
            <w:r w:rsidRPr="00AD0E31">
              <w:rPr>
                <w:rFonts w:cs="Arial"/>
                <w:color w:val="000000"/>
                <w:szCs w:val="20"/>
              </w:rPr>
              <w:t xml:space="preserve">1 hour before use to allow </w:t>
            </w:r>
            <w:r>
              <w:rPr>
                <w:rFonts w:cs="Arial"/>
                <w:color w:val="000000"/>
                <w:szCs w:val="20"/>
              </w:rPr>
              <w:t xml:space="preserve">bubbles that may have formed to </w:t>
            </w:r>
            <w:r w:rsidRPr="00AD0E31">
              <w:rPr>
                <w:rFonts w:cs="Arial"/>
                <w:color w:val="000000"/>
                <w:szCs w:val="20"/>
              </w:rPr>
              <w:t>dissipate.</w:t>
            </w:r>
            <w:r>
              <w:rPr>
                <w:rFonts w:cs="Arial"/>
                <w:color w:val="000000"/>
                <w:szCs w:val="20"/>
              </w:rPr>
              <w:t xml:space="preserve">  </w:t>
            </w:r>
            <w:r w:rsidR="00A062E1"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w:t>
            </w:r>
            <w:r>
              <w:rPr>
                <w:rFonts w:cs="Arial"/>
                <w:color w:val="000000"/>
                <w:szCs w:val="20"/>
              </w:rPr>
              <w:t xml:space="preserve">affect results. </w:t>
            </w: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77777777" w:rsidR="0081197E" w:rsidRPr="00DC7421" w:rsidRDefault="0081197E" w:rsidP="0081197E">
            <w:pPr>
              <w:pStyle w:val="Reagents"/>
              <w:rPr>
                <w:rFonts w:ascii="Arial" w:hAnsi="Arial" w:cs="Arial"/>
                <w:b/>
                <w:bCs/>
              </w:rPr>
            </w:pPr>
            <w:r w:rsidRPr="00DC7421">
              <w:rPr>
                <w:rFonts w:ascii="Arial" w:hAnsi="Arial" w:cs="Arial"/>
                <w:b/>
                <w:bCs/>
                <w:color w:val="7030A0"/>
              </w:rPr>
              <w:t>Alinity c</w:t>
            </w:r>
            <w:r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507CF395" w:rsidR="0081197E" w:rsidRPr="00DC7421" w:rsidRDefault="009666B7" w:rsidP="00115DD6">
                  <w:pPr>
                    <w:autoSpaceDE w:val="0"/>
                    <w:autoSpaceDN w:val="0"/>
                    <w:adjustRightInd w:val="0"/>
                    <w:rPr>
                      <w:rFonts w:cs="Arial"/>
                      <w:szCs w:val="20"/>
                    </w:rPr>
                  </w:pPr>
                  <w:r>
                    <w:rPr>
                      <w:rFonts w:cs="Arial"/>
                      <w:szCs w:val="20"/>
                    </w:rPr>
                    <w:t>Alinity</w:t>
                  </w:r>
                  <w:r w:rsidR="00B06934">
                    <w:rPr>
                      <w:rFonts w:cs="Arial"/>
                      <w:szCs w:val="20"/>
                    </w:rPr>
                    <w:t xml:space="preserve"> AFP Reagent Kit</w:t>
                  </w:r>
                </w:p>
              </w:tc>
              <w:tc>
                <w:tcPr>
                  <w:tcW w:w="1710" w:type="dxa"/>
                  <w:vAlign w:val="center"/>
                </w:tcPr>
                <w:p w14:paraId="78062055" w14:textId="3D0C4316" w:rsidR="0081197E" w:rsidRPr="00DC7421" w:rsidRDefault="009666B7" w:rsidP="0081197E">
                  <w:pPr>
                    <w:pStyle w:val="BodyText"/>
                    <w:tabs>
                      <w:tab w:val="left" w:pos="3240"/>
                    </w:tabs>
                    <w:rPr>
                      <w:rFonts w:cs="Arial"/>
                      <w:szCs w:val="20"/>
                    </w:rPr>
                  </w:pPr>
                  <w:r w:rsidRPr="009666B7">
                    <w:rPr>
                      <w:rFonts w:cs="Arial"/>
                      <w:szCs w:val="20"/>
                    </w:rPr>
                    <w:t>07P9020</w:t>
                  </w:r>
                </w:p>
              </w:tc>
              <w:tc>
                <w:tcPr>
                  <w:tcW w:w="4533" w:type="dxa"/>
                  <w:vAlign w:val="center"/>
                </w:tcPr>
                <w:p w14:paraId="1E13427C" w14:textId="6CE9FDCF"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9666B7">
                    <w:rPr>
                      <w:rFonts w:ascii="Arial" w:hAnsi="Arial" w:cs="Arial"/>
                      <w:bCs/>
                    </w:rPr>
                    <w:t xml:space="preserve">2 to 8 °C </w:t>
                  </w:r>
                </w:p>
                <w:p w14:paraId="188F00FD" w14:textId="45949AFC" w:rsidR="00115DD6" w:rsidRPr="00AD0E31" w:rsidRDefault="0081197E" w:rsidP="00AD0E31">
                  <w:pPr>
                    <w:pStyle w:val="Reagents"/>
                    <w:spacing w:after="80"/>
                    <w:rPr>
                      <w:rFonts w:ascii="Arial" w:hAnsi="Arial" w:cs="Arial"/>
                      <w:bCs/>
                    </w:rPr>
                  </w:pPr>
                  <w:r w:rsidRPr="00DC7421">
                    <w:rPr>
                      <w:rFonts w:ascii="Arial" w:hAnsi="Arial" w:cs="Arial"/>
                      <w:b/>
                      <w:bCs/>
                    </w:rPr>
                    <w:t>Unopened:</w:t>
                  </w:r>
                  <w:r w:rsidR="009666B7">
                    <w:rPr>
                      <w:rFonts w:ascii="Arial" w:hAnsi="Arial" w:cs="Arial"/>
                      <w:b/>
                      <w:bCs/>
                    </w:rPr>
                    <w:t xml:space="preserve"> </w:t>
                  </w:r>
                  <w:r w:rsidR="009666B7" w:rsidRPr="009666B7">
                    <w:rPr>
                      <w:rFonts w:ascii="Arial" w:hAnsi="Arial" w:cs="Arial"/>
                      <w:bCs/>
                    </w:rPr>
                    <w:t xml:space="preserve">2 to 8 °C </w:t>
                  </w:r>
                  <w:r w:rsidR="009666B7">
                    <w:rPr>
                      <w:rFonts w:ascii="Arial" w:hAnsi="Arial" w:cs="Arial"/>
                      <w:bCs/>
                    </w:rPr>
                    <w:t xml:space="preserve">till </w:t>
                  </w:r>
                  <w:r w:rsidR="009666B7" w:rsidRPr="009666B7">
                    <w:rPr>
                      <w:rFonts w:ascii="Arial" w:hAnsi="Arial" w:cs="Arial"/>
                      <w:bCs/>
                    </w:rPr>
                    <w:t>Manufacturer’s</w:t>
                  </w:r>
                  <w:r w:rsidR="00115DD6" w:rsidRPr="009666B7">
                    <w:rPr>
                      <w:rFonts w:cs="Arial"/>
                      <w:bCs/>
                    </w:rPr>
                    <w:t xml:space="preserve"> </w:t>
                  </w:r>
                  <w:r w:rsidR="00115DD6" w:rsidRPr="009666B7">
                    <w:rPr>
                      <w:rFonts w:ascii="Arial" w:hAnsi="Arial" w:cs="Arial"/>
                      <w:bCs/>
                    </w:rPr>
                    <w:t>Date</w:t>
                  </w:r>
                  <w:r w:rsidR="00AD0E31">
                    <w:rPr>
                      <w:rFonts w:ascii="Arial" w:hAnsi="Arial" w:cs="Arial"/>
                      <w:bCs/>
                    </w:rPr>
                    <w:t xml:space="preserve">. Store in upright position. If cartridge does not remain upright, gently invert the cartridge 10 times and place in an upright position for 1 hour </w:t>
                  </w:r>
                  <w:r w:rsidR="00AD0E31" w:rsidRPr="00AD0E31">
                    <w:rPr>
                      <w:rFonts w:ascii="Arial" w:hAnsi="Arial" w:cs="Arial"/>
                      <w:bCs/>
                    </w:rPr>
                    <w:t>before use.</w:t>
                  </w:r>
                  <w:r w:rsidR="00AD0E31">
                    <w:rPr>
                      <w:rFonts w:ascii="Arial" w:hAnsi="Arial" w:cs="Arial"/>
                      <w:bCs/>
                    </w:rPr>
                    <w:t xml:space="preserve"> </w:t>
                  </w:r>
                </w:p>
                <w:p w14:paraId="614149F8" w14:textId="77777777" w:rsidR="00AD0E31" w:rsidRDefault="0081197E" w:rsidP="00AD0E31">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B06934">
                    <w:rPr>
                      <w:rFonts w:ascii="Arial" w:hAnsi="Arial" w:cs="Arial"/>
                      <w:bCs/>
                    </w:rPr>
                    <w:t>System temperature for 30 days</w:t>
                  </w:r>
                  <w:r w:rsidR="00AD0E31">
                    <w:rPr>
                      <w:rFonts w:ascii="Arial" w:hAnsi="Arial" w:cs="Arial"/>
                      <w:bCs/>
                    </w:rPr>
                    <w:t>.</w:t>
                  </w:r>
                </w:p>
                <w:p w14:paraId="7FC7B80C" w14:textId="77777777" w:rsidR="00AD0E31" w:rsidRPr="00AD0E31" w:rsidRDefault="00AD0E31" w:rsidP="00AD0E31">
                  <w:pPr>
                    <w:pStyle w:val="Reagents"/>
                    <w:spacing w:after="80"/>
                    <w:rPr>
                      <w:rFonts w:ascii="Arial" w:hAnsi="Arial" w:cs="Arial"/>
                      <w:bCs/>
                    </w:rPr>
                  </w:pPr>
                  <w:r>
                    <w:rPr>
                      <w:rFonts w:ascii="Arial" w:hAnsi="Arial" w:cs="Arial"/>
                      <w:b/>
                      <w:bCs/>
                    </w:rPr>
                    <w:t xml:space="preserve">Opened: </w:t>
                  </w:r>
                  <w:r w:rsidRPr="00AD0E31">
                    <w:rPr>
                      <w:rFonts w:ascii="Arial" w:hAnsi="Arial" w:cs="Arial"/>
                      <w:bCs/>
                    </w:rPr>
                    <w:t xml:space="preserve">Reagents may be stored on or off </w:t>
                  </w:r>
                  <w:r>
                    <w:rPr>
                      <w:rFonts w:ascii="Arial" w:hAnsi="Arial" w:cs="Arial"/>
                      <w:bCs/>
                    </w:rPr>
                    <w:t xml:space="preserve">the system. If removed from the </w:t>
                  </w:r>
                  <w:r w:rsidRPr="00AD0E31">
                    <w:rPr>
                      <w:rFonts w:ascii="Arial" w:hAnsi="Arial" w:cs="Arial"/>
                      <w:bCs/>
                    </w:rPr>
                    <w:t>system, store reagents with new</w:t>
                  </w:r>
                  <w:r>
                    <w:rPr>
                      <w:rFonts w:ascii="Arial" w:hAnsi="Arial" w:cs="Arial"/>
                      <w:bCs/>
                    </w:rPr>
                    <w:t xml:space="preserve"> replacement caps in an upright </w:t>
                  </w:r>
                  <w:r w:rsidRPr="00AD0E31">
                    <w:rPr>
                      <w:rFonts w:ascii="Arial" w:hAnsi="Arial" w:cs="Arial"/>
                      <w:bCs/>
                    </w:rPr>
                    <w:t>position at 2 to 8°C. For reagen</w:t>
                  </w:r>
                  <w:r>
                    <w:rPr>
                      <w:rFonts w:ascii="Arial" w:hAnsi="Arial" w:cs="Arial"/>
                      <w:bCs/>
                    </w:rPr>
                    <w:t xml:space="preserve">ts stored off the system, it is </w:t>
                  </w:r>
                  <w:r w:rsidRPr="00AD0E31">
                    <w:rPr>
                      <w:rFonts w:ascii="Arial" w:hAnsi="Arial" w:cs="Arial"/>
                      <w:bCs/>
                    </w:rPr>
                    <w:t>recommende</w:t>
                  </w:r>
                  <w:r>
                    <w:rPr>
                      <w:rFonts w:ascii="Arial" w:hAnsi="Arial" w:cs="Arial"/>
                      <w:bCs/>
                    </w:rPr>
                    <w:t>d that they be stored in their o</w:t>
                  </w:r>
                  <w:r w:rsidRPr="00AD0E31">
                    <w:rPr>
                      <w:rFonts w:ascii="Arial" w:hAnsi="Arial" w:cs="Arial"/>
                      <w:bCs/>
                    </w:rPr>
                    <w:t>rigin</w:t>
                  </w:r>
                  <w:r>
                    <w:rPr>
                      <w:rFonts w:ascii="Arial" w:hAnsi="Arial" w:cs="Arial"/>
                      <w:bCs/>
                    </w:rPr>
                    <w:t xml:space="preserve">al trays or boxes to </w:t>
                  </w:r>
                  <w:r w:rsidRPr="00AD0E31">
                    <w:rPr>
                      <w:rFonts w:ascii="Arial" w:hAnsi="Arial" w:cs="Arial"/>
                      <w:bCs/>
                    </w:rPr>
                    <w:t>ensure they remain upright.</w:t>
                  </w:r>
                  <w:r>
                    <w:rPr>
                      <w:rFonts w:ascii="Arial" w:hAnsi="Arial" w:cs="Arial"/>
                      <w:bCs/>
                    </w:rPr>
                    <w:t xml:space="preserve"> </w:t>
                  </w:r>
                  <w:r w:rsidRPr="00AD0E31">
                    <w:rPr>
                      <w:rFonts w:ascii="Arial" w:hAnsi="Arial" w:cs="Arial"/>
                      <w:bCs/>
                    </w:rPr>
                    <w:t>Store in upright position.</w:t>
                  </w:r>
                </w:p>
                <w:p w14:paraId="366BD400" w14:textId="63CC936A" w:rsidR="00AD0E31" w:rsidRPr="00AD0E31" w:rsidRDefault="00AD0E31" w:rsidP="00AD0E31">
                  <w:pPr>
                    <w:pStyle w:val="Reagents"/>
                    <w:spacing w:after="80"/>
                    <w:rPr>
                      <w:rFonts w:ascii="Arial" w:hAnsi="Arial" w:cs="Arial"/>
                      <w:bCs/>
                    </w:rPr>
                  </w:pPr>
                  <w:r>
                    <w:rPr>
                      <w:rFonts w:ascii="Arial" w:hAnsi="Arial" w:cs="Arial"/>
                      <w:bCs/>
                    </w:rPr>
                    <w:t xml:space="preserve">If cartridge does not remain upright during storage, discard the </w:t>
                  </w:r>
                  <w:r w:rsidRPr="00AD0E31">
                    <w:rPr>
                      <w:rFonts w:ascii="Arial" w:hAnsi="Arial" w:cs="Arial"/>
                      <w:bCs/>
                    </w:rPr>
                    <w:t>cartridge.</w:t>
                  </w:r>
                </w:p>
                <w:p w14:paraId="2EC23D08" w14:textId="46893D14" w:rsidR="0081197E" w:rsidRPr="003F688A" w:rsidRDefault="00AD0E31" w:rsidP="00115DD6">
                  <w:pPr>
                    <w:pStyle w:val="Reagents"/>
                    <w:spacing w:after="80"/>
                    <w:rPr>
                      <w:rFonts w:ascii="Arial" w:hAnsi="Arial" w:cs="Arial"/>
                      <w:bCs/>
                    </w:rPr>
                  </w:pPr>
                  <w:r>
                    <w:rPr>
                      <w:rFonts w:ascii="Arial" w:hAnsi="Arial" w:cs="Arial"/>
                      <w:bCs/>
                    </w:rPr>
                    <w:t xml:space="preserve">Do not reuse original reagent caps or replacement caps due to the risk of contamination and potential to compromise reagent </w:t>
                  </w:r>
                  <w:r w:rsidRPr="00AD0E31">
                    <w:rPr>
                      <w:rFonts w:ascii="Arial" w:hAnsi="Arial" w:cs="Arial"/>
                      <w:bCs/>
                    </w:rPr>
                    <w:t>performance.</w:t>
                  </w:r>
                  <w:r>
                    <w:rPr>
                      <w:rFonts w:ascii="Arial" w:hAnsi="Arial" w:cs="Arial"/>
                      <w:bCs/>
                    </w:rPr>
                    <w:t xml:space="preserve"> </w:t>
                  </w:r>
                </w:p>
              </w:tc>
            </w:tr>
            <w:tr w:rsidR="0081197E" w:rsidRPr="00DC7421" w14:paraId="2A1E45AA" w14:textId="77777777" w:rsidTr="00413A69">
              <w:tc>
                <w:tcPr>
                  <w:tcW w:w="2857" w:type="dxa"/>
                  <w:vAlign w:val="center"/>
                </w:tcPr>
                <w:p w14:paraId="417AB88A" w14:textId="015DE9BD" w:rsidR="0081197E" w:rsidRPr="00DC7421" w:rsidRDefault="009666B7" w:rsidP="0081197E">
                  <w:pPr>
                    <w:pStyle w:val="BodyText"/>
                    <w:spacing w:after="0"/>
                    <w:rPr>
                      <w:rFonts w:cs="Arial"/>
                      <w:szCs w:val="20"/>
                    </w:rPr>
                  </w:pPr>
                  <w:r>
                    <w:rPr>
                      <w:rFonts w:cs="Arial"/>
                      <w:szCs w:val="20"/>
                    </w:rPr>
                    <w:t>Alinity</w:t>
                  </w:r>
                  <w:r w:rsidR="00B06934">
                    <w:rPr>
                      <w:rFonts w:cs="Arial"/>
                      <w:szCs w:val="20"/>
                    </w:rPr>
                    <w:t xml:space="preserve"> AFP Calibrators</w:t>
                  </w:r>
                </w:p>
              </w:tc>
              <w:tc>
                <w:tcPr>
                  <w:tcW w:w="1710" w:type="dxa"/>
                  <w:vAlign w:val="center"/>
                </w:tcPr>
                <w:p w14:paraId="1C065F4D" w14:textId="14F7BC6A" w:rsidR="0081197E" w:rsidRPr="00DC7421" w:rsidRDefault="009666B7" w:rsidP="0081197E">
                  <w:pPr>
                    <w:rPr>
                      <w:rFonts w:cs="Arial"/>
                      <w:szCs w:val="20"/>
                    </w:rPr>
                  </w:pPr>
                  <w:r w:rsidRPr="009666B7">
                    <w:rPr>
                      <w:rFonts w:cs="Arial"/>
                      <w:szCs w:val="20"/>
                    </w:rPr>
                    <w:t>07P9001</w:t>
                  </w:r>
                </w:p>
              </w:tc>
              <w:tc>
                <w:tcPr>
                  <w:tcW w:w="4533" w:type="dxa"/>
                  <w:vAlign w:val="center"/>
                </w:tcPr>
                <w:p w14:paraId="3B82C64B" w14:textId="2E37955A" w:rsidR="0081197E" w:rsidRPr="00DC7421" w:rsidRDefault="0081197E" w:rsidP="0081197E">
                  <w:pPr>
                    <w:pStyle w:val="Reagents"/>
                    <w:spacing w:after="80"/>
                    <w:rPr>
                      <w:rFonts w:ascii="Arial" w:hAnsi="Arial" w:cs="Arial"/>
                      <w:bCs/>
                    </w:rPr>
                  </w:pPr>
                  <w:r w:rsidRPr="00DC7421">
                    <w:rPr>
                      <w:rFonts w:ascii="Arial" w:hAnsi="Arial" w:cs="Arial"/>
                      <w:b/>
                      <w:bCs/>
                    </w:rPr>
                    <w:t>Store at:</w:t>
                  </w:r>
                  <w:r w:rsidR="00B06934">
                    <w:rPr>
                      <w:rFonts w:ascii="Arial" w:hAnsi="Arial" w:cs="Arial"/>
                      <w:bCs/>
                    </w:rPr>
                    <w:t xml:space="preserve"> 2 to 8°C until expiration date</w:t>
                  </w:r>
                </w:p>
                <w:p w14:paraId="00DF33C4" w14:textId="6B044A8F" w:rsidR="0081197E" w:rsidRDefault="002B7254" w:rsidP="00D20842">
                  <w:pPr>
                    <w:pStyle w:val="BodyText"/>
                    <w:rPr>
                      <w:rFonts w:cs="Arial"/>
                      <w:bCs/>
                    </w:rPr>
                  </w:pPr>
                  <w:r>
                    <w:rPr>
                      <w:rFonts w:cs="Arial"/>
                      <w:b/>
                      <w:bCs/>
                      <w:szCs w:val="20"/>
                    </w:rPr>
                    <w:t>Opened expiration:</w:t>
                  </w:r>
                  <w:r w:rsidR="00B06934" w:rsidRPr="00B06934">
                    <w:rPr>
                      <w:rFonts w:cs="Arial"/>
                      <w:bCs/>
                    </w:rPr>
                    <w:t xml:space="preserve"> 2 to 8°C until expiration date</w:t>
                  </w:r>
                  <w:r w:rsidR="00B06934">
                    <w:rPr>
                      <w:rFonts w:cs="Arial"/>
                      <w:bCs/>
                    </w:rPr>
                    <w:t>. Return to refrigerated storage after use.</w:t>
                  </w:r>
                  <w:r w:rsidR="00D20842">
                    <w:t xml:space="preserve"> </w:t>
                  </w:r>
                  <w:r w:rsidR="00D20842">
                    <w:rPr>
                      <w:rFonts w:cs="Arial"/>
                      <w:bCs/>
                    </w:rPr>
                    <w:t xml:space="preserve">Store tightly capped with </w:t>
                  </w:r>
                  <w:r w:rsidR="00D20842" w:rsidRPr="00D20842">
                    <w:rPr>
                      <w:rFonts w:cs="Arial"/>
                      <w:bCs/>
                    </w:rPr>
                    <w:t>new replacement cap.</w:t>
                  </w:r>
                  <w:r w:rsidR="00D20842">
                    <w:rPr>
                      <w:rFonts w:cs="Arial"/>
                      <w:bCs/>
                    </w:rPr>
                    <w:t xml:space="preserve">  </w:t>
                  </w:r>
                </w:p>
                <w:p w14:paraId="4E29BC1D" w14:textId="77777777" w:rsidR="00D20842" w:rsidRDefault="00D20842" w:rsidP="00D20842">
                  <w:pPr>
                    <w:pStyle w:val="BodyText"/>
                    <w:rPr>
                      <w:rFonts w:cs="Arial"/>
                      <w:bCs/>
                    </w:rPr>
                  </w:pPr>
                  <w:r w:rsidRPr="00D20842">
                    <w:rPr>
                      <w:rFonts w:cs="Arial"/>
                      <w:bCs/>
                    </w:rPr>
                    <w:t>The analyzer will track In-use S</w:t>
                  </w:r>
                  <w:r>
                    <w:rPr>
                      <w:rFonts w:cs="Arial"/>
                      <w:bCs/>
                    </w:rPr>
                    <w:t xml:space="preserve">tability, which is the time the </w:t>
                  </w:r>
                  <w:r w:rsidRPr="00D20842">
                    <w:rPr>
                      <w:rFonts w:cs="Arial"/>
                      <w:bCs/>
                    </w:rPr>
                    <w:t>calibrator is outside of refrigerated</w:t>
                  </w:r>
                  <w:r>
                    <w:rPr>
                      <w:rFonts w:cs="Arial"/>
                      <w:bCs/>
                    </w:rPr>
                    <w:t xml:space="preserve"> storage while on the analyzer. </w:t>
                  </w:r>
                  <w:r w:rsidRPr="00D20842">
                    <w:rPr>
                      <w:rFonts w:cs="Arial"/>
                      <w:bCs/>
                    </w:rPr>
                    <w:t xml:space="preserve">The analyzer will not allow the use </w:t>
                  </w:r>
                  <w:r>
                    <w:rPr>
                      <w:rFonts w:cs="Arial"/>
                      <w:bCs/>
                    </w:rPr>
                    <w:t xml:space="preserve">of the calibrator if the In-use </w:t>
                  </w:r>
                  <w:r w:rsidRPr="00D20842">
                    <w:rPr>
                      <w:rFonts w:cs="Arial"/>
                      <w:bCs/>
                    </w:rPr>
                    <w:t xml:space="preserve">Stability has been exceeded. </w:t>
                  </w:r>
                  <w:r>
                    <w:rPr>
                      <w:rFonts w:cs="Arial"/>
                      <w:bCs/>
                    </w:rPr>
                    <w:t xml:space="preserve">Maximum In-use Stability can be </w:t>
                  </w:r>
                  <w:r w:rsidRPr="00D20842">
                    <w:rPr>
                      <w:rFonts w:cs="Arial"/>
                      <w:bCs/>
                    </w:rPr>
                    <w:t xml:space="preserve">found in the Assay Parameter Report. </w:t>
                  </w:r>
                </w:p>
                <w:p w14:paraId="05D3D1A4" w14:textId="77FF865E" w:rsidR="00D20842" w:rsidRPr="00AD0E31" w:rsidRDefault="00D20842" w:rsidP="00AD0E31">
                  <w:pPr>
                    <w:pStyle w:val="BodyText"/>
                    <w:rPr>
                      <w:rFonts w:cs="Arial"/>
                      <w:bCs/>
                    </w:rPr>
                  </w:pPr>
                  <w:r>
                    <w:rPr>
                      <w:rFonts w:cs="Arial"/>
                      <w:bCs/>
                    </w:rPr>
                    <w:t xml:space="preserve">For additional information on calibrator In-use </w:t>
                  </w:r>
                  <w:r w:rsidRPr="00D20842">
                    <w:rPr>
                      <w:rFonts w:cs="Arial"/>
                      <w:bCs/>
                    </w:rPr>
                    <w:t>Stability, refer to t</w:t>
                  </w:r>
                  <w:r>
                    <w:rPr>
                      <w:rFonts w:cs="Arial"/>
                      <w:bCs/>
                    </w:rPr>
                    <w:t xml:space="preserve">he Alinity ci-series Operations </w:t>
                  </w:r>
                  <w:r w:rsidRPr="00D20842">
                    <w:rPr>
                      <w:rFonts w:cs="Arial"/>
                      <w:bCs/>
                    </w:rPr>
                    <w:t>Manual, Section 5.</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9666B7">
        <w:trPr>
          <w:trHeight w:val="927"/>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5EFA9057" w14:textId="187619D3" w:rsidR="009475C8" w:rsidRDefault="009475C8">
            <w:r>
              <w:rPr>
                <w:szCs w:val="20"/>
              </w:rPr>
              <w:t xml:space="preserve">Safety data sheets (MSDS/SDS) available on </w:t>
            </w:r>
            <w:hyperlink r:id="rId12"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14:paraId="5CCFFFD3" w14:textId="1E914F78" w:rsidR="00F50200" w:rsidRPr="00DC7421" w:rsidRDefault="00A062E1" w:rsidP="00A32948">
            <w:pPr>
              <w:pStyle w:val="Pa15"/>
              <w:rPr>
                <w:rFonts w:ascii="Arial" w:hAnsi="Arial" w:cs="Arial"/>
                <w:b/>
                <w:bCs/>
                <w:sz w:val="20"/>
                <w:szCs w:val="20"/>
              </w:rPr>
            </w:pPr>
            <w:r w:rsidRPr="00A062E1">
              <w:rPr>
                <w:rFonts w:ascii="Arial" w:hAnsi="Arial" w:cs="Arial"/>
                <w:b/>
                <w:bCs/>
                <w:color w:val="7030A0"/>
                <w:sz w:val="20"/>
                <w:szCs w:val="20"/>
              </w:rPr>
              <w:t>Alinity c</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78324E7F" w:rsidR="00F50200" w:rsidRPr="00DC7421" w:rsidRDefault="009666B7" w:rsidP="00A32948">
                  <w:pPr>
                    <w:pStyle w:val="CalVerTable"/>
                    <w:ind w:left="0" w:firstLine="0"/>
                    <w:rPr>
                      <w:rFonts w:ascii="Arial" w:hAnsi="Arial" w:cs="Arial"/>
                    </w:rPr>
                  </w:pPr>
                  <w:r>
                    <w:rPr>
                      <w:rFonts w:ascii="Arial" w:hAnsi="Arial" w:cs="Arial"/>
                    </w:rPr>
                    <w:t>2.0 to 2000.0 ng/mL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6AA0712F" w:rsidR="00F50200" w:rsidRPr="00DC7421" w:rsidRDefault="009666B7" w:rsidP="00440E37">
                  <w:pPr>
                    <w:pStyle w:val="BodyText"/>
                    <w:rPr>
                      <w:rFonts w:cs="Arial"/>
                      <w:szCs w:val="20"/>
                    </w:rPr>
                  </w:pPr>
                  <w:r>
                    <w:rPr>
                      <w:rFonts w:cs="Arial"/>
                      <w:szCs w:val="20"/>
                    </w:rPr>
                    <w:t>Alinity AFP Calibrators</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2822F9A2" w14:textId="77777777" w:rsidR="005B66A7" w:rsidRDefault="009666B7" w:rsidP="001D1786">
                  <w:pPr>
                    <w:pStyle w:val="CalVerTable"/>
                    <w:ind w:left="0" w:firstLine="0"/>
                    <w:rPr>
                      <w:rFonts w:ascii="Arial" w:hAnsi="Arial" w:cs="Arial"/>
                    </w:rPr>
                  </w:pPr>
                  <w:r>
                    <w:rPr>
                      <w:rFonts w:ascii="Arial" w:hAnsi="Arial" w:cs="Arial"/>
                    </w:rPr>
                    <w:t>A: 0</w:t>
                  </w:r>
                </w:p>
                <w:p w14:paraId="1B6D0A0F" w14:textId="77777777" w:rsidR="009666B7" w:rsidRDefault="009666B7" w:rsidP="001D1786">
                  <w:pPr>
                    <w:pStyle w:val="CalVerTable"/>
                    <w:ind w:left="0" w:firstLine="0"/>
                    <w:rPr>
                      <w:rFonts w:ascii="Arial" w:hAnsi="Arial" w:cs="Arial"/>
                    </w:rPr>
                  </w:pPr>
                  <w:r>
                    <w:rPr>
                      <w:rFonts w:ascii="Arial" w:hAnsi="Arial" w:cs="Arial"/>
                    </w:rPr>
                    <w:t>B: 15</w:t>
                  </w:r>
                </w:p>
                <w:p w14:paraId="278EAE01" w14:textId="77777777" w:rsidR="009666B7" w:rsidRDefault="009666B7" w:rsidP="001D1786">
                  <w:pPr>
                    <w:pStyle w:val="CalVerTable"/>
                    <w:ind w:left="0" w:firstLine="0"/>
                    <w:rPr>
                      <w:rFonts w:ascii="Arial" w:hAnsi="Arial" w:cs="Arial"/>
                    </w:rPr>
                  </w:pPr>
                  <w:r>
                    <w:rPr>
                      <w:rFonts w:ascii="Arial" w:hAnsi="Arial" w:cs="Arial"/>
                    </w:rPr>
                    <w:t>C: 45</w:t>
                  </w:r>
                </w:p>
                <w:p w14:paraId="0FC3CEAF" w14:textId="77777777" w:rsidR="009666B7" w:rsidRDefault="009666B7" w:rsidP="001D1786">
                  <w:pPr>
                    <w:pStyle w:val="CalVerTable"/>
                    <w:ind w:left="0" w:firstLine="0"/>
                    <w:rPr>
                      <w:rFonts w:ascii="Arial" w:hAnsi="Arial" w:cs="Arial"/>
                    </w:rPr>
                  </w:pPr>
                  <w:r>
                    <w:rPr>
                      <w:rFonts w:ascii="Arial" w:hAnsi="Arial" w:cs="Arial"/>
                    </w:rPr>
                    <w:t>D: 300</w:t>
                  </w:r>
                </w:p>
                <w:p w14:paraId="62CEA8E6" w14:textId="77777777" w:rsidR="009666B7" w:rsidRDefault="009666B7" w:rsidP="001D1786">
                  <w:pPr>
                    <w:pStyle w:val="CalVerTable"/>
                    <w:ind w:left="0" w:firstLine="0"/>
                    <w:rPr>
                      <w:rFonts w:ascii="Arial" w:hAnsi="Arial" w:cs="Arial"/>
                    </w:rPr>
                  </w:pPr>
                  <w:r>
                    <w:rPr>
                      <w:rFonts w:ascii="Arial" w:hAnsi="Arial" w:cs="Arial"/>
                    </w:rPr>
                    <w:t>E: 1500</w:t>
                  </w:r>
                </w:p>
                <w:p w14:paraId="5CCFFFE0" w14:textId="0336FFDB" w:rsidR="009666B7" w:rsidRPr="00DC7421" w:rsidRDefault="009666B7" w:rsidP="001D1786">
                  <w:pPr>
                    <w:pStyle w:val="CalVerTable"/>
                    <w:ind w:left="0" w:firstLine="0"/>
                    <w:rPr>
                      <w:rFonts w:ascii="Arial" w:hAnsi="Arial" w:cs="Arial"/>
                    </w:rPr>
                  </w:pPr>
                  <w:r>
                    <w:rPr>
                      <w:rFonts w:ascii="Arial" w:hAnsi="Arial" w:cs="Arial"/>
                    </w:rPr>
                    <w:t>F: 2000</w:t>
                  </w:r>
                </w:p>
              </w:tc>
            </w:tr>
            <w:tr w:rsidR="00F50200" w:rsidRPr="00DC7421" w14:paraId="5CCFFFE4" w14:textId="77777777" w:rsidTr="001C1CFA">
              <w:tc>
                <w:tcPr>
                  <w:tcW w:w="2947" w:type="dxa"/>
                </w:tcPr>
                <w:p w14:paraId="5CCFFFE2" w14:textId="2D327172"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1407E66B" w14:textId="77777777" w:rsidR="00B06934" w:rsidRPr="00B06934" w:rsidRDefault="00B06934" w:rsidP="00B06934">
                  <w:pPr>
                    <w:pStyle w:val="CalVerTable"/>
                    <w:rPr>
                      <w:rFonts w:ascii="Arial" w:hAnsi="Arial" w:cs="Arial"/>
                    </w:rPr>
                  </w:pPr>
                  <w:r w:rsidRPr="00B06934">
                    <w:rPr>
                      <w:rFonts w:ascii="Arial" w:hAnsi="Arial" w:cs="Arial"/>
                    </w:rPr>
                    <w:t>The Alinity i AFP assay utilizes a 4 Parameter Logistic Curve fit data</w:t>
                  </w:r>
                </w:p>
                <w:p w14:paraId="5CCFFFE3" w14:textId="61F140C5" w:rsidR="00F50200" w:rsidRPr="00DC7421" w:rsidRDefault="00B06934" w:rsidP="009666B7">
                  <w:pPr>
                    <w:pStyle w:val="CalVerTable"/>
                    <w:rPr>
                      <w:rFonts w:ascii="Arial" w:hAnsi="Arial" w:cs="Arial"/>
                    </w:rPr>
                  </w:pPr>
                  <w:r w:rsidRPr="00B06934">
                    <w:rPr>
                      <w:rFonts w:ascii="Arial" w:hAnsi="Arial" w:cs="Arial"/>
                    </w:rPr>
                    <w:t>reduction method (4PLC, Y-weighte</w:t>
                  </w:r>
                  <w:r w:rsidR="009666B7">
                    <w:rPr>
                      <w:rFonts w:ascii="Arial" w:hAnsi="Arial" w:cs="Arial"/>
                    </w:rPr>
                    <w:t>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7F4EC145" w:rsidR="00F50200" w:rsidRPr="00DC7421" w:rsidRDefault="009666B7" w:rsidP="004A698D">
                  <w:pPr>
                    <w:pStyle w:val="Pa10"/>
                    <w:rPr>
                      <w:rFonts w:ascii="Arial" w:hAnsi="Arial" w:cs="Arial"/>
                      <w:sz w:val="20"/>
                      <w:szCs w:val="20"/>
                    </w:rPr>
                  </w:pPr>
                  <w:r>
                    <w:rPr>
                      <w:rFonts w:ascii="Arial" w:hAnsi="Arial" w:cs="Arial"/>
                      <w:sz w:val="20"/>
                      <w:szCs w:val="20"/>
                    </w:rPr>
                    <w:t>Every 6 months, every new lot of reagent, every time a critical part of the instrument is replaced, and as indicated by QC results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20D2B824" w:rsidR="00F50200" w:rsidRPr="00DC7421" w:rsidRDefault="009475C8" w:rsidP="009666B7">
                  <w:pPr>
                    <w:autoSpaceDE w:val="0"/>
                    <w:autoSpaceDN w:val="0"/>
                    <w:adjustRightInd w:val="0"/>
                    <w:rPr>
                      <w:rFonts w:cs="Arial"/>
                      <w:szCs w:val="20"/>
                    </w:rPr>
                  </w:pPr>
                  <w:r w:rsidRPr="00DC7421">
                    <w:rPr>
                      <w:rFonts w:cs="Arial"/>
                      <w:szCs w:val="20"/>
                    </w:rPr>
                    <w:t>AMR</w:t>
                  </w:r>
                  <w:r w:rsidR="009666B7">
                    <w:rPr>
                      <w:rFonts w:cs="Arial"/>
                      <w:szCs w:val="20"/>
                    </w:rPr>
                    <w:t xml:space="preserve"> is verified with each reagent calibration</w:t>
                  </w:r>
                  <w:r w:rsidR="00D20842">
                    <w:rPr>
                      <w:rFonts w:cs="Arial"/>
                      <w:szCs w:val="20"/>
                    </w:rPr>
                    <w:t xml:space="preserve"> and at least once every 6 months.</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5CCFFFF0" w14:textId="4EEEF772" w:rsidR="008044BA" w:rsidRDefault="009666B7" w:rsidP="00CE16FB">
            <w:pPr>
              <w:autoSpaceDE w:val="0"/>
              <w:autoSpaceDN w:val="0"/>
              <w:adjustRightInd w:val="0"/>
              <w:jc w:val="both"/>
              <w:rPr>
                <w:rFonts w:cs="Arial"/>
                <w:b/>
                <w:szCs w:val="20"/>
              </w:rPr>
            </w:pPr>
            <w:r>
              <w:rPr>
                <w:rFonts w:cs="Arial"/>
                <w:b/>
                <w:szCs w:val="20"/>
              </w:rPr>
              <w:t>QC</w:t>
            </w:r>
            <w:r w:rsidR="00E47DE5" w:rsidRPr="00E47DE5">
              <w:rPr>
                <w:rFonts w:cs="Arial"/>
                <w:b/>
                <w:szCs w:val="20"/>
              </w:rPr>
              <w:t xml:space="preserve"> Material</w:t>
            </w:r>
            <w:r w:rsidR="00E47DE5" w:rsidRPr="009666B7">
              <w:rPr>
                <w:rFonts w:cs="Arial"/>
                <w:b/>
                <w:szCs w:val="20"/>
              </w:rPr>
              <w:t>:</w:t>
            </w:r>
            <w:r w:rsidRPr="009666B7">
              <w:rPr>
                <w:rFonts w:cs="Arial"/>
                <w:b/>
                <w:szCs w:val="20"/>
              </w:rPr>
              <w:t xml:space="preserve"> </w:t>
            </w:r>
            <w:r w:rsidRPr="009666B7">
              <w:rPr>
                <w:rFonts w:ascii="Calibri" w:hAnsi="Calibri"/>
                <w:bCs/>
                <w:sz w:val="22"/>
                <w:szCs w:val="22"/>
              </w:rPr>
              <w:t>BioRad Liquichek Immunoassay Plus Control</w:t>
            </w:r>
            <w:r>
              <w:rPr>
                <w:rFonts w:ascii="Calibri" w:hAnsi="Calibri"/>
                <w:color w:val="000000"/>
                <w:sz w:val="22"/>
                <w:szCs w:val="22"/>
              </w:rPr>
              <w:t xml:space="preserve">, # 361/362/363.  </w:t>
            </w:r>
            <w:r w:rsidR="00D20842">
              <w:rPr>
                <w:rFonts w:ascii="Calibri" w:hAnsi="Calibri"/>
                <w:color w:val="000000"/>
                <w:sz w:val="22"/>
                <w:szCs w:val="22"/>
              </w:rPr>
              <w:t>Levels 1, 2, 3</w:t>
            </w:r>
            <w:bookmarkStart w:id="0" w:name="_GoBack"/>
            <w:bookmarkEnd w:id="0"/>
          </w:p>
          <w:p w14:paraId="68312245" w14:textId="77777777" w:rsidR="00E47DE5" w:rsidRPr="00E47DE5" w:rsidRDefault="00E47DE5" w:rsidP="00CE16FB">
            <w:pPr>
              <w:autoSpaceDE w:val="0"/>
              <w:autoSpaceDN w:val="0"/>
              <w:adjustRightInd w:val="0"/>
              <w:jc w:val="both"/>
              <w:rPr>
                <w:rFonts w:cs="Arial"/>
                <w:b/>
                <w:szCs w:val="20"/>
              </w:rPr>
            </w:pPr>
          </w:p>
          <w:p w14:paraId="5CCFFFF1" w14:textId="342CE0D3" w:rsidR="00E3253B" w:rsidRPr="009666B7" w:rsidRDefault="00E3253B" w:rsidP="00CE16FB">
            <w:pPr>
              <w:autoSpaceDE w:val="0"/>
              <w:autoSpaceDN w:val="0"/>
              <w:adjustRightInd w:val="0"/>
              <w:jc w:val="both"/>
              <w:rPr>
                <w:rFonts w:cs="Arial"/>
                <w:szCs w:val="20"/>
              </w:rPr>
            </w:pPr>
            <w:r w:rsidRPr="00DC7421">
              <w:rPr>
                <w:rFonts w:cs="Arial"/>
                <w:b/>
                <w:bCs/>
                <w:szCs w:val="20"/>
              </w:rPr>
              <w:t xml:space="preserve">Frequency: </w:t>
            </w:r>
            <w:r w:rsidR="009666B7" w:rsidRPr="009666B7">
              <w:rPr>
                <w:rFonts w:cs="Arial"/>
                <w:bCs/>
                <w:szCs w:val="20"/>
              </w:rPr>
              <w:t>Three levels every 24 hours</w:t>
            </w:r>
          </w:p>
          <w:p w14:paraId="5CCFFFF2" w14:textId="77777777" w:rsidR="00E3253B" w:rsidRPr="00DC7421" w:rsidRDefault="00E3253B" w:rsidP="00CE16FB">
            <w:pPr>
              <w:autoSpaceDE w:val="0"/>
              <w:autoSpaceDN w:val="0"/>
              <w:adjustRightInd w:val="0"/>
              <w:jc w:val="both"/>
              <w:rPr>
                <w:rFonts w:cs="Arial"/>
                <w:szCs w:val="20"/>
              </w:rPr>
            </w:pPr>
          </w:p>
          <w:p w14:paraId="5CCFFFF4" w14:textId="109051F7" w:rsidR="00E3253B" w:rsidRPr="009666B7" w:rsidRDefault="00E3253B" w:rsidP="00E47DE5">
            <w:pPr>
              <w:autoSpaceDE w:val="0"/>
              <w:autoSpaceDN w:val="0"/>
              <w:adjustRightInd w:val="0"/>
              <w:rPr>
                <w:rFonts w:cs="Arial"/>
                <w:bCs/>
                <w:szCs w:val="20"/>
              </w:rPr>
            </w:pPr>
            <w:r w:rsidRPr="00DC7421">
              <w:rPr>
                <w:rFonts w:cs="Arial"/>
                <w:b/>
                <w:bCs/>
                <w:szCs w:val="20"/>
              </w:rPr>
              <w:t>Stability:</w:t>
            </w:r>
            <w:r w:rsidR="008D3369" w:rsidRPr="00DC7421">
              <w:rPr>
                <w:rFonts w:cs="Arial"/>
                <w:b/>
                <w:bCs/>
                <w:szCs w:val="20"/>
              </w:rPr>
              <w:t xml:space="preserve"> </w:t>
            </w:r>
            <w:r w:rsidR="009666B7" w:rsidRPr="009666B7">
              <w:rPr>
                <w:rFonts w:cs="Arial"/>
                <w:bCs/>
                <w:szCs w:val="20"/>
              </w:rPr>
              <w:t>5 day open stability when stored at 2 to 8 degrees</w:t>
            </w:r>
            <w:r w:rsidR="009666B7">
              <w:rPr>
                <w:rFonts w:cs="Arial"/>
                <w:bCs/>
                <w:szCs w:val="20"/>
              </w:rPr>
              <w:t xml:space="preserve"> C</w:t>
            </w:r>
          </w:p>
          <w:p w14:paraId="28D37AE8" w14:textId="77777777" w:rsidR="0002771B" w:rsidRPr="00DC7421" w:rsidRDefault="0002771B" w:rsidP="00E47DE5">
            <w:pPr>
              <w:autoSpaceDE w:val="0"/>
              <w:autoSpaceDN w:val="0"/>
              <w:adjustRightInd w:val="0"/>
              <w:rPr>
                <w:rFonts w:cs="Arial"/>
                <w:szCs w:val="20"/>
              </w:rPr>
            </w:pPr>
          </w:p>
          <w:p w14:paraId="5CCFFFF5" w14:textId="26780080" w:rsidR="008D3369"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r w:rsidR="009666B7">
              <w:rPr>
                <w:rFonts w:cs="Arial"/>
                <w:szCs w:val="20"/>
              </w:rPr>
              <w:t xml:space="preserve">Let stand at room temperature until thawed.  Mix will by gently swirling and by inversion, taking care not to shake or induce bubbles or foaming.  Ensure product is returned to refrigerated storage immediately after aliquoting.  </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5399554E"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9666B7">
        <w:trPr>
          <w:tblHeader/>
        </w:trPr>
        <w:tc>
          <w:tcPr>
            <w:tcW w:w="1800" w:type="dxa"/>
            <w:tcBorders>
              <w:top w:val="nil"/>
              <w:left w:val="nil"/>
              <w:bottom w:val="nil"/>
              <w:right w:val="nil"/>
            </w:tcBorders>
            <w:shd w:val="clear" w:color="auto" w:fill="auto"/>
          </w:tcPr>
          <w:p w14:paraId="5CD00005" w14:textId="77777777" w:rsidR="00E3253B" w:rsidRPr="009666B7" w:rsidRDefault="00E3253B" w:rsidP="0039587D">
            <w:pPr>
              <w:rPr>
                <w:rFonts w:cs="Arial"/>
                <w:b/>
                <w:bCs/>
                <w:color w:val="0000FF"/>
                <w:sz w:val="22"/>
                <w:szCs w:val="22"/>
              </w:rPr>
            </w:pPr>
            <w:r w:rsidRPr="009666B7">
              <w:rPr>
                <w:rFonts w:cs="Arial"/>
                <w:b/>
                <w:bCs/>
                <w:color w:val="0000FF"/>
                <w:sz w:val="22"/>
                <w:szCs w:val="22"/>
              </w:rPr>
              <w:t>Interferences</w:t>
            </w:r>
          </w:p>
        </w:tc>
        <w:tc>
          <w:tcPr>
            <w:tcW w:w="9360" w:type="dxa"/>
            <w:gridSpan w:val="4"/>
            <w:tcBorders>
              <w:top w:val="single" w:sz="18" w:space="0" w:color="BFBFBF"/>
              <w:left w:val="nil"/>
              <w:bottom w:val="single" w:sz="18" w:space="0" w:color="BFBFBF"/>
              <w:right w:val="nil"/>
            </w:tcBorders>
          </w:tcPr>
          <w:p w14:paraId="5CD00008" w14:textId="4B100110" w:rsidR="002F5F18" w:rsidRPr="00DC7421" w:rsidRDefault="009666B7" w:rsidP="00824C10">
            <w:pPr>
              <w:autoSpaceDE w:val="0"/>
              <w:autoSpaceDN w:val="0"/>
              <w:adjustRightInd w:val="0"/>
              <w:rPr>
                <w:rFonts w:cs="Arial"/>
                <w:szCs w:val="20"/>
              </w:rPr>
            </w:pPr>
            <w:r>
              <w:rPr>
                <w:rFonts w:cs="Arial"/>
                <w:szCs w:val="20"/>
              </w:rPr>
              <w:t xml:space="preserve">See package insert for substances tested that do not interfere with the reagent.  </w:t>
            </w:r>
          </w:p>
          <w:p w14:paraId="5CD00011" w14:textId="53F6C617" w:rsidR="000244AC" w:rsidRPr="00DC7421" w:rsidRDefault="000244AC" w:rsidP="00851C4D">
            <w:pPr>
              <w:autoSpaceDE w:val="0"/>
              <w:autoSpaceDN w:val="0"/>
              <w:adjustRightInd w:val="0"/>
              <w:jc w:val="both"/>
              <w:rPr>
                <w:rFonts w:cs="Arial"/>
                <w:szCs w:val="20"/>
              </w:rPr>
            </w:pPr>
          </w:p>
        </w:tc>
      </w:tr>
      <w:tr w:rsidR="00E3253B" w14:paraId="5CD00019" w14:textId="77777777" w:rsidTr="00A5594C">
        <w:trPr>
          <w:trHeight w:val="1818"/>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tbl>
            <w:tblPr>
              <w:tblStyle w:val="TableGrid"/>
              <w:tblW w:w="0" w:type="auto"/>
              <w:tblLayout w:type="fixed"/>
              <w:tblLook w:val="04A0" w:firstRow="1" w:lastRow="0" w:firstColumn="1" w:lastColumn="0" w:noHBand="0" w:noVBand="1"/>
            </w:tblPr>
            <w:tblGrid>
              <w:gridCol w:w="2639"/>
              <w:gridCol w:w="4103"/>
            </w:tblGrid>
            <w:tr w:rsidR="009666B7" w14:paraId="000B9824" w14:textId="77777777" w:rsidTr="00C27F49">
              <w:trPr>
                <w:trHeight w:val="251"/>
              </w:trPr>
              <w:tc>
                <w:tcPr>
                  <w:tcW w:w="2639" w:type="dxa"/>
                </w:tcPr>
                <w:p w14:paraId="75C384AB" w14:textId="77777777" w:rsidR="009666B7" w:rsidRPr="006A6FA5" w:rsidRDefault="009666B7" w:rsidP="009666B7">
                  <w:pPr>
                    <w:jc w:val="center"/>
                    <w:rPr>
                      <w:rFonts w:cs="Arial"/>
                      <w:b/>
                    </w:rPr>
                  </w:pPr>
                  <w:r w:rsidRPr="006A6FA5">
                    <w:rPr>
                      <w:rFonts w:cs="Arial"/>
                      <w:b/>
                    </w:rPr>
                    <w:t>Age</w:t>
                  </w:r>
                </w:p>
              </w:tc>
              <w:tc>
                <w:tcPr>
                  <w:tcW w:w="4103" w:type="dxa"/>
                </w:tcPr>
                <w:p w14:paraId="68C59C57" w14:textId="77777777" w:rsidR="009666B7" w:rsidRPr="006A6FA5" w:rsidRDefault="009666B7" w:rsidP="009666B7">
                  <w:pPr>
                    <w:jc w:val="center"/>
                    <w:rPr>
                      <w:rFonts w:cs="Arial"/>
                      <w:b/>
                    </w:rPr>
                  </w:pPr>
                  <w:r w:rsidRPr="006A6FA5">
                    <w:rPr>
                      <w:rFonts w:cs="Arial"/>
                      <w:b/>
                    </w:rPr>
                    <w:t>Reference Range</w:t>
                  </w:r>
                </w:p>
              </w:tc>
            </w:tr>
            <w:tr w:rsidR="009666B7" w14:paraId="70027DFB" w14:textId="77777777" w:rsidTr="00C27F49">
              <w:trPr>
                <w:trHeight w:val="251"/>
              </w:trPr>
              <w:tc>
                <w:tcPr>
                  <w:tcW w:w="2639" w:type="dxa"/>
                </w:tcPr>
                <w:p w14:paraId="57D84B15" w14:textId="77777777" w:rsidR="009666B7" w:rsidRDefault="009666B7" w:rsidP="009666B7">
                  <w:pPr>
                    <w:rPr>
                      <w:rFonts w:cs="Arial"/>
                    </w:rPr>
                  </w:pPr>
                  <w:r>
                    <w:rPr>
                      <w:rFonts w:cs="Arial"/>
                    </w:rPr>
                    <w:t>0-1 month</w:t>
                  </w:r>
                </w:p>
              </w:tc>
              <w:tc>
                <w:tcPr>
                  <w:tcW w:w="4103" w:type="dxa"/>
                </w:tcPr>
                <w:p w14:paraId="1FC552B4" w14:textId="12A8502B" w:rsidR="009666B7" w:rsidRDefault="009666B7" w:rsidP="009666B7">
                  <w:pPr>
                    <w:jc w:val="both"/>
                    <w:rPr>
                      <w:rFonts w:cs="Arial"/>
                    </w:rPr>
                  </w:pPr>
                  <w:r>
                    <w:rPr>
                      <w:rFonts w:cs="Arial"/>
                    </w:rPr>
                    <w:t>&gt;2000</w:t>
                  </w:r>
                  <w:r w:rsidR="00B6158C">
                    <w:rPr>
                      <w:rFonts w:cs="Arial"/>
                    </w:rPr>
                    <w:t>.0</w:t>
                  </w:r>
                  <w:r>
                    <w:rPr>
                      <w:rFonts w:cs="Arial"/>
                    </w:rPr>
                    <w:t xml:space="preserve"> ng/mL</w:t>
                  </w:r>
                </w:p>
              </w:tc>
            </w:tr>
            <w:tr w:rsidR="009666B7" w14:paraId="0D65A113" w14:textId="77777777" w:rsidTr="00C27F49">
              <w:trPr>
                <w:trHeight w:val="251"/>
              </w:trPr>
              <w:tc>
                <w:tcPr>
                  <w:tcW w:w="2639" w:type="dxa"/>
                </w:tcPr>
                <w:p w14:paraId="2AA80809" w14:textId="327A2315" w:rsidR="009666B7" w:rsidRDefault="00331E71" w:rsidP="009666B7">
                  <w:pPr>
                    <w:jc w:val="both"/>
                    <w:rPr>
                      <w:rFonts w:cs="Arial"/>
                    </w:rPr>
                  </w:pPr>
                  <w:r>
                    <w:rPr>
                      <w:rFonts w:cs="Arial"/>
                    </w:rPr>
                    <w:t>1-6</w:t>
                  </w:r>
                  <w:r w:rsidR="009666B7">
                    <w:rPr>
                      <w:rFonts w:cs="Arial"/>
                    </w:rPr>
                    <w:t xml:space="preserve"> months</w:t>
                  </w:r>
                </w:p>
              </w:tc>
              <w:tc>
                <w:tcPr>
                  <w:tcW w:w="4103" w:type="dxa"/>
                </w:tcPr>
                <w:p w14:paraId="0B4912DF" w14:textId="3138A7C9" w:rsidR="009666B7" w:rsidRDefault="001503E5" w:rsidP="009666B7">
                  <w:pPr>
                    <w:jc w:val="both"/>
                    <w:rPr>
                      <w:rFonts w:cs="Arial"/>
                    </w:rPr>
                  </w:pPr>
                  <w:r>
                    <w:rPr>
                      <w:rFonts w:cs="Arial"/>
                    </w:rPr>
                    <w:t>9.8</w:t>
                  </w:r>
                  <w:r w:rsidR="009666B7">
                    <w:rPr>
                      <w:rFonts w:cs="Arial"/>
                    </w:rPr>
                    <w:t>-1359</w:t>
                  </w:r>
                  <w:r w:rsidR="00B6158C">
                    <w:rPr>
                      <w:rFonts w:cs="Arial"/>
                    </w:rPr>
                    <w:t>.0</w:t>
                  </w:r>
                  <w:r w:rsidR="009666B7">
                    <w:rPr>
                      <w:rFonts w:cs="Arial"/>
                    </w:rPr>
                    <w:t xml:space="preserve"> ng/mL</w:t>
                  </w:r>
                </w:p>
              </w:tc>
            </w:tr>
            <w:tr w:rsidR="009666B7" w14:paraId="1F90BD3D" w14:textId="77777777" w:rsidTr="00C27F49">
              <w:trPr>
                <w:trHeight w:val="251"/>
              </w:trPr>
              <w:tc>
                <w:tcPr>
                  <w:tcW w:w="2639" w:type="dxa"/>
                </w:tcPr>
                <w:p w14:paraId="6D09DE37" w14:textId="77777777" w:rsidR="009666B7" w:rsidRDefault="009666B7" w:rsidP="009666B7">
                  <w:pPr>
                    <w:jc w:val="both"/>
                    <w:rPr>
                      <w:rFonts w:cs="Arial"/>
                    </w:rPr>
                  </w:pPr>
                  <w:r>
                    <w:rPr>
                      <w:rFonts w:cs="Arial"/>
                    </w:rPr>
                    <w:t>6-12 months</w:t>
                  </w:r>
                </w:p>
              </w:tc>
              <w:tc>
                <w:tcPr>
                  <w:tcW w:w="4103" w:type="dxa"/>
                </w:tcPr>
                <w:p w14:paraId="2E9EDCFE" w14:textId="072B82C7" w:rsidR="009666B7" w:rsidRDefault="00B6158C" w:rsidP="009666B7">
                  <w:pPr>
                    <w:jc w:val="both"/>
                    <w:rPr>
                      <w:rFonts w:cs="Arial"/>
                    </w:rPr>
                  </w:pPr>
                  <w:r>
                    <w:rPr>
                      <w:rFonts w:cs="Arial"/>
                    </w:rPr>
                    <w:t>0.4</w:t>
                  </w:r>
                  <w:r w:rsidR="00331E71">
                    <w:rPr>
                      <w:rFonts w:cs="Arial"/>
                    </w:rPr>
                    <w:t xml:space="preserve"> – 103</w:t>
                  </w:r>
                  <w:r>
                    <w:rPr>
                      <w:rFonts w:cs="Arial"/>
                    </w:rPr>
                    <w:t>.1</w:t>
                  </w:r>
                  <w:r w:rsidR="009666B7">
                    <w:rPr>
                      <w:rFonts w:cs="Arial"/>
                    </w:rPr>
                    <w:t xml:space="preserve"> ng/mL</w:t>
                  </w:r>
                </w:p>
              </w:tc>
            </w:tr>
            <w:tr w:rsidR="009666B7" w14:paraId="2A370EDA" w14:textId="77777777" w:rsidTr="00C27F49">
              <w:trPr>
                <w:trHeight w:val="251"/>
              </w:trPr>
              <w:tc>
                <w:tcPr>
                  <w:tcW w:w="2639" w:type="dxa"/>
                </w:tcPr>
                <w:p w14:paraId="0EB89326" w14:textId="4DFFC22A" w:rsidR="009666B7" w:rsidRDefault="00331E71" w:rsidP="009666B7">
                  <w:pPr>
                    <w:jc w:val="both"/>
                    <w:rPr>
                      <w:rFonts w:cs="Arial"/>
                    </w:rPr>
                  </w:pPr>
                  <w:r>
                    <w:rPr>
                      <w:rFonts w:cs="Arial"/>
                    </w:rPr>
                    <w:t>1-18 years</w:t>
                  </w:r>
                </w:p>
              </w:tc>
              <w:tc>
                <w:tcPr>
                  <w:tcW w:w="4103" w:type="dxa"/>
                </w:tcPr>
                <w:p w14:paraId="59F1BEF1" w14:textId="5388556F" w:rsidR="009666B7" w:rsidRDefault="00B6158C" w:rsidP="00A5594C">
                  <w:pPr>
                    <w:jc w:val="both"/>
                    <w:rPr>
                      <w:rFonts w:cs="Arial"/>
                    </w:rPr>
                  </w:pPr>
                  <w:r>
                    <w:rPr>
                      <w:rFonts w:cs="Arial"/>
                    </w:rPr>
                    <w:t>0.8</w:t>
                  </w:r>
                  <w:r w:rsidR="00331E71">
                    <w:rPr>
                      <w:rFonts w:cs="Arial"/>
                    </w:rPr>
                    <w:t xml:space="preserve"> to 3</w:t>
                  </w:r>
                  <w:r>
                    <w:rPr>
                      <w:rFonts w:cs="Arial"/>
                    </w:rPr>
                    <w:t>4.8</w:t>
                  </w:r>
                  <w:r w:rsidR="00331E71">
                    <w:rPr>
                      <w:rFonts w:cs="Arial"/>
                    </w:rPr>
                    <w:t xml:space="preserve"> ng/mL</w:t>
                  </w:r>
                </w:p>
              </w:tc>
            </w:tr>
            <w:tr w:rsidR="009666B7" w14:paraId="29174DCD" w14:textId="77777777" w:rsidTr="00C27F49">
              <w:trPr>
                <w:trHeight w:val="251"/>
              </w:trPr>
              <w:tc>
                <w:tcPr>
                  <w:tcW w:w="2639" w:type="dxa"/>
                </w:tcPr>
                <w:p w14:paraId="1D4178DF" w14:textId="0AB35468" w:rsidR="009666B7" w:rsidRDefault="00331E71" w:rsidP="009666B7">
                  <w:pPr>
                    <w:jc w:val="both"/>
                    <w:rPr>
                      <w:rFonts w:cs="Arial"/>
                    </w:rPr>
                  </w:pPr>
                  <w:r>
                    <w:rPr>
                      <w:rFonts w:cs="Arial"/>
                    </w:rPr>
                    <w:t>19 years and up</w:t>
                  </w:r>
                </w:p>
              </w:tc>
              <w:tc>
                <w:tcPr>
                  <w:tcW w:w="4103" w:type="dxa"/>
                </w:tcPr>
                <w:p w14:paraId="73C6B4E9" w14:textId="22B43032" w:rsidR="009666B7" w:rsidRDefault="00B6158C" w:rsidP="009666B7">
                  <w:pPr>
                    <w:jc w:val="both"/>
                    <w:rPr>
                      <w:rFonts w:cs="Arial"/>
                    </w:rPr>
                  </w:pPr>
                  <w:r>
                    <w:rPr>
                      <w:rFonts w:cs="Arial"/>
                    </w:rPr>
                    <w:t>&lt; 8.8</w:t>
                  </w:r>
                  <w:r w:rsidR="009666B7">
                    <w:rPr>
                      <w:rFonts w:cs="Arial"/>
                    </w:rPr>
                    <w:t xml:space="preserve"> ng/mL</w:t>
                  </w:r>
                </w:p>
              </w:tc>
            </w:tr>
          </w:tbl>
          <w:p w14:paraId="5CD00018" w14:textId="22C863BA" w:rsidR="0039587D" w:rsidRPr="00DC7421" w:rsidRDefault="0039587D" w:rsidP="0039587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7E106E63" w:rsidR="00E3253B" w:rsidRPr="00DC7421" w:rsidRDefault="009666B7" w:rsidP="001C641E">
            <w:pPr>
              <w:pStyle w:val="Header"/>
              <w:tabs>
                <w:tab w:val="clear" w:pos="4320"/>
                <w:tab w:val="clear" w:pos="8640"/>
              </w:tabs>
              <w:rPr>
                <w:rFonts w:cs="Arial"/>
                <w:szCs w:val="20"/>
              </w:rPr>
            </w:pPr>
            <w:r>
              <w:rPr>
                <w:rFonts w:cs="Arial"/>
                <w:szCs w:val="20"/>
              </w:rPr>
              <w:t>None</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4EE4BCDB" w14:textId="4EF38625" w:rsidR="00B06934" w:rsidRPr="00B06934" w:rsidRDefault="00B06934" w:rsidP="00B06934">
            <w:pPr>
              <w:autoSpaceDE w:val="0"/>
              <w:autoSpaceDN w:val="0"/>
              <w:adjustRightInd w:val="0"/>
              <w:rPr>
                <w:rFonts w:cs="Arial"/>
                <w:bCs/>
                <w:szCs w:val="20"/>
              </w:rPr>
            </w:pPr>
            <w:r w:rsidRPr="00B06934">
              <w:rPr>
                <w:rFonts w:cs="Arial" w:hint="eastAsia"/>
                <w:b/>
                <w:bCs/>
                <w:szCs w:val="20"/>
              </w:rPr>
              <w:t>•</w:t>
            </w:r>
            <w:r w:rsidRPr="00B06934">
              <w:rPr>
                <w:rFonts w:cs="Arial"/>
                <w:b/>
                <w:bCs/>
                <w:szCs w:val="20"/>
              </w:rPr>
              <w:t xml:space="preserve"> </w:t>
            </w:r>
            <w:r w:rsidRPr="00B06934">
              <w:rPr>
                <w:rFonts w:cs="Arial"/>
                <w:bCs/>
                <w:szCs w:val="20"/>
              </w:rPr>
              <w:t>If the AFP results are inconsistent with clinical evidence,</w:t>
            </w:r>
            <w:r w:rsidR="002B7254">
              <w:rPr>
                <w:rFonts w:cs="Arial"/>
                <w:bCs/>
                <w:szCs w:val="20"/>
              </w:rPr>
              <w:t xml:space="preserve"> </w:t>
            </w:r>
            <w:r w:rsidRPr="00B06934">
              <w:rPr>
                <w:rFonts w:cs="Arial"/>
                <w:bCs/>
                <w:szCs w:val="20"/>
              </w:rPr>
              <w:t>additional testing is suggested to confirm the result.</w:t>
            </w:r>
          </w:p>
          <w:p w14:paraId="744EC2A3" w14:textId="53F2DCA2" w:rsidR="00B06934" w:rsidRPr="00B06934" w:rsidRDefault="00B06934" w:rsidP="00B06934">
            <w:pPr>
              <w:autoSpaceDE w:val="0"/>
              <w:autoSpaceDN w:val="0"/>
              <w:adjustRightInd w:val="0"/>
              <w:rPr>
                <w:rFonts w:cs="Arial"/>
                <w:bCs/>
                <w:szCs w:val="20"/>
              </w:rPr>
            </w:pPr>
            <w:r w:rsidRPr="00B06934">
              <w:rPr>
                <w:rFonts w:cs="Arial" w:hint="eastAsia"/>
                <w:b/>
                <w:bCs/>
                <w:szCs w:val="20"/>
              </w:rPr>
              <w:t>•</w:t>
            </w:r>
            <w:r w:rsidRPr="00B06934">
              <w:rPr>
                <w:rFonts w:cs="Arial"/>
                <w:b/>
                <w:bCs/>
                <w:szCs w:val="20"/>
              </w:rPr>
              <w:t xml:space="preserve"> </w:t>
            </w:r>
            <w:r w:rsidRPr="00B06934">
              <w:rPr>
                <w:rFonts w:cs="Arial"/>
                <w:bCs/>
                <w:szCs w:val="20"/>
              </w:rPr>
              <w:t>For diagnostic purposes, results should be used in conjunction</w:t>
            </w:r>
            <w:r w:rsidR="002B7254">
              <w:rPr>
                <w:rFonts w:cs="Arial"/>
                <w:bCs/>
                <w:szCs w:val="20"/>
              </w:rPr>
              <w:t xml:space="preserve"> </w:t>
            </w:r>
            <w:r w:rsidRPr="00B06934">
              <w:rPr>
                <w:rFonts w:cs="Arial"/>
                <w:bCs/>
                <w:szCs w:val="20"/>
              </w:rPr>
              <w:t>with other data; e.g., symptoms, results of other tests, clinical</w:t>
            </w:r>
            <w:r w:rsidR="002B7254">
              <w:rPr>
                <w:rFonts w:cs="Arial"/>
                <w:bCs/>
                <w:szCs w:val="20"/>
              </w:rPr>
              <w:t xml:space="preserve"> </w:t>
            </w:r>
            <w:r w:rsidRPr="00B06934">
              <w:rPr>
                <w:rFonts w:cs="Arial"/>
                <w:bCs/>
                <w:szCs w:val="20"/>
              </w:rPr>
              <w:t>impressions, etc.</w:t>
            </w:r>
          </w:p>
          <w:p w14:paraId="7D8B4D84" w14:textId="0C6D2B6F" w:rsidR="00B06934" w:rsidRPr="00B06934" w:rsidRDefault="00B06934" w:rsidP="00B06934">
            <w:pPr>
              <w:autoSpaceDE w:val="0"/>
              <w:autoSpaceDN w:val="0"/>
              <w:adjustRightInd w:val="0"/>
              <w:rPr>
                <w:rFonts w:cs="Arial"/>
                <w:bCs/>
                <w:szCs w:val="20"/>
              </w:rPr>
            </w:pPr>
            <w:r w:rsidRPr="00B06934">
              <w:rPr>
                <w:rFonts w:cs="Arial" w:hint="eastAsia"/>
                <w:b/>
                <w:bCs/>
                <w:szCs w:val="20"/>
              </w:rPr>
              <w:t>•</w:t>
            </w:r>
            <w:r w:rsidRPr="00B06934">
              <w:rPr>
                <w:rFonts w:cs="Arial"/>
                <w:b/>
                <w:bCs/>
                <w:szCs w:val="20"/>
              </w:rPr>
              <w:t xml:space="preserve"> </w:t>
            </w:r>
            <w:r w:rsidRPr="00B06934">
              <w:rPr>
                <w:rFonts w:cs="Arial"/>
                <w:bCs/>
                <w:szCs w:val="20"/>
              </w:rPr>
              <w:t>Specimens from patients who have received preparations of</w:t>
            </w:r>
            <w:r w:rsidR="002B7254">
              <w:rPr>
                <w:rFonts w:cs="Arial"/>
                <w:bCs/>
                <w:szCs w:val="20"/>
              </w:rPr>
              <w:t xml:space="preserve"> </w:t>
            </w:r>
            <w:r w:rsidRPr="00B06934">
              <w:rPr>
                <w:rFonts w:cs="Arial"/>
                <w:bCs/>
                <w:szCs w:val="20"/>
              </w:rPr>
              <w:t>mouse monoclonal antibodies for diagnosis or therapy may</w:t>
            </w:r>
            <w:r w:rsidR="002B7254">
              <w:rPr>
                <w:rFonts w:cs="Arial"/>
                <w:bCs/>
                <w:szCs w:val="20"/>
              </w:rPr>
              <w:t xml:space="preserve"> </w:t>
            </w:r>
            <w:r w:rsidRPr="00B06934">
              <w:rPr>
                <w:rFonts w:cs="Arial"/>
                <w:bCs/>
                <w:szCs w:val="20"/>
              </w:rPr>
              <w:t>contain human ant</w:t>
            </w:r>
            <w:r w:rsidR="002B7254">
              <w:rPr>
                <w:rFonts w:cs="Arial"/>
                <w:bCs/>
                <w:szCs w:val="20"/>
              </w:rPr>
              <w:t>i-mouse antibodies (HAMA).</w:t>
            </w:r>
            <w:r w:rsidRPr="00B06934">
              <w:rPr>
                <w:rFonts w:cs="Arial"/>
                <w:bCs/>
                <w:szCs w:val="20"/>
              </w:rPr>
              <w:t xml:space="preserve"> Specimens</w:t>
            </w:r>
            <w:r w:rsidR="002B7254">
              <w:rPr>
                <w:rFonts w:cs="Arial"/>
                <w:bCs/>
                <w:szCs w:val="20"/>
              </w:rPr>
              <w:t xml:space="preserve"> </w:t>
            </w:r>
            <w:r w:rsidRPr="00B06934">
              <w:rPr>
                <w:rFonts w:cs="Arial"/>
                <w:bCs/>
                <w:szCs w:val="20"/>
              </w:rPr>
              <w:t>containing HAMA may produce anomalous values when tested</w:t>
            </w:r>
            <w:r w:rsidR="002B7254">
              <w:rPr>
                <w:rFonts w:cs="Arial"/>
                <w:bCs/>
                <w:szCs w:val="20"/>
              </w:rPr>
              <w:t xml:space="preserve"> </w:t>
            </w:r>
            <w:r w:rsidRPr="00B06934">
              <w:rPr>
                <w:rFonts w:cs="Arial"/>
                <w:bCs/>
                <w:szCs w:val="20"/>
              </w:rPr>
              <w:t>with assay kits such as Alinity i AFP that employ mouse</w:t>
            </w:r>
            <w:r w:rsidR="002B7254">
              <w:rPr>
                <w:rFonts w:cs="Arial"/>
                <w:bCs/>
                <w:szCs w:val="20"/>
              </w:rPr>
              <w:t xml:space="preserve"> monoclonal antibodies.</w:t>
            </w:r>
          </w:p>
          <w:p w14:paraId="04B0EFE1" w14:textId="12C30658" w:rsidR="00B06934" w:rsidRPr="00B06934" w:rsidRDefault="00B06934" w:rsidP="00B06934">
            <w:pPr>
              <w:autoSpaceDE w:val="0"/>
              <w:autoSpaceDN w:val="0"/>
              <w:adjustRightInd w:val="0"/>
              <w:rPr>
                <w:rFonts w:cs="Arial"/>
                <w:bCs/>
                <w:szCs w:val="20"/>
              </w:rPr>
            </w:pPr>
            <w:r w:rsidRPr="00B06934">
              <w:rPr>
                <w:rFonts w:cs="Arial" w:hint="eastAsia"/>
                <w:b/>
                <w:bCs/>
                <w:szCs w:val="20"/>
              </w:rPr>
              <w:t>•</w:t>
            </w:r>
            <w:r w:rsidRPr="00B06934">
              <w:rPr>
                <w:rFonts w:cs="Arial"/>
                <w:b/>
                <w:bCs/>
                <w:szCs w:val="20"/>
              </w:rPr>
              <w:t xml:space="preserve"> </w:t>
            </w:r>
            <w:r w:rsidRPr="00B06934">
              <w:rPr>
                <w:rFonts w:cs="Arial"/>
                <w:bCs/>
                <w:szCs w:val="20"/>
              </w:rPr>
              <w:t>Heterophilic antibodies in human serum can react with reagent</w:t>
            </w:r>
            <w:r w:rsidR="002B7254">
              <w:rPr>
                <w:rFonts w:cs="Arial"/>
                <w:bCs/>
                <w:szCs w:val="20"/>
              </w:rPr>
              <w:t xml:space="preserve"> </w:t>
            </w:r>
            <w:r w:rsidRPr="00B06934">
              <w:rPr>
                <w:rFonts w:cs="Arial"/>
                <w:bCs/>
                <w:szCs w:val="20"/>
              </w:rPr>
              <w:t xml:space="preserve">immunoglobulins, interfering with </w:t>
            </w:r>
            <w:r w:rsidRPr="00B06934">
              <w:rPr>
                <w:rFonts w:cs="Arial"/>
                <w:bCs/>
                <w:i/>
                <w:iCs/>
                <w:szCs w:val="20"/>
              </w:rPr>
              <w:t xml:space="preserve">in vitro </w:t>
            </w:r>
            <w:r w:rsidR="002B7254">
              <w:rPr>
                <w:rFonts w:cs="Arial"/>
                <w:bCs/>
                <w:szCs w:val="20"/>
              </w:rPr>
              <w:t xml:space="preserve">immunoassays. </w:t>
            </w:r>
            <w:r w:rsidRPr="00B06934">
              <w:rPr>
                <w:rFonts w:cs="Arial"/>
                <w:bCs/>
                <w:szCs w:val="20"/>
              </w:rPr>
              <w:t>Patients routinely exposed to animals or to animal serum</w:t>
            </w:r>
            <w:r w:rsidR="002B7254">
              <w:rPr>
                <w:rFonts w:cs="Arial"/>
                <w:bCs/>
                <w:szCs w:val="20"/>
              </w:rPr>
              <w:t xml:space="preserve"> </w:t>
            </w:r>
            <w:r w:rsidRPr="00B06934">
              <w:rPr>
                <w:rFonts w:cs="Arial"/>
                <w:bCs/>
                <w:szCs w:val="20"/>
              </w:rPr>
              <w:t>products can be prone to this interference and anomalous results</w:t>
            </w:r>
            <w:r w:rsidR="002B7254">
              <w:rPr>
                <w:rFonts w:cs="Arial"/>
                <w:bCs/>
                <w:szCs w:val="20"/>
              </w:rPr>
              <w:t xml:space="preserve"> </w:t>
            </w:r>
            <w:r w:rsidRPr="00B06934">
              <w:rPr>
                <w:rFonts w:cs="Arial"/>
                <w:bCs/>
                <w:szCs w:val="20"/>
              </w:rPr>
              <w:t>may be observed. Additional information may be required for</w:t>
            </w:r>
            <w:r w:rsidR="002B7254">
              <w:rPr>
                <w:rFonts w:cs="Arial"/>
                <w:bCs/>
                <w:szCs w:val="20"/>
              </w:rPr>
              <w:t xml:space="preserve"> </w:t>
            </w:r>
            <w:r w:rsidRPr="00B06934">
              <w:rPr>
                <w:rFonts w:cs="Arial"/>
                <w:bCs/>
                <w:szCs w:val="20"/>
              </w:rPr>
              <w:t>diagnosis.</w:t>
            </w:r>
          </w:p>
          <w:p w14:paraId="1C62FCD1" w14:textId="723E1A8E" w:rsidR="00B06934" w:rsidRPr="00B06934" w:rsidRDefault="00B06934" w:rsidP="00B06934">
            <w:pPr>
              <w:autoSpaceDE w:val="0"/>
              <w:autoSpaceDN w:val="0"/>
              <w:adjustRightInd w:val="0"/>
              <w:rPr>
                <w:rFonts w:cs="Arial"/>
                <w:bCs/>
                <w:szCs w:val="20"/>
              </w:rPr>
            </w:pPr>
            <w:r w:rsidRPr="00B06934">
              <w:rPr>
                <w:rFonts w:cs="Arial" w:hint="eastAsia"/>
                <w:b/>
                <w:bCs/>
                <w:szCs w:val="20"/>
              </w:rPr>
              <w:t>•</w:t>
            </w:r>
            <w:r w:rsidRPr="00B06934">
              <w:rPr>
                <w:rFonts w:cs="Arial"/>
                <w:b/>
                <w:bCs/>
                <w:szCs w:val="20"/>
              </w:rPr>
              <w:t xml:space="preserve"> </w:t>
            </w:r>
            <w:r w:rsidRPr="00B06934">
              <w:rPr>
                <w:rFonts w:cs="Arial"/>
                <w:bCs/>
                <w:szCs w:val="20"/>
              </w:rPr>
              <w:t>Although the Alinity i AFP assay is specifically designed to</w:t>
            </w:r>
            <w:r w:rsidR="002B7254">
              <w:rPr>
                <w:rFonts w:cs="Arial"/>
                <w:bCs/>
                <w:szCs w:val="20"/>
              </w:rPr>
              <w:t xml:space="preserve"> </w:t>
            </w:r>
            <w:r w:rsidRPr="00B06934">
              <w:rPr>
                <w:rFonts w:cs="Arial"/>
                <w:bCs/>
                <w:szCs w:val="20"/>
              </w:rPr>
              <w:t>minimize the effects of HAMA and heterophilic antibodies, assay</w:t>
            </w:r>
            <w:r w:rsidR="002B7254">
              <w:rPr>
                <w:rFonts w:cs="Arial"/>
                <w:bCs/>
                <w:szCs w:val="20"/>
              </w:rPr>
              <w:t xml:space="preserve"> </w:t>
            </w:r>
            <w:r w:rsidRPr="00B06934">
              <w:rPr>
                <w:rFonts w:cs="Arial"/>
                <w:bCs/>
                <w:szCs w:val="20"/>
              </w:rPr>
              <w:t>results that are not consistent with other clinical observations</w:t>
            </w:r>
            <w:r w:rsidR="002B7254">
              <w:rPr>
                <w:rFonts w:cs="Arial"/>
                <w:bCs/>
                <w:szCs w:val="20"/>
              </w:rPr>
              <w:t xml:space="preserve"> </w:t>
            </w:r>
            <w:r w:rsidRPr="00B06934">
              <w:rPr>
                <w:rFonts w:cs="Arial"/>
                <w:bCs/>
                <w:szCs w:val="20"/>
              </w:rPr>
              <w:t>may require additional information for diagnosis.</w:t>
            </w:r>
          </w:p>
          <w:p w14:paraId="39C00D8B" w14:textId="6FC25BC3" w:rsidR="00B06934" w:rsidRPr="00B06934" w:rsidRDefault="00B06934" w:rsidP="00B06934">
            <w:pPr>
              <w:autoSpaceDE w:val="0"/>
              <w:autoSpaceDN w:val="0"/>
              <w:adjustRightInd w:val="0"/>
              <w:rPr>
                <w:rFonts w:cs="Arial"/>
                <w:bCs/>
                <w:szCs w:val="20"/>
              </w:rPr>
            </w:pPr>
            <w:r w:rsidRPr="00B06934">
              <w:rPr>
                <w:rFonts w:cs="Arial" w:hint="eastAsia"/>
                <w:b/>
                <w:bCs/>
                <w:szCs w:val="20"/>
              </w:rPr>
              <w:t>•</w:t>
            </w:r>
            <w:r w:rsidRPr="00B06934">
              <w:rPr>
                <w:rFonts w:cs="Arial"/>
                <w:b/>
                <w:bCs/>
                <w:szCs w:val="20"/>
              </w:rPr>
              <w:t xml:space="preserve"> </w:t>
            </w:r>
            <w:r w:rsidRPr="00B06934">
              <w:rPr>
                <w:rFonts w:cs="Arial"/>
                <w:bCs/>
                <w:szCs w:val="20"/>
              </w:rPr>
              <w:t>The Alinity i AFP assay is a valuable aid in the management</w:t>
            </w:r>
            <w:r w:rsidR="002B7254">
              <w:rPr>
                <w:rFonts w:cs="Arial"/>
                <w:bCs/>
                <w:szCs w:val="20"/>
              </w:rPr>
              <w:t xml:space="preserve"> </w:t>
            </w:r>
            <w:r w:rsidRPr="00B06934">
              <w:rPr>
                <w:rFonts w:cs="Arial"/>
                <w:bCs/>
                <w:szCs w:val="20"/>
              </w:rPr>
              <w:t>of nonseminomatous testicular cancer patients when used in</w:t>
            </w:r>
            <w:r w:rsidR="002B7254">
              <w:rPr>
                <w:rFonts w:cs="Arial"/>
                <w:bCs/>
                <w:szCs w:val="20"/>
              </w:rPr>
              <w:t xml:space="preserve"> </w:t>
            </w:r>
            <w:r w:rsidRPr="00B06934">
              <w:rPr>
                <w:rFonts w:cs="Arial"/>
                <w:bCs/>
                <w:szCs w:val="20"/>
              </w:rPr>
              <w:t>conjunction with information available from the clinical evaluation</w:t>
            </w:r>
            <w:r w:rsidR="002B7254">
              <w:rPr>
                <w:rFonts w:cs="Arial"/>
                <w:bCs/>
                <w:szCs w:val="20"/>
              </w:rPr>
              <w:t xml:space="preserve"> </w:t>
            </w:r>
            <w:r w:rsidRPr="00B06934">
              <w:rPr>
                <w:rFonts w:cs="Arial"/>
                <w:bCs/>
                <w:szCs w:val="20"/>
              </w:rPr>
              <w:t>and other diagnostic procedures. Increased serum AFP</w:t>
            </w:r>
            <w:r w:rsidR="002B7254">
              <w:rPr>
                <w:rFonts w:cs="Arial"/>
                <w:bCs/>
                <w:szCs w:val="20"/>
              </w:rPr>
              <w:t xml:space="preserve"> </w:t>
            </w:r>
            <w:r w:rsidRPr="00B06934">
              <w:rPr>
                <w:rFonts w:cs="Arial"/>
                <w:bCs/>
                <w:szCs w:val="20"/>
              </w:rPr>
              <w:t>concentrations have also been observed in ataxia telangiectasia,</w:t>
            </w:r>
            <w:r w:rsidR="002B7254">
              <w:rPr>
                <w:rFonts w:cs="Arial"/>
                <w:bCs/>
                <w:szCs w:val="20"/>
              </w:rPr>
              <w:t xml:space="preserve"> </w:t>
            </w:r>
            <w:r w:rsidRPr="00B06934">
              <w:rPr>
                <w:rFonts w:cs="Arial"/>
                <w:bCs/>
                <w:szCs w:val="20"/>
              </w:rPr>
              <w:t>hereditary tyrosinemia, primary hepatocellular carcinoma,</w:t>
            </w:r>
            <w:r w:rsidR="002B7254">
              <w:rPr>
                <w:rFonts w:cs="Arial"/>
                <w:bCs/>
                <w:szCs w:val="20"/>
              </w:rPr>
              <w:t xml:space="preserve"> </w:t>
            </w:r>
            <w:r w:rsidRPr="00B06934">
              <w:rPr>
                <w:rFonts w:cs="Arial"/>
                <w:bCs/>
                <w:szCs w:val="20"/>
              </w:rPr>
              <w:t>teratocarcinoma, gastrointestinal tract cancers with and without</w:t>
            </w:r>
            <w:r w:rsidR="002B7254">
              <w:rPr>
                <w:rFonts w:cs="Arial"/>
                <w:bCs/>
                <w:szCs w:val="20"/>
              </w:rPr>
              <w:t xml:space="preserve"> </w:t>
            </w:r>
            <w:r w:rsidRPr="00B06934">
              <w:rPr>
                <w:rFonts w:cs="Arial"/>
                <w:bCs/>
                <w:szCs w:val="20"/>
              </w:rPr>
              <w:t>liver metastases and in benign hepatic conditions such as acute</w:t>
            </w:r>
            <w:r w:rsidR="002B7254">
              <w:rPr>
                <w:rFonts w:cs="Arial"/>
                <w:bCs/>
                <w:szCs w:val="20"/>
              </w:rPr>
              <w:t xml:space="preserve"> </w:t>
            </w:r>
            <w:r w:rsidRPr="00B06934">
              <w:rPr>
                <w:rFonts w:cs="Arial"/>
                <w:bCs/>
                <w:szCs w:val="20"/>
              </w:rPr>
              <w:t>viral hepatitis, chronic active hepatitis and cirrhosis.</w:t>
            </w:r>
          </w:p>
          <w:p w14:paraId="5CD00021" w14:textId="581C26F9" w:rsidR="00DC7421" w:rsidRPr="00DC7421" w:rsidRDefault="00B06934" w:rsidP="00B06934">
            <w:pPr>
              <w:autoSpaceDE w:val="0"/>
              <w:autoSpaceDN w:val="0"/>
              <w:adjustRightInd w:val="0"/>
              <w:rPr>
                <w:rFonts w:cs="Arial"/>
                <w:bCs/>
                <w:szCs w:val="20"/>
              </w:rPr>
            </w:pPr>
            <w:r w:rsidRPr="00B06934">
              <w:rPr>
                <w:rFonts w:cs="Arial" w:hint="eastAsia"/>
                <w:b/>
                <w:bCs/>
                <w:szCs w:val="20"/>
              </w:rPr>
              <w:t>•</w:t>
            </w:r>
            <w:r w:rsidRPr="00B06934">
              <w:rPr>
                <w:rFonts w:cs="Arial"/>
                <w:b/>
                <w:bCs/>
                <w:szCs w:val="20"/>
              </w:rPr>
              <w:t xml:space="preserve"> </w:t>
            </w:r>
            <w:r w:rsidRPr="00B06934">
              <w:rPr>
                <w:rFonts w:cs="Arial"/>
                <w:bCs/>
                <w:szCs w:val="20"/>
              </w:rPr>
              <w:t>The Alinity i AFP assay should not be used as a cancer</w:t>
            </w:r>
            <w:r w:rsidR="009666B7">
              <w:rPr>
                <w:rFonts w:cs="Arial"/>
                <w:bCs/>
                <w:szCs w:val="20"/>
              </w:rPr>
              <w:t xml:space="preserve"> </w:t>
            </w:r>
            <w:r w:rsidRPr="00B06934">
              <w:rPr>
                <w:rFonts w:cs="Arial"/>
                <w:bCs/>
                <w:szCs w:val="20"/>
              </w:rPr>
              <w:t>screening test</w:t>
            </w: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5FAD6007" w:rsidR="00F83DB0" w:rsidRPr="00A23086" w:rsidRDefault="00851C4D" w:rsidP="00F83DB0">
                  <w:pPr>
                    <w:autoSpaceDE w:val="0"/>
                    <w:autoSpaceDN w:val="0"/>
                    <w:adjustRightInd w:val="0"/>
                    <w:rPr>
                      <w:rFonts w:cs="Arial"/>
                      <w:szCs w:val="20"/>
                      <w:highlight w:val="yellow"/>
                    </w:rPr>
                  </w:pPr>
                  <w:r w:rsidRPr="009666B7">
                    <w:rPr>
                      <w:rFonts w:cs="Arial"/>
                      <w:szCs w:val="20"/>
                    </w:rPr>
                    <w:t>1:10</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05B21676" w14:textId="34244B7A" w:rsidR="002846AB" w:rsidRDefault="002846AB" w:rsidP="00851C4D">
                  <w:pPr>
                    <w:autoSpaceDE w:val="0"/>
                    <w:autoSpaceDN w:val="0"/>
                    <w:adjustRightInd w:val="0"/>
                    <w:rPr>
                      <w:rFonts w:cs="Arial"/>
                      <w:szCs w:val="20"/>
                    </w:rPr>
                  </w:pPr>
                  <w:r>
                    <w:rPr>
                      <w:rFonts w:cs="Arial"/>
                      <w:szCs w:val="20"/>
                    </w:rPr>
                    <w:t xml:space="preserve">For a 1:20 dilution: </w:t>
                  </w:r>
                </w:p>
                <w:p w14:paraId="4DCF63F0" w14:textId="1E7E6A9E" w:rsidR="00851C4D" w:rsidRDefault="002846AB" w:rsidP="00851C4D">
                  <w:pPr>
                    <w:autoSpaceDE w:val="0"/>
                    <w:autoSpaceDN w:val="0"/>
                    <w:adjustRightInd w:val="0"/>
                    <w:rPr>
                      <w:rFonts w:cs="Arial"/>
                      <w:szCs w:val="20"/>
                    </w:rPr>
                  </w:pPr>
                  <w:r>
                    <w:rPr>
                      <w:rFonts w:cs="Arial"/>
                      <w:szCs w:val="20"/>
                    </w:rPr>
                    <w:t>A</w:t>
                  </w:r>
                  <w:r w:rsidR="00851C4D" w:rsidRPr="009666B7">
                    <w:rPr>
                      <w:rFonts w:cs="Arial"/>
                      <w:szCs w:val="20"/>
                    </w:rPr>
                    <w:t>dd</w:t>
                  </w:r>
                  <w:r>
                    <w:rPr>
                      <w:rFonts w:cs="Arial"/>
                      <w:szCs w:val="20"/>
                    </w:rPr>
                    <w:t xml:space="preserve"> exactly</w:t>
                  </w:r>
                  <w:r w:rsidR="00851C4D" w:rsidRPr="009666B7">
                    <w:rPr>
                      <w:rFonts w:cs="Arial"/>
                      <w:szCs w:val="20"/>
                    </w:rPr>
                    <w:t xml:space="preserve"> 50</w:t>
                  </w:r>
                  <w:r>
                    <w:rPr>
                      <w:rFonts w:cs="Arial"/>
                      <w:szCs w:val="20"/>
                    </w:rPr>
                    <w:t>.0</w:t>
                  </w:r>
                  <w:r w:rsidR="00851C4D" w:rsidRPr="009666B7">
                    <w:rPr>
                      <w:rFonts w:cs="Arial"/>
                      <w:szCs w:val="20"/>
                    </w:rPr>
                    <w:t xml:space="preserve"> </w:t>
                  </w:r>
                  <w:r w:rsidR="00851C4D" w:rsidRPr="009666B7">
                    <w:rPr>
                      <w:rFonts w:cs="Arial" w:hint="eastAsia"/>
                      <w:szCs w:val="20"/>
                    </w:rPr>
                    <w:t>μ</w:t>
                  </w:r>
                  <w:r>
                    <w:rPr>
                      <w:rFonts w:cs="Arial"/>
                      <w:szCs w:val="20"/>
                    </w:rPr>
                    <w:t>L of</w:t>
                  </w:r>
                  <w:r w:rsidR="00851C4D" w:rsidRPr="009666B7">
                    <w:rPr>
                      <w:rFonts w:cs="Arial"/>
                      <w:szCs w:val="20"/>
                    </w:rPr>
                    <w:t xml:space="preserve"> patient specimen to 950</w:t>
                  </w:r>
                  <w:r w:rsidR="000A364F">
                    <w:rPr>
                      <w:rFonts w:cs="Arial"/>
                      <w:szCs w:val="20"/>
                    </w:rPr>
                    <w:t>.0</w:t>
                  </w:r>
                  <w:r w:rsidR="00851C4D" w:rsidRPr="009666B7">
                    <w:rPr>
                      <w:rFonts w:cs="Arial"/>
                      <w:szCs w:val="20"/>
                    </w:rPr>
                    <w:t xml:space="preserve"> </w:t>
                  </w:r>
                  <w:r w:rsidR="00851C4D" w:rsidRPr="009666B7">
                    <w:rPr>
                      <w:rFonts w:cs="Arial" w:hint="eastAsia"/>
                      <w:szCs w:val="20"/>
                    </w:rPr>
                    <w:t>μ</w:t>
                  </w:r>
                  <w:r w:rsidR="00851C4D" w:rsidRPr="009666B7">
                    <w:rPr>
                      <w:rFonts w:cs="Arial"/>
                      <w:szCs w:val="20"/>
                    </w:rPr>
                    <w:t>L</w:t>
                  </w:r>
                  <w:r w:rsidR="009666B7">
                    <w:rPr>
                      <w:rFonts w:cs="Arial"/>
                      <w:szCs w:val="20"/>
                    </w:rPr>
                    <w:t xml:space="preserve"> </w:t>
                  </w:r>
                  <w:r w:rsidR="00851C4D" w:rsidRPr="009666B7">
                    <w:rPr>
                      <w:rFonts w:cs="Arial"/>
                      <w:szCs w:val="20"/>
                    </w:rPr>
                    <w:t>of the Alinity i Multi-Assay Manual Di</w:t>
                  </w:r>
                  <w:r w:rsidR="009666B7">
                    <w:rPr>
                      <w:rFonts w:cs="Arial"/>
                      <w:szCs w:val="20"/>
                    </w:rPr>
                    <w:t xml:space="preserve">luent. </w:t>
                  </w:r>
                </w:p>
                <w:p w14:paraId="0563D1EF" w14:textId="77777777" w:rsidR="002846AB" w:rsidRDefault="002846AB" w:rsidP="00851C4D">
                  <w:pPr>
                    <w:autoSpaceDE w:val="0"/>
                    <w:autoSpaceDN w:val="0"/>
                    <w:adjustRightInd w:val="0"/>
                    <w:rPr>
                      <w:rFonts w:cs="Arial"/>
                      <w:szCs w:val="20"/>
                    </w:rPr>
                  </w:pPr>
                </w:p>
                <w:p w14:paraId="3D6787C3" w14:textId="40CF0C56" w:rsidR="0007508D" w:rsidRDefault="0007508D" w:rsidP="00851C4D">
                  <w:pPr>
                    <w:autoSpaceDE w:val="0"/>
                    <w:autoSpaceDN w:val="0"/>
                    <w:adjustRightInd w:val="0"/>
                    <w:rPr>
                      <w:rFonts w:cs="Arial"/>
                      <w:szCs w:val="20"/>
                    </w:rPr>
                  </w:pPr>
                  <w:r>
                    <w:rPr>
                      <w:rFonts w:cs="Arial"/>
                      <w:szCs w:val="20"/>
                    </w:rPr>
                    <w:t xml:space="preserve">For a 1:101 dilution using Alinity i Multi-Assay </w:t>
                  </w:r>
                  <w:r w:rsidR="002846AB">
                    <w:rPr>
                      <w:rFonts w:cs="Arial"/>
                      <w:szCs w:val="20"/>
                    </w:rPr>
                    <w:t xml:space="preserve">Manual </w:t>
                  </w:r>
                  <w:r>
                    <w:rPr>
                      <w:rFonts w:cs="Arial"/>
                      <w:szCs w:val="20"/>
                    </w:rPr>
                    <w:t>Diluent:</w:t>
                  </w:r>
                </w:p>
                <w:p w14:paraId="28C28B5B" w14:textId="7F673A5B" w:rsidR="00952EDF" w:rsidRDefault="0007508D" w:rsidP="00851C4D">
                  <w:pPr>
                    <w:autoSpaceDE w:val="0"/>
                    <w:autoSpaceDN w:val="0"/>
                    <w:adjustRightInd w:val="0"/>
                    <w:rPr>
                      <w:rFonts w:cs="Arial"/>
                      <w:szCs w:val="20"/>
                    </w:rPr>
                  </w:pPr>
                  <w:r>
                    <w:rPr>
                      <w:rFonts w:cs="Arial"/>
                      <w:szCs w:val="20"/>
                    </w:rPr>
                    <w:t>While adding the 10.0</w:t>
                  </w:r>
                  <w:r w:rsidR="002846AB">
                    <w:rPr>
                      <w:rFonts w:cs="Arial"/>
                      <w:szCs w:val="20"/>
                    </w:rPr>
                    <w:t xml:space="preserve"> uL of patient specimen</w:t>
                  </w:r>
                  <w:r>
                    <w:rPr>
                      <w:rFonts w:cs="Arial"/>
                      <w:szCs w:val="20"/>
                    </w:rPr>
                    <w:t xml:space="preserve"> to exactly 1.0 mL diluent</w:t>
                  </w:r>
                  <w:r w:rsidR="002846AB">
                    <w:rPr>
                      <w:rFonts w:cs="Arial"/>
                      <w:szCs w:val="20"/>
                    </w:rPr>
                    <w:t xml:space="preserve"> in a properly labeled pilot tube</w:t>
                  </w:r>
                  <w:r>
                    <w:rPr>
                      <w:rFonts w:cs="Arial"/>
                      <w:szCs w:val="20"/>
                    </w:rPr>
                    <w:t>, do not insert the tip of the pipette more than 2 mm below the surface of the diluent.</w:t>
                  </w:r>
                  <w:r w:rsidR="000A364F">
                    <w:rPr>
                      <w:rFonts w:cs="Arial"/>
                      <w:szCs w:val="20"/>
                    </w:rPr>
                    <w:t xml:space="preserve">  Do not wet the tip with patient sample.</w:t>
                  </w:r>
                  <w:r>
                    <w:rPr>
                      <w:rFonts w:cs="Arial"/>
                      <w:szCs w:val="20"/>
                    </w:rPr>
                    <w:t xml:space="preserve">  Mix gently</w:t>
                  </w:r>
                  <w:r w:rsidR="00AF4023">
                    <w:rPr>
                      <w:rFonts w:cs="Arial"/>
                      <w:szCs w:val="20"/>
                    </w:rPr>
                    <w:t xml:space="preserve"> but </w:t>
                  </w:r>
                  <w:r>
                    <w:rPr>
                      <w:rFonts w:cs="Arial"/>
                      <w:szCs w:val="20"/>
                    </w:rPr>
                    <w:t>thoroughly</w:t>
                  </w:r>
                  <w:r w:rsidR="00AF4023">
                    <w:rPr>
                      <w:rFonts w:cs="Arial"/>
                      <w:szCs w:val="20"/>
                    </w:rPr>
                    <w:t xml:space="preserve"> using a transfer pi</w:t>
                  </w:r>
                  <w:r w:rsidR="002846AB">
                    <w:rPr>
                      <w:rFonts w:cs="Arial"/>
                      <w:szCs w:val="20"/>
                    </w:rPr>
                    <w:t xml:space="preserve">pette, ensuring no loss of patient specimen or diluent occurs.  </w:t>
                  </w:r>
                </w:p>
                <w:p w14:paraId="445A4649" w14:textId="77777777" w:rsidR="002846AB" w:rsidRPr="009666B7" w:rsidRDefault="002846AB" w:rsidP="00851C4D">
                  <w:pPr>
                    <w:autoSpaceDE w:val="0"/>
                    <w:autoSpaceDN w:val="0"/>
                    <w:adjustRightInd w:val="0"/>
                    <w:rPr>
                      <w:rFonts w:cs="Arial"/>
                      <w:szCs w:val="20"/>
                    </w:rPr>
                  </w:pPr>
                </w:p>
                <w:p w14:paraId="3636A886" w14:textId="77777777" w:rsidR="00F83DB0" w:rsidRDefault="00851C4D" w:rsidP="00851C4D">
                  <w:pPr>
                    <w:autoSpaceDE w:val="0"/>
                    <w:autoSpaceDN w:val="0"/>
                    <w:adjustRightInd w:val="0"/>
                    <w:rPr>
                      <w:rFonts w:cs="Arial"/>
                      <w:szCs w:val="20"/>
                    </w:rPr>
                  </w:pPr>
                  <w:r w:rsidRPr="009666B7">
                    <w:rPr>
                      <w:rFonts w:cs="Arial"/>
                      <w:szCs w:val="20"/>
                    </w:rPr>
                    <w:t>The operator must enter the dilution factor in the Specimen or</w:t>
                  </w:r>
                  <w:r w:rsidR="009666B7">
                    <w:rPr>
                      <w:rFonts w:cs="Arial"/>
                      <w:szCs w:val="20"/>
                    </w:rPr>
                    <w:t xml:space="preserve"> </w:t>
                  </w:r>
                  <w:r w:rsidRPr="009666B7">
                    <w:rPr>
                      <w:rFonts w:cs="Arial"/>
                      <w:szCs w:val="20"/>
                    </w:rPr>
                    <w:t>Control tab of the Create Order screen. The system will use this</w:t>
                  </w:r>
                  <w:r w:rsidR="009666B7">
                    <w:rPr>
                      <w:rFonts w:cs="Arial"/>
                      <w:szCs w:val="20"/>
                    </w:rPr>
                    <w:t xml:space="preserve"> </w:t>
                  </w:r>
                  <w:r w:rsidRPr="009666B7">
                    <w:rPr>
                      <w:rFonts w:cs="Arial"/>
                      <w:szCs w:val="20"/>
                    </w:rPr>
                    <w:t>dilution factor to automatically calculate the concentration of the</w:t>
                  </w:r>
                  <w:r w:rsidR="009666B7">
                    <w:rPr>
                      <w:rFonts w:cs="Arial"/>
                      <w:szCs w:val="20"/>
                    </w:rPr>
                    <w:t xml:space="preserve"> </w:t>
                  </w:r>
                  <w:r w:rsidRPr="009666B7">
                    <w:rPr>
                      <w:rFonts w:cs="Arial"/>
                      <w:szCs w:val="20"/>
                    </w:rPr>
                    <w:t>sample and report the result.</w:t>
                  </w:r>
                </w:p>
                <w:p w14:paraId="5209586A" w14:textId="6446E652" w:rsidR="000A364F" w:rsidRPr="009666B7" w:rsidRDefault="000A364F" w:rsidP="00851C4D">
                  <w:pPr>
                    <w:autoSpaceDE w:val="0"/>
                    <w:autoSpaceDN w:val="0"/>
                    <w:adjustRightInd w:val="0"/>
                    <w:rPr>
                      <w:rFonts w:cs="Arial"/>
                      <w:szCs w:val="20"/>
                    </w:rPr>
                  </w:pPr>
                </w:p>
              </w:tc>
            </w:tr>
            <w:tr w:rsidR="00F83DB0" w:rsidRPr="00EC40A2" w14:paraId="51336689" w14:textId="77777777" w:rsidTr="005C0FCC">
              <w:tc>
                <w:tcPr>
                  <w:tcW w:w="1867" w:type="dxa"/>
                </w:tcPr>
                <w:p w14:paraId="315E7962" w14:textId="56473908" w:rsidR="00F83DB0" w:rsidRPr="00EC40A2" w:rsidRDefault="00F83DB0" w:rsidP="00F83DB0">
                  <w:pPr>
                    <w:rPr>
                      <w:rFonts w:cs="Arial"/>
                      <w:szCs w:val="20"/>
                    </w:rPr>
                  </w:pPr>
                  <w:r w:rsidRPr="00EC40A2">
                    <w:rPr>
                      <w:rFonts w:cs="Arial"/>
                      <w:szCs w:val="20"/>
                    </w:rPr>
                    <w:t>Diluent:</w:t>
                  </w:r>
                </w:p>
              </w:tc>
              <w:tc>
                <w:tcPr>
                  <w:tcW w:w="7200" w:type="dxa"/>
                </w:tcPr>
                <w:p w14:paraId="69EBF312" w14:textId="77777777" w:rsidR="00F83DB0" w:rsidRDefault="002846AB" w:rsidP="00F83DB0">
                  <w:pPr>
                    <w:autoSpaceDE w:val="0"/>
                    <w:autoSpaceDN w:val="0"/>
                    <w:adjustRightInd w:val="0"/>
                    <w:rPr>
                      <w:rFonts w:cs="Arial"/>
                      <w:szCs w:val="20"/>
                    </w:rPr>
                  </w:pPr>
                  <w:r>
                    <w:rPr>
                      <w:rFonts w:cs="Arial"/>
                      <w:szCs w:val="20"/>
                    </w:rPr>
                    <w:t>Alinity i Multi-Assay Manual D</w:t>
                  </w:r>
                  <w:r w:rsidR="00851C4D">
                    <w:rPr>
                      <w:rFonts w:cs="Arial"/>
                      <w:szCs w:val="20"/>
                    </w:rPr>
                    <w:t>iluent</w:t>
                  </w:r>
                </w:p>
                <w:p w14:paraId="10636C03" w14:textId="4D4DE821" w:rsidR="000A364F" w:rsidRPr="00EC40A2" w:rsidRDefault="000A364F" w:rsidP="00F83DB0">
                  <w:pPr>
                    <w:autoSpaceDE w:val="0"/>
                    <w:autoSpaceDN w:val="0"/>
                    <w:adjustRightInd w:val="0"/>
                    <w:rPr>
                      <w:rFonts w:cs="Arial"/>
                      <w:szCs w:val="20"/>
                    </w:rPr>
                  </w:pPr>
                </w:p>
              </w:tc>
            </w:tr>
            <w:tr w:rsidR="00F83DB0" w:rsidRPr="00EC40A2" w14:paraId="130A8B4A" w14:textId="77777777" w:rsidTr="0007508D">
              <w:tc>
                <w:tcPr>
                  <w:tcW w:w="1867" w:type="dxa"/>
                  <w:tcBorders>
                    <w:bottom w:val="single" w:sz="4" w:space="0" w:color="000000" w:themeColor="text1"/>
                  </w:tcBorders>
                </w:tcPr>
                <w:p w14:paraId="3BF17F7E" w14:textId="5D478236" w:rsidR="00F83DB0" w:rsidRPr="00EC40A2" w:rsidRDefault="00F83DB0" w:rsidP="00F83DB0">
                  <w:pPr>
                    <w:rPr>
                      <w:rFonts w:cs="Arial"/>
                      <w:szCs w:val="20"/>
                    </w:rPr>
                  </w:pPr>
                  <w:r w:rsidRPr="00EC40A2">
                    <w:rPr>
                      <w:rFonts w:cs="Arial"/>
                      <w:szCs w:val="20"/>
                    </w:rPr>
                    <w:t>Manual Dilution:</w:t>
                  </w:r>
                  <w:r w:rsidR="009666B7">
                    <w:rPr>
                      <w:rFonts w:cs="Arial"/>
                      <w:szCs w:val="20"/>
                    </w:rPr>
                    <w:t xml:space="preserve"> </w:t>
                  </w:r>
                </w:p>
              </w:tc>
              <w:tc>
                <w:tcPr>
                  <w:tcW w:w="7200" w:type="dxa"/>
                  <w:tcBorders>
                    <w:bottom w:val="single" w:sz="4" w:space="0" w:color="000000" w:themeColor="text1"/>
                  </w:tcBorders>
                </w:tcPr>
                <w:p w14:paraId="3AB4E9ED" w14:textId="1705F1FE"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r w:rsidR="009666B7">
                    <w:rPr>
                      <w:rFonts w:cs="Arial"/>
                      <w:szCs w:val="20"/>
                    </w:rPr>
                    <w:t>Operating</w:t>
                  </w:r>
                  <w:r w:rsidR="00851C4D">
                    <w:rPr>
                      <w:rStyle w:val="Hyperlink"/>
                    </w:rPr>
                    <w:t xml:space="preserve"> </w:t>
                  </w:r>
                  <w:r w:rsidRPr="00EC40A2">
                    <w:rPr>
                      <w:rFonts w:cs="Arial"/>
                      <w:szCs w:val="20"/>
                    </w:rPr>
                    <w:t>inst</w:t>
                  </w:r>
                  <w:r>
                    <w:rPr>
                      <w:rFonts w:cs="Arial"/>
                      <w:szCs w:val="20"/>
                    </w:rPr>
                    <w:t>ru</w:t>
                  </w:r>
                  <w:r w:rsidR="009666B7">
                    <w:rPr>
                      <w:rFonts w:cs="Arial"/>
                      <w:szCs w:val="20"/>
                    </w:rPr>
                    <w:t>ctions for programming manual</w:t>
                  </w:r>
                  <w:r>
                    <w:rPr>
                      <w:rFonts w:cs="Arial"/>
                      <w:szCs w:val="20"/>
                    </w:rPr>
                    <w:t xml:space="preserve">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497F0B2E" w14:textId="77777777" w:rsidR="00F83DB0" w:rsidRPr="00EC40A2" w:rsidRDefault="00F83DB0" w:rsidP="00F83DB0">
                  <w:pPr>
                    <w:autoSpaceDE w:val="0"/>
                    <w:autoSpaceDN w:val="0"/>
                    <w:adjustRightInd w:val="0"/>
                    <w:rPr>
                      <w:rFonts w:eastAsia="HelenPro-Regular" w:cs="Arial"/>
                      <w:szCs w:val="20"/>
                    </w:rPr>
                  </w:pPr>
                </w:p>
                <w:p w14:paraId="1BD8E3F1" w14:textId="77777777" w:rsidR="00F83DB0" w:rsidRDefault="00F83DB0" w:rsidP="00F83DB0">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9666B7">
                    <w:rPr>
                      <w:rFonts w:eastAsia="HelenPro-Regular" w:cs="Arial"/>
                      <w:szCs w:val="20"/>
                    </w:rPr>
                    <w:t>e of the measuring interval of 2.0</w:t>
                  </w:r>
                  <w:r w:rsidRPr="00EC40A2">
                    <w:rPr>
                      <w:rFonts w:eastAsia="HelenPro-Regular" w:cs="Arial"/>
                      <w:szCs w:val="20"/>
                    </w:rPr>
                    <w:t xml:space="preserve"> do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p w14:paraId="29DCB4A3" w14:textId="504DB3FC" w:rsidR="000A364F" w:rsidRPr="00EC40A2" w:rsidRDefault="000A364F" w:rsidP="00F83DB0">
                  <w:pPr>
                    <w:autoSpaceDE w:val="0"/>
                    <w:autoSpaceDN w:val="0"/>
                    <w:adjustRightInd w:val="0"/>
                    <w:rPr>
                      <w:rFonts w:eastAsia="HelenPro-Regular" w:cs="Arial"/>
                      <w:szCs w:val="20"/>
                    </w:rPr>
                  </w:pPr>
                </w:p>
              </w:tc>
            </w:tr>
            <w:tr w:rsidR="0007508D" w:rsidRPr="00EC40A2" w14:paraId="28D724D6" w14:textId="77777777" w:rsidTr="0007508D">
              <w:tc>
                <w:tcPr>
                  <w:tcW w:w="1867" w:type="dxa"/>
                  <w:tcBorders>
                    <w:left w:val="nil"/>
                    <w:right w:val="nil"/>
                  </w:tcBorders>
                </w:tcPr>
                <w:p w14:paraId="2BE61E89" w14:textId="77777777" w:rsidR="0007508D" w:rsidRPr="00EC40A2" w:rsidRDefault="0007508D" w:rsidP="00F83DB0">
                  <w:pPr>
                    <w:rPr>
                      <w:rFonts w:cs="Arial"/>
                      <w:szCs w:val="20"/>
                    </w:rPr>
                  </w:pPr>
                </w:p>
              </w:tc>
              <w:tc>
                <w:tcPr>
                  <w:tcW w:w="7200" w:type="dxa"/>
                  <w:tcBorders>
                    <w:left w:val="nil"/>
                    <w:right w:val="nil"/>
                  </w:tcBorders>
                </w:tcPr>
                <w:p w14:paraId="362E49EF" w14:textId="77777777" w:rsidR="0007508D" w:rsidRDefault="0007508D" w:rsidP="00F83DB0">
                  <w:pPr>
                    <w:autoSpaceDE w:val="0"/>
                    <w:autoSpaceDN w:val="0"/>
                    <w:adjustRightInd w:val="0"/>
                    <w:rPr>
                      <w:rFonts w:cs="Arial"/>
                      <w:szCs w:val="20"/>
                    </w:rPr>
                  </w:pP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657BE686" w:rsidR="00EA580E" w:rsidRDefault="00EA580E" w:rsidP="00EA580E">
            <w:pPr>
              <w:rPr>
                <w:rFonts w:cs="Arial"/>
                <w:b/>
                <w:bCs/>
                <w:color w:val="7030A0"/>
                <w:szCs w:val="20"/>
              </w:rPr>
            </w:pPr>
          </w:p>
          <w:p w14:paraId="7EEC7ABE" w14:textId="45BCFD1F"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9666B7">
              <w:rPr>
                <w:rFonts w:cs="Arial"/>
                <w:szCs w:val="20"/>
              </w:rPr>
              <w:t>2.0</w:t>
            </w:r>
            <w:r w:rsidR="00E47DE5">
              <w:rPr>
                <w:rFonts w:cs="Arial"/>
                <w:szCs w:val="20"/>
              </w:rPr>
              <w:t xml:space="preserve"> </w:t>
            </w:r>
            <w:r>
              <w:rPr>
                <w:rFonts w:cs="Arial"/>
                <w:szCs w:val="20"/>
              </w:rPr>
              <w:t xml:space="preserve">and </w:t>
            </w:r>
            <w:r w:rsidR="009666B7">
              <w:rPr>
                <w:rFonts w:cs="Arial"/>
                <w:szCs w:val="20"/>
              </w:rPr>
              <w:t>2000.0</w:t>
            </w:r>
            <w:r w:rsidR="00952EDF">
              <w:rPr>
                <w:rFonts w:cs="Arial"/>
                <w:szCs w:val="20"/>
              </w:rPr>
              <w:t xml:space="preserve"> ng/mL</w:t>
            </w:r>
            <w:r w:rsidR="00E47DE5" w:rsidRPr="00DC7421">
              <w:rPr>
                <w:rFonts w:cs="Arial"/>
                <w:szCs w:val="20"/>
              </w:rPr>
              <w:t xml:space="preserve"> </w:t>
            </w:r>
            <w:r w:rsidRPr="00DC7421">
              <w:rPr>
                <w:rFonts w:cs="Arial"/>
                <w:szCs w:val="20"/>
              </w:rPr>
              <w:t>without error messages are released</w:t>
            </w:r>
          </w:p>
          <w:p w14:paraId="512DB6C5" w14:textId="7E477848" w:rsidR="00F84C8E" w:rsidRPr="00DC7421" w:rsidRDefault="00F84C8E" w:rsidP="00F84C8E">
            <w:pPr>
              <w:numPr>
                <w:ilvl w:val="0"/>
                <w:numId w:val="40"/>
              </w:numPr>
              <w:rPr>
                <w:rFonts w:cs="Arial"/>
                <w:szCs w:val="20"/>
              </w:rPr>
            </w:pPr>
            <w:r>
              <w:rPr>
                <w:rFonts w:cs="Arial"/>
                <w:szCs w:val="20"/>
              </w:rPr>
              <w:t xml:space="preserve">Results below </w:t>
            </w:r>
            <w:r w:rsidR="009666B7">
              <w:rPr>
                <w:rFonts w:cs="Arial"/>
                <w:szCs w:val="20"/>
              </w:rPr>
              <w:t xml:space="preserve">2.0 </w:t>
            </w:r>
            <w:r>
              <w:rPr>
                <w:rFonts w:cs="Arial"/>
                <w:szCs w:val="20"/>
              </w:rPr>
              <w:t xml:space="preserve">without error messages are reported as &lt; </w:t>
            </w:r>
            <w:r w:rsidR="009666B7">
              <w:rPr>
                <w:rFonts w:cs="Arial"/>
                <w:szCs w:val="20"/>
              </w:rPr>
              <w:t>2.0</w:t>
            </w:r>
            <w:r w:rsidR="00952EDF">
              <w:rPr>
                <w:rFonts w:cs="Arial"/>
                <w:szCs w:val="20"/>
              </w:rPr>
              <w:t xml:space="preserve"> ng/mL</w:t>
            </w:r>
            <w:r>
              <w:rPr>
                <w:rFonts w:cs="Arial"/>
                <w:szCs w:val="20"/>
              </w:rPr>
              <w:t>.</w:t>
            </w:r>
          </w:p>
          <w:p w14:paraId="01464496" w14:textId="08EE7377" w:rsidR="00952EDF" w:rsidRDefault="00F84C8E" w:rsidP="00F84C8E">
            <w:pPr>
              <w:numPr>
                <w:ilvl w:val="0"/>
                <w:numId w:val="40"/>
              </w:numPr>
              <w:rPr>
                <w:rFonts w:cs="Arial"/>
                <w:szCs w:val="20"/>
              </w:rPr>
            </w:pPr>
            <w:r>
              <w:rPr>
                <w:rFonts w:cs="Arial"/>
                <w:szCs w:val="20"/>
              </w:rPr>
              <w:t>Results &gt;</w:t>
            </w:r>
            <w:r w:rsidR="009666B7">
              <w:rPr>
                <w:rFonts w:cs="Arial"/>
                <w:szCs w:val="20"/>
              </w:rPr>
              <w:t xml:space="preserve"> 2000</w:t>
            </w:r>
            <w:r w:rsidR="00AF4023">
              <w:rPr>
                <w:rFonts w:cs="Arial"/>
                <w:szCs w:val="20"/>
              </w:rPr>
              <w:t>.0</w:t>
            </w:r>
            <w:r w:rsidR="00E47DE5">
              <w:rPr>
                <w:rFonts w:cs="Arial"/>
                <w:szCs w:val="20"/>
              </w:rPr>
              <w:t xml:space="preserve"> </w:t>
            </w:r>
            <w:r>
              <w:rPr>
                <w:rFonts w:cs="Arial"/>
                <w:szCs w:val="20"/>
              </w:rPr>
              <w:t xml:space="preserve">should be diluted using the onboard automated </w:t>
            </w:r>
            <w:r w:rsidR="009666B7">
              <w:rPr>
                <w:rFonts w:cs="Arial"/>
                <w:szCs w:val="20"/>
              </w:rPr>
              <w:t>1:10</w:t>
            </w:r>
            <w:r>
              <w:rPr>
                <w:rFonts w:cs="Arial"/>
                <w:szCs w:val="20"/>
              </w:rPr>
              <w:t>.  Release results without error messages following this dilution.</w:t>
            </w:r>
            <w:r w:rsidR="009666B7">
              <w:rPr>
                <w:rFonts w:cs="Arial"/>
                <w:szCs w:val="20"/>
              </w:rPr>
              <w:t xml:space="preserve">  </w:t>
            </w:r>
          </w:p>
          <w:p w14:paraId="61C98532" w14:textId="7E786615" w:rsidR="00F84C8E" w:rsidRDefault="00952EDF" w:rsidP="00F84C8E">
            <w:pPr>
              <w:numPr>
                <w:ilvl w:val="0"/>
                <w:numId w:val="40"/>
              </w:numPr>
              <w:rPr>
                <w:rFonts w:cs="Arial"/>
                <w:szCs w:val="20"/>
              </w:rPr>
            </w:pPr>
            <w:r>
              <w:rPr>
                <w:rFonts w:cs="Arial"/>
                <w:szCs w:val="20"/>
              </w:rPr>
              <w:t>Results</w:t>
            </w:r>
            <w:r w:rsidR="009666B7">
              <w:rPr>
                <w:rFonts w:cs="Arial"/>
                <w:szCs w:val="20"/>
              </w:rPr>
              <w:t xml:space="preserve"> greater than 20000 following instrument dilution, perform 1:20 manual dilution.</w:t>
            </w:r>
            <w:r>
              <w:rPr>
                <w:rFonts w:cs="Arial"/>
                <w:szCs w:val="20"/>
              </w:rPr>
              <w:t xml:space="preserve"> Results without error messages following this dilution are reported.  </w:t>
            </w:r>
          </w:p>
          <w:p w14:paraId="1516BBCC" w14:textId="58451055" w:rsidR="00EA580E" w:rsidRPr="00F84C8E" w:rsidRDefault="00F84C8E" w:rsidP="00F84C8E">
            <w:pPr>
              <w:numPr>
                <w:ilvl w:val="0"/>
                <w:numId w:val="40"/>
              </w:numPr>
              <w:rPr>
                <w:rFonts w:cs="Arial"/>
                <w:szCs w:val="20"/>
              </w:rPr>
            </w:pPr>
            <w:r>
              <w:rPr>
                <w:rFonts w:cs="Arial"/>
                <w:szCs w:val="20"/>
              </w:rPr>
              <w:t xml:space="preserve">Results &gt; </w:t>
            </w:r>
            <w:r w:rsidR="009666B7">
              <w:rPr>
                <w:rFonts w:cs="Arial"/>
                <w:szCs w:val="20"/>
              </w:rPr>
              <w:t>40000.0</w:t>
            </w:r>
            <w:r w:rsidR="00E47DE5">
              <w:rPr>
                <w:rFonts w:cs="Arial"/>
                <w:szCs w:val="20"/>
              </w:rPr>
              <w:t xml:space="preserve"> </w:t>
            </w:r>
            <w:r w:rsidR="009666B7">
              <w:rPr>
                <w:rFonts w:cs="Arial"/>
                <w:szCs w:val="20"/>
              </w:rPr>
              <w:t xml:space="preserve">following </w:t>
            </w:r>
            <w:r w:rsidR="00952EDF">
              <w:rPr>
                <w:rFonts w:cs="Arial"/>
                <w:szCs w:val="20"/>
              </w:rPr>
              <w:t xml:space="preserve">the 1:20 </w:t>
            </w:r>
            <w:r w:rsidR="009666B7">
              <w:rPr>
                <w:rFonts w:cs="Arial"/>
                <w:szCs w:val="20"/>
              </w:rPr>
              <w:t>manual</w:t>
            </w:r>
            <w:r w:rsidR="00952EDF">
              <w:rPr>
                <w:rFonts w:cs="Arial"/>
                <w:szCs w:val="20"/>
              </w:rPr>
              <w:t xml:space="preserve"> dilution are further diluted using the 1:101 manual dilution.  Results without error messages are released</w:t>
            </w:r>
            <w:r w:rsidR="0007508D">
              <w:rPr>
                <w:rFonts w:cs="Arial"/>
                <w:szCs w:val="20"/>
              </w:rPr>
              <w:t>,</w:t>
            </w:r>
            <w:r w:rsidR="00952EDF">
              <w:rPr>
                <w:rFonts w:cs="Arial"/>
                <w:szCs w:val="20"/>
              </w:rPr>
              <w:t xml:space="preserve"> and those greater than 202000.0 following the 1:101</w:t>
            </w:r>
            <w:r w:rsidR="009037CC">
              <w:rPr>
                <w:rFonts w:cs="Arial"/>
                <w:szCs w:val="20"/>
              </w:rPr>
              <w:t xml:space="preserve"> dilution are credited and automatically reflexed to Mayo Medical Laboratories for testing.</w:t>
            </w:r>
          </w:p>
          <w:p w14:paraId="5CD0003C" w14:textId="77777777" w:rsidR="00F83DB0" w:rsidRPr="00DC7421" w:rsidRDefault="00F83DB0" w:rsidP="009666B7">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14498AE0"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0A364F">
              <w:rPr>
                <w:rFonts w:cs="Arial"/>
                <w:szCs w:val="20"/>
              </w:rPr>
              <w:t xml:space="preserve"> Samples are retained 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09E184B5" w14:textId="30675089" w:rsidR="00E3253B" w:rsidRDefault="009666B7" w:rsidP="00B415C8">
            <w:pPr>
              <w:numPr>
                <w:ilvl w:val="0"/>
                <w:numId w:val="33"/>
              </w:numPr>
              <w:rPr>
                <w:rFonts w:cs="Arial"/>
                <w:szCs w:val="20"/>
              </w:rPr>
            </w:pPr>
            <w:r>
              <w:rPr>
                <w:rFonts w:cs="Arial"/>
                <w:szCs w:val="20"/>
              </w:rPr>
              <w:t xml:space="preserve">Abbott Alinity </w:t>
            </w:r>
            <w:r w:rsidR="00AF4023">
              <w:rPr>
                <w:rFonts w:cs="Arial"/>
                <w:szCs w:val="20"/>
              </w:rPr>
              <w:t xml:space="preserve">i </w:t>
            </w:r>
            <w:r>
              <w:rPr>
                <w:rFonts w:cs="Arial"/>
                <w:szCs w:val="20"/>
              </w:rPr>
              <w:t>AFP Package Insert.  Abbott Diagnostics</w:t>
            </w:r>
            <w:r w:rsidR="00AF4023">
              <w:rPr>
                <w:rFonts w:cs="Arial"/>
                <w:szCs w:val="20"/>
              </w:rPr>
              <w:t xml:space="preserve"> Division</w:t>
            </w:r>
            <w:r>
              <w:rPr>
                <w:rFonts w:cs="Arial"/>
                <w:szCs w:val="20"/>
              </w:rPr>
              <w:t>, Abbott Park IL, USA.  August 2019</w:t>
            </w:r>
          </w:p>
          <w:p w14:paraId="13BA1FAD" w14:textId="0689744F" w:rsidR="00331E71" w:rsidRDefault="009666B7" w:rsidP="00331E71">
            <w:pPr>
              <w:numPr>
                <w:ilvl w:val="0"/>
                <w:numId w:val="33"/>
              </w:numPr>
              <w:rPr>
                <w:rFonts w:cs="Arial"/>
                <w:szCs w:val="20"/>
              </w:rPr>
            </w:pPr>
            <w:r>
              <w:rPr>
                <w:rFonts w:cs="Arial"/>
                <w:szCs w:val="20"/>
              </w:rPr>
              <w:t>Abbott Alinity</w:t>
            </w:r>
            <w:r w:rsidR="00AF4023">
              <w:rPr>
                <w:rFonts w:cs="Arial"/>
                <w:szCs w:val="20"/>
              </w:rPr>
              <w:t xml:space="preserve"> i</w:t>
            </w:r>
            <w:r>
              <w:rPr>
                <w:rFonts w:cs="Arial"/>
                <w:szCs w:val="20"/>
              </w:rPr>
              <w:t xml:space="preserve"> AFP Calibrator Package Insert.  Abbott Diagnostics</w:t>
            </w:r>
            <w:r w:rsidR="00AF4023">
              <w:rPr>
                <w:rFonts w:cs="Arial"/>
                <w:szCs w:val="20"/>
              </w:rPr>
              <w:t xml:space="preserve"> Division</w:t>
            </w:r>
            <w:r>
              <w:rPr>
                <w:rFonts w:cs="Arial"/>
                <w:szCs w:val="20"/>
              </w:rPr>
              <w:t>, Abbott Park, IL, USA.  August 2019</w:t>
            </w:r>
          </w:p>
          <w:p w14:paraId="762EEFBF" w14:textId="7C3E6519" w:rsidR="00331E71" w:rsidRDefault="00D20842" w:rsidP="00331E71">
            <w:pPr>
              <w:numPr>
                <w:ilvl w:val="0"/>
                <w:numId w:val="33"/>
              </w:numPr>
              <w:rPr>
                <w:rFonts w:cs="Arial"/>
                <w:szCs w:val="20"/>
              </w:rPr>
            </w:pPr>
            <w:hyperlink r:id="rId14" w:anchor="/login;next=search;queryParams=%7B%7D" w:history="1">
              <w:r w:rsidR="00331E71" w:rsidRPr="00331E71">
                <w:rPr>
                  <w:rStyle w:val="Hyperlink"/>
                  <w:rFonts w:cs="Arial"/>
                  <w:szCs w:val="20"/>
                </w:rPr>
                <w:t>CALIPER reference Interval Study,</w:t>
              </w:r>
            </w:hyperlink>
            <w:r w:rsidR="00331E71">
              <w:rPr>
                <w:rFonts w:cs="Arial"/>
                <w:szCs w:val="20"/>
              </w:rPr>
              <w:t xml:space="preserve"> accessed October 27, 2020</w:t>
            </w:r>
          </w:p>
          <w:p w14:paraId="3ED04883" w14:textId="77777777" w:rsidR="00331E71" w:rsidRDefault="00331E71" w:rsidP="00331E71">
            <w:pPr>
              <w:numPr>
                <w:ilvl w:val="0"/>
                <w:numId w:val="33"/>
              </w:numPr>
              <w:rPr>
                <w:rFonts w:cs="Arial"/>
                <w:szCs w:val="20"/>
              </w:rPr>
            </w:pPr>
            <w:proofErr w:type="spellStart"/>
            <w:r w:rsidRPr="00331E71">
              <w:rPr>
                <w:rFonts w:cs="Arial"/>
                <w:szCs w:val="20"/>
              </w:rPr>
              <w:t>Blohm</w:t>
            </w:r>
            <w:proofErr w:type="spellEnd"/>
            <w:r w:rsidRPr="00331E71">
              <w:rPr>
                <w:rFonts w:cs="Arial"/>
                <w:szCs w:val="20"/>
              </w:rPr>
              <w:t xml:space="preserve"> ME, </w:t>
            </w:r>
            <w:proofErr w:type="spellStart"/>
            <w:r w:rsidRPr="00331E71">
              <w:rPr>
                <w:rFonts w:cs="Arial"/>
                <w:szCs w:val="20"/>
              </w:rPr>
              <w:t>Vesterling</w:t>
            </w:r>
            <w:proofErr w:type="spellEnd"/>
            <w:r w:rsidRPr="00331E71">
              <w:rPr>
                <w:rFonts w:cs="Arial"/>
                <w:szCs w:val="20"/>
              </w:rPr>
              <w:t xml:space="preserve">-Horner D, </w:t>
            </w:r>
            <w:proofErr w:type="spellStart"/>
            <w:r w:rsidRPr="00331E71">
              <w:rPr>
                <w:rFonts w:cs="Arial"/>
                <w:szCs w:val="20"/>
              </w:rPr>
              <w:t>Calaminus</w:t>
            </w:r>
            <w:proofErr w:type="spellEnd"/>
            <w:r w:rsidRPr="00331E71">
              <w:rPr>
                <w:rFonts w:cs="Arial"/>
                <w:szCs w:val="20"/>
              </w:rPr>
              <w:t xml:space="preserve"> G, et al: Alpha-1-fetoprotein (AFP) reference values in infants up to 2 years of age. </w:t>
            </w:r>
            <w:proofErr w:type="spellStart"/>
            <w:r w:rsidRPr="00331E71">
              <w:rPr>
                <w:rFonts w:cs="Arial"/>
                <w:szCs w:val="20"/>
              </w:rPr>
              <w:t>Pediatr</w:t>
            </w:r>
            <w:proofErr w:type="spellEnd"/>
            <w:r w:rsidRPr="00331E71">
              <w:rPr>
                <w:rFonts w:cs="Arial"/>
                <w:szCs w:val="20"/>
              </w:rPr>
              <w:t xml:space="preserve"> </w:t>
            </w:r>
            <w:proofErr w:type="spellStart"/>
            <w:r w:rsidRPr="00331E71">
              <w:rPr>
                <w:rFonts w:cs="Arial"/>
                <w:szCs w:val="20"/>
              </w:rPr>
              <w:t>Hematol</w:t>
            </w:r>
            <w:proofErr w:type="spellEnd"/>
            <w:r w:rsidRPr="00331E71">
              <w:rPr>
                <w:rFonts w:cs="Arial"/>
                <w:szCs w:val="20"/>
              </w:rPr>
              <w:t xml:space="preserve"> </w:t>
            </w:r>
            <w:proofErr w:type="spellStart"/>
            <w:r w:rsidRPr="00331E71">
              <w:rPr>
                <w:rFonts w:cs="Arial"/>
                <w:szCs w:val="20"/>
              </w:rPr>
              <w:t>Onco</w:t>
            </w:r>
            <w:proofErr w:type="spellEnd"/>
            <w:r w:rsidRPr="00331E71">
              <w:rPr>
                <w:rFonts w:cs="Arial"/>
                <w:szCs w:val="20"/>
              </w:rPr>
              <w:t xml:space="preserve"> 1998 Mar-April;15(2):135-142</w:t>
            </w:r>
            <w:r>
              <w:rPr>
                <w:rFonts w:cs="Arial"/>
                <w:szCs w:val="20"/>
              </w:rPr>
              <w:t xml:space="preserve"> </w:t>
            </w:r>
          </w:p>
          <w:p w14:paraId="5CD00046" w14:textId="48A3352B" w:rsidR="00AF4023" w:rsidRPr="00331E71" w:rsidRDefault="00AF4023" w:rsidP="00AF4023">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2BACCDC0"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77777777"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14:paraId="5CD00050" w14:textId="4DAA6A53" w:rsidR="00F50200" w:rsidRPr="00DC7421" w:rsidRDefault="009666B7">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1" w14:textId="1DBDC507" w:rsidR="00F50200" w:rsidRPr="00DC7421" w:rsidRDefault="009666B7">
            <w:pPr>
              <w:rPr>
                <w:rFonts w:cs="Arial"/>
                <w:iCs/>
                <w:szCs w:val="20"/>
              </w:rPr>
            </w:pPr>
            <w:r>
              <w:rPr>
                <w:rFonts w:cs="Arial"/>
                <w:iCs/>
                <w:szCs w:val="20"/>
              </w:rPr>
              <w:t>10/28/2020</w:t>
            </w:r>
          </w:p>
        </w:tc>
        <w:tc>
          <w:tcPr>
            <w:tcW w:w="4410" w:type="dxa"/>
            <w:tcBorders>
              <w:top w:val="single" w:sz="4" w:space="0" w:color="auto"/>
              <w:left w:val="single" w:sz="4" w:space="0" w:color="auto"/>
              <w:bottom w:val="single" w:sz="4" w:space="0" w:color="auto"/>
              <w:right w:val="single" w:sz="4" w:space="0" w:color="auto"/>
            </w:tcBorders>
          </w:tcPr>
          <w:p w14:paraId="5CD00052" w14:textId="6861C578" w:rsidR="00F50200" w:rsidRPr="00DC7421" w:rsidRDefault="00824C10">
            <w:pPr>
              <w:rPr>
                <w:rFonts w:cs="Arial"/>
                <w:iCs/>
                <w:szCs w:val="20"/>
              </w:rPr>
            </w:pPr>
            <w:r w:rsidRPr="00DC7421">
              <w:rPr>
                <w:rFonts w:cs="Arial"/>
                <w:iCs/>
                <w:szCs w:val="20"/>
              </w:rPr>
              <w:t>Ne</w:t>
            </w:r>
            <w:r w:rsidR="009666B7">
              <w:rPr>
                <w:rFonts w:cs="Arial"/>
                <w:iCs/>
                <w:szCs w:val="20"/>
              </w:rPr>
              <w:t>w Procedure for Alinity</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268540C" w:rsidR="00F50200" w:rsidRPr="00F84C8E" w:rsidRDefault="00F84C8E">
            <w:pPr>
              <w:rPr>
                <w:rFonts w:cs="Arial"/>
                <w:iCs/>
                <w:szCs w:val="20"/>
              </w:rPr>
            </w:pPr>
            <w:r w:rsidRPr="00F84C8E">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5CD00056" w14:textId="575642B6" w:rsidR="00F50200" w:rsidRPr="00F84C8E" w:rsidRDefault="00331E71">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234A2F8A" w:rsidR="00F50200" w:rsidRPr="00F84C8E" w:rsidRDefault="00331E71">
            <w:pPr>
              <w:rPr>
                <w:rFonts w:cs="Arial"/>
                <w:iCs/>
                <w:szCs w:val="20"/>
              </w:rPr>
            </w:pPr>
            <w:r>
              <w:rPr>
                <w:rFonts w:cs="Arial"/>
                <w:iCs/>
                <w:szCs w:val="20"/>
              </w:rPr>
              <w:t>11/9/2020</w:t>
            </w:r>
          </w:p>
        </w:tc>
        <w:tc>
          <w:tcPr>
            <w:tcW w:w="4410" w:type="dxa"/>
            <w:tcBorders>
              <w:top w:val="single" w:sz="4" w:space="0" w:color="auto"/>
              <w:left w:val="single" w:sz="4" w:space="0" w:color="auto"/>
              <w:bottom w:val="single" w:sz="4" w:space="0" w:color="auto"/>
              <w:right w:val="single" w:sz="4" w:space="0" w:color="auto"/>
            </w:tcBorders>
          </w:tcPr>
          <w:p w14:paraId="5CD00058" w14:textId="700E786D" w:rsidR="00F50200" w:rsidRPr="00F84C8E" w:rsidRDefault="00331E71">
            <w:pPr>
              <w:rPr>
                <w:rFonts w:cs="Arial"/>
                <w:iCs/>
                <w:szCs w:val="20"/>
              </w:rPr>
            </w:pPr>
            <w:r>
              <w:rPr>
                <w:rFonts w:cs="Arial"/>
                <w:iCs/>
                <w:szCs w:val="20"/>
              </w:rPr>
              <w:t>Corrected Age ranges for reference intervals and added references to adult and 0-1 month reference intervals.</w:t>
            </w:r>
          </w:p>
        </w:tc>
      </w:tr>
      <w:tr w:rsidR="00952EDF" w14:paraId="0A02FB22"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7DECF9A2" w14:textId="77777777" w:rsidR="00952EDF" w:rsidRDefault="00952EDF">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0731A9B3" w14:textId="2F68FCA0" w:rsidR="00952EDF" w:rsidRPr="00F84C8E" w:rsidRDefault="00952EDF">
            <w:pPr>
              <w:rPr>
                <w:rFonts w:cs="Arial"/>
                <w:iCs/>
                <w:szCs w:val="20"/>
              </w:rPr>
            </w:pPr>
            <w:r>
              <w:rPr>
                <w:rFonts w:cs="Arial"/>
                <w:iCs/>
                <w:szCs w:val="20"/>
              </w:rPr>
              <w:t>3</w:t>
            </w:r>
          </w:p>
        </w:tc>
        <w:tc>
          <w:tcPr>
            <w:tcW w:w="2430" w:type="dxa"/>
            <w:tcBorders>
              <w:top w:val="single" w:sz="4" w:space="0" w:color="auto"/>
              <w:left w:val="single" w:sz="4" w:space="0" w:color="auto"/>
              <w:bottom w:val="single" w:sz="4" w:space="0" w:color="auto"/>
              <w:right w:val="single" w:sz="4" w:space="0" w:color="auto"/>
            </w:tcBorders>
          </w:tcPr>
          <w:p w14:paraId="1747F698" w14:textId="69B06595" w:rsidR="00952EDF" w:rsidRDefault="00952EDF">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3ECBF265" w14:textId="6D55FA8D" w:rsidR="00952EDF" w:rsidRDefault="006C1042">
            <w:pPr>
              <w:rPr>
                <w:rFonts w:cs="Arial"/>
                <w:iCs/>
                <w:szCs w:val="20"/>
              </w:rPr>
            </w:pPr>
            <w:r>
              <w:rPr>
                <w:rFonts w:cs="Arial"/>
                <w:iCs/>
                <w:szCs w:val="20"/>
              </w:rPr>
              <w:t>11/23</w:t>
            </w:r>
            <w:r w:rsidR="00952EDF">
              <w:rPr>
                <w:rFonts w:cs="Arial"/>
                <w:iCs/>
                <w:szCs w:val="20"/>
              </w:rPr>
              <w:t>/2020</w:t>
            </w:r>
          </w:p>
        </w:tc>
        <w:tc>
          <w:tcPr>
            <w:tcW w:w="4410" w:type="dxa"/>
            <w:tcBorders>
              <w:top w:val="single" w:sz="4" w:space="0" w:color="auto"/>
              <w:left w:val="single" w:sz="4" w:space="0" w:color="auto"/>
              <w:bottom w:val="single" w:sz="4" w:space="0" w:color="auto"/>
              <w:right w:val="single" w:sz="4" w:space="0" w:color="auto"/>
            </w:tcBorders>
          </w:tcPr>
          <w:p w14:paraId="311EE9FA" w14:textId="75A9BEB6" w:rsidR="00952EDF" w:rsidRDefault="009037CC">
            <w:pPr>
              <w:rPr>
                <w:rFonts w:cs="Arial"/>
                <w:iCs/>
                <w:szCs w:val="20"/>
              </w:rPr>
            </w:pPr>
            <w:r>
              <w:rPr>
                <w:rFonts w:cs="Arial"/>
                <w:iCs/>
                <w:szCs w:val="20"/>
              </w:rPr>
              <w:t>Added 1:101 dilution, updated reflex value</w:t>
            </w:r>
            <w:r w:rsidR="00B6158C">
              <w:rPr>
                <w:rFonts w:cs="Arial"/>
                <w:iCs/>
                <w:szCs w:val="20"/>
              </w:rPr>
              <w:t>.  Adult ref interval changed to &lt;8.8</w:t>
            </w:r>
            <w:r w:rsidR="00AF4023">
              <w:rPr>
                <w:rFonts w:cs="Arial"/>
                <w:iCs/>
                <w:szCs w:val="20"/>
              </w:rPr>
              <w:t xml:space="preserve"> </w:t>
            </w:r>
          </w:p>
        </w:tc>
      </w:tr>
    </w:tbl>
    <w:p w14:paraId="5CD0005A" w14:textId="77777777" w:rsidR="00E3253B" w:rsidRPr="00BC1DCC" w:rsidRDefault="00E3253B" w:rsidP="007132A9">
      <w:pPr>
        <w:rPr>
          <w:rFonts w:cs="Arial"/>
        </w:rPr>
      </w:pPr>
    </w:p>
    <w:sectPr w:rsidR="00E3253B" w:rsidRPr="00BC1DCC" w:rsidSect="008F2C66">
      <w:headerReference w:type="default" r:id="rId15"/>
      <w:footerReference w:type="default" r:id="rId16"/>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040A17F1" w:rsidR="00B13C1A" w:rsidRPr="002E718D" w:rsidRDefault="00B13C1A" w:rsidP="002E718D">
    <w:pPr>
      <w:ind w:left="-1260" w:right="-1260"/>
      <w:rPr>
        <w:rFonts w:cs="Arial"/>
        <w:sz w:val="16"/>
      </w:rPr>
    </w:pPr>
    <w:r>
      <w:rPr>
        <w:rFonts w:cs="Arial"/>
        <w:sz w:val="16"/>
      </w:rPr>
      <w:t>Laboratory, Chi</w:t>
    </w:r>
    <w:r w:rsidR="00A5594C">
      <w:rPr>
        <w:rFonts w:cs="Arial"/>
        <w:sz w:val="16"/>
      </w:rPr>
      <w:t>ldren’s</w:t>
    </w:r>
    <w:r w:rsidR="00AD0E31">
      <w:rPr>
        <w:rFonts w:cs="Arial"/>
        <w:sz w:val="16"/>
      </w:rPr>
      <w:t xml:space="preserve"> Minnesota, Minneapolis</w:t>
    </w:r>
    <w:r>
      <w:rPr>
        <w:rFonts w:cs="Arial"/>
        <w:sz w:val="16"/>
      </w:rPr>
      <w:t>,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D20842">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D20842">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5F167759"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CH</w:t>
    </w:r>
    <w:r w:rsidR="009666B7">
      <w:rPr>
        <w:rFonts w:cs="Arial"/>
      </w:rPr>
      <w:t xml:space="preserve"> 6.025</w:t>
    </w:r>
    <w:r w:rsidR="00F52BBA">
      <w:rPr>
        <w:rFonts w:cs="Arial"/>
      </w:rPr>
      <w:t xml:space="preserve"> </w:t>
    </w:r>
    <w:r w:rsidR="00BE2FA4">
      <w:rPr>
        <w:rFonts w:cs="Arial"/>
      </w:rPr>
      <w:t>AFP</w:t>
    </w:r>
    <w:r w:rsidR="00BE2FA4">
      <w:rPr>
        <w:rFonts w:cs="Arial"/>
      </w:rPr>
      <w:tab/>
    </w:r>
  </w:p>
  <w:p w14:paraId="5CD00060" w14:textId="2E7D4104" w:rsidR="00B13C1A" w:rsidRDefault="00981A4A">
    <w:pPr>
      <w:ind w:left="-1260" w:right="-1260"/>
      <w:rPr>
        <w:rFonts w:cs="Arial"/>
      </w:rPr>
    </w:pPr>
    <w:r>
      <w:rPr>
        <w:rFonts w:cs="Arial"/>
      </w:rPr>
      <w:t xml:space="preserve">Version </w:t>
    </w:r>
    <w:r w:rsidR="00952EDF">
      <w:rPr>
        <w:rFonts w:cs="Arial"/>
      </w:rPr>
      <w:t>3</w:t>
    </w:r>
  </w:p>
  <w:p w14:paraId="5CD00061" w14:textId="6E84C89E" w:rsidR="00B13C1A" w:rsidRDefault="00B13C1A">
    <w:pPr>
      <w:ind w:left="-1260" w:right="-1260"/>
      <w:rPr>
        <w:rFonts w:cs="Arial"/>
      </w:rPr>
    </w:pPr>
    <w:r>
      <w:rPr>
        <w:rFonts w:cs="Arial"/>
      </w:rPr>
      <w:t xml:space="preserve">Effective Date: </w:t>
    </w:r>
    <w:r w:rsidR="006C1042">
      <w:rPr>
        <w:rFonts w:cs="Arial"/>
      </w:rPr>
      <w:t>11/23</w:t>
    </w:r>
    <w:r w:rsidR="009666B7">
      <w:rPr>
        <w:rFonts w:cs="Arial"/>
      </w:rPr>
      <w:t>/2020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7508D"/>
    <w:rsid w:val="000A364F"/>
    <w:rsid w:val="000A3E5A"/>
    <w:rsid w:val="000E63E3"/>
    <w:rsid w:val="001102B2"/>
    <w:rsid w:val="00115DD6"/>
    <w:rsid w:val="001241E4"/>
    <w:rsid w:val="001503E5"/>
    <w:rsid w:val="0017089C"/>
    <w:rsid w:val="001A1584"/>
    <w:rsid w:val="001B58ED"/>
    <w:rsid w:val="001C1CFA"/>
    <w:rsid w:val="001C641E"/>
    <w:rsid w:val="001D1786"/>
    <w:rsid w:val="001D284B"/>
    <w:rsid w:val="001F5D12"/>
    <w:rsid w:val="00233AA0"/>
    <w:rsid w:val="00234774"/>
    <w:rsid w:val="002462C0"/>
    <w:rsid w:val="00250A09"/>
    <w:rsid w:val="00252F1D"/>
    <w:rsid w:val="002846AB"/>
    <w:rsid w:val="002A3FA3"/>
    <w:rsid w:val="002B7254"/>
    <w:rsid w:val="002C12BF"/>
    <w:rsid w:val="002C29CB"/>
    <w:rsid w:val="002C3006"/>
    <w:rsid w:val="002E718D"/>
    <w:rsid w:val="002F5C68"/>
    <w:rsid w:val="002F5F18"/>
    <w:rsid w:val="0030640D"/>
    <w:rsid w:val="003100D1"/>
    <w:rsid w:val="003145F4"/>
    <w:rsid w:val="003278F7"/>
    <w:rsid w:val="00331E71"/>
    <w:rsid w:val="003549A6"/>
    <w:rsid w:val="00370B0F"/>
    <w:rsid w:val="00387FF5"/>
    <w:rsid w:val="0039587D"/>
    <w:rsid w:val="003A65AD"/>
    <w:rsid w:val="003C2130"/>
    <w:rsid w:val="003D5BD7"/>
    <w:rsid w:val="003D713F"/>
    <w:rsid w:val="003E0A08"/>
    <w:rsid w:val="003E168B"/>
    <w:rsid w:val="00410060"/>
    <w:rsid w:val="00416B6C"/>
    <w:rsid w:val="00416DE0"/>
    <w:rsid w:val="00420763"/>
    <w:rsid w:val="0042435C"/>
    <w:rsid w:val="00437425"/>
    <w:rsid w:val="00440E37"/>
    <w:rsid w:val="004735E9"/>
    <w:rsid w:val="00486653"/>
    <w:rsid w:val="004A698D"/>
    <w:rsid w:val="004B5D63"/>
    <w:rsid w:val="004C14CE"/>
    <w:rsid w:val="004C6A64"/>
    <w:rsid w:val="00504F3B"/>
    <w:rsid w:val="005125A4"/>
    <w:rsid w:val="005665A7"/>
    <w:rsid w:val="00575F3F"/>
    <w:rsid w:val="005A7373"/>
    <w:rsid w:val="005B66A7"/>
    <w:rsid w:val="005C6F36"/>
    <w:rsid w:val="006200C0"/>
    <w:rsid w:val="00630CE2"/>
    <w:rsid w:val="00646E63"/>
    <w:rsid w:val="00655B61"/>
    <w:rsid w:val="00685D61"/>
    <w:rsid w:val="00693888"/>
    <w:rsid w:val="006A26B2"/>
    <w:rsid w:val="006A2770"/>
    <w:rsid w:val="006A41B1"/>
    <w:rsid w:val="006A5A84"/>
    <w:rsid w:val="006B78CE"/>
    <w:rsid w:val="006C1042"/>
    <w:rsid w:val="006C5661"/>
    <w:rsid w:val="006C7814"/>
    <w:rsid w:val="007132A9"/>
    <w:rsid w:val="00747868"/>
    <w:rsid w:val="007571DA"/>
    <w:rsid w:val="007B1809"/>
    <w:rsid w:val="007B2A3E"/>
    <w:rsid w:val="007B410A"/>
    <w:rsid w:val="007C384C"/>
    <w:rsid w:val="007F3BF1"/>
    <w:rsid w:val="007F5B07"/>
    <w:rsid w:val="008044BA"/>
    <w:rsid w:val="0081197E"/>
    <w:rsid w:val="0081598A"/>
    <w:rsid w:val="00824C10"/>
    <w:rsid w:val="00851C4D"/>
    <w:rsid w:val="008A71A5"/>
    <w:rsid w:val="008A7CDA"/>
    <w:rsid w:val="008B53E5"/>
    <w:rsid w:val="008D3369"/>
    <w:rsid w:val="008D7EF5"/>
    <w:rsid w:val="008F2C66"/>
    <w:rsid w:val="009037CC"/>
    <w:rsid w:val="00914DEC"/>
    <w:rsid w:val="00944DFA"/>
    <w:rsid w:val="009475C8"/>
    <w:rsid w:val="00950E15"/>
    <w:rsid w:val="00952EDF"/>
    <w:rsid w:val="009666B7"/>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594C"/>
    <w:rsid w:val="00A5637B"/>
    <w:rsid w:val="00A64AE8"/>
    <w:rsid w:val="00A776A5"/>
    <w:rsid w:val="00A86097"/>
    <w:rsid w:val="00A94DDD"/>
    <w:rsid w:val="00A9779B"/>
    <w:rsid w:val="00AA5656"/>
    <w:rsid w:val="00AB7F16"/>
    <w:rsid w:val="00AD0E31"/>
    <w:rsid w:val="00AE2334"/>
    <w:rsid w:val="00AF1198"/>
    <w:rsid w:val="00AF4023"/>
    <w:rsid w:val="00AF56A8"/>
    <w:rsid w:val="00B01603"/>
    <w:rsid w:val="00B067D8"/>
    <w:rsid w:val="00B06934"/>
    <w:rsid w:val="00B109AB"/>
    <w:rsid w:val="00B11633"/>
    <w:rsid w:val="00B13C1A"/>
    <w:rsid w:val="00B2749D"/>
    <w:rsid w:val="00B415C8"/>
    <w:rsid w:val="00B45E72"/>
    <w:rsid w:val="00B6158C"/>
    <w:rsid w:val="00BB3F98"/>
    <w:rsid w:val="00BC1DCC"/>
    <w:rsid w:val="00BD0AE4"/>
    <w:rsid w:val="00BD0E0F"/>
    <w:rsid w:val="00BD3CED"/>
    <w:rsid w:val="00BE2FA4"/>
    <w:rsid w:val="00C00B65"/>
    <w:rsid w:val="00C13C50"/>
    <w:rsid w:val="00CD06C7"/>
    <w:rsid w:val="00CE07E8"/>
    <w:rsid w:val="00CE16FB"/>
    <w:rsid w:val="00CF08A6"/>
    <w:rsid w:val="00D20842"/>
    <w:rsid w:val="00D271B1"/>
    <w:rsid w:val="00D302B9"/>
    <w:rsid w:val="00D63C07"/>
    <w:rsid w:val="00D75850"/>
    <w:rsid w:val="00D955F6"/>
    <w:rsid w:val="00DC24D6"/>
    <w:rsid w:val="00DC7091"/>
    <w:rsid w:val="00DC7421"/>
    <w:rsid w:val="00DF5549"/>
    <w:rsid w:val="00DF6343"/>
    <w:rsid w:val="00E049CF"/>
    <w:rsid w:val="00E246BA"/>
    <w:rsid w:val="00E2496A"/>
    <w:rsid w:val="00E3253B"/>
    <w:rsid w:val="00E47DE5"/>
    <w:rsid w:val="00E55C7B"/>
    <w:rsid w:val="00E91B92"/>
    <w:rsid w:val="00E93074"/>
    <w:rsid w:val="00EA2B3F"/>
    <w:rsid w:val="00EA580E"/>
    <w:rsid w:val="00EA7AC9"/>
    <w:rsid w:val="00EB4B6C"/>
    <w:rsid w:val="00EE145B"/>
    <w:rsid w:val="00EF1741"/>
    <w:rsid w:val="00F0405E"/>
    <w:rsid w:val="00F236AF"/>
    <w:rsid w:val="00F50200"/>
    <w:rsid w:val="00F52BBA"/>
    <w:rsid w:val="00F6060A"/>
    <w:rsid w:val="00F63DA5"/>
    <w:rsid w:val="00F83DB0"/>
    <w:rsid w:val="00F84C8E"/>
    <w:rsid w:val="00FA0EBB"/>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 w:id="20703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kidsnet.childrenshc.org\chcdfs\dept\Lab%20Procedures\Chemistry\Review%202020\All%20Complete\aliper.research.sickkid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purl.org/dc/elements/1.1/"/>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199f0838-75a6-4f0c-9be1-f2c07140bccc"/>
    <ds:schemaRef ds:uri="http://purl.org/dc/terms/"/>
    <ds:schemaRef ds:uri="c1848e11-9cf6-4ce4-877e-6837d2c2fa23"/>
    <ds:schemaRef ds:uri="http://schemas.microsoft.com/sharepoint.v3"/>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8131F625-4CA3-437D-A88F-2C34534E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6</Pages>
  <Words>2219</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15169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10</cp:revision>
  <cp:lastPrinted>2020-04-15T15:00:00Z</cp:lastPrinted>
  <dcterms:created xsi:type="dcterms:W3CDTF">2020-11-13T16:13:00Z</dcterms:created>
  <dcterms:modified xsi:type="dcterms:W3CDTF">2020-12-16T14:45:00Z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