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RPr="008134D1" w14:paraId="5CCFFF73" w14:textId="77777777" w:rsidTr="007132A9">
        <w:trPr>
          <w:tblHeader/>
        </w:trPr>
        <w:tc>
          <w:tcPr>
            <w:tcW w:w="11160" w:type="dxa"/>
            <w:gridSpan w:val="5"/>
            <w:tcBorders>
              <w:top w:val="nil"/>
              <w:left w:val="nil"/>
              <w:bottom w:val="nil"/>
              <w:right w:val="nil"/>
            </w:tcBorders>
          </w:tcPr>
          <w:p w14:paraId="5CCFFF72" w14:textId="0BFAB956" w:rsidR="006C5661" w:rsidRPr="008134D1" w:rsidRDefault="008134D1">
            <w:pPr>
              <w:rPr>
                <w:rFonts w:cs="Arial"/>
                <w:b/>
                <w:bCs/>
                <w:color w:val="0000FF"/>
              </w:rPr>
            </w:pPr>
            <w:r>
              <w:rPr>
                <w:rFonts w:cs="Arial"/>
                <w:b/>
                <w:bCs/>
                <w:color w:val="0000FF"/>
                <w:sz w:val="36"/>
              </w:rPr>
              <w:t>Triiodothyronine (TT3), Total</w:t>
            </w:r>
          </w:p>
        </w:tc>
      </w:tr>
      <w:tr w:rsidR="00E3253B" w:rsidRPr="008134D1" w14:paraId="5CCFFF77" w14:textId="77777777" w:rsidTr="007132A9">
        <w:trPr>
          <w:tblHeader/>
        </w:trPr>
        <w:tc>
          <w:tcPr>
            <w:tcW w:w="1800" w:type="dxa"/>
            <w:tcBorders>
              <w:top w:val="nil"/>
              <w:left w:val="nil"/>
              <w:bottom w:val="nil"/>
              <w:right w:val="nil"/>
            </w:tcBorders>
          </w:tcPr>
          <w:p w14:paraId="5CCFFF74" w14:textId="77777777" w:rsidR="00E3253B" w:rsidRPr="008134D1" w:rsidRDefault="00E3253B">
            <w:pPr>
              <w:rPr>
                <w:rFonts w:cs="Arial"/>
                <w:b/>
                <w:bCs/>
                <w:color w:val="0000FF"/>
                <w:szCs w:val="20"/>
              </w:rPr>
            </w:pPr>
            <w:r w:rsidRPr="008134D1">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37F34DC1" w:rsidR="00E3253B" w:rsidRPr="008134D1" w:rsidRDefault="00A34EE2" w:rsidP="008134D1">
            <w:pPr>
              <w:autoSpaceDE w:val="0"/>
              <w:autoSpaceDN w:val="0"/>
              <w:adjustRightInd w:val="0"/>
              <w:rPr>
                <w:rFonts w:cs="Arial"/>
                <w:color w:val="000000"/>
                <w:szCs w:val="20"/>
              </w:rPr>
            </w:pPr>
            <w:r w:rsidRPr="008134D1">
              <w:rPr>
                <w:rStyle w:val="A7"/>
                <w:rFonts w:cs="Arial"/>
                <w:b w:val="0"/>
                <w:bCs w:val="0"/>
                <w:sz w:val="20"/>
                <w:szCs w:val="20"/>
              </w:rPr>
              <w:t xml:space="preserve">This procedure provides instructions </w:t>
            </w:r>
            <w:r w:rsidR="008134D1">
              <w:rPr>
                <w:rFonts w:cs="Arial"/>
                <w:bCs/>
                <w:color w:val="000000"/>
                <w:szCs w:val="20"/>
              </w:rPr>
              <w:t>for performing TRIIODOTHYRONINE (TT3)</w:t>
            </w:r>
            <w:r w:rsidR="00C36A46" w:rsidRPr="008134D1">
              <w:rPr>
                <w:rStyle w:val="A7"/>
                <w:rFonts w:cs="Arial"/>
                <w:b w:val="0"/>
                <w:bCs w:val="0"/>
                <w:sz w:val="20"/>
                <w:szCs w:val="20"/>
              </w:rPr>
              <w:t xml:space="preserve"> </w:t>
            </w:r>
            <w:r w:rsidR="008134D1">
              <w:rPr>
                <w:rStyle w:val="A7"/>
                <w:rFonts w:cs="Arial"/>
                <w:b w:val="0"/>
                <w:bCs w:val="0"/>
                <w:sz w:val="20"/>
                <w:szCs w:val="20"/>
              </w:rPr>
              <w:t>on</w:t>
            </w:r>
            <w:r w:rsidRPr="008134D1">
              <w:rPr>
                <w:rStyle w:val="A7"/>
                <w:rFonts w:cs="Arial"/>
                <w:b w:val="0"/>
                <w:bCs w:val="0"/>
                <w:sz w:val="20"/>
                <w:szCs w:val="20"/>
              </w:rPr>
              <w:t xml:space="preserve"> ABBOTT INSTRUMENTATION. </w:t>
            </w:r>
            <w:r w:rsidR="008134D1" w:rsidRPr="008134D1">
              <w:rPr>
                <w:rStyle w:val="A7"/>
                <w:rFonts w:cs="Arial"/>
                <w:b w:val="0"/>
                <w:bCs w:val="0"/>
                <w:sz w:val="20"/>
                <w:szCs w:val="20"/>
              </w:rPr>
              <w:t>The Alinity i Total T3 (TT3) assay is a chemiluminescent</w:t>
            </w:r>
            <w:r w:rsidR="008134D1">
              <w:rPr>
                <w:rStyle w:val="A7"/>
                <w:rFonts w:cs="Arial"/>
                <w:b w:val="0"/>
                <w:bCs w:val="0"/>
                <w:sz w:val="20"/>
                <w:szCs w:val="20"/>
              </w:rPr>
              <w:t xml:space="preserve"> </w:t>
            </w:r>
            <w:r w:rsidR="008134D1" w:rsidRPr="008134D1">
              <w:rPr>
                <w:rStyle w:val="A7"/>
                <w:rFonts w:cs="Arial"/>
                <w:b w:val="0"/>
                <w:bCs w:val="0"/>
                <w:sz w:val="20"/>
                <w:szCs w:val="20"/>
              </w:rPr>
              <w:t>microparticle immunoassay (CMIA) used for the quantitative</w:t>
            </w:r>
            <w:r w:rsidR="008134D1">
              <w:rPr>
                <w:rStyle w:val="A7"/>
                <w:rFonts w:cs="Arial"/>
                <w:b w:val="0"/>
                <w:bCs w:val="0"/>
                <w:sz w:val="20"/>
                <w:szCs w:val="20"/>
              </w:rPr>
              <w:t xml:space="preserve"> </w:t>
            </w:r>
            <w:r w:rsidR="008134D1" w:rsidRPr="008134D1">
              <w:rPr>
                <w:rStyle w:val="A7"/>
                <w:rFonts w:cs="Arial"/>
                <w:b w:val="0"/>
                <w:bCs w:val="0"/>
                <w:sz w:val="20"/>
                <w:szCs w:val="20"/>
              </w:rPr>
              <w:t>determination of total triiodothyronine (Total T3) in human serum and</w:t>
            </w:r>
            <w:r w:rsidR="008134D1">
              <w:rPr>
                <w:rStyle w:val="A7"/>
                <w:rFonts w:cs="Arial"/>
                <w:b w:val="0"/>
                <w:bCs w:val="0"/>
                <w:sz w:val="20"/>
                <w:szCs w:val="20"/>
              </w:rPr>
              <w:t xml:space="preserve"> </w:t>
            </w:r>
            <w:r w:rsidR="008134D1" w:rsidRPr="008134D1">
              <w:rPr>
                <w:rStyle w:val="A7"/>
                <w:rFonts w:cs="Arial"/>
                <w:b w:val="0"/>
                <w:bCs w:val="0"/>
                <w:sz w:val="20"/>
                <w:szCs w:val="20"/>
              </w:rPr>
              <w:t>plasma on the Alinity i analyzer.</w:t>
            </w:r>
          </w:p>
          <w:p w14:paraId="5CCFFF76" w14:textId="69B68757" w:rsidR="00CD06C7" w:rsidRPr="008134D1" w:rsidRDefault="00CD06C7" w:rsidP="00CD06C7">
            <w:pPr>
              <w:autoSpaceDE w:val="0"/>
              <w:autoSpaceDN w:val="0"/>
              <w:adjustRightInd w:val="0"/>
              <w:rPr>
                <w:rFonts w:cs="Arial"/>
                <w:color w:val="000000"/>
                <w:szCs w:val="20"/>
              </w:rPr>
            </w:pPr>
          </w:p>
        </w:tc>
      </w:tr>
      <w:tr w:rsidR="00E3253B" w:rsidRPr="008134D1" w14:paraId="5CCFFF7B" w14:textId="77777777" w:rsidTr="007132A9">
        <w:trPr>
          <w:tblHeader/>
        </w:trPr>
        <w:tc>
          <w:tcPr>
            <w:tcW w:w="1800" w:type="dxa"/>
            <w:tcBorders>
              <w:top w:val="nil"/>
              <w:left w:val="nil"/>
              <w:bottom w:val="nil"/>
              <w:right w:val="nil"/>
            </w:tcBorders>
          </w:tcPr>
          <w:p w14:paraId="5CCFFF78" w14:textId="77777777" w:rsidR="00E3253B" w:rsidRPr="008134D1" w:rsidRDefault="00E3253B">
            <w:pPr>
              <w:rPr>
                <w:rFonts w:cs="Arial"/>
                <w:b/>
                <w:bCs/>
                <w:color w:val="0000FF"/>
                <w:szCs w:val="20"/>
              </w:rPr>
            </w:pPr>
            <w:r w:rsidRPr="008134D1">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4FA9BB91" w:rsidR="001A1584" w:rsidRPr="008134D1" w:rsidRDefault="001A1584" w:rsidP="001A1584">
            <w:pPr>
              <w:rPr>
                <w:rFonts w:cs="Arial"/>
                <w:szCs w:val="20"/>
              </w:rPr>
            </w:pPr>
            <w:r w:rsidRPr="008134D1">
              <w:rPr>
                <w:rFonts w:cs="Arial"/>
                <w:szCs w:val="20"/>
              </w:rPr>
              <w:t>This procedure applies to all personnel responsible for operating Alinity c</w:t>
            </w:r>
            <w:r w:rsidR="00C36A46" w:rsidRPr="008134D1">
              <w:rPr>
                <w:rFonts w:cs="Arial"/>
                <w:szCs w:val="20"/>
              </w:rPr>
              <w:t>i</w:t>
            </w:r>
            <w:r w:rsidR="007B6E84" w:rsidRPr="008134D1">
              <w:rPr>
                <w:rFonts w:cs="Arial"/>
                <w:szCs w:val="20"/>
              </w:rPr>
              <w:t xml:space="preserve"> </w:t>
            </w:r>
            <w:r w:rsidRPr="008134D1">
              <w:rPr>
                <w:rFonts w:cs="Arial"/>
                <w:szCs w:val="20"/>
              </w:rPr>
              <w:t>at Children’s Minnesota Laboratory</w:t>
            </w:r>
            <w:r w:rsidR="000A6625">
              <w:rPr>
                <w:rFonts w:cs="Arial"/>
                <w:szCs w:val="20"/>
              </w:rPr>
              <w:t xml:space="preserve"> in Minneapolis</w:t>
            </w:r>
            <w:r w:rsidRPr="008134D1">
              <w:rPr>
                <w:rFonts w:cs="Arial"/>
                <w:szCs w:val="20"/>
              </w:rPr>
              <w:t>.</w:t>
            </w:r>
          </w:p>
          <w:p w14:paraId="5CCFFF7A" w14:textId="77777777" w:rsidR="00E3253B" w:rsidRPr="008134D1" w:rsidRDefault="00E3253B" w:rsidP="00DF6343">
            <w:pPr>
              <w:rPr>
                <w:rFonts w:cs="Arial"/>
                <w:szCs w:val="20"/>
              </w:rPr>
            </w:pPr>
          </w:p>
        </w:tc>
      </w:tr>
      <w:tr w:rsidR="00E3253B" w:rsidRPr="008134D1" w14:paraId="5CCFFF82" w14:textId="77777777" w:rsidTr="007132A9">
        <w:trPr>
          <w:tblHeader/>
        </w:trPr>
        <w:tc>
          <w:tcPr>
            <w:tcW w:w="1800" w:type="dxa"/>
            <w:tcBorders>
              <w:top w:val="nil"/>
              <w:left w:val="nil"/>
              <w:bottom w:val="nil"/>
              <w:right w:val="nil"/>
            </w:tcBorders>
          </w:tcPr>
          <w:p w14:paraId="5CCFFF7C" w14:textId="77777777" w:rsidR="00E3253B" w:rsidRPr="008134D1" w:rsidRDefault="00E3253B">
            <w:pPr>
              <w:rPr>
                <w:rFonts w:cs="Arial"/>
                <w:b/>
                <w:bCs/>
                <w:color w:val="0000FF"/>
                <w:szCs w:val="20"/>
              </w:rPr>
            </w:pPr>
            <w:r w:rsidRPr="008134D1">
              <w:rPr>
                <w:rFonts w:cs="Arial"/>
                <w:b/>
                <w:bCs/>
                <w:color w:val="0000FF"/>
                <w:szCs w:val="20"/>
              </w:rPr>
              <w:t>Principle</w:t>
            </w:r>
          </w:p>
          <w:p w14:paraId="5CCFFF7D" w14:textId="77777777" w:rsidR="00E3253B" w:rsidRPr="008134D1"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265105C" w14:textId="61ED369B" w:rsidR="000A6625" w:rsidRPr="000A6625" w:rsidRDefault="000A6625" w:rsidP="000A6625">
            <w:pPr>
              <w:pStyle w:val="Header"/>
              <w:rPr>
                <w:rFonts w:cs="Arial"/>
                <w:color w:val="000000"/>
                <w:szCs w:val="20"/>
              </w:rPr>
            </w:pPr>
            <w:r w:rsidRPr="000A6625">
              <w:rPr>
                <w:rFonts w:cs="Arial"/>
                <w:color w:val="000000"/>
                <w:szCs w:val="20"/>
              </w:rPr>
              <w:t>This assay is a two-step immunoassay for the quantitative</w:t>
            </w:r>
            <w:r>
              <w:rPr>
                <w:rFonts w:cs="Arial"/>
                <w:color w:val="000000"/>
                <w:szCs w:val="20"/>
              </w:rPr>
              <w:t xml:space="preserve"> </w:t>
            </w:r>
            <w:r w:rsidRPr="000A6625">
              <w:rPr>
                <w:rFonts w:cs="Arial"/>
                <w:color w:val="000000"/>
                <w:szCs w:val="20"/>
              </w:rPr>
              <w:t>determination of total triiodothyronine (Total T3) in human serum and</w:t>
            </w:r>
            <w:r>
              <w:rPr>
                <w:rFonts w:cs="Arial"/>
                <w:color w:val="000000"/>
                <w:szCs w:val="20"/>
              </w:rPr>
              <w:t xml:space="preserve"> </w:t>
            </w:r>
            <w:r w:rsidRPr="000A6625">
              <w:rPr>
                <w:rFonts w:cs="Arial"/>
                <w:color w:val="000000"/>
                <w:szCs w:val="20"/>
              </w:rPr>
              <w:t>plasma using chemiluminescent microparticle immunoassay (CMIA)</w:t>
            </w:r>
            <w:r>
              <w:rPr>
                <w:rFonts w:cs="Arial"/>
                <w:color w:val="000000"/>
                <w:szCs w:val="20"/>
              </w:rPr>
              <w:t xml:space="preserve"> </w:t>
            </w:r>
            <w:r w:rsidRPr="000A6625">
              <w:rPr>
                <w:rFonts w:cs="Arial"/>
                <w:color w:val="000000"/>
                <w:szCs w:val="20"/>
              </w:rPr>
              <w:t>technology.</w:t>
            </w:r>
          </w:p>
          <w:p w14:paraId="1D68C2F8" w14:textId="6FA0AE94" w:rsidR="00C36A46" w:rsidRDefault="000A6625" w:rsidP="000A6625">
            <w:pPr>
              <w:pStyle w:val="Header"/>
              <w:rPr>
                <w:rFonts w:cs="Arial"/>
                <w:color w:val="000000"/>
                <w:szCs w:val="20"/>
              </w:rPr>
            </w:pPr>
            <w:r w:rsidRPr="000A6625">
              <w:rPr>
                <w:rFonts w:cs="Arial"/>
                <w:color w:val="000000"/>
                <w:szCs w:val="20"/>
              </w:rPr>
              <w:t>Sample and anti-T3 coated paramagnetic microparticles are</w:t>
            </w:r>
            <w:r>
              <w:rPr>
                <w:rFonts w:cs="Arial"/>
                <w:color w:val="000000"/>
                <w:szCs w:val="20"/>
              </w:rPr>
              <w:t xml:space="preserve"> </w:t>
            </w:r>
            <w:r w:rsidRPr="000A6625">
              <w:rPr>
                <w:rFonts w:cs="Arial"/>
                <w:color w:val="000000"/>
                <w:szCs w:val="20"/>
              </w:rPr>
              <w:t>combined and incubated. The T3 present in the sample binds to the</w:t>
            </w:r>
            <w:r>
              <w:rPr>
                <w:rFonts w:cs="Arial"/>
                <w:color w:val="000000"/>
                <w:szCs w:val="20"/>
              </w:rPr>
              <w:t xml:space="preserve"> </w:t>
            </w:r>
            <w:r w:rsidRPr="000A6625">
              <w:rPr>
                <w:rFonts w:cs="Arial"/>
                <w:color w:val="000000"/>
                <w:szCs w:val="20"/>
              </w:rPr>
              <w:t>anti-T3 coated microparticles. The mixture is washed. T3 acridinium</w:t>
            </w:r>
            <w:r>
              <w:rPr>
                <w:rFonts w:cs="Arial"/>
                <w:color w:val="000000"/>
                <w:szCs w:val="20"/>
              </w:rPr>
              <w:t>-</w:t>
            </w:r>
            <w:r w:rsidRPr="000A6625">
              <w:rPr>
                <w:rFonts w:cs="Arial"/>
                <w:color w:val="000000"/>
                <w:szCs w:val="20"/>
              </w:rPr>
              <w:t>labeled</w:t>
            </w:r>
            <w:r w:rsidR="001B47D2">
              <w:rPr>
                <w:rFonts w:cs="Arial"/>
                <w:color w:val="000000"/>
                <w:szCs w:val="20"/>
              </w:rPr>
              <w:t xml:space="preserve"> </w:t>
            </w:r>
            <w:r w:rsidRPr="000A6625">
              <w:rPr>
                <w:rFonts w:cs="Arial"/>
                <w:color w:val="000000"/>
                <w:szCs w:val="20"/>
              </w:rPr>
              <w:t>conjugate is added to create a reaction mixture and</w:t>
            </w:r>
            <w:r>
              <w:rPr>
                <w:rFonts w:cs="Arial"/>
                <w:color w:val="000000"/>
                <w:szCs w:val="20"/>
              </w:rPr>
              <w:t xml:space="preserve"> </w:t>
            </w:r>
            <w:r w:rsidRPr="000A6625">
              <w:rPr>
                <w:rFonts w:cs="Arial"/>
                <w:color w:val="000000"/>
                <w:szCs w:val="20"/>
              </w:rPr>
              <w:t>incubated. Following a wash cycle, Pre-Trigger and Trigger Solutions</w:t>
            </w:r>
            <w:r>
              <w:rPr>
                <w:rFonts w:cs="Arial"/>
                <w:color w:val="000000"/>
                <w:szCs w:val="20"/>
              </w:rPr>
              <w:t xml:space="preserve"> </w:t>
            </w:r>
            <w:r w:rsidRPr="000A6625">
              <w:rPr>
                <w:rFonts w:cs="Arial"/>
                <w:color w:val="000000"/>
                <w:szCs w:val="20"/>
              </w:rPr>
              <w:t>are added.</w:t>
            </w:r>
          </w:p>
          <w:p w14:paraId="7E120075" w14:textId="77777777" w:rsidR="000A6625" w:rsidRPr="008134D1" w:rsidRDefault="000A6625" w:rsidP="000A6625">
            <w:pPr>
              <w:pStyle w:val="Header"/>
              <w:rPr>
                <w:rFonts w:cs="Arial"/>
                <w:color w:val="000000"/>
                <w:szCs w:val="20"/>
              </w:rPr>
            </w:pPr>
          </w:p>
          <w:p w14:paraId="7DCEAAC8" w14:textId="77777777" w:rsidR="000A6625" w:rsidRDefault="00C36A46" w:rsidP="00C36A46">
            <w:pPr>
              <w:pStyle w:val="Header"/>
              <w:rPr>
                <w:rFonts w:cs="Arial"/>
                <w:color w:val="000000"/>
                <w:szCs w:val="20"/>
              </w:rPr>
            </w:pPr>
            <w:r w:rsidRPr="008134D1">
              <w:rPr>
                <w:rFonts w:cs="Arial"/>
                <w:color w:val="000000"/>
                <w:szCs w:val="20"/>
              </w:rPr>
              <w:t>The resulting chemiluminescent reaction is measured as relative light units (RLUs). There is an inverse relationship between the amount of free T4 in the sample and the RLUs detected by the system optics.</w:t>
            </w:r>
          </w:p>
          <w:p w14:paraId="749E95E5" w14:textId="77777777" w:rsidR="000A6625" w:rsidRDefault="000A6625" w:rsidP="00C36A46">
            <w:pPr>
              <w:pStyle w:val="Header"/>
              <w:rPr>
                <w:rFonts w:cs="Arial"/>
                <w:color w:val="000000"/>
                <w:szCs w:val="20"/>
              </w:rPr>
            </w:pPr>
          </w:p>
          <w:p w14:paraId="02E96955" w14:textId="77777777" w:rsidR="006C5661" w:rsidRDefault="00C36A46" w:rsidP="00C36A46">
            <w:pPr>
              <w:pStyle w:val="Header"/>
              <w:rPr>
                <w:rFonts w:cs="Arial"/>
                <w:color w:val="000000"/>
                <w:szCs w:val="20"/>
              </w:rPr>
            </w:pPr>
            <w:r w:rsidRPr="008134D1">
              <w:rPr>
                <w:rFonts w:cs="Arial"/>
                <w:color w:val="000000"/>
                <w:szCs w:val="20"/>
              </w:rPr>
              <w:t>For additional information on system and assay technology, refer to the Alinity ci-series Operations Manual, Section 3.</w:t>
            </w:r>
          </w:p>
          <w:p w14:paraId="5CCFFF81" w14:textId="0809A228" w:rsidR="000A6625" w:rsidRPr="008134D1" w:rsidRDefault="000A6625" w:rsidP="00C36A46">
            <w:pPr>
              <w:pStyle w:val="Header"/>
              <w:rPr>
                <w:rFonts w:cs="Arial"/>
                <w:color w:val="000000"/>
                <w:szCs w:val="20"/>
              </w:rPr>
            </w:pPr>
          </w:p>
        </w:tc>
      </w:tr>
      <w:tr w:rsidR="00E3253B" w:rsidRPr="008134D1" w14:paraId="5CCFFF87" w14:textId="77777777" w:rsidTr="007132A9">
        <w:trPr>
          <w:tblHeader/>
        </w:trPr>
        <w:tc>
          <w:tcPr>
            <w:tcW w:w="1800" w:type="dxa"/>
            <w:tcBorders>
              <w:top w:val="nil"/>
              <w:left w:val="nil"/>
              <w:bottom w:val="nil"/>
              <w:right w:val="nil"/>
            </w:tcBorders>
          </w:tcPr>
          <w:p w14:paraId="5CCFFF83" w14:textId="77777777" w:rsidR="00E3253B" w:rsidRPr="008134D1" w:rsidRDefault="00E3253B">
            <w:pPr>
              <w:rPr>
                <w:rFonts w:cs="Arial"/>
                <w:b/>
                <w:bCs/>
                <w:color w:val="0000FF"/>
                <w:szCs w:val="20"/>
              </w:rPr>
            </w:pPr>
            <w:r w:rsidRPr="008134D1">
              <w:rPr>
                <w:rFonts w:cs="Arial"/>
                <w:b/>
                <w:bCs/>
                <w:color w:val="0000FF"/>
                <w:szCs w:val="20"/>
              </w:rPr>
              <w:t>Clinical Significance</w:t>
            </w:r>
          </w:p>
          <w:p w14:paraId="5CCFFF84" w14:textId="77777777" w:rsidR="00E3253B" w:rsidRPr="008134D1"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385BAF7" w14:textId="42D685D9" w:rsidR="000A6625" w:rsidRDefault="000A6625" w:rsidP="000A6625">
            <w:r>
              <w:t>3,5,3’ Triiodothyronine (T3) is a thyroid hormone with a molecular weight of 651 daltons and a half-life in serum of 1.5 days. T3 circulates in the blood as an equilibrium mixture of free and protein</w:t>
            </w:r>
            <w:r w:rsidR="001B47D2">
              <w:t xml:space="preserve"> bound hormone. </w:t>
            </w:r>
            <w:r>
              <w:t xml:space="preserve"> T3 is bound to thyroxine binding globulin (TBG), prealbumin, and albumin. The actual distribution of T3 among these binding proteins is controversial as estimates range from 38-80% for TBG, 9-27% for prealbumin, and 11-35% for albumin.  The binding of these proteins is such that only 0.2-0.4% of the total T3 is present in solution as unbound or free T3. This free fraction represents the physiologically active thyroid hormone.</w:t>
            </w:r>
          </w:p>
          <w:p w14:paraId="5885C98D" w14:textId="77777777" w:rsidR="000A6625" w:rsidRDefault="000A6625" w:rsidP="000A6625"/>
          <w:p w14:paraId="631E77DC" w14:textId="7F723AC4" w:rsidR="000A6625" w:rsidRDefault="000A6625" w:rsidP="000A6625">
            <w:r>
              <w:t>It has become apparent in recent years that T3 plays an important role in the maintenance of the euthyroid state. Serum T3 measurements can be a valuable component of a thyroid screening panel in diagnosing certain disorders of thyroid function as well as conditions caused by iodine deficiency.  Clinically, measurements of serum T3 concentration are especially valuable in diagnosing</w:t>
            </w:r>
            <w:r w:rsidR="001B47D2">
              <w:t xml:space="preserve"> </w:t>
            </w:r>
            <w:r>
              <w:t>hyperthyroidism and in following the course of therapy for this disorder.  Under conditions of strong thyroid stimulation, the T3 measurement provides a good estimation of thyroid reserve. Recognition of a thyroid dysfunction called T3-thyrotoxicosis, associated with an increased serum T3 level but normal thyroxine (T4), free T4, and in vitro Uptake results have further highlighted the importance of serum T3 measurements.  Dietary iodine deficiency results in inadequate production of thyroid hormones</w:t>
            </w:r>
            <w:r w:rsidR="001B47D2">
              <w:t xml:space="preserve"> </w:t>
            </w:r>
            <w:r>
              <w:t>despite the presence of normal thyroid tissue. In these cases, the serum T4 concentration is often low while the Thyroid Stimulating Hormone (TSH) concentration is elevated.  Elevated TSH associated with low T4 is normally indicative of hypothyroidism. However, in iodine deficiency, these results together with normal or slightly elevated serum T3 are indicative of euthyroid status in most individuals.</w:t>
            </w:r>
          </w:p>
          <w:p w14:paraId="34DA1901" w14:textId="77777777" w:rsidR="000A6625" w:rsidRDefault="000A6625" w:rsidP="000A6625"/>
          <w:p w14:paraId="66DCF796" w14:textId="77777777" w:rsidR="002462C0" w:rsidRDefault="000A6625" w:rsidP="000A6625">
            <w:r>
              <w:t>T3 levels are also affected by conditions which affect TBG concentration.  Slightly elevated T3 levels may occur in pregnancy or during estrogen therapy, while depressed levels may occur during severe illness, malnutrition, in renal failure and during therapy with anti-thyroid drugs, propranolol and propylthiouracil and salicylates.  In patients with severe or chronic illnesses, many abnormalities of thyroid hormone balance occur. T4 production and the extent of serum thyroid hormone binding may be independently abnormal, resulting in a low, normal or high free T4 estimate. Serum T3 concentrations are often low; TSH levels may be normal or slightly elevated. Total T3 measurements may be valuable when hyperthyroidism is suspected and the free T4 estimate is normal.  The Alinity i Total T3 assay is to be used as an aid in the assessment of thyroid status.</w:t>
            </w:r>
          </w:p>
          <w:p w14:paraId="5CCFFF86" w14:textId="5EB1D248" w:rsidR="000A6625" w:rsidRPr="008134D1" w:rsidRDefault="000A6625" w:rsidP="000A6625"/>
        </w:tc>
      </w:tr>
      <w:tr w:rsidR="00E3253B" w:rsidRPr="008134D1" w14:paraId="5CCFFF8A" w14:textId="77777777" w:rsidTr="00504F3B">
        <w:trPr>
          <w:trHeight w:val="450"/>
          <w:tblHeader/>
        </w:trPr>
        <w:tc>
          <w:tcPr>
            <w:tcW w:w="1800" w:type="dxa"/>
            <w:tcBorders>
              <w:top w:val="nil"/>
              <w:left w:val="nil"/>
              <w:bottom w:val="nil"/>
              <w:right w:val="nil"/>
            </w:tcBorders>
          </w:tcPr>
          <w:p w14:paraId="5CCFFF88" w14:textId="2DFDFB21" w:rsidR="00E3253B" w:rsidRPr="008134D1" w:rsidRDefault="00E3253B">
            <w:pPr>
              <w:rPr>
                <w:rFonts w:cs="Arial"/>
                <w:b/>
                <w:bCs/>
                <w:color w:val="0000FF"/>
                <w:szCs w:val="20"/>
              </w:rPr>
            </w:pPr>
            <w:r w:rsidRPr="008134D1">
              <w:rPr>
                <w:rFonts w:cs="Arial"/>
                <w:b/>
                <w:bCs/>
                <w:color w:val="0000FF"/>
                <w:szCs w:val="20"/>
              </w:rPr>
              <w:lastRenderedPageBreak/>
              <w:t>Analyzer</w:t>
            </w:r>
          </w:p>
        </w:tc>
        <w:tc>
          <w:tcPr>
            <w:tcW w:w="9360" w:type="dxa"/>
            <w:gridSpan w:val="4"/>
            <w:tcBorders>
              <w:top w:val="single" w:sz="18" w:space="0" w:color="BFBFBF"/>
              <w:left w:val="nil"/>
              <w:bottom w:val="single" w:sz="18" w:space="0" w:color="BFBFBF"/>
              <w:right w:val="nil"/>
            </w:tcBorders>
          </w:tcPr>
          <w:p w14:paraId="4F54BE4A" w14:textId="77777777" w:rsidR="001B47D2" w:rsidRPr="00DC7421" w:rsidRDefault="001B47D2" w:rsidP="001B47D2">
            <w:pPr>
              <w:autoSpaceDE w:val="0"/>
              <w:autoSpaceDN w:val="0"/>
              <w:adjustRightInd w:val="0"/>
              <w:rPr>
                <w:rFonts w:cs="Arial"/>
                <w:bCs/>
                <w:szCs w:val="20"/>
              </w:rPr>
            </w:pPr>
            <w:r>
              <w:rPr>
                <w:rFonts w:cs="Arial"/>
                <w:b/>
                <w:bCs/>
                <w:color w:val="7030A0"/>
                <w:szCs w:val="20"/>
              </w:rPr>
              <w:t>Minneapolis: Abbott Alinity i (Sunquest method code: MACI)</w:t>
            </w:r>
          </w:p>
          <w:p w14:paraId="01150DBB" w14:textId="1EB4DF87" w:rsidR="001B47D2" w:rsidRDefault="001B47D2" w:rsidP="001B47D2">
            <w:pPr>
              <w:pStyle w:val="BodyText2"/>
              <w:spacing w:after="60" w:line="240" w:lineRule="auto"/>
              <w:rPr>
                <w:rFonts w:cs="Arial"/>
                <w:bCs/>
                <w:szCs w:val="20"/>
              </w:rPr>
            </w:pPr>
            <w:r w:rsidRPr="002C5F6A">
              <w:rPr>
                <w:rFonts w:cs="Arial"/>
                <w:b/>
                <w:bCs/>
                <w:szCs w:val="20"/>
              </w:rPr>
              <w:t xml:space="preserve">Backup: </w:t>
            </w:r>
            <w:r w:rsidRPr="002C5F6A">
              <w:rPr>
                <w:rFonts w:cs="Arial"/>
                <w:bCs/>
                <w:szCs w:val="20"/>
              </w:rPr>
              <w:t>Hold samples until instrument is back in service.  If urgent or directed by provider, send to</w:t>
            </w:r>
            <w:r w:rsidR="008C3D95">
              <w:rPr>
                <w:rFonts w:cs="Arial"/>
                <w:bCs/>
                <w:szCs w:val="20"/>
              </w:rPr>
              <w:t xml:space="preserve"> Mayo Medical Laboratories (T3</w:t>
            </w:r>
            <w:r w:rsidRPr="002C5F6A">
              <w:rPr>
                <w:rFonts w:cs="Arial"/>
                <w:bCs/>
                <w:szCs w:val="20"/>
              </w:rPr>
              <w:t>)</w:t>
            </w:r>
          </w:p>
          <w:p w14:paraId="5CCFFF89" w14:textId="3AD9BFC9" w:rsidR="006200C0" w:rsidRPr="008134D1" w:rsidRDefault="006200C0" w:rsidP="007B6E84">
            <w:pPr>
              <w:pStyle w:val="BodyText2"/>
              <w:spacing w:after="60" w:line="240" w:lineRule="auto"/>
              <w:rPr>
                <w:rFonts w:cs="Arial"/>
                <w:b/>
                <w:bCs/>
                <w:color w:val="7030A0"/>
                <w:szCs w:val="20"/>
              </w:rPr>
            </w:pPr>
          </w:p>
        </w:tc>
      </w:tr>
      <w:tr w:rsidR="00E3253B" w:rsidRPr="008134D1"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8134D1" w:rsidRDefault="00370B0F">
            <w:pPr>
              <w:rPr>
                <w:rFonts w:cs="Arial"/>
                <w:b/>
                <w:bCs/>
                <w:color w:val="0000FF"/>
                <w:szCs w:val="20"/>
              </w:rPr>
            </w:pPr>
            <w:r w:rsidRPr="008134D1">
              <w:rPr>
                <w:rFonts w:cs="Arial"/>
                <w:b/>
                <w:bCs/>
                <w:color w:val="0000FF"/>
                <w:szCs w:val="20"/>
              </w:rPr>
              <w:t>S</w:t>
            </w:r>
            <w:r w:rsidR="00E3253B" w:rsidRPr="008134D1">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763FE41C" w:rsidR="00370B0F" w:rsidRPr="000A6625" w:rsidRDefault="000A6625" w:rsidP="00504F3B">
            <w:r w:rsidRPr="000A6625">
              <w:rPr>
                <w:b/>
              </w:rPr>
              <w:t xml:space="preserve">TT3 </w:t>
            </w:r>
            <w:r>
              <w:rPr>
                <w:b/>
              </w:rPr>
              <w:t xml:space="preserve">  </w:t>
            </w:r>
            <w:r>
              <w:t>Total Triiodothyronine (Total T3)</w:t>
            </w:r>
          </w:p>
        </w:tc>
      </w:tr>
      <w:tr w:rsidR="00E3253B" w:rsidRPr="008134D1" w14:paraId="5CCFFFA3" w14:textId="77777777" w:rsidTr="007132A9">
        <w:trPr>
          <w:tblHeader/>
        </w:trPr>
        <w:tc>
          <w:tcPr>
            <w:tcW w:w="1800" w:type="dxa"/>
            <w:tcBorders>
              <w:top w:val="nil"/>
              <w:left w:val="nil"/>
              <w:bottom w:val="nil"/>
              <w:right w:val="nil"/>
            </w:tcBorders>
          </w:tcPr>
          <w:p w14:paraId="5CCFFF8E" w14:textId="77777777" w:rsidR="00E3253B" w:rsidRPr="008134D1" w:rsidRDefault="00E3253B">
            <w:pPr>
              <w:rPr>
                <w:rFonts w:cs="Arial"/>
                <w:b/>
                <w:bCs/>
                <w:color w:val="0000FF"/>
                <w:szCs w:val="20"/>
              </w:rPr>
            </w:pPr>
            <w:r w:rsidRPr="008134D1">
              <w:rPr>
                <w:rFonts w:cs="Arial"/>
                <w:b/>
                <w:bCs/>
                <w:color w:val="0000FF"/>
                <w:szCs w:val="20"/>
              </w:rPr>
              <w:t>Specimen</w:t>
            </w:r>
          </w:p>
          <w:p w14:paraId="5CCFFF8F" w14:textId="77777777" w:rsidR="00E3253B" w:rsidRPr="008134D1" w:rsidRDefault="00E3253B">
            <w:pPr>
              <w:ind w:left="-108" w:right="-108"/>
              <w:jc w:val="right"/>
              <w:rPr>
                <w:rFonts w:cs="Arial"/>
                <w:b/>
                <w:bCs/>
                <w:color w:val="0000FF"/>
                <w:szCs w:val="20"/>
              </w:rPr>
            </w:pPr>
          </w:p>
          <w:p w14:paraId="5CCFFF90" w14:textId="77777777" w:rsidR="00E3253B" w:rsidRPr="008134D1" w:rsidRDefault="00E3253B">
            <w:pPr>
              <w:ind w:left="-108" w:right="-108"/>
              <w:jc w:val="right"/>
              <w:rPr>
                <w:rFonts w:cs="Arial"/>
                <w:b/>
                <w:bCs/>
                <w:color w:val="0000FF"/>
                <w:szCs w:val="20"/>
              </w:rPr>
            </w:pPr>
          </w:p>
          <w:p w14:paraId="5CCFFF91" w14:textId="77777777" w:rsidR="00E3253B" w:rsidRPr="008134D1" w:rsidRDefault="00E3253B">
            <w:pPr>
              <w:ind w:left="-108" w:right="-108"/>
              <w:jc w:val="right"/>
              <w:rPr>
                <w:rFonts w:cs="Arial"/>
                <w:b/>
                <w:bCs/>
                <w:color w:val="0000FF"/>
                <w:szCs w:val="20"/>
              </w:rPr>
            </w:pPr>
          </w:p>
          <w:p w14:paraId="5CCFFF92" w14:textId="77777777" w:rsidR="00E3253B" w:rsidRPr="008134D1"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0E5618CD" w:rsidR="00E93074" w:rsidRPr="008134D1" w:rsidRDefault="00E93074">
            <w:pPr>
              <w:rPr>
                <w:rStyle w:val="BoldBodyText"/>
                <w:rFonts w:ascii="Arial" w:hAnsi="Arial" w:cs="Arial"/>
                <w:b w:val="0"/>
                <w:bCs w:val="0"/>
                <w:sz w:val="20"/>
                <w:szCs w:val="20"/>
              </w:rPr>
            </w:pPr>
            <w:r w:rsidRPr="008134D1">
              <w:rPr>
                <w:rStyle w:val="BoldBodyText"/>
                <w:rFonts w:ascii="Arial" w:hAnsi="Arial" w:cs="Arial"/>
                <w:bCs w:val="0"/>
                <w:sz w:val="20"/>
                <w:szCs w:val="20"/>
              </w:rPr>
              <w:t>Sample:</w:t>
            </w:r>
            <w:r w:rsidRPr="008134D1">
              <w:rPr>
                <w:rStyle w:val="BoldBodyText"/>
                <w:rFonts w:ascii="Arial" w:hAnsi="Arial" w:cs="Arial"/>
                <w:b w:val="0"/>
                <w:bCs w:val="0"/>
                <w:sz w:val="20"/>
                <w:szCs w:val="20"/>
              </w:rPr>
              <w:t xml:space="preserve"> </w:t>
            </w:r>
            <w:r w:rsidR="007B6E84" w:rsidRPr="008134D1">
              <w:rPr>
                <w:rStyle w:val="BoldBodyText"/>
                <w:rFonts w:ascii="Arial" w:hAnsi="Arial" w:cs="Arial"/>
                <w:b w:val="0"/>
                <w:bCs w:val="0"/>
                <w:sz w:val="20"/>
                <w:szCs w:val="20"/>
              </w:rPr>
              <w:t>Plasma or Serum (with or without gel barrier)</w:t>
            </w:r>
          </w:p>
          <w:p w14:paraId="34021B1C" w14:textId="1802175D" w:rsidR="00981A4A" w:rsidRPr="008134D1" w:rsidRDefault="0017089C">
            <w:pPr>
              <w:rPr>
                <w:rFonts w:cs="Arial"/>
                <w:szCs w:val="20"/>
              </w:rPr>
            </w:pPr>
            <w:r w:rsidRPr="008134D1">
              <w:rPr>
                <w:rFonts w:cs="Arial"/>
                <w:b/>
                <w:szCs w:val="20"/>
              </w:rPr>
              <w:t>Preferred:</w:t>
            </w:r>
            <w:r w:rsidR="006C5661" w:rsidRPr="008134D1">
              <w:rPr>
                <w:rFonts w:cs="Arial"/>
                <w:b/>
                <w:szCs w:val="20"/>
              </w:rPr>
              <w:t xml:space="preserve"> </w:t>
            </w:r>
            <w:r w:rsidR="007B6E84" w:rsidRPr="008134D1">
              <w:rPr>
                <w:rFonts w:cs="Arial"/>
                <w:szCs w:val="20"/>
              </w:rPr>
              <w:t>Lithium Heparin</w:t>
            </w:r>
          </w:p>
          <w:p w14:paraId="60FE11B0" w14:textId="40A20773" w:rsidR="0017089C" w:rsidRPr="008134D1" w:rsidRDefault="0017089C">
            <w:pPr>
              <w:rPr>
                <w:rFonts w:cs="Arial"/>
                <w:szCs w:val="20"/>
              </w:rPr>
            </w:pPr>
            <w:r w:rsidRPr="008134D1">
              <w:rPr>
                <w:rFonts w:cs="Arial"/>
                <w:b/>
                <w:szCs w:val="20"/>
              </w:rPr>
              <w:t>Alternative:</w:t>
            </w:r>
            <w:r w:rsidR="00013435" w:rsidRPr="008134D1">
              <w:rPr>
                <w:rFonts w:cs="Arial"/>
                <w:b/>
                <w:szCs w:val="20"/>
              </w:rPr>
              <w:t xml:space="preserve"> </w:t>
            </w:r>
            <w:r w:rsidR="00013435" w:rsidRPr="008134D1">
              <w:rPr>
                <w:rFonts w:cs="Arial"/>
                <w:szCs w:val="20"/>
              </w:rPr>
              <w:t xml:space="preserve">SST, Sodium Heparin, EDTA </w:t>
            </w:r>
          </w:p>
          <w:p w14:paraId="34F12611" w14:textId="77777777" w:rsidR="0017089C" w:rsidRPr="008134D1" w:rsidRDefault="0017089C">
            <w:pPr>
              <w:rPr>
                <w:rFonts w:cs="Arial"/>
                <w:szCs w:val="20"/>
              </w:rPr>
            </w:pPr>
          </w:p>
          <w:p w14:paraId="5CCFFF96" w14:textId="390BBCFF" w:rsidR="00E93074" w:rsidRDefault="00EE145B" w:rsidP="009F5F31">
            <w:pPr>
              <w:pStyle w:val="Pa10"/>
              <w:rPr>
                <w:rFonts w:ascii="Arial" w:hAnsi="Arial" w:cs="Arial"/>
                <w:sz w:val="20"/>
                <w:szCs w:val="20"/>
              </w:rPr>
            </w:pPr>
            <w:r w:rsidRPr="008134D1">
              <w:rPr>
                <w:rFonts w:ascii="Arial" w:hAnsi="Arial" w:cs="Arial"/>
                <w:b/>
                <w:bCs/>
                <w:sz w:val="20"/>
                <w:szCs w:val="20"/>
              </w:rPr>
              <w:t xml:space="preserve">Minimum </w:t>
            </w:r>
            <w:r w:rsidR="001102B2" w:rsidRPr="008134D1">
              <w:rPr>
                <w:rFonts w:ascii="Arial" w:hAnsi="Arial" w:cs="Arial"/>
                <w:b/>
                <w:bCs/>
                <w:sz w:val="20"/>
                <w:szCs w:val="20"/>
              </w:rPr>
              <w:t xml:space="preserve">sample </w:t>
            </w:r>
            <w:r w:rsidRPr="008134D1">
              <w:rPr>
                <w:rFonts w:ascii="Arial" w:hAnsi="Arial" w:cs="Arial"/>
                <w:b/>
                <w:bCs/>
                <w:sz w:val="20"/>
                <w:szCs w:val="20"/>
              </w:rPr>
              <w:t>volume</w:t>
            </w:r>
            <w:r w:rsidR="009475C8" w:rsidRPr="008134D1">
              <w:rPr>
                <w:rFonts w:ascii="Arial" w:hAnsi="Arial" w:cs="Arial"/>
                <w:b/>
                <w:bCs/>
                <w:sz w:val="20"/>
                <w:szCs w:val="20"/>
              </w:rPr>
              <w:t xml:space="preserve">: </w:t>
            </w:r>
            <w:r w:rsidR="009E7068">
              <w:rPr>
                <w:rFonts w:ascii="Arial" w:hAnsi="Arial" w:cs="Arial"/>
                <w:bCs/>
                <w:sz w:val="20"/>
                <w:szCs w:val="20"/>
              </w:rPr>
              <w:t>0.6</w:t>
            </w:r>
            <w:r w:rsidR="00013435" w:rsidRPr="008134D1">
              <w:rPr>
                <w:rFonts w:ascii="Arial" w:hAnsi="Arial" w:cs="Arial"/>
                <w:bCs/>
                <w:sz w:val="20"/>
                <w:szCs w:val="20"/>
              </w:rPr>
              <w:t xml:space="preserve"> </w:t>
            </w:r>
            <w:r w:rsidR="00AE2334" w:rsidRPr="008134D1">
              <w:rPr>
                <w:rFonts w:ascii="Arial" w:hAnsi="Arial" w:cs="Arial"/>
                <w:sz w:val="20"/>
                <w:szCs w:val="20"/>
              </w:rPr>
              <w:t xml:space="preserve">mL blood, </w:t>
            </w:r>
            <w:r w:rsidR="00013435" w:rsidRPr="008134D1">
              <w:rPr>
                <w:rFonts w:ascii="Arial" w:hAnsi="Arial" w:cs="Arial"/>
                <w:bCs/>
                <w:sz w:val="20"/>
                <w:szCs w:val="20"/>
              </w:rPr>
              <w:t xml:space="preserve">0.2 </w:t>
            </w:r>
            <w:r w:rsidR="009475C8" w:rsidRPr="008134D1">
              <w:rPr>
                <w:rFonts w:ascii="Arial" w:hAnsi="Arial" w:cs="Arial"/>
                <w:sz w:val="20"/>
                <w:szCs w:val="20"/>
              </w:rPr>
              <w:t>mL</w:t>
            </w:r>
            <w:r w:rsidR="00AE2334" w:rsidRPr="008134D1">
              <w:rPr>
                <w:rFonts w:ascii="Arial" w:hAnsi="Arial" w:cs="Arial"/>
                <w:sz w:val="20"/>
                <w:szCs w:val="20"/>
              </w:rPr>
              <w:t xml:space="preserve"> serum/plasma</w:t>
            </w:r>
          </w:p>
          <w:p w14:paraId="55DD9A39" w14:textId="77777777" w:rsidR="000A6625" w:rsidRDefault="000A6625" w:rsidP="000A6625"/>
          <w:p w14:paraId="317253B3" w14:textId="6048582B" w:rsidR="000A6625" w:rsidRPr="000A6625" w:rsidRDefault="000A6625" w:rsidP="000A6625">
            <w:r>
              <w:t>When serial specimens are being evaluated, the same type of specimen should be used throughout the study.  Performance has not been established for the use of neonatal specimens.</w:t>
            </w:r>
            <w:r w:rsidR="007D171F">
              <w:t xml:space="preserve">  Children under 1 year of age should be tested with Mayo Medical Laboratories test code T3.</w:t>
            </w:r>
          </w:p>
          <w:p w14:paraId="4158F29F" w14:textId="77777777" w:rsidR="00013435" w:rsidRPr="008134D1" w:rsidRDefault="00013435" w:rsidP="00013435"/>
          <w:p w14:paraId="028D7CF3" w14:textId="08FF331F" w:rsidR="00013435" w:rsidRPr="008134D1" w:rsidRDefault="00013435" w:rsidP="00013435">
            <w:pPr>
              <w:rPr>
                <w:rFonts w:cs="Arial"/>
                <w:szCs w:val="20"/>
              </w:rPr>
            </w:pPr>
            <w:r w:rsidRPr="008134D1">
              <w:rPr>
                <w:rFonts w:cs="Arial"/>
                <w:szCs w:val="20"/>
              </w:rPr>
              <w:t>Maximum number of replicates sampled from the same sample cup: 10</w:t>
            </w:r>
          </w:p>
          <w:p w14:paraId="0C609DBD" w14:textId="77777777" w:rsidR="00013435" w:rsidRPr="008134D1" w:rsidRDefault="00013435" w:rsidP="00013435">
            <w:pPr>
              <w:rPr>
                <w:rFonts w:cs="Arial"/>
                <w:szCs w:val="20"/>
              </w:rPr>
            </w:pPr>
          </w:p>
          <w:p w14:paraId="35FBBF8A" w14:textId="0C1F021B" w:rsidR="00013435" w:rsidRPr="008134D1" w:rsidRDefault="00013435" w:rsidP="00013435">
            <w:pPr>
              <w:rPr>
                <w:rFonts w:cs="Arial"/>
                <w:szCs w:val="20"/>
              </w:rPr>
            </w:pPr>
            <w:r w:rsidRPr="008134D1">
              <w:rPr>
                <w:rFonts w:cs="Arial"/>
                <w:szCs w:val="20"/>
              </w:rPr>
              <w:t>Priority</w:t>
            </w:r>
            <w:r w:rsidR="000A6625">
              <w:rPr>
                <w:rFonts w:cs="Arial"/>
                <w:szCs w:val="20"/>
              </w:rPr>
              <w:t xml:space="preserve"> loaded</w:t>
            </w:r>
            <w:r w:rsidRPr="008134D1">
              <w:rPr>
                <w:rFonts w:cs="Arial"/>
                <w:szCs w:val="20"/>
              </w:rPr>
              <w:t>:</w:t>
            </w:r>
          </w:p>
          <w:p w14:paraId="1666F535" w14:textId="0E77DCDB" w:rsidR="00013435" w:rsidRPr="008134D1" w:rsidRDefault="00013435" w:rsidP="00013435">
            <w:pPr>
              <w:rPr>
                <w:rFonts w:cs="Arial"/>
                <w:szCs w:val="20"/>
              </w:rPr>
            </w:pPr>
            <w:r w:rsidRPr="008134D1">
              <w:rPr>
                <w:rFonts w:cs="Arial"/>
                <w:szCs w:val="20"/>
              </w:rPr>
              <w:t xml:space="preserve">     </w:t>
            </w:r>
            <w:r w:rsidR="008D1DEB">
              <w:rPr>
                <w:rFonts w:cs="Arial"/>
                <w:szCs w:val="20"/>
              </w:rPr>
              <w:t>Sample volume for first test: 70</w:t>
            </w:r>
            <w:r w:rsidRPr="008134D1">
              <w:rPr>
                <w:rFonts w:cs="Arial"/>
                <w:szCs w:val="20"/>
              </w:rPr>
              <w:t xml:space="preserve"> </w:t>
            </w:r>
            <w:r w:rsidRPr="008134D1">
              <w:rPr>
                <w:rFonts w:cs="Arial" w:hint="eastAsia"/>
                <w:szCs w:val="20"/>
              </w:rPr>
              <w:t>μ</w:t>
            </w:r>
            <w:r w:rsidRPr="008134D1">
              <w:rPr>
                <w:rFonts w:cs="Arial"/>
                <w:szCs w:val="20"/>
              </w:rPr>
              <w:t>L</w:t>
            </w:r>
          </w:p>
          <w:p w14:paraId="1A16FDB6" w14:textId="38844776" w:rsidR="00013435" w:rsidRPr="008134D1" w:rsidRDefault="00013435" w:rsidP="00013435">
            <w:pPr>
              <w:rPr>
                <w:rFonts w:cs="Arial"/>
                <w:szCs w:val="20"/>
              </w:rPr>
            </w:pPr>
            <w:r w:rsidRPr="008134D1">
              <w:rPr>
                <w:rFonts w:cs="Arial"/>
                <w:szCs w:val="20"/>
              </w:rPr>
              <w:t xml:space="preserve">     Sample volume for each addition</w:t>
            </w:r>
            <w:r w:rsidR="008D1DEB">
              <w:rPr>
                <w:rFonts w:cs="Arial"/>
                <w:szCs w:val="20"/>
              </w:rPr>
              <w:t>al test from same sample cup: 20</w:t>
            </w:r>
            <w:r w:rsidRPr="008134D1">
              <w:rPr>
                <w:rFonts w:cs="Arial"/>
                <w:szCs w:val="20"/>
              </w:rPr>
              <w:t xml:space="preserve"> </w:t>
            </w:r>
            <w:r w:rsidRPr="008134D1">
              <w:rPr>
                <w:rFonts w:cs="Arial" w:hint="eastAsia"/>
                <w:szCs w:val="20"/>
              </w:rPr>
              <w:t>μ</w:t>
            </w:r>
            <w:r w:rsidRPr="008134D1">
              <w:rPr>
                <w:rFonts w:cs="Arial"/>
                <w:szCs w:val="20"/>
              </w:rPr>
              <w:t>L</w:t>
            </w:r>
          </w:p>
          <w:p w14:paraId="33D20C4A" w14:textId="77777777" w:rsidR="00013435" w:rsidRPr="008134D1" w:rsidRDefault="00013435" w:rsidP="00013435">
            <w:pPr>
              <w:rPr>
                <w:rFonts w:cs="Arial"/>
                <w:szCs w:val="20"/>
              </w:rPr>
            </w:pPr>
          </w:p>
          <w:p w14:paraId="7F0FFACB" w14:textId="5FC201C0" w:rsidR="00013435" w:rsidRPr="008134D1" w:rsidRDefault="000A6625" w:rsidP="00013435">
            <w:pPr>
              <w:rPr>
                <w:rFonts w:cs="Arial"/>
                <w:szCs w:val="20"/>
              </w:rPr>
            </w:pPr>
            <w:r>
              <w:rPr>
                <w:rFonts w:cs="Arial"/>
                <w:szCs w:val="20"/>
              </w:rPr>
              <w:t>Loaded routinely:</w:t>
            </w:r>
          </w:p>
          <w:p w14:paraId="2315291F" w14:textId="6A99E847" w:rsidR="00013435" w:rsidRPr="008134D1" w:rsidRDefault="00013435" w:rsidP="00013435">
            <w:pPr>
              <w:rPr>
                <w:rFonts w:cs="Arial"/>
                <w:szCs w:val="20"/>
              </w:rPr>
            </w:pPr>
            <w:r w:rsidRPr="008134D1">
              <w:rPr>
                <w:rFonts w:cs="Arial"/>
                <w:szCs w:val="20"/>
              </w:rPr>
              <w:t xml:space="preserve">     Sample volume for first test: 150 </w:t>
            </w:r>
            <w:r w:rsidRPr="008134D1">
              <w:rPr>
                <w:rFonts w:cs="Arial" w:hint="eastAsia"/>
                <w:szCs w:val="20"/>
              </w:rPr>
              <w:t>μ</w:t>
            </w:r>
            <w:r w:rsidRPr="008134D1">
              <w:rPr>
                <w:rFonts w:cs="Arial"/>
                <w:szCs w:val="20"/>
              </w:rPr>
              <w:t>L</w:t>
            </w:r>
          </w:p>
          <w:p w14:paraId="471779EF" w14:textId="7E03E071" w:rsidR="00013435" w:rsidRPr="008134D1" w:rsidRDefault="00013435" w:rsidP="00013435">
            <w:pPr>
              <w:rPr>
                <w:rFonts w:cs="Arial"/>
                <w:szCs w:val="20"/>
              </w:rPr>
            </w:pPr>
            <w:r w:rsidRPr="008134D1">
              <w:rPr>
                <w:rFonts w:cs="Arial"/>
                <w:szCs w:val="20"/>
              </w:rPr>
              <w:t xml:space="preserve">     Sample volume for each addition</w:t>
            </w:r>
            <w:r w:rsidR="008D1DEB">
              <w:rPr>
                <w:rFonts w:cs="Arial"/>
                <w:szCs w:val="20"/>
              </w:rPr>
              <w:t>al test from same sample cup: 20</w:t>
            </w:r>
            <w:r w:rsidRPr="008134D1">
              <w:rPr>
                <w:rFonts w:cs="Arial"/>
                <w:szCs w:val="20"/>
              </w:rPr>
              <w:t xml:space="preserve"> </w:t>
            </w:r>
            <w:r w:rsidRPr="008134D1">
              <w:rPr>
                <w:rFonts w:cs="Arial" w:hint="eastAsia"/>
                <w:szCs w:val="20"/>
              </w:rPr>
              <w:t>μ</w:t>
            </w:r>
            <w:r w:rsidRPr="008134D1">
              <w:rPr>
                <w:rFonts w:cs="Arial"/>
                <w:szCs w:val="20"/>
              </w:rPr>
              <w:t>L</w:t>
            </w:r>
          </w:p>
          <w:p w14:paraId="1C30F171" w14:textId="77777777" w:rsidR="00013435" w:rsidRPr="008134D1" w:rsidRDefault="00013435" w:rsidP="00013435">
            <w:pPr>
              <w:rPr>
                <w:rFonts w:cs="Arial"/>
                <w:szCs w:val="20"/>
              </w:rPr>
            </w:pPr>
          </w:p>
          <w:p w14:paraId="3DC60522" w14:textId="77777777" w:rsidR="00BD0AE4" w:rsidRPr="008134D1" w:rsidRDefault="009A1A3D">
            <w:pPr>
              <w:pStyle w:val="Header"/>
              <w:tabs>
                <w:tab w:val="clear" w:pos="4320"/>
                <w:tab w:val="clear" w:pos="8640"/>
              </w:tabs>
              <w:rPr>
                <w:rFonts w:cs="Arial"/>
                <w:szCs w:val="20"/>
              </w:rPr>
            </w:pPr>
            <w:r w:rsidRPr="008134D1">
              <w:rPr>
                <w:rFonts w:cs="Arial"/>
                <w:b/>
                <w:bCs/>
                <w:szCs w:val="20"/>
              </w:rPr>
              <w:t>Stability when separated from cells/gel:</w:t>
            </w:r>
            <w:r w:rsidR="00504F3B" w:rsidRPr="008134D1">
              <w:rPr>
                <w:rFonts w:cs="Arial"/>
                <w:szCs w:val="20"/>
              </w:rPr>
              <w:t xml:space="preserve"> </w:t>
            </w:r>
          </w:p>
          <w:p w14:paraId="10B93C4E" w14:textId="1CA08A12" w:rsidR="0017089C" w:rsidRPr="000A6625" w:rsidRDefault="0017089C">
            <w:pPr>
              <w:pStyle w:val="Header"/>
              <w:tabs>
                <w:tab w:val="clear" w:pos="4320"/>
                <w:tab w:val="clear" w:pos="8640"/>
              </w:tabs>
              <w:rPr>
                <w:rFonts w:cs="Arial"/>
                <w:szCs w:val="20"/>
              </w:rPr>
            </w:pPr>
            <w:r w:rsidRPr="008134D1">
              <w:rPr>
                <w:rFonts w:cs="Arial"/>
                <w:b/>
                <w:szCs w:val="20"/>
              </w:rPr>
              <w:t>20 to 25°C</w:t>
            </w:r>
            <w:r w:rsidR="00437425" w:rsidRPr="008134D1">
              <w:rPr>
                <w:rFonts w:cs="Arial"/>
                <w:b/>
                <w:szCs w:val="20"/>
              </w:rPr>
              <w:tab/>
            </w:r>
            <w:r w:rsidR="000A6625">
              <w:rPr>
                <w:rFonts w:cs="Arial"/>
                <w:szCs w:val="20"/>
              </w:rPr>
              <w:t>Not specified.  Remove to storage at least once every shift.</w:t>
            </w:r>
          </w:p>
          <w:p w14:paraId="5CCFFF99" w14:textId="23048FD6" w:rsidR="00E3253B" w:rsidRPr="008134D1" w:rsidRDefault="00BD0AE4">
            <w:pPr>
              <w:pStyle w:val="Header"/>
              <w:tabs>
                <w:tab w:val="clear" w:pos="4320"/>
                <w:tab w:val="clear" w:pos="8640"/>
              </w:tabs>
              <w:rPr>
                <w:rFonts w:cs="Arial"/>
                <w:szCs w:val="20"/>
              </w:rPr>
            </w:pPr>
            <w:r w:rsidRPr="008134D1">
              <w:rPr>
                <w:rFonts w:cs="Arial"/>
                <w:b/>
                <w:szCs w:val="20"/>
              </w:rPr>
              <w:t>2 to 8°C</w:t>
            </w:r>
            <w:r w:rsidR="00437425" w:rsidRPr="008134D1">
              <w:rPr>
                <w:rFonts w:cs="Arial"/>
                <w:b/>
                <w:szCs w:val="20"/>
              </w:rPr>
              <w:tab/>
            </w:r>
            <w:r w:rsidR="00013435" w:rsidRPr="008134D1">
              <w:rPr>
                <w:rFonts w:cs="Arial"/>
                <w:szCs w:val="20"/>
              </w:rPr>
              <w:t>6 days</w:t>
            </w:r>
          </w:p>
          <w:p w14:paraId="594E4A3A" w14:textId="2A2DE4EC" w:rsidR="00BD0AE4" w:rsidRPr="008134D1" w:rsidRDefault="00BD0AE4">
            <w:pPr>
              <w:pStyle w:val="Header"/>
              <w:tabs>
                <w:tab w:val="clear" w:pos="4320"/>
                <w:tab w:val="clear" w:pos="8640"/>
              </w:tabs>
              <w:rPr>
                <w:rFonts w:cs="Arial"/>
                <w:szCs w:val="20"/>
              </w:rPr>
            </w:pPr>
            <w:r w:rsidRPr="008134D1">
              <w:rPr>
                <w:rFonts w:cs="Arial"/>
                <w:b/>
                <w:szCs w:val="20"/>
              </w:rPr>
              <w:t>-20°C</w:t>
            </w:r>
            <w:r w:rsidR="00437425" w:rsidRPr="008134D1">
              <w:rPr>
                <w:rFonts w:cs="Arial"/>
                <w:szCs w:val="20"/>
              </w:rPr>
              <w:tab/>
            </w:r>
            <w:r w:rsidR="00437425" w:rsidRPr="008134D1">
              <w:rPr>
                <w:rFonts w:cs="Arial"/>
                <w:szCs w:val="20"/>
              </w:rPr>
              <w:tab/>
            </w:r>
            <w:r w:rsidR="009E7068">
              <w:rPr>
                <w:rFonts w:cs="Arial"/>
                <w:szCs w:val="20"/>
              </w:rPr>
              <w:t>14 days</w:t>
            </w:r>
          </w:p>
          <w:p w14:paraId="1787D068" w14:textId="77777777" w:rsidR="00BD0AE4" w:rsidRPr="008134D1" w:rsidRDefault="00BD0AE4">
            <w:pPr>
              <w:pStyle w:val="Header"/>
              <w:tabs>
                <w:tab w:val="clear" w:pos="4320"/>
                <w:tab w:val="clear" w:pos="8640"/>
              </w:tabs>
              <w:rPr>
                <w:rFonts w:cs="Arial"/>
                <w:szCs w:val="20"/>
              </w:rPr>
            </w:pPr>
          </w:p>
          <w:p w14:paraId="5CCFFF9A" w14:textId="77777777" w:rsidR="00E3253B" w:rsidRPr="008134D1" w:rsidRDefault="00E3253B">
            <w:pPr>
              <w:rPr>
                <w:rFonts w:cs="Arial"/>
                <w:szCs w:val="20"/>
              </w:rPr>
            </w:pPr>
            <w:r w:rsidRPr="008134D1">
              <w:rPr>
                <w:rFonts w:cs="Arial"/>
                <w:b/>
                <w:bCs/>
                <w:szCs w:val="20"/>
              </w:rPr>
              <w:t>Rejection criteria:</w:t>
            </w:r>
            <w:r w:rsidRPr="008134D1">
              <w:rPr>
                <w:rFonts w:cs="Arial"/>
                <w:szCs w:val="20"/>
              </w:rPr>
              <w:t xml:space="preserve"> Unlabeled tube, </w:t>
            </w:r>
            <w:r w:rsidR="001102B2" w:rsidRPr="008134D1">
              <w:rPr>
                <w:rFonts w:cs="Arial"/>
                <w:szCs w:val="20"/>
              </w:rPr>
              <w:t xml:space="preserve">sample type other than serum or </w:t>
            </w:r>
            <w:r w:rsidR="00504F3B" w:rsidRPr="008134D1">
              <w:rPr>
                <w:rFonts w:cs="Arial"/>
                <w:szCs w:val="20"/>
              </w:rPr>
              <w:t>acceptable</w:t>
            </w:r>
            <w:r w:rsidR="009A1A3D" w:rsidRPr="008134D1">
              <w:rPr>
                <w:rFonts w:cs="Arial"/>
                <w:szCs w:val="20"/>
              </w:rPr>
              <w:t xml:space="preserve"> plasma</w:t>
            </w:r>
          </w:p>
          <w:p w14:paraId="5CCFFF9B" w14:textId="77777777" w:rsidR="00B11633" w:rsidRPr="008134D1" w:rsidRDefault="00B11633" w:rsidP="00B11633">
            <w:pPr>
              <w:autoSpaceDE w:val="0"/>
              <w:autoSpaceDN w:val="0"/>
              <w:adjustRightInd w:val="0"/>
              <w:rPr>
                <w:rFonts w:eastAsia="HelenPro-Regular" w:cs="Arial"/>
                <w:szCs w:val="20"/>
              </w:rPr>
            </w:pPr>
          </w:p>
          <w:p w14:paraId="5CCFFF9C" w14:textId="77777777" w:rsidR="00E93074" w:rsidRPr="008134D1" w:rsidRDefault="00E93074" w:rsidP="00E93074">
            <w:pPr>
              <w:jc w:val="both"/>
              <w:rPr>
                <w:rFonts w:cs="Arial"/>
                <w:szCs w:val="20"/>
              </w:rPr>
            </w:pPr>
            <w:r w:rsidRPr="008134D1">
              <w:rPr>
                <w:rFonts w:cs="Arial"/>
                <w:b/>
                <w:bCs/>
                <w:szCs w:val="20"/>
              </w:rPr>
              <w:t>Preparation:</w:t>
            </w:r>
            <w:r w:rsidRPr="008134D1">
              <w:rPr>
                <w:rFonts w:cs="Arial"/>
                <w:szCs w:val="20"/>
              </w:rPr>
              <w:t xml:space="preserve"> </w:t>
            </w:r>
          </w:p>
          <w:p w14:paraId="61CB1E08" w14:textId="77777777" w:rsidR="009E7068" w:rsidRPr="009E7068" w:rsidRDefault="009E7068" w:rsidP="009E7068">
            <w:pPr>
              <w:numPr>
                <w:ilvl w:val="0"/>
                <w:numId w:val="26"/>
              </w:numPr>
              <w:jc w:val="both"/>
              <w:rPr>
                <w:rFonts w:cs="Arial"/>
                <w:szCs w:val="20"/>
              </w:rPr>
            </w:pPr>
            <w:r w:rsidRPr="009E7068">
              <w:rPr>
                <w:rFonts w:cs="Arial"/>
                <w:szCs w:val="20"/>
              </w:rPr>
              <w:t>Whole blood specimens should be centrifuged following complete clot formation, according to Specimen Processing procedures prior to analysis.</w:t>
            </w:r>
          </w:p>
          <w:p w14:paraId="484C057A" w14:textId="77777777" w:rsidR="009E7068" w:rsidRPr="009E7068" w:rsidRDefault="009E7068" w:rsidP="009E7068">
            <w:pPr>
              <w:numPr>
                <w:ilvl w:val="0"/>
                <w:numId w:val="26"/>
              </w:numPr>
              <w:jc w:val="both"/>
              <w:rPr>
                <w:rFonts w:cs="Arial"/>
                <w:szCs w:val="20"/>
              </w:rPr>
            </w:pPr>
            <w:r w:rsidRPr="009E7068">
              <w:rPr>
                <w:rFonts w:cs="Arial"/>
                <w:szCs w:val="20"/>
              </w:rPr>
              <w:t>Serum or plasma should be physically separated from cells as soon as possible with a maximum limit of two hours from the time of collection.</w:t>
            </w:r>
          </w:p>
          <w:p w14:paraId="277AFABB" w14:textId="77777777" w:rsidR="009E7068" w:rsidRPr="009E7068" w:rsidRDefault="009E7068" w:rsidP="009E7068">
            <w:pPr>
              <w:numPr>
                <w:ilvl w:val="0"/>
                <w:numId w:val="26"/>
              </w:numPr>
              <w:jc w:val="both"/>
              <w:rPr>
                <w:rFonts w:cs="Arial"/>
                <w:szCs w:val="20"/>
              </w:rPr>
            </w:pPr>
            <w:r w:rsidRPr="009E7068">
              <w:rPr>
                <w:rFonts w:cs="Arial"/>
                <w:szCs w:val="20"/>
              </w:rPr>
              <w:t xml:space="preserve">Specimens should be free of particulate matter. </w:t>
            </w:r>
          </w:p>
          <w:p w14:paraId="33F19081" w14:textId="77777777" w:rsidR="009E7068" w:rsidRPr="009E7068" w:rsidRDefault="009E7068" w:rsidP="009E7068">
            <w:pPr>
              <w:numPr>
                <w:ilvl w:val="0"/>
                <w:numId w:val="26"/>
              </w:numPr>
              <w:jc w:val="both"/>
              <w:rPr>
                <w:rFonts w:cs="Arial"/>
                <w:szCs w:val="20"/>
              </w:rPr>
            </w:pPr>
            <w:r w:rsidRPr="009E7068">
              <w:rPr>
                <w:rFonts w:cs="Arial"/>
                <w:szCs w:val="20"/>
              </w:rPr>
              <w:t xml:space="preserve">Transfer serum or plasma directly to a properly labeled pilot tube.  </w:t>
            </w:r>
          </w:p>
          <w:p w14:paraId="55418405" w14:textId="77777777" w:rsidR="009E7068" w:rsidRPr="009E7068" w:rsidRDefault="009E7068" w:rsidP="009E7068">
            <w:pPr>
              <w:numPr>
                <w:ilvl w:val="0"/>
                <w:numId w:val="26"/>
              </w:numPr>
              <w:jc w:val="both"/>
              <w:rPr>
                <w:rFonts w:cs="Arial"/>
                <w:szCs w:val="20"/>
              </w:rPr>
            </w:pPr>
            <w:r w:rsidRPr="009E7068">
              <w:rPr>
                <w:rFonts w:cs="Arial"/>
                <w:szCs w:val="20"/>
              </w:rPr>
              <w:t xml:space="preserve">Architect and Alinity systems utilize a specimen level detect mechanism, so special racks specific to tube-type are not required.  </w:t>
            </w:r>
          </w:p>
          <w:p w14:paraId="4D72A7E1" w14:textId="77777777" w:rsidR="009E7068" w:rsidRPr="009E7068" w:rsidRDefault="009E7068" w:rsidP="009E7068">
            <w:pPr>
              <w:numPr>
                <w:ilvl w:val="0"/>
                <w:numId w:val="26"/>
              </w:numPr>
              <w:jc w:val="both"/>
              <w:rPr>
                <w:rFonts w:cs="Arial"/>
                <w:szCs w:val="20"/>
              </w:rPr>
            </w:pPr>
            <w:r w:rsidRPr="009E7068">
              <w:rPr>
                <w:rFonts w:cs="Arial"/>
                <w:szCs w:val="20"/>
              </w:rPr>
              <w:t>Minimum labeling includes sample accession ID, and/ or patient name, medical record number, collection date and time.</w:t>
            </w:r>
          </w:p>
          <w:p w14:paraId="5CCFFFA2" w14:textId="77777777" w:rsidR="00E3253B" w:rsidRPr="008134D1" w:rsidRDefault="00E3253B" w:rsidP="00F6060A">
            <w:pPr>
              <w:autoSpaceDE w:val="0"/>
              <w:autoSpaceDN w:val="0"/>
              <w:adjustRightInd w:val="0"/>
              <w:rPr>
                <w:rFonts w:cs="Arial"/>
                <w:szCs w:val="20"/>
              </w:rPr>
            </w:pPr>
          </w:p>
        </w:tc>
      </w:tr>
      <w:tr w:rsidR="00D955F6" w:rsidRPr="008134D1" w14:paraId="5CCFFFB0" w14:textId="77777777" w:rsidTr="007132A9">
        <w:trPr>
          <w:tblHeader/>
        </w:trPr>
        <w:tc>
          <w:tcPr>
            <w:tcW w:w="1800" w:type="dxa"/>
            <w:tcBorders>
              <w:top w:val="nil"/>
              <w:left w:val="nil"/>
              <w:bottom w:val="nil"/>
              <w:right w:val="nil"/>
            </w:tcBorders>
          </w:tcPr>
          <w:p w14:paraId="5CCFFFA4" w14:textId="224E3810" w:rsidR="00D955F6" w:rsidRPr="008134D1" w:rsidRDefault="00D955F6">
            <w:pPr>
              <w:rPr>
                <w:rFonts w:cs="Arial"/>
                <w:b/>
                <w:bCs/>
                <w:color w:val="0000FF"/>
                <w:szCs w:val="20"/>
              </w:rPr>
            </w:pPr>
            <w:r w:rsidRPr="008134D1">
              <w:rPr>
                <w:rFonts w:cs="Arial"/>
                <w:b/>
                <w:bCs/>
                <w:color w:val="0000FF"/>
                <w:szCs w:val="20"/>
              </w:rPr>
              <w:lastRenderedPageBreak/>
              <w:t>Reagents</w:t>
            </w:r>
          </w:p>
          <w:p w14:paraId="5CCFFFA5" w14:textId="77777777" w:rsidR="00D955F6" w:rsidRPr="008134D1"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8134D1" w:rsidRDefault="00233AA0" w:rsidP="00233AA0">
            <w:pPr>
              <w:autoSpaceDE w:val="0"/>
              <w:autoSpaceDN w:val="0"/>
              <w:adjustRightInd w:val="0"/>
              <w:rPr>
                <w:rFonts w:cs="Arial"/>
                <w:color w:val="000000"/>
                <w:szCs w:val="20"/>
              </w:rPr>
            </w:pPr>
            <w:r w:rsidRPr="008134D1">
              <w:rPr>
                <w:rFonts w:cs="Arial"/>
                <w:b/>
                <w:bCs/>
                <w:color w:val="000000"/>
                <w:szCs w:val="20"/>
              </w:rPr>
              <w:t xml:space="preserve">Reagent Handling </w:t>
            </w:r>
          </w:p>
          <w:p w14:paraId="2D797EF1" w14:textId="3EE956D0" w:rsidR="00013435" w:rsidRPr="008134D1" w:rsidRDefault="00013435" w:rsidP="00013435">
            <w:pPr>
              <w:autoSpaceDE w:val="0"/>
              <w:autoSpaceDN w:val="0"/>
              <w:adjustRightInd w:val="0"/>
              <w:rPr>
                <w:rFonts w:cs="Arial"/>
                <w:bCs/>
                <w:szCs w:val="20"/>
              </w:rPr>
            </w:pPr>
            <w:r w:rsidRPr="008134D1">
              <w:rPr>
                <w:rFonts w:cs="Arial"/>
                <w:bCs/>
                <w:szCs w:val="20"/>
              </w:rPr>
              <w:t>Upon receipt, gently invert the unopened reagent kit by rotating it over and back for a full 180 degrees, 5 times with green label stripe facing up and then 5 times with green label stripe facing down. This ensures that liquid covers all sides of the bottles within the cartridges. During reagent shipment, microparticles can settle on the reagent septum.</w:t>
            </w:r>
          </w:p>
          <w:p w14:paraId="18B43E75" w14:textId="77777777" w:rsidR="00013435" w:rsidRPr="008134D1" w:rsidRDefault="00013435" w:rsidP="00013435">
            <w:pPr>
              <w:autoSpaceDE w:val="0"/>
              <w:autoSpaceDN w:val="0"/>
              <w:adjustRightInd w:val="0"/>
              <w:rPr>
                <w:rFonts w:cs="Arial"/>
                <w:bCs/>
                <w:szCs w:val="20"/>
              </w:rPr>
            </w:pPr>
          </w:p>
          <w:p w14:paraId="40B58B5B" w14:textId="6A62BF88" w:rsidR="00013435" w:rsidRPr="009E7068" w:rsidRDefault="00013435" w:rsidP="00013435">
            <w:pPr>
              <w:autoSpaceDE w:val="0"/>
              <w:autoSpaceDN w:val="0"/>
              <w:adjustRightInd w:val="0"/>
              <w:rPr>
                <w:rFonts w:cs="Arial"/>
                <w:b/>
                <w:bCs/>
                <w:szCs w:val="20"/>
              </w:rPr>
            </w:pPr>
            <w:r w:rsidRPr="009E7068">
              <w:rPr>
                <w:rFonts w:cs="Arial"/>
                <w:b/>
                <w:bCs/>
                <w:szCs w:val="20"/>
              </w:rPr>
              <w:t>Place a check in the square on the reagent kit to indicate to others that the inversions have been completed.</w:t>
            </w:r>
          </w:p>
          <w:p w14:paraId="695AC31C" w14:textId="77777777" w:rsidR="00013435" w:rsidRPr="008134D1" w:rsidRDefault="00013435" w:rsidP="00013435">
            <w:pPr>
              <w:autoSpaceDE w:val="0"/>
              <w:autoSpaceDN w:val="0"/>
              <w:adjustRightInd w:val="0"/>
              <w:rPr>
                <w:rFonts w:cs="Arial"/>
                <w:bCs/>
                <w:szCs w:val="20"/>
              </w:rPr>
            </w:pPr>
          </w:p>
          <w:p w14:paraId="3025A9E5" w14:textId="7BE2E6D9" w:rsidR="007B410A" w:rsidRPr="008134D1" w:rsidRDefault="00013435" w:rsidP="00013435">
            <w:pPr>
              <w:autoSpaceDE w:val="0"/>
              <w:autoSpaceDN w:val="0"/>
              <w:adjustRightInd w:val="0"/>
              <w:rPr>
                <w:rFonts w:cs="Arial"/>
                <w:color w:val="000000"/>
                <w:szCs w:val="20"/>
              </w:rPr>
            </w:pPr>
            <w:r w:rsidRPr="008134D1">
              <w:rPr>
                <w:rFonts w:cs="Arial"/>
                <w:bCs/>
                <w:szCs w:val="20"/>
              </w:rPr>
              <w:t>After mixing place reagent kit in</w:t>
            </w:r>
            <w:r w:rsidR="009E7068">
              <w:rPr>
                <w:rFonts w:cs="Arial"/>
                <w:color w:val="000000"/>
                <w:szCs w:val="20"/>
              </w:rPr>
              <w:t xml:space="preserve"> upright position for 2</w:t>
            </w:r>
            <w:r w:rsidR="007B410A" w:rsidRPr="008134D1">
              <w:rPr>
                <w:rFonts w:cs="Arial"/>
                <w:color w:val="000000"/>
                <w:szCs w:val="20"/>
              </w:rPr>
              <w:t xml:space="preserve"> hour</w:t>
            </w:r>
            <w:r w:rsidR="009E7068">
              <w:rPr>
                <w:rFonts w:cs="Arial"/>
                <w:color w:val="000000"/>
                <w:szCs w:val="20"/>
              </w:rPr>
              <w:t>s</w:t>
            </w:r>
            <w:r w:rsidR="007B410A" w:rsidRPr="008134D1">
              <w:rPr>
                <w:rFonts w:cs="Arial"/>
                <w:color w:val="000000"/>
                <w:szCs w:val="20"/>
              </w:rPr>
              <w:t xml:space="preserve"> before use to allow bubbles that may have formed to dissipate. </w:t>
            </w:r>
          </w:p>
          <w:p w14:paraId="666CE016" w14:textId="4DC1A06E" w:rsidR="00D955F6" w:rsidRPr="008134D1" w:rsidRDefault="007B410A" w:rsidP="0081197E">
            <w:pPr>
              <w:autoSpaceDE w:val="0"/>
              <w:autoSpaceDN w:val="0"/>
              <w:adjustRightInd w:val="0"/>
              <w:spacing w:after="208"/>
              <w:rPr>
                <w:rFonts w:cs="Arial"/>
                <w:color w:val="000000"/>
                <w:szCs w:val="20"/>
              </w:rPr>
            </w:pPr>
            <w:r w:rsidRPr="008134D1">
              <w:rPr>
                <w:rFonts w:cs="Arial"/>
                <w:color w:val="000000"/>
                <w:szCs w:val="20"/>
              </w:rPr>
              <w:t xml:space="preserve">If a reagent cartridge is dropped, place in an upright position for </w:t>
            </w:r>
            <w:r w:rsidR="00013435" w:rsidRPr="008134D1">
              <w:rPr>
                <w:rFonts w:cs="Arial"/>
                <w:color w:val="000000"/>
                <w:szCs w:val="20"/>
              </w:rPr>
              <w:t xml:space="preserve">1 </w:t>
            </w:r>
            <w:r w:rsidRPr="008134D1">
              <w:rPr>
                <w:rFonts w:cs="Arial"/>
                <w:color w:val="000000"/>
                <w:szCs w:val="20"/>
              </w:rPr>
              <w:t xml:space="preserve">hour before use to allow bubbles that may have formed to dissipate. </w:t>
            </w:r>
          </w:p>
          <w:p w14:paraId="79DDAA3E" w14:textId="77777777" w:rsidR="00A062E1" w:rsidRPr="008134D1" w:rsidRDefault="00A062E1" w:rsidP="00A062E1">
            <w:pPr>
              <w:autoSpaceDE w:val="0"/>
              <w:autoSpaceDN w:val="0"/>
              <w:adjustRightInd w:val="0"/>
              <w:rPr>
                <w:rFonts w:cs="Arial"/>
                <w:color w:val="000000"/>
                <w:szCs w:val="20"/>
              </w:rPr>
            </w:pPr>
            <w:r w:rsidRPr="008134D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8134D1" w:rsidRDefault="00A062E1" w:rsidP="00A062E1">
            <w:pPr>
              <w:autoSpaceDE w:val="0"/>
              <w:autoSpaceDN w:val="0"/>
              <w:adjustRightInd w:val="0"/>
              <w:rPr>
                <w:rFonts w:cs="Arial"/>
                <w:color w:val="000000"/>
                <w:szCs w:val="20"/>
              </w:rPr>
            </w:pPr>
          </w:p>
          <w:p w14:paraId="6D28E8F9" w14:textId="77777777" w:rsidR="00A062E1" w:rsidRPr="008134D1" w:rsidRDefault="00A062E1" w:rsidP="00A062E1">
            <w:pPr>
              <w:pStyle w:val="ListParagraph"/>
              <w:numPr>
                <w:ilvl w:val="0"/>
                <w:numId w:val="38"/>
              </w:numPr>
              <w:autoSpaceDE w:val="0"/>
              <w:autoSpaceDN w:val="0"/>
              <w:adjustRightInd w:val="0"/>
              <w:rPr>
                <w:rFonts w:eastAsia="HelenPro-Regular"/>
                <w:szCs w:val="20"/>
              </w:rPr>
            </w:pPr>
            <w:r w:rsidRPr="008134D1">
              <w:rPr>
                <w:rFonts w:eastAsia="HelenPro-Regular"/>
                <w:szCs w:val="20"/>
              </w:rPr>
              <w:t>Do not use reagents beyond the expiration date.</w:t>
            </w:r>
          </w:p>
          <w:p w14:paraId="557E834E" w14:textId="77777777" w:rsidR="00A062E1" w:rsidRPr="008134D1" w:rsidRDefault="00A062E1" w:rsidP="00A062E1">
            <w:pPr>
              <w:pStyle w:val="ListParagraph"/>
              <w:numPr>
                <w:ilvl w:val="0"/>
                <w:numId w:val="38"/>
              </w:numPr>
              <w:autoSpaceDE w:val="0"/>
              <w:autoSpaceDN w:val="0"/>
              <w:adjustRightInd w:val="0"/>
              <w:rPr>
                <w:rFonts w:eastAsia="HelenPro-Regular"/>
                <w:szCs w:val="20"/>
              </w:rPr>
            </w:pPr>
            <w:r w:rsidRPr="008134D1">
              <w:rPr>
                <w:rFonts w:eastAsia="HelenPro-Regular"/>
                <w:szCs w:val="20"/>
              </w:rPr>
              <w:t>Do not pool reagents within a kit or between kits.</w:t>
            </w:r>
          </w:p>
          <w:p w14:paraId="71802212" w14:textId="77777777" w:rsidR="00A062E1" w:rsidRPr="008134D1" w:rsidRDefault="00A062E1" w:rsidP="00A062E1">
            <w:pPr>
              <w:pStyle w:val="ListParagraph"/>
              <w:numPr>
                <w:ilvl w:val="0"/>
                <w:numId w:val="38"/>
              </w:numPr>
              <w:autoSpaceDE w:val="0"/>
              <w:autoSpaceDN w:val="0"/>
              <w:adjustRightInd w:val="0"/>
              <w:rPr>
                <w:rFonts w:eastAsia="HelenPro-Regular"/>
                <w:szCs w:val="20"/>
              </w:rPr>
            </w:pPr>
            <w:r w:rsidRPr="008134D1">
              <w:rPr>
                <w:rFonts w:eastAsia="HelenPro-Regular"/>
                <w:szCs w:val="20"/>
              </w:rPr>
              <w:t>Do not use components from one lot with components from another lot.</w:t>
            </w:r>
          </w:p>
          <w:p w14:paraId="5CCFFFAF" w14:textId="1C22C754" w:rsidR="007F5B07" w:rsidRPr="008134D1" w:rsidRDefault="007F5B07" w:rsidP="005125A4">
            <w:pPr>
              <w:autoSpaceDE w:val="0"/>
              <w:autoSpaceDN w:val="0"/>
              <w:adjustRightInd w:val="0"/>
              <w:rPr>
                <w:rFonts w:cs="Arial"/>
              </w:rPr>
            </w:pPr>
          </w:p>
        </w:tc>
      </w:tr>
      <w:tr w:rsidR="00D955F6" w:rsidRPr="008134D1" w14:paraId="5CCFFFC7" w14:textId="77777777" w:rsidTr="007132A9">
        <w:trPr>
          <w:trHeight w:val="4059"/>
          <w:tblHeader/>
        </w:trPr>
        <w:tc>
          <w:tcPr>
            <w:tcW w:w="1800" w:type="dxa"/>
            <w:tcBorders>
              <w:top w:val="nil"/>
              <w:left w:val="nil"/>
              <w:bottom w:val="nil"/>
              <w:right w:val="nil"/>
            </w:tcBorders>
          </w:tcPr>
          <w:p w14:paraId="5CCFFFB1" w14:textId="77777777" w:rsidR="00D955F6" w:rsidRPr="008134D1"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4ABF0027" w:rsidR="0081197E" w:rsidRPr="008134D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8134D1" w14:paraId="2733A6DB" w14:textId="77777777" w:rsidTr="00413A69">
              <w:tc>
                <w:tcPr>
                  <w:tcW w:w="2857" w:type="dxa"/>
                </w:tcPr>
                <w:p w14:paraId="316DA9F0" w14:textId="77777777" w:rsidR="0081197E" w:rsidRPr="008134D1" w:rsidRDefault="0081197E" w:rsidP="0081197E">
                  <w:pPr>
                    <w:pStyle w:val="Reagents"/>
                    <w:rPr>
                      <w:rFonts w:ascii="Arial" w:hAnsi="Arial" w:cs="Arial"/>
                      <w:b/>
                      <w:bCs/>
                    </w:rPr>
                  </w:pPr>
                  <w:r w:rsidRPr="008134D1">
                    <w:rPr>
                      <w:rFonts w:ascii="Arial" w:hAnsi="Arial" w:cs="Arial"/>
                      <w:b/>
                      <w:bCs/>
                      <w:i/>
                      <w:iCs/>
                    </w:rPr>
                    <w:t>Product Description</w:t>
                  </w:r>
                </w:p>
              </w:tc>
              <w:tc>
                <w:tcPr>
                  <w:tcW w:w="1710" w:type="dxa"/>
                </w:tcPr>
                <w:p w14:paraId="571D37C0" w14:textId="77777777" w:rsidR="0081197E" w:rsidRPr="008134D1" w:rsidRDefault="0081197E" w:rsidP="0081197E">
                  <w:pPr>
                    <w:pStyle w:val="Reagents"/>
                    <w:rPr>
                      <w:rFonts w:ascii="Arial" w:hAnsi="Arial" w:cs="Arial"/>
                      <w:b/>
                      <w:bCs/>
                    </w:rPr>
                  </w:pPr>
                  <w:r w:rsidRPr="008134D1">
                    <w:rPr>
                      <w:rFonts w:ascii="Arial" w:hAnsi="Arial" w:cs="Arial"/>
                      <w:b/>
                      <w:bCs/>
                      <w:i/>
                      <w:iCs/>
                    </w:rPr>
                    <w:t>Product Code</w:t>
                  </w:r>
                </w:p>
              </w:tc>
              <w:tc>
                <w:tcPr>
                  <w:tcW w:w="4533" w:type="dxa"/>
                </w:tcPr>
                <w:p w14:paraId="16F0993E" w14:textId="77777777" w:rsidR="0081197E" w:rsidRPr="008134D1" w:rsidRDefault="0081197E" w:rsidP="0081197E">
                  <w:pPr>
                    <w:pStyle w:val="Reagents"/>
                    <w:rPr>
                      <w:rFonts w:ascii="Arial" w:hAnsi="Arial" w:cs="Arial"/>
                      <w:b/>
                      <w:bCs/>
                    </w:rPr>
                  </w:pPr>
                  <w:r w:rsidRPr="008134D1">
                    <w:rPr>
                      <w:rFonts w:ascii="Arial" w:hAnsi="Arial" w:cs="Arial"/>
                      <w:b/>
                      <w:bCs/>
                      <w:i/>
                      <w:iCs/>
                    </w:rPr>
                    <w:t>Stability</w:t>
                  </w:r>
                </w:p>
              </w:tc>
            </w:tr>
            <w:tr w:rsidR="0081197E" w:rsidRPr="008134D1" w14:paraId="6CAC17D9" w14:textId="77777777" w:rsidTr="00413A69">
              <w:tc>
                <w:tcPr>
                  <w:tcW w:w="2857" w:type="dxa"/>
                  <w:vAlign w:val="center"/>
                </w:tcPr>
                <w:p w14:paraId="04BD94E7" w14:textId="4193C743" w:rsidR="0081197E" w:rsidRPr="008134D1" w:rsidRDefault="009E7068" w:rsidP="00115DD6">
                  <w:pPr>
                    <w:autoSpaceDE w:val="0"/>
                    <w:autoSpaceDN w:val="0"/>
                    <w:adjustRightInd w:val="0"/>
                    <w:rPr>
                      <w:rFonts w:cs="Arial"/>
                      <w:szCs w:val="20"/>
                    </w:rPr>
                  </w:pPr>
                  <w:r>
                    <w:rPr>
                      <w:rFonts w:cs="Arial"/>
                      <w:szCs w:val="20"/>
                    </w:rPr>
                    <w:t>Alinity i Total T3</w:t>
                  </w:r>
                  <w:r w:rsidR="005C29DB" w:rsidRPr="008134D1">
                    <w:rPr>
                      <w:rFonts w:cs="Arial"/>
                      <w:szCs w:val="20"/>
                    </w:rPr>
                    <w:t xml:space="preserve"> Reagent Kit </w:t>
                  </w:r>
                </w:p>
              </w:tc>
              <w:tc>
                <w:tcPr>
                  <w:tcW w:w="1710" w:type="dxa"/>
                  <w:vAlign w:val="center"/>
                </w:tcPr>
                <w:p w14:paraId="78062055" w14:textId="7936747E" w:rsidR="0081197E" w:rsidRPr="008134D1" w:rsidRDefault="009E7068" w:rsidP="0081197E">
                  <w:pPr>
                    <w:pStyle w:val="BodyText"/>
                    <w:tabs>
                      <w:tab w:val="left" w:pos="3240"/>
                    </w:tabs>
                    <w:rPr>
                      <w:rFonts w:cs="Arial"/>
                      <w:szCs w:val="20"/>
                    </w:rPr>
                  </w:pPr>
                  <w:r w:rsidRPr="009E7068">
                    <w:rPr>
                      <w:rFonts w:cs="Arial"/>
                      <w:szCs w:val="20"/>
                    </w:rPr>
                    <w:t>07P9420</w:t>
                  </w:r>
                </w:p>
              </w:tc>
              <w:tc>
                <w:tcPr>
                  <w:tcW w:w="4533" w:type="dxa"/>
                  <w:vAlign w:val="center"/>
                </w:tcPr>
                <w:p w14:paraId="1E13427C" w14:textId="04074B6A" w:rsidR="0081197E" w:rsidRPr="009E7068" w:rsidRDefault="0081197E" w:rsidP="0081197E">
                  <w:pPr>
                    <w:pStyle w:val="Reagents"/>
                    <w:spacing w:after="80"/>
                    <w:rPr>
                      <w:rFonts w:ascii="Arial" w:eastAsia="HelenPro-Regular" w:hAnsi="Arial" w:cs="Arial"/>
                    </w:rPr>
                  </w:pPr>
                  <w:r w:rsidRPr="009E7068">
                    <w:rPr>
                      <w:rFonts w:ascii="Arial" w:hAnsi="Arial" w:cs="Arial"/>
                      <w:b/>
                      <w:bCs/>
                    </w:rPr>
                    <w:t>Store at:</w:t>
                  </w:r>
                  <w:r w:rsidRPr="009E7068">
                    <w:rPr>
                      <w:rFonts w:ascii="Arial" w:hAnsi="Arial" w:cs="Arial"/>
                      <w:bCs/>
                    </w:rPr>
                    <w:t xml:space="preserve"> </w:t>
                  </w:r>
                  <w:r w:rsidR="005C29DB" w:rsidRPr="009E7068">
                    <w:rPr>
                      <w:rFonts w:ascii="Arial" w:hAnsi="Arial" w:cs="Arial"/>
                      <w:bCs/>
                    </w:rPr>
                    <w:t>2 to 8°C</w:t>
                  </w:r>
                </w:p>
                <w:p w14:paraId="188F00FD" w14:textId="222A3F20" w:rsidR="00115DD6" w:rsidRPr="009E7068" w:rsidRDefault="0081197E" w:rsidP="008D1DEB">
                  <w:pPr>
                    <w:pStyle w:val="Reagents"/>
                    <w:spacing w:after="80"/>
                    <w:rPr>
                      <w:rFonts w:ascii="Arial" w:hAnsi="Arial" w:cs="Arial"/>
                      <w:b/>
                      <w:bCs/>
                    </w:rPr>
                  </w:pPr>
                  <w:r w:rsidRPr="009E7068">
                    <w:rPr>
                      <w:rFonts w:ascii="Arial" w:hAnsi="Arial" w:cs="Arial"/>
                      <w:b/>
                      <w:bCs/>
                    </w:rPr>
                    <w:t xml:space="preserve">Unopened: </w:t>
                  </w:r>
                  <w:r w:rsidR="00115DD6" w:rsidRPr="009E7068">
                    <w:rPr>
                      <w:rFonts w:ascii="Arial" w:hAnsi="Arial" w:cs="Arial"/>
                      <w:bCs/>
                    </w:rPr>
                    <w:t xml:space="preserve">Until </w:t>
                  </w:r>
                  <w:r w:rsidR="009E7068">
                    <w:rPr>
                      <w:rFonts w:ascii="Arial" w:hAnsi="Arial" w:cs="Arial"/>
                      <w:bCs/>
                    </w:rPr>
                    <w:t xml:space="preserve">printed </w:t>
                  </w:r>
                  <w:r w:rsidR="00115DD6" w:rsidRPr="009E7068">
                    <w:rPr>
                      <w:rFonts w:ascii="Arial" w:hAnsi="Arial" w:cs="Arial"/>
                      <w:bCs/>
                    </w:rPr>
                    <w:t xml:space="preserve">expiration </w:t>
                  </w:r>
                  <w:r w:rsidR="005C29DB" w:rsidRPr="009E7068">
                    <w:rPr>
                      <w:rFonts w:ascii="Arial" w:hAnsi="Arial" w:cs="Arial"/>
                      <w:bCs/>
                    </w:rPr>
                    <w:t>d</w:t>
                  </w:r>
                  <w:r w:rsidR="00115DD6" w:rsidRPr="009E7068">
                    <w:rPr>
                      <w:rFonts w:ascii="Arial" w:hAnsi="Arial" w:cs="Arial"/>
                      <w:bCs/>
                    </w:rPr>
                    <w:t>ate</w:t>
                  </w:r>
                  <w:r w:rsidR="008D1DEB">
                    <w:rPr>
                      <w:rFonts w:ascii="Arial" w:hAnsi="Arial" w:cs="Arial"/>
                      <w:bCs/>
                    </w:rPr>
                    <w:t>.</w:t>
                  </w:r>
                  <w:r w:rsidR="008D1DEB">
                    <w:t xml:space="preserve"> </w:t>
                  </w:r>
                  <w:r w:rsidR="008D1DEB" w:rsidRPr="008D1DEB">
                    <w:rPr>
                      <w:rFonts w:ascii="Arial" w:hAnsi="Arial" w:cs="Arial"/>
                      <w:bCs/>
                    </w:rPr>
                    <w:t>Store in upright position.</w:t>
                  </w:r>
                  <w:r w:rsidR="008D1DEB">
                    <w:rPr>
                      <w:rFonts w:ascii="Arial" w:hAnsi="Arial" w:cs="Arial"/>
                      <w:bCs/>
                    </w:rPr>
                    <w:t xml:space="preserve"> </w:t>
                  </w:r>
                  <w:r w:rsidR="008D1DEB" w:rsidRPr="008D1DEB">
                    <w:rPr>
                      <w:rFonts w:ascii="Arial" w:hAnsi="Arial" w:cs="Arial"/>
                      <w:bCs/>
                    </w:rPr>
                    <w:t>If cartridge does not</w:t>
                  </w:r>
                  <w:r w:rsidR="008D1DEB">
                    <w:rPr>
                      <w:rFonts w:ascii="Arial" w:hAnsi="Arial" w:cs="Arial"/>
                      <w:bCs/>
                    </w:rPr>
                    <w:t xml:space="preserve"> </w:t>
                  </w:r>
                  <w:r w:rsidR="008D1DEB" w:rsidRPr="008D1DEB">
                    <w:rPr>
                      <w:rFonts w:ascii="Arial" w:hAnsi="Arial" w:cs="Arial"/>
                      <w:bCs/>
                    </w:rPr>
                    <w:t>remain upright, gently</w:t>
                  </w:r>
                  <w:r w:rsidR="008D1DEB">
                    <w:rPr>
                      <w:rFonts w:ascii="Arial" w:hAnsi="Arial" w:cs="Arial"/>
                      <w:bCs/>
                    </w:rPr>
                    <w:t xml:space="preserve"> </w:t>
                  </w:r>
                  <w:r w:rsidR="008D1DEB" w:rsidRPr="008D1DEB">
                    <w:rPr>
                      <w:rFonts w:ascii="Arial" w:hAnsi="Arial" w:cs="Arial"/>
                      <w:bCs/>
                    </w:rPr>
                    <w:t>invert the cartridge 10</w:t>
                  </w:r>
                  <w:r w:rsidR="008D1DEB">
                    <w:rPr>
                      <w:rFonts w:ascii="Arial" w:hAnsi="Arial" w:cs="Arial"/>
                      <w:bCs/>
                    </w:rPr>
                    <w:t xml:space="preserve"> </w:t>
                  </w:r>
                  <w:r w:rsidR="008D1DEB" w:rsidRPr="008D1DEB">
                    <w:rPr>
                      <w:rFonts w:ascii="Arial" w:hAnsi="Arial" w:cs="Arial"/>
                      <w:bCs/>
                    </w:rPr>
                    <w:t>times and place in an</w:t>
                  </w:r>
                  <w:r w:rsidR="008D1DEB">
                    <w:rPr>
                      <w:rFonts w:ascii="Arial" w:hAnsi="Arial" w:cs="Arial"/>
                      <w:bCs/>
                    </w:rPr>
                    <w:t xml:space="preserve"> </w:t>
                  </w:r>
                  <w:r w:rsidR="008D1DEB" w:rsidRPr="008D1DEB">
                    <w:rPr>
                      <w:rFonts w:ascii="Arial" w:hAnsi="Arial" w:cs="Arial"/>
                      <w:bCs/>
                    </w:rPr>
                    <w:t>upright position for 2 hours</w:t>
                  </w:r>
                  <w:r w:rsidR="008D1DEB">
                    <w:rPr>
                      <w:rFonts w:ascii="Arial" w:hAnsi="Arial" w:cs="Arial"/>
                      <w:bCs/>
                    </w:rPr>
                    <w:t xml:space="preserve"> </w:t>
                  </w:r>
                  <w:r w:rsidR="008D1DEB" w:rsidRPr="008D1DEB">
                    <w:rPr>
                      <w:rFonts w:ascii="Arial" w:hAnsi="Arial" w:cs="Arial"/>
                      <w:bCs/>
                    </w:rPr>
                    <w:t>before use.</w:t>
                  </w:r>
                  <w:r w:rsidR="008D1DEB">
                    <w:rPr>
                      <w:rFonts w:ascii="Arial" w:hAnsi="Arial" w:cs="Arial"/>
                      <w:bCs/>
                    </w:rPr>
                    <w:t xml:space="preserve"> </w:t>
                  </w:r>
                </w:p>
                <w:p w14:paraId="2EC74C2E" w14:textId="27D48E12" w:rsidR="0081197E" w:rsidRPr="009E7068" w:rsidRDefault="0081197E" w:rsidP="0081197E">
                  <w:pPr>
                    <w:pStyle w:val="Reagents"/>
                    <w:spacing w:after="80"/>
                    <w:rPr>
                      <w:rFonts w:ascii="Arial" w:hAnsi="Arial" w:cs="Arial"/>
                      <w:bCs/>
                    </w:rPr>
                  </w:pPr>
                  <w:r w:rsidRPr="009E7068">
                    <w:rPr>
                      <w:rFonts w:ascii="Arial" w:hAnsi="Arial" w:cs="Arial"/>
                      <w:b/>
                      <w:bCs/>
                    </w:rPr>
                    <w:t>On-board</w:t>
                  </w:r>
                  <w:r w:rsidR="00EA2B3F" w:rsidRPr="009E7068">
                    <w:rPr>
                      <w:rFonts w:ascii="Arial" w:hAnsi="Arial" w:cs="Arial"/>
                      <w:bCs/>
                    </w:rPr>
                    <w:t xml:space="preserve">: </w:t>
                  </w:r>
                  <w:r w:rsidR="005C29DB" w:rsidRPr="009E7068">
                    <w:rPr>
                      <w:rFonts w:ascii="Arial" w:hAnsi="Arial" w:cs="Arial"/>
                      <w:bCs/>
                    </w:rPr>
                    <w:t>30 days</w:t>
                  </w:r>
                </w:p>
                <w:p w14:paraId="2FAF6E83" w14:textId="6C147360" w:rsidR="008D1DEB" w:rsidRPr="008D1DEB" w:rsidRDefault="008D1DEB" w:rsidP="008D1DEB">
                  <w:pPr>
                    <w:pStyle w:val="Reagents"/>
                    <w:spacing w:after="80"/>
                    <w:rPr>
                      <w:rFonts w:ascii="Arial" w:hAnsi="Arial" w:cs="Arial"/>
                      <w:bCs/>
                    </w:rPr>
                  </w:pPr>
                  <w:r>
                    <w:rPr>
                      <w:rFonts w:ascii="Arial" w:hAnsi="Arial" w:cs="Arial"/>
                      <w:bCs/>
                    </w:rPr>
                    <w:t>If removed from the system, Store in upright p</w:t>
                  </w:r>
                  <w:r w:rsidRPr="008D1DEB">
                    <w:rPr>
                      <w:rFonts w:ascii="Arial" w:hAnsi="Arial" w:cs="Arial"/>
                      <w:bCs/>
                    </w:rPr>
                    <w:t>osition.</w:t>
                  </w:r>
                  <w:r>
                    <w:rPr>
                      <w:rFonts w:ascii="Arial" w:hAnsi="Arial" w:cs="Arial"/>
                      <w:bCs/>
                    </w:rPr>
                    <w:t xml:space="preserve"> </w:t>
                  </w:r>
                  <w:r w:rsidRPr="008D1DEB">
                    <w:rPr>
                      <w:rFonts w:ascii="Arial" w:hAnsi="Arial" w:cs="Arial"/>
                      <w:bCs/>
                    </w:rPr>
                    <w:t>If cartridge does not</w:t>
                  </w:r>
                  <w:r>
                    <w:rPr>
                      <w:rFonts w:ascii="Arial" w:hAnsi="Arial" w:cs="Arial"/>
                      <w:bCs/>
                    </w:rPr>
                    <w:t xml:space="preserve"> </w:t>
                  </w:r>
                  <w:r w:rsidRPr="008D1DEB">
                    <w:rPr>
                      <w:rFonts w:ascii="Arial" w:hAnsi="Arial" w:cs="Arial"/>
                      <w:bCs/>
                    </w:rPr>
                    <w:t>remain upright during</w:t>
                  </w:r>
                  <w:r>
                    <w:rPr>
                      <w:rFonts w:ascii="Arial" w:hAnsi="Arial" w:cs="Arial"/>
                      <w:bCs/>
                    </w:rPr>
                    <w:t xml:space="preserve"> </w:t>
                  </w:r>
                  <w:r w:rsidRPr="008D1DEB">
                    <w:rPr>
                      <w:rFonts w:ascii="Arial" w:hAnsi="Arial" w:cs="Arial"/>
                      <w:bCs/>
                    </w:rPr>
                    <w:t>storage, discard the</w:t>
                  </w:r>
                  <w:r>
                    <w:rPr>
                      <w:rFonts w:ascii="Arial" w:hAnsi="Arial" w:cs="Arial"/>
                      <w:bCs/>
                    </w:rPr>
                    <w:t xml:space="preserve"> </w:t>
                  </w:r>
                  <w:r w:rsidRPr="008D1DEB">
                    <w:rPr>
                      <w:rFonts w:ascii="Arial" w:hAnsi="Arial" w:cs="Arial"/>
                      <w:bCs/>
                    </w:rPr>
                    <w:t>cartridge.</w:t>
                  </w:r>
                </w:p>
                <w:p w14:paraId="048014E2" w14:textId="12C61DFD" w:rsidR="0081197E" w:rsidRDefault="008D1DEB" w:rsidP="008D1DEB">
                  <w:pPr>
                    <w:pStyle w:val="Reagents"/>
                    <w:spacing w:after="80"/>
                    <w:rPr>
                      <w:rFonts w:ascii="Arial" w:hAnsi="Arial" w:cs="Arial"/>
                      <w:bCs/>
                    </w:rPr>
                  </w:pPr>
                  <w:r w:rsidRPr="008D1DEB">
                    <w:rPr>
                      <w:rFonts w:ascii="Arial" w:hAnsi="Arial" w:cs="Arial"/>
                      <w:bCs/>
                    </w:rPr>
                    <w:t>Do not reuse original</w:t>
                  </w:r>
                  <w:r>
                    <w:rPr>
                      <w:rFonts w:ascii="Arial" w:hAnsi="Arial" w:cs="Arial"/>
                      <w:bCs/>
                    </w:rPr>
                    <w:t xml:space="preserve"> </w:t>
                  </w:r>
                  <w:r w:rsidRPr="008D1DEB">
                    <w:rPr>
                      <w:rFonts w:ascii="Arial" w:hAnsi="Arial" w:cs="Arial"/>
                      <w:bCs/>
                    </w:rPr>
                    <w:t>reagent caps or</w:t>
                  </w:r>
                  <w:r>
                    <w:rPr>
                      <w:rFonts w:ascii="Arial" w:hAnsi="Arial" w:cs="Arial"/>
                      <w:bCs/>
                    </w:rPr>
                    <w:t xml:space="preserve"> </w:t>
                  </w:r>
                  <w:r w:rsidRPr="008D1DEB">
                    <w:rPr>
                      <w:rFonts w:ascii="Arial" w:hAnsi="Arial" w:cs="Arial"/>
                      <w:bCs/>
                    </w:rPr>
                    <w:t>replacement caps due to</w:t>
                  </w:r>
                  <w:r>
                    <w:rPr>
                      <w:rFonts w:ascii="Arial" w:hAnsi="Arial" w:cs="Arial"/>
                      <w:bCs/>
                    </w:rPr>
                    <w:t xml:space="preserve"> </w:t>
                  </w:r>
                  <w:r w:rsidRPr="008D1DEB">
                    <w:rPr>
                      <w:rFonts w:ascii="Arial" w:hAnsi="Arial" w:cs="Arial"/>
                      <w:bCs/>
                    </w:rPr>
                    <w:t>the risk of</w:t>
                  </w:r>
                  <w:r>
                    <w:rPr>
                      <w:rFonts w:ascii="Arial" w:hAnsi="Arial" w:cs="Arial"/>
                      <w:bCs/>
                    </w:rPr>
                    <w:t xml:space="preserve"> c</w:t>
                  </w:r>
                  <w:r w:rsidRPr="008D1DEB">
                    <w:rPr>
                      <w:rFonts w:ascii="Arial" w:hAnsi="Arial" w:cs="Arial"/>
                      <w:bCs/>
                    </w:rPr>
                    <w:t>ontamination</w:t>
                  </w:r>
                  <w:r>
                    <w:rPr>
                      <w:rFonts w:ascii="Arial" w:hAnsi="Arial" w:cs="Arial"/>
                      <w:bCs/>
                    </w:rPr>
                    <w:t xml:space="preserve"> </w:t>
                  </w:r>
                  <w:r w:rsidRPr="008D1DEB">
                    <w:rPr>
                      <w:rFonts w:ascii="Arial" w:hAnsi="Arial" w:cs="Arial"/>
                      <w:bCs/>
                    </w:rPr>
                    <w:t>and the potential to</w:t>
                  </w:r>
                  <w:r>
                    <w:rPr>
                      <w:rFonts w:ascii="Arial" w:hAnsi="Arial" w:cs="Arial"/>
                      <w:bCs/>
                    </w:rPr>
                    <w:t xml:space="preserve"> </w:t>
                  </w:r>
                  <w:r w:rsidRPr="008D1DEB">
                    <w:rPr>
                      <w:rFonts w:ascii="Arial" w:hAnsi="Arial" w:cs="Arial"/>
                      <w:bCs/>
                    </w:rPr>
                    <w:t>compromise reagent</w:t>
                  </w:r>
                  <w:r>
                    <w:rPr>
                      <w:rFonts w:ascii="Arial" w:hAnsi="Arial" w:cs="Arial"/>
                      <w:bCs/>
                    </w:rPr>
                    <w:t xml:space="preserve"> </w:t>
                  </w:r>
                  <w:r w:rsidRPr="008D1DEB">
                    <w:rPr>
                      <w:rFonts w:ascii="Arial" w:hAnsi="Arial" w:cs="Arial"/>
                      <w:bCs/>
                    </w:rPr>
                    <w:t>performance.</w:t>
                  </w:r>
                </w:p>
                <w:p w14:paraId="2EC23D08" w14:textId="2A045D67" w:rsidR="008D1DEB" w:rsidRPr="009E7068" w:rsidRDefault="008D1DEB" w:rsidP="008D1DEB">
                  <w:pPr>
                    <w:pStyle w:val="Reagents"/>
                    <w:spacing w:after="80"/>
                    <w:rPr>
                      <w:rFonts w:ascii="Arial" w:hAnsi="Arial" w:cs="Arial"/>
                      <w:bCs/>
                    </w:rPr>
                  </w:pPr>
                </w:p>
              </w:tc>
            </w:tr>
            <w:tr w:rsidR="0081197E" w:rsidRPr="008134D1" w14:paraId="2A1E45AA" w14:textId="77777777" w:rsidTr="00413A69">
              <w:tc>
                <w:tcPr>
                  <w:tcW w:w="2857" w:type="dxa"/>
                  <w:vAlign w:val="center"/>
                </w:tcPr>
                <w:p w14:paraId="417AB88A" w14:textId="6799501B" w:rsidR="0081197E" w:rsidRPr="008134D1" w:rsidRDefault="009E7068" w:rsidP="0081197E">
                  <w:pPr>
                    <w:pStyle w:val="BodyText"/>
                    <w:spacing w:after="0"/>
                    <w:rPr>
                      <w:rFonts w:cs="Arial"/>
                      <w:szCs w:val="20"/>
                    </w:rPr>
                  </w:pPr>
                  <w:r>
                    <w:rPr>
                      <w:rFonts w:cs="Arial"/>
                      <w:szCs w:val="20"/>
                    </w:rPr>
                    <w:t>Alinity i Total T3</w:t>
                  </w:r>
                  <w:r w:rsidR="005C29DB" w:rsidRPr="008134D1">
                    <w:rPr>
                      <w:rFonts w:cs="Arial"/>
                      <w:szCs w:val="20"/>
                    </w:rPr>
                    <w:t xml:space="preserve"> Calibrators</w:t>
                  </w:r>
                </w:p>
              </w:tc>
              <w:tc>
                <w:tcPr>
                  <w:tcW w:w="1710" w:type="dxa"/>
                  <w:vAlign w:val="center"/>
                </w:tcPr>
                <w:p w14:paraId="1C065F4D" w14:textId="3221AFFA" w:rsidR="0081197E" w:rsidRPr="008134D1" w:rsidRDefault="009E7068" w:rsidP="005C29DB">
                  <w:pPr>
                    <w:rPr>
                      <w:rFonts w:cs="Arial"/>
                      <w:szCs w:val="20"/>
                    </w:rPr>
                  </w:pPr>
                  <w:r w:rsidRPr="009E7068">
                    <w:rPr>
                      <w:rFonts w:cs="Arial"/>
                      <w:szCs w:val="20"/>
                    </w:rPr>
                    <w:t>07P9401</w:t>
                  </w:r>
                </w:p>
              </w:tc>
              <w:tc>
                <w:tcPr>
                  <w:tcW w:w="4533" w:type="dxa"/>
                  <w:vAlign w:val="center"/>
                </w:tcPr>
                <w:p w14:paraId="3B82C64B" w14:textId="4A7AB9ED" w:rsidR="0081197E" w:rsidRPr="009E7068" w:rsidRDefault="0081197E" w:rsidP="0081197E">
                  <w:pPr>
                    <w:pStyle w:val="Reagents"/>
                    <w:spacing w:after="80"/>
                    <w:rPr>
                      <w:rFonts w:ascii="Arial" w:hAnsi="Arial" w:cs="Arial"/>
                      <w:bCs/>
                    </w:rPr>
                  </w:pPr>
                  <w:r w:rsidRPr="009E7068">
                    <w:rPr>
                      <w:rFonts w:ascii="Arial" w:hAnsi="Arial" w:cs="Arial"/>
                      <w:b/>
                      <w:bCs/>
                    </w:rPr>
                    <w:t>Store at:</w:t>
                  </w:r>
                  <w:r w:rsidRPr="009E7068">
                    <w:rPr>
                      <w:rFonts w:ascii="Arial" w:hAnsi="Arial" w:cs="Arial"/>
                      <w:bCs/>
                    </w:rPr>
                    <w:t xml:space="preserve"> </w:t>
                  </w:r>
                  <w:r w:rsidR="005C29DB" w:rsidRPr="009E7068">
                    <w:rPr>
                      <w:rFonts w:ascii="Arial" w:hAnsi="Arial" w:cs="Arial"/>
                      <w:bCs/>
                    </w:rPr>
                    <w:t>2 to 8°C</w:t>
                  </w:r>
                </w:p>
                <w:p w14:paraId="22FE035D" w14:textId="06D7E31A" w:rsidR="0081197E" w:rsidRPr="009E7068" w:rsidRDefault="0081197E" w:rsidP="0081197E">
                  <w:pPr>
                    <w:pStyle w:val="Reagents"/>
                    <w:spacing w:after="80"/>
                    <w:rPr>
                      <w:rFonts w:ascii="Arial" w:hAnsi="Arial" w:cs="Arial"/>
                      <w:bCs/>
                    </w:rPr>
                  </w:pPr>
                  <w:r w:rsidRPr="009E7068">
                    <w:rPr>
                      <w:rFonts w:ascii="Arial" w:hAnsi="Arial" w:cs="Arial"/>
                      <w:b/>
                      <w:bCs/>
                    </w:rPr>
                    <w:t xml:space="preserve">Unopened: </w:t>
                  </w:r>
                  <w:r w:rsidR="005C29DB" w:rsidRPr="009E7068">
                    <w:rPr>
                      <w:rFonts w:ascii="Arial" w:hAnsi="Arial" w:cs="Arial"/>
                      <w:bCs/>
                    </w:rPr>
                    <w:t xml:space="preserve">Until </w:t>
                  </w:r>
                  <w:r w:rsidR="009E7068">
                    <w:rPr>
                      <w:rFonts w:ascii="Arial" w:hAnsi="Arial" w:cs="Arial"/>
                      <w:bCs/>
                    </w:rPr>
                    <w:t xml:space="preserve">printed </w:t>
                  </w:r>
                  <w:r w:rsidR="005C29DB" w:rsidRPr="009E7068">
                    <w:rPr>
                      <w:rFonts w:ascii="Arial" w:hAnsi="Arial" w:cs="Arial"/>
                      <w:bCs/>
                    </w:rPr>
                    <w:t>expiration date</w:t>
                  </w:r>
                </w:p>
                <w:p w14:paraId="64D304F1" w14:textId="77777777" w:rsidR="009E7068" w:rsidRDefault="0081197E" w:rsidP="009E7068">
                  <w:pPr>
                    <w:pStyle w:val="BodyText"/>
                    <w:spacing w:after="80"/>
                    <w:rPr>
                      <w:rFonts w:cs="Arial"/>
                      <w:bCs/>
                    </w:rPr>
                  </w:pPr>
                  <w:r w:rsidRPr="009E7068">
                    <w:rPr>
                      <w:rFonts w:cs="Arial"/>
                      <w:b/>
                      <w:bCs/>
                      <w:szCs w:val="20"/>
                    </w:rPr>
                    <w:t xml:space="preserve">Opened expiration: </w:t>
                  </w:r>
                  <w:r w:rsidR="005C29DB" w:rsidRPr="009E7068">
                    <w:rPr>
                      <w:rFonts w:cs="Arial"/>
                      <w:bCs/>
                    </w:rPr>
                    <w:t xml:space="preserve">Until </w:t>
                  </w:r>
                  <w:r w:rsidR="009E7068">
                    <w:rPr>
                      <w:rFonts w:cs="Arial"/>
                      <w:bCs/>
                    </w:rPr>
                    <w:t xml:space="preserve">printed </w:t>
                  </w:r>
                  <w:r w:rsidR="005C29DB" w:rsidRPr="009E7068">
                    <w:rPr>
                      <w:rFonts w:cs="Arial"/>
                      <w:bCs/>
                    </w:rPr>
                    <w:t>expiration date</w:t>
                  </w:r>
                  <w:r w:rsidR="009E7068">
                    <w:rPr>
                      <w:rFonts w:cs="Arial"/>
                      <w:bCs/>
                    </w:rPr>
                    <w:t xml:space="preserve">. </w:t>
                  </w:r>
                  <w:r w:rsidR="009E7068" w:rsidRPr="009E7068">
                    <w:rPr>
                      <w:rFonts w:cs="Arial"/>
                      <w:bCs/>
                    </w:rPr>
                    <w:t>Store tightly capped with</w:t>
                  </w:r>
                  <w:r w:rsidR="009E7068">
                    <w:rPr>
                      <w:rFonts w:cs="Arial"/>
                      <w:bCs/>
                    </w:rPr>
                    <w:t xml:space="preserve"> </w:t>
                  </w:r>
                  <w:r w:rsidR="009E7068" w:rsidRPr="009E7068">
                    <w:rPr>
                      <w:rFonts w:cs="Arial"/>
                      <w:bCs/>
                    </w:rPr>
                    <w:t>new replacement cap.</w:t>
                  </w:r>
                  <w:r w:rsidR="009E7068">
                    <w:rPr>
                      <w:rFonts w:cs="Arial"/>
                      <w:bCs/>
                    </w:rPr>
                    <w:t xml:space="preserve"> </w:t>
                  </w:r>
                  <w:r w:rsidR="009E7068" w:rsidRPr="009E7068">
                    <w:rPr>
                      <w:rFonts w:cs="Arial"/>
                      <w:bCs/>
                    </w:rPr>
                    <w:t>Return to refrigerated</w:t>
                  </w:r>
                  <w:r w:rsidR="009E7068">
                    <w:rPr>
                      <w:rFonts w:cs="Arial"/>
                      <w:bCs/>
                    </w:rPr>
                    <w:t xml:space="preserve"> </w:t>
                  </w:r>
                  <w:r w:rsidR="009E7068" w:rsidRPr="009E7068">
                    <w:rPr>
                      <w:rFonts w:cs="Arial"/>
                      <w:bCs/>
                    </w:rPr>
                    <w:t>storage after use.</w:t>
                  </w:r>
                </w:p>
                <w:p w14:paraId="7A3CF81B" w14:textId="77777777" w:rsidR="009E7068" w:rsidRDefault="009E7068" w:rsidP="009E7068">
                  <w:pPr>
                    <w:pStyle w:val="BodyText"/>
                    <w:spacing w:after="80"/>
                    <w:rPr>
                      <w:rFonts w:cs="Arial"/>
                      <w:bCs/>
                    </w:rPr>
                  </w:pPr>
                  <w:r>
                    <w:rPr>
                      <w:rFonts w:cs="Arial"/>
                      <w:bCs/>
                    </w:rPr>
                    <w:t xml:space="preserve"> </w:t>
                  </w:r>
                  <w:r w:rsidRPr="009E7068">
                    <w:rPr>
                      <w:rFonts w:cs="Arial"/>
                      <w:bCs/>
                    </w:rPr>
                    <w:t>The analyzer will track In-use Stability, which is the time the</w:t>
                  </w:r>
                  <w:r>
                    <w:rPr>
                      <w:rFonts w:cs="Arial"/>
                      <w:bCs/>
                    </w:rPr>
                    <w:t xml:space="preserve"> </w:t>
                  </w:r>
                  <w:r w:rsidRPr="009E7068">
                    <w:rPr>
                      <w:rFonts w:cs="Arial"/>
                      <w:bCs/>
                    </w:rPr>
                    <w:t>calibrator is outside of refrigerated storage while on the analyzer.</w:t>
                  </w:r>
                  <w:r>
                    <w:rPr>
                      <w:rFonts w:cs="Arial"/>
                      <w:bCs/>
                    </w:rPr>
                    <w:t xml:space="preserve"> </w:t>
                  </w:r>
                  <w:r w:rsidRPr="009E7068">
                    <w:rPr>
                      <w:rFonts w:cs="Arial"/>
                      <w:bCs/>
                    </w:rPr>
                    <w:t>The analyzer will not allow the use of the calibrator if the In-use</w:t>
                  </w:r>
                  <w:r>
                    <w:rPr>
                      <w:rFonts w:cs="Arial"/>
                      <w:bCs/>
                    </w:rPr>
                    <w:t xml:space="preserve"> </w:t>
                  </w:r>
                  <w:r w:rsidRPr="009E7068">
                    <w:rPr>
                      <w:rFonts w:cs="Arial"/>
                      <w:bCs/>
                    </w:rPr>
                    <w:t>Stability has been exceeded. Maximum In-use</w:t>
                  </w:r>
                  <w:r>
                    <w:rPr>
                      <w:rFonts w:cs="Arial"/>
                      <w:bCs/>
                    </w:rPr>
                    <w:t xml:space="preserve"> </w:t>
                  </w:r>
                  <w:r w:rsidRPr="009E7068">
                    <w:rPr>
                      <w:rFonts w:cs="Arial"/>
                      <w:bCs/>
                    </w:rPr>
                    <w:t>Stability can be</w:t>
                  </w:r>
                  <w:r>
                    <w:rPr>
                      <w:rFonts w:cs="Arial"/>
                      <w:bCs/>
                    </w:rPr>
                    <w:t xml:space="preserve"> </w:t>
                  </w:r>
                  <w:r w:rsidRPr="009E7068">
                    <w:rPr>
                      <w:rFonts w:cs="Arial"/>
                      <w:bCs/>
                    </w:rPr>
                    <w:t>found in the Assay Parameter Report.</w:t>
                  </w:r>
                </w:p>
                <w:p w14:paraId="05D3D1A4" w14:textId="3A6ACD89" w:rsidR="0081197E" w:rsidRPr="009E7068" w:rsidRDefault="009E7068" w:rsidP="009E7068">
                  <w:pPr>
                    <w:pStyle w:val="BodyText"/>
                    <w:spacing w:after="80"/>
                    <w:rPr>
                      <w:rFonts w:cs="Arial"/>
                      <w:szCs w:val="20"/>
                    </w:rPr>
                  </w:pPr>
                  <w:r>
                    <w:rPr>
                      <w:rFonts w:cs="Arial"/>
                      <w:bCs/>
                    </w:rPr>
                    <w:t xml:space="preserve"> </w:t>
                  </w:r>
                  <w:r w:rsidRPr="009E7068">
                    <w:rPr>
                      <w:rFonts w:cs="Arial"/>
                      <w:bCs/>
                    </w:rPr>
                    <w:t>For additional information on</w:t>
                  </w:r>
                  <w:r>
                    <w:rPr>
                      <w:rFonts w:cs="Arial"/>
                      <w:bCs/>
                    </w:rPr>
                    <w:t xml:space="preserve"> </w:t>
                  </w:r>
                  <w:r w:rsidRPr="009E7068">
                    <w:rPr>
                      <w:rFonts w:cs="Arial"/>
                      <w:bCs/>
                    </w:rPr>
                    <w:t>calibrator In-use Stability, refer to the Alinity ci-series Operation</w:t>
                  </w:r>
                  <w:r>
                    <w:rPr>
                      <w:rFonts w:cs="Arial"/>
                      <w:bCs/>
                    </w:rPr>
                    <w:t xml:space="preserve"> </w:t>
                  </w:r>
                  <w:r w:rsidRPr="009E7068">
                    <w:rPr>
                      <w:rFonts w:cs="Arial"/>
                      <w:bCs/>
                    </w:rPr>
                    <w:t>Manual, Section 5.</w:t>
                  </w:r>
                </w:p>
              </w:tc>
            </w:tr>
            <w:tr w:rsidR="00234774" w:rsidRPr="008134D1" w14:paraId="494EE744" w14:textId="77777777" w:rsidTr="00413A69">
              <w:tc>
                <w:tcPr>
                  <w:tcW w:w="2857" w:type="dxa"/>
                  <w:vAlign w:val="center"/>
                </w:tcPr>
                <w:p w14:paraId="7E34F0E1" w14:textId="1911C88C" w:rsidR="00234774" w:rsidRPr="008134D1" w:rsidRDefault="009E7068" w:rsidP="0081197E">
                  <w:pPr>
                    <w:pStyle w:val="BodyText"/>
                    <w:spacing w:after="0"/>
                    <w:rPr>
                      <w:rFonts w:cs="Arial"/>
                      <w:szCs w:val="20"/>
                    </w:rPr>
                  </w:pPr>
                  <w:r>
                    <w:rPr>
                      <w:rFonts w:cs="Arial"/>
                      <w:szCs w:val="20"/>
                    </w:rPr>
                    <w:t>Alinity i Total T3 Manual Diluent</w:t>
                  </w:r>
                </w:p>
              </w:tc>
              <w:tc>
                <w:tcPr>
                  <w:tcW w:w="1710" w:type="dxa"/>
                  <w:vAlign w:val="center"/>
                </w:tcPr>
                <w:p w14:paraId="5009F08F" w14:textId="25591A75" w:rsidR="00234774" w:rsidRPr="008134D1" w:rsidRDefault="009E7068" w:rsidP="0081197E">
                  <w:pPr>
                    <w:rPr>
                      <w:rFonts w:cs="Arial"/>
                      <w:szCs w:val="20"/>
                    </w:rPr>
                  </w:pPr>
                  <w:r w:rsidRPr="009E7068">
                    <w:rPr>
                      <w:rFonts w:cs="Arial"/>
                      <w:szCs w:val="20"/>
                    </w:rPr>
                    <w:t>07P9440</w:t>
                  </w:r>
                </w:p>
              </w:tc>
              <w:tc>
                <w:tcPr>
                  <w:tcW w:w="4533" w:type="dxa"/>
                  <w:vAlign w:val="center"/>
                </w:tcPr>
                <w:p w14:paraId="036E75E3" w14:textId="0F4AFCF3" w:rsidR="00DC7091" w:rsidRPr="009E7068" w:rsidRDefault="00DC7091" w:rsidP="00DC7091">
                  <w:pPr>
                    <w:pStyle w:val="Reagents"/>
                    <w:spacing w:after="80"/>
                    <w:rPr>
                      <w:rFonts w:ascii="Arial" w:hAnsi="Arial" w:cs="Arial"/>
                      <w:bCs/>
                    </w:rPr>
                  </w:pPr>
                  <w:r w:rsidRPr="009E7068">
                    <w:rPr>
                      <w:rFonts w:ascii="Arial" w:hAnsi="Arial" w:cs="Arial"/>
                      <w:b/>
                      <w:bCs/>
                    </w:rPr>
                    <w:t>Store at:</w:t>
                  </w:r>
                  <w:r w:rsidRPr="009E7068">
                    <w:rPr>
                      <w:rFonts w:ascii="Arial" w:hAnsi="Arial" w:cs="Arial"/>
                      <w:bCs/>
                    </w:rPr>
                    <w:t xml:space="preserve"> </w:t>
                  </w:r>
                  <w:r w:rsidR="009E7068" w:rsidRPr="009E7068">
                    <w:rPr>
                      <w:rFonts w:ascii="Arial" w:hAnsi="Arial" w:cs="Arial"/>
                      <w:bCs/>
                    </w:rPr>
                    <w:t>2 to 8°C</w:t>
                  </w:r>
                </w:p>
                <w:p w14:paraId="3FAD40E2" w14:textId="551685EB" w:rsidR="00DC7091" w:rsidRDefault="00DC7091" w:rsidP="00DC7091">
                  <w:pPr>
                    <w:pStyle w:val="Reagents"/>
                    <w:spacing w:after="80"/>
                    <w:rPr>
                      <w:rFonts w:ascii="Arial" w:hAnsi="Arial" w:cs="Arial"/>
                      <w:bCs/>
                    </w:rPr>
                  </w:pPr>
                  <w:r w:rsidRPr="009E7068">
                    <w:rPr>
                      <w:rFonts w:ascii="Arial" w:hAnsi="Arial" w:cs="Arial"/>
                      <w:b/>
                      <w:bCs/>
                    </w:rPr>
                    <w:t>Unopened</w:t>
                  </w:r>
                  <w:r w:rsidR="009E7068">
                    <w:rPr>
                      <w:rFonts w:ascii="Arial" w:hAnsi="Arial" w:cs="Arial"/>
                      <w:b/>
                      <w:bCs/>
                    </w:rPr>
                    <w:t>/Opened</w:t>
                  </w:r>
                  <w:r w:rsidRPr="009E7068">
                    <w:rPr>
                      <w:rFonts w:ascii="Arial" w:hAnsi="Arial" w:cs="Arial"/>
                      <w:b/>
                      <w:bCs/>
                    </w:rPr>
                    <w:t>:</w:t>
                  </w:r>
                  <w:r w:rsidR="009E7068">
                    <w:rPr>
                      <w:rFonts w:ascii="Arial" w:hAnsi="Arial" w:cs="Arial"/>
                      <w:b/>
                      <w:bCs/>
                    </w:rPr>
                    <w:t xml:space="preserve">  </w:t>
                  </w:r>
                  <w:r w:rsidR="009E7068" w:rsidRPr="009E7068">
                    <w:rPr>
                      <w:rFonts w:ascii="Arial" w:hAnsi="Arial" w:cs="Arial"/>
                      <w:bCs/>
                    </w:rPr>
                    <w:t>Until printed expiration date</w:t>
                  </w:r>
                  <w:r w:rsidRPr="009E7068">
                    <w:rPr>
                      <w:rFonts w:ascii="Arial" w:hAnsi="Arial" w:cs="Arial"/>
                      <w:bCs/>
                    </w:rPr>
                    <w:t xml:space="preserve"> </w:t>
                  </w:r>
                </w:p>
                <w:p w14:paraId="4AD6A3C2" w14:textId="3B4B5CDB" w:rsidR="009E7068" w:rsidRPr="009E7068" w:rsidRDefault="009E7068" w:rsidP="009E7068">
                  <w:pPr>
                    <w:pStyle w:val="Reagents"/>
                    <w:spacing w:after="80"/>
                    <w:rPr>
                      <w:rFonts w:ascii="Arial" w:hAnsi="Arial" w:cs="Arial"/>
                      <w:bCs/>
                    </w:rPr>
                  </w:pPr>
                  <w:r w:rsidRPr="009E7068">
                    <w:rPr>
                      <w:rFonts w:ascii="Arial" w:hAnsi="Arial" w:cs="Arial"/>
                      <w:bCs/>
                    </w:rPr>
                    <w:t>Store tightly capped.</w:t>
                  </w:r>
                  <w:r>
                    <w:rPr>
                      <w:rFonts w:ascii="Arial" w:hAnsi="Arial" w:cs="Arial"/>
                      <w:bCs/>
                    </w:rPr>
                    <w:t xml:space="preserve"> </w:t>
                  </w:r>
                  <w:r w:rsidRPr="009E7068">
                    <w:rPr>
                      <w:rFonts w:ascii="Arial" w:hAnsi="Arial" w:cs="Arial"/>
                      <w:bCs/>
                    </w:rPr>
                    <w:t>Store in an upright</w:t>
                  </w:r>
                  <w:r>
                    <w:rPr>
                      <w:rFonts w:ascii="Arial" w:hAnsi="Arial" w:cs="Arial"/>
                      <w:bCs/>
                    </w:rPr>
                    <w:t xml:space="preserve"> </w:t>
                  </w:r>
                  <w:r w:rsidRPr="009E7068">
                    <w:rPr>
                      <w:rFonts w:ascii="Arial" w:hAnsi="Arial" w:cs="Arial"/>
                      <w:bCs/>
                    </w:rPr>
                    <w:t>position.</w:t>
                  </w:r>
                  <w:r>
                    <w:rPr>
                      <w:rFonts w:ascii="Arial" w:hAnsi="Arial" w:cs="Arial"/>
                      <w:bCs/>
                    </w:rPr>
                    <w:t xml:space="preserve"> </w:t>
                  </w:r>
                  <w:r w:rsidRPr="009E7068">
                    <w:rPr>
                      <w:rFonts w:ascii="Arial" w:hAnsi="Arial" w:cs="Arial"/>
                      <w:bCs/>
                    </w:rPr>
                    <w:t>Return to refrigerated</w:t>
                  </w:r>
                  <w:r>
                    <w:rPr>
                      <w:rFonts w:ascii="Arial" w:hAnsi="Arial" w:cs="Arial"/>
                      <w:bCs/>
                    </w:rPr>
                    <w:t xml:space="preserve"> </w:t>
                  </w:r>
                  <w:r w:rsidRPr="009E7068">
                    <w:rPr>
                      <w:rFonts w:ascii="Arial" w:hAnsi="Arial" w:cs="Arial"/>
                      <w:bCs/>
                    </w:rPr>
                    <w:t>storage after use.</w:t>
                  </w:r>
                </w:p>
                <w:p w14:paraId="285E6B80" w14:textId="5C1C6BA6" w:rsidR="00234774" w:rsidRPr="009E7068" w:rsidRDefault="00234774" w:rsidP="00DC7091">
                  <w:pPr>
                    <w:pStyle w:val="Reagents"/>
                    <w:spacing w:after="80"/>
                    <w:rPr>
                      <w:rFonts w:ascii="Arial" w:hAnsi="Arial" w:cs="Arial"/>
                      <w:b/>
                      <w:bCs/>
                    </w:rPr>
                  </w:pPr>
                </w:p>
              </w:tc>
            </w:tr>
          </w:tbl>
          <w:p w14:paraId="5CCFFFC6" w14:textId="77777777" w:rsidR="00D955F6" w:rsidRPr="008134D1" w:rsidRDefault="00D955F6" w:rsidP="00234774">
            <w:pPr>
              <w:pStyle w:val="Reagents"/>
              <w:rPr>
                <w:rFonts w:ascii="Arial" w:hAnsi="Arial" w:cs="Arial"/>
                <w:b/>
                <w:bCs/>
                <w:color w:val="365F91"/>
              </w:rPr>
            </w:pPr>
          </w:p>
        </w:tc>
      </w:tr>
      <w:tr w:rsidR="00E3253B" w:rsidRPr="008134D1" w14:paraId="5CCFFFD1" w14:textId="77777777" w:rsidTr="007132A9">
        <w:trPr>
          <w:trHeight w:val="1548"/>
          <w:tblHeader/>
        </w:trPr>
        <w:tc>
          <w:tcPr>
            <w:tcW w:w="1800" w:type="dxa"/>
            <w:tcBorders>
              <w:top w:val="nil"/>
              <w:left w:val="nil"/>
              <w:bottom w:val="nil"/>
              <w:right w:val="nil"/>
            </w:tcBorders>
          </w:tcPr>
          <w:p w14:paraId="5CCFFFC8" w14:textId="77777777" w:rsidR="00E3253B" w:rsidRPr="008134D1" w:rsidRDefault="00E3253B">
            <w:pPr>
              <w:rPr>
                <w:rFonts w:cs="Arial"/>
                <w:b/>
                <w:bCs/>
                <w:color w:val="0000FF"/>
                <w:szCs w:val="20"/>
              </w:rPr>
            </w:pPr>
            <w:r w:rsidRPr="008134D1">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1A28FA34" w:rsidR="009475C8" w:rsidRPr="008134D1" w:rsidRDefault="005C29DB" w:rsidP="005C29DB">
            <w:pPr>
              <w:rPr>
                <w:szCs w:val="20"/>
              </w:rPr>
            </w:pPr>
            <w:r w:rsidRPr="008134D1">
              <w:rPr>
                <w:b/>
                <w:bCs/>
                <w:szCs w:val="20"/>
              </w:rPr>
              <w:t xml:space="preserve">CAUTION: </w:t>
            </w:r>
            <w:r w:rsidRPr="008134D1">
              <w:rPr>
                <w:szCs w:val="20"/>
              </w:rPr>
              <w:t>This product requires the handling of human specimens. It is recommended that all human-sourced materials be considered potentially infectious and handled in accordance with the OSHA Standard on Bloodborne Pathogens. Biosafety Level 2 or other appropriate biosafety practices should be used for materials that contain or are suspected of containing infectious agents</w:t>
            </w:r>
          </w:p>
          <w:p w14:paraId="1D6EAD2B" w14:textId="77777777" w:rsidR="009475C8" w:rsidRPr="008134D1" w:rsidRDefault="009475C8">
            <w:pPr>
              <w:rPr>
                <w:b/>
                <w:szCs w:val="20"/>
              </w:rPr>
            </w:pPr>
          </w:p>
          <w:p w14:paraId="31136725" w14:textId="10E5A1CD" w:rsidR="005C29DB" w:rsidRPr="008134D1" w:rsidRDefault="005C29DB">
            <w:pPr>
              <w:rPr>
                <w:i/>
                <w:szCs w:val="20"/>
              </w:rPr>
            </w:pPr>
            <w:r w:rsidRPr="008134D1">
              <w:rPr>
                <w:b/>
                <w:szCs w:val="20"/>
              </w:rPr>
              <w:t>The following warnings and precautions apply to:</w:t>
            </w:r>
            <w:r w:rsidRPr="008134D1">
              <w:rPr>
                <w:szCs w:val="20"/>
              </w:rPr>
              <w:t xml:space="preserve"> </w:t>
            </w:r>
            <w:r w:rsidRPr="008134D1">
              <w:rPr>
                <w:i/>
                <w:szCs w:val="20"/>
              </w:rPr>
              <w:t>Conjugate</w:t>
            </w:r>
          </w:p>
          <w:p w14:paraId="1DBCF73C" w14:textId="77777777" w:rsidR="005C29DB" w:rsidRPr="008134D1" w:rsidRDefault="005C29DB" w:rsidP="005C29DB">
            <w:pPr>
              <w:rPr>
                <w:b/>
                <w:bCs/>
                <w:szCs w:val="20"/>
              </w:rPr>
            </w:pPr>
            <w:r w:rsidRPr="008134D1">
              <w:rPr>
                <w:noProof/>
              </w:rPr>
              <w:drawing>
                <wp:anchor distT="0" distB="0" distL="114300" distR="114300" simplePos="0" relativeHeight="251658240" behindDoc="1" locked="0" layoutInCell="1" allowOverlap="1" wp14:anchorId="3941FA2E" wp14:editId="2EDB7A56">
                  <wp:simplePos x="0" y="0"/>
                  <wp:positionH relativeFrom="column">
                    <wp:posOffset>-3810</wp:posOffset>
                  </wp:positionH>
                  <wp:positionV relativeFrom="paragraph">
                    <wp:posOffset>1905</wp:posOffset>
                  </wp:positionV>
                  <wp:extent cx="466667" cy="447619"/>
                  <wp:effectExtent l="0" t="0" r="0" b="0"/>
                  <wp:wrapTight wrapText="bothSides">
                    <wp:wrapPolygon edited="0">
                      <wp:start x="0" y="0"/>
                      <wp:lineTo x="0" y="20250"/>
                      <wp:lineTo x="20305" y="20250"/>
                      <wp:lineTo x="20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6667" cy="447619"/>
                          </a:xfrm>
                          <a:prstGeom prst="rect">
                            <a:avLst/>
                          </a:prstGeom>
                        </pic:spPr>
                      </pic:pic>
                    </a:graphicData>
                  </a:graphic>
                </wp:anchor>
              </w:drawing>
            </w:r>
          </w:p>
          <w:p w14:paraId="3F08322D" w14:textId="247EF0F2" w:rsidR="005C29DB" w:rsidRPr="008134D1" w:rsidRDefault="005C29DB" w:rsidP="005C29DB">
            <w:pPr>
              <w:rPr>
                <w:szCs w:val="20"/>
              </w:rPr>
            </w:pPr>
            <w:r w:rsidRPr="008134D1">
              <w:rPr>
                <w:b/>
                <w:bCs/>
                <w:szCs w:val="20"/>
              </w:rPr>
              <w:t xml:space="preserve"> WARNING </w:t>
            </w:r>
            <w:r w:rsidRPr="008134D1">
              <w:rPr>
                <w:szCs w:val="20"/>
              </w:rPr>
              <w:t xml:space="preserve">Contains methylisothiazolones. </w:t>
            </w:r>
          </w:p>
          <w:p w14:paraId="547CDE9B" w14:textId="34EE34CE" w:rsidR="005C29DB" w:rsidRPr="008134D1" w:rsidRDefault="005C29DB" w:rsidP="005C29DB">
            <w:pPr>
              <w:rPr>
                <w:szCs w:val="20"/>
              </w:rPr>
            </w:pPr>
            <w:r w:rsidRPr="008134D1">
              <w:rPr>
                <w:szCs w:val="20"/>
              </w:rPr>
              <w:t xml:space="preserve"> May cause an allergic skin reaction.</w:t>
            </w:r>
          </w:p>
          <w:p w14:paraId="316C81DA" w14:textId="77777777" w:rsidR="005C29DB" w:rsidRPr="008134D1" w:rsidRDefault="005C29DB" w:rsidP="005C29DB">
            <w:pPr>
              <w:rPr>
                <w:szCs w:val="20"/>
              </w:rPr>
            </w:pPr>
          </w:p>
          <w:p w14:paraId="581217AC" w14:textId="3DE2D9D5" w:rsidR="005C29DB" w:rsidRPr="008134D1" w:rsidRDefault="005C29DB" w:rsidP="005C29DB">
            <w:pPr>
              <w:rPr>
                <w:i/>
                <w:szCs w:val="20"/>
              </w:rPr>
            </w:pPr>
            <w:r w:rsidRPr="008134D1">
              <w:rPr>
                <w:b/>
                <w:szCs w:val="20"/>
              </w:rPr>
              <w:t xml:space="preserve">The following warnings and precautions apply to: </w:t>
            </w:r>
            <w:r w:rsidRPr="008134D1">
              <w:rPr>
                <w:i/>
                <w:szCs w:val="20"/>
              </w:rPr>
              <w:t>Microparticles</w:t>
            </w:r>
          </w:p>
          <w:p w14:paraId="492301EB" w14:textId="42CB9E0A" w:rsidR="005C29DB" w:rsidRPr="008134D1" w:rsidRDefault="005C29DB" w:rsidP="005C29DB">
            <w:pPr>
              <w:rPr>
                <w:szCs w:val="20"/>
              </w:rPr>
            </w:pPr>
            <w:r w:rsidRPr="008134D1">
              <w:rPr>
                <w:szCs w:val="20"/>
              </w:rPr>
              <w:t xml:space="preserve">     Contains sodium azide.</w:t>
            </w:r>
          </w:p>
          <w:p w14:paraId="2ABE58D2" w14:textId="187AC16C" w:rsidR="005C29DB" w:rsidRPr="008134D1" w:rsidRDefault="005C29DB" w:rsidP="005C29DB">
            <w:pPr>
              <w:rPr>
                <w:szCs w:val="20"/>
              </w:rPr>
            </w:pPr>
            <w:r w:rsidRPr="008134D1">
              <w:rPr>
                <w:szCs w:val="20"/>
              </w:rPr>
              <w:t xml:space="preserve">     Contact with acids liberates very toxic gas.</w:t>
            </w:r>
          </w:p>
          <w:p w14:paraId="633CDF97" w14:textId="77777777" w:rsidR="005C29DB" w:rsidRPr="008134D1" w:rsidRDefault="005C29DB" w:rsidP="005C29DB">
            <w:pPr>
              <w:rPr>
                <w:b/>
                <w:szCs w:val="20"/>
              </w:rPr>
            </w:pPr>
          </w:p>
          <w:p w14:paraId="385B1344" w14:textId="7A2FC954" w:rsidR="005C29DB" w:rsidRPr="008134D1" w:rsidRDefault="005C29DB" w:rsidP="005C29DB">
            <w:pPr>
              <w:rPr>
                <w:i/>
                <w:szCs w:val="20"/>
              </w:rPr>
            </w:pPr>
            <w:r w:rsidRPr="008134D1">
              <w:rPr>
                <w:b/>
                <w:szCs w:val="20"/>
              </w:rPr>
              <w:t>The following warnings and precautions apply to:</w:t>
            </w:r>
            <w:r w:rsidRPr="008134D1">
              <w:rPr>
                <w:szCs w:val="20"/>
              </w:rPr>
              <w:t xml:space="preserve"> </w:t>
            </w:r>
            <w:r w:rsidRPr="008134D1">
              <w:rPr>
                <w:i/>
                <w:szCs w:val="20"/>
              </w:rPr>
              <w:t>Cal A- Cal F</w:t>
            </w:r>
          </w:p>
          <w:p w14:paraId="262AB125" w14:textId="48A42B27" w:rsidR="008577F5" w:rsidRPr="008134D1" w:rsidRDefault="008577F5" w:rsidP="005C29DB">
            <w:pPr>
              <w:rPr>
                <w:i/>
                <w:szCs w:val="20"/>
              </w:rPr>
            </w:pPr>
            <w:r w:rsidRPr="008134D1">
              <w:rPr>
                <w:noProof/>
              </w:rPr>
              <w:drawing>
                <wp:anchor distT="0" distB="0" distL="114300" distR="114300" simplePos="0" relativeHeight="251659264" behindDoc="1" locked="0" layoutInCell="1" allowOverlap="1" wp14:anchorId="580D81FF" wp14:editId="5606E470">
                  <wp:simplePos x="0" y="0"/>
                  <wp:positionH relativeFrom="column">
                    <wp:posOffset>-3810</wp:posOffset>
                  </wp:positionH>
                  <wp:positionV relativeFrom="paragraph">
                    <wp:posOffset>2540</wp:posOffset>
                  </wp:positionV>
                  <wp:extent cx="523810" cy="485714"/>
                  <wp:effectExtent l="0" t="0" r="0" b="0"/>
                  <wp:wrapTight wrapText="bothSides">
                    <wp:wrapPolygon edited="0">
                      <wp:start x="0" y="0"/>
                      <wp:lineTo x="0" y="20356"/>
                      <wp:lineTo x="20447" y="20356"/>
                      <wp:lineTo x="20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3810" cy="485714"/>
                          </a:xfrm>
                          <a:prstGeom prst="rect">
                            <a:avLst/>
                          </a:prstGeom>
                        </pic:spPr>
                      </pic:pic>
                    </a:graphicData>
                  </a:graphic>
                </wp:anchor>
              </w:drawing>
            </w:r>
          </w:p>
          <w:p w14:paraId="35DD5E51" w14:textId="1B03CFD1" w:rsidR="008577F5" w:rsidRPr="008134D1" w:rsidRDefault="008577F5" w:rsidP="008577F5">
            <w:pPr>
              <w:rPr>
                <w:szCs w:val="20"/>
              </w:rPr>
            </w:pPr>
            <w:r w:rsidRPr="008134D1">
              <w:rPr>
                <w:b/>
                <w:bCs/>
                <w:szCs w:val="20"/>
              </w:rPr>
              <w:t xml:space="preserve">CAUTION: </w:t>
            </w:r>
            <w:r w:rsidRPr="008134D1">
              <w:rPr>
                <w:szCs w:val="20"/>
              </w:rPr>
              <w:t>This product contains human-sourced and/ or potentially infectious components. Refer to the CONTENTS section of this package insert. No known test method can offer complete assurance that products derived from human sources or inactivated microorganisms will not transmit infection. Therefore, all human-sourced materials should be considered potentially infectious. It is recommended that this product and human specimens be handled in accordance with the OSHA Standard on Bloodborne Pathogens. Biosafety Level 2 or other appropriate biosafety practices should be used for materials that contain or are suspected of containing infectious agents.</w:t>
            </w:r>
          </w:p>
          <w:p w14:paraId="7C485120" w14:textId="77777777" w:rsidR="008577F5" w:rsidRPr="008134D1" w:rsidRDefault="008577F5" w:rsidP="008577F5">
            <w:pPr>
              <w:rPr>
                <w:szCs w:val="20"/>
              </w:rPr>
            </w:pPr>
          </w:p>
          <w:p w14:paraId="13A4A98C" w14:textId="6E04B6C1" w:rsidR="008577F5" w:rsidRPr="008134D1" w:rsidRDefault="008577F5" w:rsidP="008577F5">
            <w:pPr>
              <w:rPr>
                <w:szCs w:val="20"/>
              </w:rPr>
            </w:pPr>
            <w:r w:rsidRPr="008134D1">
              <w:rPr>
                <w:szCs w:val="20"/>
              </w:rPr>
              <w:t xml:space="preserve">     Contains sodium azide.</w:t>
            </w:r>
          </w:p>
          <w:p w14:paraId="48B06969" w14:textId="45E3FBDB" w:rsidR="008577F5" w:rsidRDefault="008577F5" w:rsidP="008577F5">
            <w:pPr>
              <w:rPr>
                <w:szCs w:val="20"/>
              </w:rPr>
            </w:pPr>
            <w:r w:rsidRPr="008134D1">
              <w:rPr>
                <w:szCs w:val="20"/>
              </w:rPr>
              <w:t xml:space="preserve">     Contact with acids liberates very toxic gas.</w:t>
            </w:r>
          </w:p>
          <w:p w14:paraId="15A86730" w14:textId="77777777" w:rsidR="009E7068" w:rsidRDefault="009E7068" w:rsidP="008577F5">
            <w:pPr>
              <w:rPr>
                <w:szCs w:val="20"/>
              </w:rPr>
            </w:pPr>
          </w:p>
          <w:p w14:paraId="788B62B8" w14:textId="16571539" w:rsidR="009E7068" w:rsidRPr="008134D1" w:rsidRDefault="009E7068" w:rsidP="008577F5">
            <w:pPr>
              <w:rPr>
                <w:szCs w:val="20"/>
              </w:rPr>
            </w:pPr>
            <w:r>
              <w:rPr>
                <w:szCs w:val="20"/>
              </w:rPr>
              <w:t xml:space="preserve">Special disposal not indicated.  </w:t>
            </w:r>
          </w:p>
          <w:p w14:paraId="5641D035" w14:textId="77777777" w:rsidR="008577F5" w:rsidRPr="008134D1" w:rsidRDefault="008577F5" w:rsidP="008577F5">
            <w:pPr>
              <w:rPr>
                <w:szCs w:val="20"/>
              </w:rPr>
            </w:pPr>
          </w:p>
          <w:p w14:paraId="5EFA9057" w14:textId="187619D3" w:rsidR="009475C8" w:rsidRPr="008134D1" w:rsidRDefault="009475C8">
            <w:r w:rsidRPr="008134D1">
              <w:rPr>
                <w:szCs w:val="20"/>
              </w:rPr>
              <w:t xml:space="preserve">Safety data sheets (MSDS/SDS) available on </w:t>
            </w:r>
            <w:hyperlink r:id="rId14" w:history="1">
              <w:r w:rsidRPr="008134D1">
                <w:rPr>
                  <w:rStyle w:val="Hyperlink"/>
                  <w:szCs w:val="20"/>
                </w:rPr>
                <w:t>Children’s Intranet</w:t>
              </w:r>
            </w:hyperlink>
          </w:p>
          <w:p w14:paraId="5CCFFFD0" w14:textId="77777777" w:rsidR="007B2A3E" w:rsidRPr="008134D1" w:rsidRDefault="007B2A3E" w:rsidP="007B2A3E">
            <w:pPr>
              <w:rPr>
                <w:rFonts w:cs="Arial"/>
                <w:szCs w:val="20"/>
              </w:rPr>
            </w:pPr>
          </w:p>
        </w:tc>
      </w:tr>
      <w:tr w:rsidR="00F50200" w:rsidRPr="008134D1" w14:paraId="5CCFFFEC" w14:textId="77777777" w:rsidTr="00A062E1">
        <w:trPr>
          <w:trHeight w:val="4302"/>
          <w:tblHeader/>
        </w:trPr>
        <w:tc>
          <w:tcPr>
            <w:tcW w:w="1800" w:type="dxa"/>
            <w:tcBorders>
              <w:top w:val="nil"/>
              <w:left w:val="nil"/>
              <w:bottom w:val="nil"/>
              <w:right w:val="nil"/>
            </w:tcBorders>
          </w:tcPr>
          <w:p w14:paraId="5CCFFFD2" w14:textId="77777777" w:rsidR="00F50200" w:rsidRPr="008134D1" w:rsidRDefault="00F50200" w:rsidP="003E0A08">
            <w:pPr>
              <w:ind w:left="-108" w:right="-108"/>
              <w:rPr>
                <w:rFonts w:cs="Arial"/>
                <w:b/>
                <w:bCs/>
                <w:color w:val="0000FF"/>
                <w:szCs w:val="20"/>
              </w:rPr>
            </w:pPr>
            <w:r w:rsidRPr="008134D1">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55360D48" w:rsidR="00F50200" w:rsidRPr="008134D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8134D1" w14:paraId="5CCFFFD6" w14:textId="77777777" w:rsidTr="001C1CFA">
              <w:tc>
                <w:tcPr>
                  <w:tcW w:w="2947" w:type="dxa"/>
                </w:tcPr>
                <w:p w14:paraId="5CCFFFD4" w14:textId="77777777" w:rsidR="00F50200" w:rsidRPr="008134D1" w:rsidRDefault="00F50200" w:rsidP="00A32948">
                  <w:pPr>
                    <w:pStyle w:val="CalVerTable"/>
                    <w:ind w:left="0" w:firstLine="0"/>
                    <w:rPr>
                      <w:rFonts w:ascii="Arial" w:hAnsi="Arial" w:cs="Arial"/>
                    </w:rPr>
                  </w:pPr>
                  <w:r w:rsidRPr="008134D1">
                    <w:rPr>
                      <w:rFonts w:ascii="Arial" w:hAnsi="Arial" w:cs="Arial"/>
                    </w:rPr>
                    <w:t>Assay Range:</w:t>
                  </w:r>
                </w:p>
              </w:tc>
              <w:tc>
                <w:tcPr>
                  <w:tcW w:w="6269" w:type="dxa"/>
                </w:tcPr>
                <w:p w14:paraId="5CCFFFD5" w14:textId="7FA0B25A" w:rsidR="00F50200" w:rsidRPr="008134D1" w:rsidRDefault="009E7068" w:rsidP="00A32948">
                  <w:pPr>
                    <w:pStyle w:val="CalVerTable"/>
                    <w:ind w:left="0" w:firstLine="0"/>
                    <w:rPr>
                      <w:rFonts w:ascii="Arial" w:hAnsi="Arial" w:cs="Arial"/>
                    </w:rPr>
                  </w:pPr>
                  <w:r>
                    <w:rPr>
                      <w:rFonts w:ascii="Arial" w:hAnsi="Arial" w:cs="Arial"/>
                    </w:rPr>
                    <w:t>40 – 600 ng/dL</w:t>
                  </w:r>
                </w:p>
              </w:tc>
            </w:tr>
            <w:tr w:rsidR="00F50200" w:rsidRPr="008134D1" w14:paraId="5CCFFFD9" w14:textId="77777777" w:rsidTr="001C1CFA">
              <w:tc>
                <w:tcPr>
                  <w:tcW w:w="2947" w:type="dxa"/>
                </w:tcPr>
                <w:p w14:paraId="5CCFFFD7" w14:textId="77777777" w:rsidR="00F50200" w:rsidRPr="008134D1" w:rsidRDefault="00F50200" w:rsidP="00A32948">
                  <w:pPr>
                    <w:pStyle w:val="CalVerTable"/>
                    <w:ind w:left="0" w:firstLine="0"/>
                    <w:rPr>
                      <w:rFonts w:ascii="Arial" w:hAnsi="Arial" w:cs="Arial"/>
                    </w:rPr>
                  </w:pPr>
                  <w:r w:rsidRPr="008134D1">
                    <w:rPr>
                      <w:rFonts w:ascii="Arial" w:hAnsi="Arial" w:cs="Arial"/>
                    </w:rPr>
                    <w:t>Reference Material:</w:t>
                  </w:r>
                </w:p>
              </w:tc>
              <w:tc>
                <w:tcPr>
                  <w:tcW w:w="6269" w:type="dxa"/>
                </w:tcPr>
                <w:p w14:paraId="5CCFFFD8" w14:textId="11FB3CA7" w:rsidR="00F50200" w:rsidRPr="008134D1" w:rsidRDefault="009E7068" w:rsidP="00440E37">
                  <w:pPr>
                    <w:pStyle w:val="BodyText"/>
                    <w:rPr>
                      <w:rFonts w:cs="Arial"/>
                      <w:szCs w:val="20"/>
                    </w:rPr>
                  </w:pPr>
                  <w:r>
                    <w:rPr>
                      <w:rFonts w:cs="Arial"/>
                      <w:szCs w:val="20"/>
                    </w:rPr>
                    <w:t>Abbott Alinity i Total T3 Calibrator kit</w:t>
                  </w:r>
                </w:p>
              </w:tc>
            </w:tr>
            <w:tr w:rsidR="00F50200" w:rsidRPr="008134D1" w14:paraId="5CCFFFE1" w14:textId="77777777" w:rsidTr="001C1CFA">
              <w:tc>
                <w:tcPr>
                  <w:tcW w:w="2947" w:type="dxa"/>
                </w:tcPr>
                <w:p w14:paraId="5CCFFFDA" w14:textId="77777777" w:rsidR="00F50200" w:rsidRPr="008134D1" w:rsidRDefault="00F50200" w:rsidP="00A32948">
                  <w:pPr>
                    <w:pStyle w:val="CalVerTable"/>
                    <w:ind w:left="0" w:firstLine="0"/>
                    <w:rPr>
                      <w:rFonts w:ascii="Arial" w:hAnsi="Arial" w:cs="Arial"/>
                    </w:rPr>
                  </w:pPr>
                  <w:r w:rsidRPr="008134D1">
                    <w:rPr>
                      <w:rFonts w:ascii="Arial" w:hAnsi="Arial" w:cs="Arial"/>
                    </w:rPr>
                    <w:t>Suggested Calibration Levels:</w:t>
                  </w:r>
                </w:p>
              </w:tc>
              <w:tc>
                <w:tcPr>
                  <w:tcW w:w="6269" w:type="dxa"/>
                </w:tcPr>
                <w:p w14:paraId="6E52931B" w14:textId="77777777" w:rsidR="005B66A7" w:rsidRDefault="009E7068" w:rsidP="001D1786">
                  <w:pPr>
                    <w:pStyle w:val="CalVerTable"/>
                    <w:ind w:left="0" w:firstLine="0"/>
                    <w:rPr>
                      <w:rFonts w:ascii="Arial" w:hAnsi="Arial" w:cs="Arial"/>
                    </w:rPr>
                  </w:pPr>
                  <w:r>
                    <w:rPr>
                      <w:rFonts w:ascii="Arial" w:hAnsi="Arial" w:cs="Arial"/>
                    </w:rPr>
                    <w:t>CAL A: 20</w:t>
                  </w:r>
                </w:p>
                <w:p w14:paraId="35D9C016" w14:textId="77777777" w:rsidR="009E7068" w:rsidRDefault="009E7068" w:rsidP="001D1786">
                  <w:pPr>
                    <w:pStyle w:val="CalVerTable"/>
                    <w:ind w:left="0" w:firstLine="0"/>
                    <w:rPr>
                      <w:rFonts w:ascii="Arial" w:hAnsi="Arial" w:cs="Arial"/>
                    </w:rPr>
                  </w:pPr>
                  <w:r>
                    <w:rPr>
                      <w:rFonts w:ascii="Arial" w:hAnsi="Arial" w:cs="Arial"/>
                    </w:rPr>
                    <w:t>CAL B: 50</w:t>
                  </w:r>
                </w:p>
                <w:p w14:paraId="1DC78A81" w14:textId="77777777" w:rsidR="009E7068" w:rsidRDefault="009E7068" w:rsidP="001D1786">
                  <w:pPr>
                    <w:pStyle w:val="CalVerTable"/>
                    <w:ind w:left="0" w:firstLine="0"/>
                    <w:rPr>
                      <w:rFonts w:ascii="Arial" w:hAnsi="Arial" w:cs="Arial"/>
                    </w:rPr>
                  </w:pPr>
                  <w:r>
                    <w:rPr>
                      <w:rFonts w:ascii="Arial" w:hAnsi="Arial" w:cs="Arial"/>
                    </w:rPr>
                    <w:t>CAL C: 75</w:t>
                  </w:r>
                </w:p>
                <w:p w14:paraId="6311F3E4" w14:textId="77777777" w:rsidR="009E7068" w:rsidRDefault="009E7068" w:rsidP="001D1786">
                  <w:pPr>
                    <w:pStyle w:val="CalVerTable"/>
                    <w:ind w:left="0" w:firstLine="0"/>
                    <w:rPr>
                      <w:rFonts w:ascii="Arial" w:hAnsi="Arial" w:cs="Arial"/>
                    </w:rPr>
                  </w:pPr>
                  <w:r>
                    <w:rPr>
                      <w:rFonts w:ascii="Arial" w:hAnsi="Arial" w:cs="Arial"/>
                    </w:rPr>
                    <w:t>CAL D: 150</w:t>
                  </w:r>
                </w:p>
                <w:p w14:paraId="4FD8482F" w14:textId="77777777" w:rsidR="009E7068" w:rsidRDefault="009E7068" w:rsidP="001D1786">
                  <w:pPr>
                    <w:pStyle w:val="CalVerTable"/>
                    <w:ind w:left="0" w:firstLine="0"/>
                    <w:rPr>
                      <w:rFonts w:ascii="Arial" w:hAnsi="Arial" w:cs="Arial"/>
                    </w:rPr>
                  </w:pPr>
                  <w:r>
                    <w:rPr>
                      <w:rFonts w:ascii="Arial" w:hAnsi="Arial" w:cs="Arial"/>
                    </w:rPr>
                    <w:t>CAL E: 350</w:t>
                  </w:r>
                </w:p>
                <w:p w14:paraId="5CCFFFE0" w14:textId="7CB5AD9B" w:rsidR="009E7068" w:rsidRPr="008134D1" w:rsidRDefault="009E7068" w:rsidP="001D1786">
                  <w:pPr>
                    <w:pStyle w:val="CalVerTable"/>
                    <w:ind w:left="0" w:firstLine="0"/>
                    <w:rPr>
                      <w:rFonts w:ascii="Arial" w:hAnsi="Arial" w:cs="Arial"/>
                    </w:rPr>
                  </w:pPr>
                  <w:r>
                    <w:rPr>
                      <w:rFonts w:ascii="Arial" w:hAnsi="Arial" w:cs="Arial"/>
                    </w:rPr>
                    <w:t>CAL F: 600</w:t>
                  </w:r>
                </w:p>
              </w:tc>
            </w:tr>
            <w:tr w:rsidR="00F50200" w:rsidRPr="008134D1" w14:paraId="5CCFFFE4" w14:textId="77777777" w:rsidTr="001C1CFA">
              <w:tc>
                <w:tcPr>
                  <w:tcW w:w="2947" w:type="dxa"/>
                </w:tcPr>
                <w:p w14:paraId="5CCFFFE2" w14:textId="375616CE" w:rsidR="00F50200" w:rsidRPr="008134D1" w:rsidRDefault="00F50200" w:rsidP="00A32948">
                  <w:pPr>
                    <w:pStyle w:val="CalVerTable"/>
                    <w:ind w:left="0" w:firstLine="0"/>
                    <w:rPr>
                      <w:rFonts w:ascii="Arial" w:hAnsi="Arial" w:cs="Arial"/>
                    </w:rPr>
                  </w:pPr>
                  <w:r w:rsidRPr="008134D1">
                    <w:rPr>
                      <w:rFonts w:ascii="Arial" w:hAnsi="Arial" w:cs="Arial"/>
                    </w:rPr>
                    <w:t>Calibration Scheme:</w:t>
                  </w:r>
                </w:p>
              </w:tc>
              <w:tc>
                <w:tcPr>
                  <w:tcW w:w="6269" w:type="dxa"/>
                </w:tcPr>
                <w:p w14:paraId="5CCFFFE3" w14:textId="7529A702" w:rsidR="00F50200" w:rsidRPr="008134D1" w:rsidRDefault="009E7068" w:rsidP="005B66A7">
                  <w:pPr>
                    <w:pStyle w:val="CalVerTable"/>
                    <w:ind w:left="0" w:firstLine="0"/>
                    <w:rPr>
                      <w:rFonts w:ascii="Arial" w:hAnsi="Arial" w:cs="Arial"/>
                    </w:rPr>
                  </w:pPr>
                  <w:r>
                    <w:rPr>
                      <w:rFonts w:ascii="Arial" w:hAnsi="Arial" w:cs="Arial"/>
                    </w:rPr>
                    <w:t>6</w:t>
                  </w:r>
                  <w:r w:rsidR="009475C8" w:rsidRPr="008134D1">
                    <w:rPr>
                      <w:rFonts w:ascii="Arial" w:hAnsi="Arial" w:cs="Arial"/>
                    </w:rPr>
                    <w:t xml:space="preserve"> Levels</w:t>
                  </w:r>
                </w:p>
              </w:tc>
            </w:tr>
            <w:tr w:rsidR="00F50200" w:rsidRPr="008134D1" w14:paraId="5CCFFFE7" w14:textId="77777777" w:rsidTr="001C1CFA">
              <w:tc>
                <w:tcPr>
                  <w:tcW w:w="2947" w:type="dxa"/>
                </w:tcPr>
                <w:p w14:paraId="5CCFFFE5" w14:textId="77777777" w:rsidR="00F50200" w:rsidRPr="008134D1" w:rsidRDefault="00F50200" w:rsidP="00A32948">
                  <w:pPr>
                    <w:pStyle w:val="CalVerTable"/>
                    <w:ind w:left="0" w:firstLine="0"/>
                    <w:rPr>
                      <w:rFonts w:ascii="Arial" w:hAnsi="Arial" w:cs="Arial"/>
                    </w:rPr>
                  </w:pPr>
                  <w:r w:rsidRPr="008134D1">
                    <w:rPr>
                      <w:rFonts w:ascii="Arial" w:hAnsi="Arial" w:cs="Arial"/>
                    </w:rPr>
                    <w:t>Calibration Frequency:</w:t>
                  </w:r>
                </w:p>
              </w:tc>
              <w:tc>
                <w:tcPr>
                  <w:tcW w:w="6269" w:type="dxa"/>
                </w:tcPr>
                <w:p w14:paraId="5CCFFFE6" w14:textId="3FB6615F" w:rsidR="00F50200" w:rsidRPr="008134D1" w:rsidRDefault="008D1DEB" w:rsidP="004A698D">
                  <w:pPr>
                    <w:pStyle w:val="Pa10"/>
                    <w:rPr>
                      <w:rFonts w:ascii="Arial" w:hAnsi="Arial" w:cs="Arial"/>
                      <w:sz w:val="20"/>
                      <w:szCs w:val="20"/>
                    </w:rPr>
                  </w:pPr>
                  <w:r w:rsidRPr="008D1DEB">
                    <w:rPr>
                      <w:rFonts w:ascii="Arial" w:hAnsi="Arial" w:cs="Arial"/>
                      <w:sz w:val="20"/>
                      <w:szCs w:val="20"/>
                    </w:rPr>
                    <w:t>With every new lot number, after maintenance or service of major instrument parts, as indicated by quality controls, and as directed by field service representatives.</w:t>
                  </w:r>
                </w:p>
              </w:tc>
            </w:tr>
            <w:tr w:rsidR="00F50200" w:rsidRPr="008134D1" w14:paraId="5CCFFFEA" w14:textId="77777777" w:rsidTr="00A166AA">
              <w:trPr>
                <w:trHeight w:val="395"/>
              </w:trPr>
              <w:tc>
                <w:tcPr>
                  <w:tcW w:w="2947" w:type="dxa"/>
                  <w:tcBorders>
                    <w:bottom w:val="single" w:sz="4" w:space="0" w:color="auto"/>
                  </w:tcBorders>
                </w:tcPr>
                <w:p w14:paraId="5CCFFFE8" w14:textId="77777777" w:rsidR="00F50200" w:rsidRPr="008134D1" w:rsidRDefault="00F50200" w:rsidP="00A32948">
                  <w:pPr>
                    <w:pStyle w:val="CalVerTable"/>
                    <w:ind w:left="0" w:firstLine="0"/>
                    <w:rPr>
                      <w:rFonts w:ascii="Arial" w:hAnsi="Arial" w:cs="Arial"/>
                    </w:rPr>
                  </w:pPr>
                  <w:r w:rsidRPr="008134D1">
                    <w:rPr>
                      <w:rFonts w:ascii="Arial" w:hAnsi="Arial" w:cs="Arial"/>
                    </w:rPr>
                    <w:t>AMR</w:t>
                  </w:r>
                </w:p>
              </w:tc>
              <w:tc>
                <w:tcPr>
                  <w:tcW w:w="6269" w:type="dxa"/>
                  <w:tcBorders>
                    <w:bottom w:val="single" w:sz="4" w:space="0" w:color="auto"/>
                  </w:tcBorders>
                </w:tcPr>
                <w:p w14:paraId="5CCFFFE9" w14:textId="070FCC7E" w:rsidR="00F50200" w:rsidRPr="008134D1" w:rsidRDefault="008D1DEB" w:rsidP="008D1DEB">
                  <w:pPr>
                    <w:autoSpaceDE w:val="0"/>
                    <w:autoSpaceDN w:val="0"/>
                    <w:adjustRightInd w:val="0"/>
                    <w:rPr>
                      <w:rFonts w:cs="Arial"/>
                      <w:szCs w:val="20"/>
                    </w:rPr>
                  </w:pPr>
                  <w:r>
                    <w:rPr>
                      <w:rFonts w:cs="Arial"/>
                      <w:szCs w:val="20"/>
                    </w:rPr>
                    <w:t>AMR is verified with every calibration and at least every six months.</w:t>
                  </w:r>
                </w:p>
              </w:tc>
            </w:tr>
          </w:tbl>
          <w:p w14:paraId="5CCFFFEB" w14:textId="77777777" w:rsidR="00F50200" w:rsidRPr="008134D1" w:rsidRDefault="00F50200" w:rsidP="00A32948">
            <w:pPr>
              <w:rPr>
                <w:rFonts w:cs="Arial"/>
                <w:szCs w:val="20"/>
              </w:rPr>
            </w:pPr>
          </w:p>
        </w:tc>
      </w:tr>
      <w:tr w:rsidR="00E3253B" w:rsidRPr="008134D1" w14:paraId="5CD00004" w14:textId="77777777" w:rsidTr="007132A9">
        <w:trPr>
          <w:tblHeader/>
        </w:trPr>
        <w:tc>
          <w:tcPr>
            <w:tcW w:w="1800" w:type="dxa"/>
            <w:tcBorders>
              <w:top w:val="nil"/>
              <w:left w:val="nil"/>
              <w:bottom w:val="nil"/>
              <w:right w:val="nil"/>
            </w:tcBorders>
          </w:tcPr>
          <w:p w14:paraId="5CCFFFED" w14:textId="77777777" w:rsidR="00E3253B" w:rsidRPr="008134D1" w:rsidRDefault="00E3253B">
            <w:pPr>
              <w:ind w:right="-108"/>
              <w:rPr>
                <w:rFonts w:cs="Arial"/>
                <w:b/>
                <w:bCs/>
                <w:color w:val="0000FF"/>
                <w:szCs w:val="20"/>
              </w:rPr>
            </w:pPr>
            <w:r w:rsidRPr="008134D1">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1D28B78F" w14:textId="77777777" w:rsidR="008D1DEB" w:rsidRDefault="008D1DEB" w:rsidP="008D1DEB">
            <w:pPr>
              <w:pStyle w:val="Default"/>
              <w:rPr>
                <w:sz w:val="20"/>
                <w:szCs w:val="20"/>
              </w:rPr>
            </w:pPr>
            <w:r>
              <w:rPr>
                <w:b/>
                <w:sz w:val="20"/>
                <w:szCs w:val="20"/>
              </w:rPr>
              <w:t xml:space="preserve">QC Material: </w:t>
            </w:r>
            <w:r>
              <w:rPr>
                <w:sz w:val="20"/>
                <w:szCs w:val="20"/>
              </w:rPr>
              <w:t xml:space="preserve">BioRad Liquichek Immunoassay Plus Levels 1,2 and 3 </w:t>
            </w:r>
          </w:p>
          <w:p w14:paraId="3E16AA23" w14:textId="77777777" w:rsidR="008D1DEB" w:rsidRDefault="008D1DEB" w:rsidP="008D1DEB">
            <w:pPr>
              <w:pStyle w:val="Default"/>
              <w:rPr>
                <w:sz w:val="20"/>
                <w:szCs w:val="20"/>
              </w:rPr>
            </w:pPr>
          </w:p>
          <w:p w14:paraId="0689DB9B" w14:textId="77777777" w:rsidR="008D1DEB" w:rsidRDefault="008D1DEB" w:rsidP="008D1DEB">
            <w:pPr>
              <w:pStyle w:val="Default"/>
              <w:rPr>
                <w:sz w:val="20"/>
                <w:szCs w:val="20"/>
              </w:rPr>
            </w:pPr>
            <w:r>
              <w:rPr>
                <w:b/>
                <w:bCs/>
                <w:sz w:val="20"/>
                <w:szCs w:val="20"/>
              </w:rPr>
              <w:t xml:space="preserve">Frequency: </w:t>
            </w:r>
            <w:r>
              <w:rPr>
                <w:sz w:val="20"/>
                <w:szCs w:val="20"/>
              </w:rPr>
              <w:t xml:space="preserve">Three levels each day of use. </w:t>
            </w:r>
          </w:p>
          <w:p w14:paraId="71BA8972" w14:textId="77777777" w:rsidR="008D1DEB" w:rsidRDefault="008D1DEB" w:rsidP="008D1DEB">
            <w:pPr>
              <w:pStyle w:val="Default"/>
              <w:rPr>
                <w:sz w:val="20"/>
                <w:szCs w:val="20"/>
              </w:rPr>
            </w:pPr>
          </w:p>
          <w:p w14:paraId="1C37C6D6" w14:textId="77777777" w:rsidR="008D1DEB" w:rsidRDefault="008D1DEB" w:rsidP="008D1DEB">
            <w:pPr>
              <w:pStyle w:val="Default"/>
              <w:rPr>
                <w:sz w:val="20"/>
                <w:szCs w:val="20"/>
              </w:rPr>
            </w:pPr>
            <w:r>
              <w:rPr>
                <w:b/>
                <w:bCs/>
                <w:sz w:val="20"/>
                <w:szCs w:val="20"/>
              </w:rPr>
              <w:t xml:space="preserve">Stability: </w:t>
            </w:r>
            <w:r>
              <w:rPr>
                <w:sz w:val="20"/>
                <w:szCs w:val="20"/>
              </w:rPr>
              <w:t xml:space="preserve">5 Days at 2-8°C (due to the inclusion and use of Estradiol in this control) </w:t>
            </w:r>
          </w:p>
          <w:p w14:paraId="22D3D34A" w14:textId="77777777" w:rsidR="008D1DEB" w:rsidRDefault="008D1DEB" w:rsidP="008D1DEB">
            <w:pPr>
              <w:pStyle w:val="Default"/>
              <w:rPr>
                <w:sz w:val="20"/>
                <w:szCs w:val="20"/>
              </w:rPr>
            </w:pPr>
          </w:p>
          <w:p w14:paraId="335D85AA" w14:textId="77777777" w:rsidR="008D1DEB" w:rsidRDefault="008D1DEB" w:rsidP="008D1DEB">
            <w:pPr>
              <w:pStyle w:val="Default"/>
              <w:rPr>
                <w:sz w:val="20"/>
                <w:szCs w:val="20"/>
              </w:rPr>
            </w:pPr>
            <w:r>
              <w:rPr>
                <w:b/>
                <w:bCs/>
                <w:sz w:val="20"/>
                <w:szCs w:val="20"/>
              </w:rPr>
              <w:t>Preparation</w:t>
            </w:r>
            <w:r>
              <w:rPr>
                <w:sz w:val="20"/>
                <w:szCs w:val="20"/>
              </w:rPr>
              <w:t xml:space="preserve">: </w:t>
            </w:r>
            <w:r w:rsidRPr="00960541">
              <w:rPr>
                <w:sz w:val="20"/>
                <w:szCs w:val="20"/>
              </w:rPr>
              <w:t xml:space="preserve">Let vials thaw for 30 minutes at room temperature and gently swirl to ensure homogeneity. Do not allow to stand at room temperature longer than 20 minutes after completely thawed.   </w:t>
            </w:r>
          </w:p>
          <w:p w14:paraId="25DDA50C" w14:textId="77777777" w:rsidR="008D1DEB" w:rsidRDefault="008D1DEB" w:rsidP="008D1DEB">
            <w:pPr>
              <w:pStyle w:val="Default"/>
              <w:rPr>
                <w:sz w:val="20"/>
                <w:szCs w:val="20"/>
              </w:rPr>
            </w:pPr>
          </w:p>
          <w:p w14:paraId="4311927A" w14:textId="77777777" w:rsidR="008D1DEB" w:rsidRPr="00DC7421" w:rsidRDefault="008D1DEB" w:rsidP="008D1DEB">
            <w:pPr>
              <w:jc w:val="both"/>
              <w:rPr>
                <w:rFonts w:cs="Arial"/>
                <w:szCs w:val="20"/>
              </w:rPr>
            </w:pPr>
            <w:r w:rsidRPr="00DC7421">
              <w:rPr>
                <w:rFonts w:cs="Arial"/>
                <w:b/>
                <w:bCs/>
                <w:szCs w:val="20"/>
              </w:rPr>
              <w:t>Acceptable ranges:</w:t>
            </w:r>
            <w:r w:rsidRPr="00DC7421">
              <w:rPr>
                <w:rFonts w:cs="Arial"/>
                <w:szCs w:val="20"/>
              </w:rPr>
              <w:t xml:space="preserve"> </w:t>
            </w:r>
          </w:p>
          <w:p w14:paraId="142D395A" w14:textId="77777777" w:rsidR="008D1DEB" w:rsidRPr="00DC7421" w:rsidRDefault="008D1DEB" w:rsidP="008D1DEB">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25FDDBCF" w14:textId="77777777" w:rsidR="008D1DEB" w:rsidRPr="00DC7421" w:rsidRDefault="008D1DEB" w:rsidP="008D1DEB">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16E64AD3" w14:textId="77777777" w:rsidR="008D1DEB" w:rsidRPr="00DC7421" w:rsidRDefault="008D1DEB" w:rsidP="008D1DEB">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1BD14417" w14:textId="77777777" w:rsidR="008D1DEB" w:rsidRPr="00DC7421" w:rsidRDefault="008D1DEB" w:rsidP="008D1DEB">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462DEC1D" w14:textId="77777777" w:rsidR="008D1DEB" w:rsidRPr="00DC7421" w:rsidRDefault="008D1DEB" w:rsidP="008D1DEB">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5"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6AC7F27E" w14:textId="77777777" w:rsidR="008D1DEB" w:rsidRPr="00DC7421" w:rsidRDefault="008D1DEB" w:rsidP="008D1DEB">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61BFFBB8" w:rsidR="00DC7421" w:rsidRPr="008134D1" w:rsidRDefault="00DC7421" w:rsidP="00DF2DEC">
            <w:pPr>
              <w:autoSpaceDE w:val="0"/>
              <w:autoSpaceDN w:val="0"/>
              <w:adjustRightInd w:val="0"/>
              <w:ind w:left="360"/>
              <w:jc w:val="both"/>
              <w:rPr>
                <w:rFonts w:cs="Arial"/>
                <w:color w:val="000000"/>
                <w:szCs w:val="20"/>
              </w:rPr>
            </w:pPr>
          </w:p>
        </w:tc>
      </w:tr>
      <w:tr w:rsidR="00E3253B" w:rsidRPr="008134D1" w14:paraId="5CD00012" w14:textId="77777777" w:rsidTr="007132A9">
        <w:trPr>
          <w:tblHeader/>
        </w:trPr>
        <w:tc>
          <w:tcPr>
            <w:tcW w:w="1800" w:type="dxa"/>
            <w:tcBorders>
              <w:top w:val="nil"/>
              <w:left w:val="nil"/>
              <w:bottom w:val="nil"/>
              <w:right w:val="nil"/>
            </w:tcBorders>
          </w:tcPr>
          <w:p w14:paraId="5CD00005" w14:textId="77777777" w:rsidR="00E3253B" w:rsidRPr="008134D1" w:rsidRDefault="00E3253B" w:rsidP="0039587D">
            <w:pPr>
              <w:rPr>
                <w:rFonts w:cs="Arial"/>
                <w:b/>
                <w:bCs/>
                <w:color w:val="0000FF"/>
                <w:szCs w:val="20"/>
              </w:rPr>
            </w:pPr>
            <w:r w:rsidRPr="008134D1">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6C06F83E" w14:textId="77777777" w:rsidR="008D1DEB" w:rsidRDefault="008D1DEB" w:rsidP="008D1DEB">
            <w:pPr>
              <w:autoSpaceDE w:val="0"/>
              <w:autoSpaceDN w:val="0"/>
              <w:adjustRightInd w:val="0"/>
              <w:rPr>
                <w:rFonts w:cs="Arial"/>
                <w:bCs/>
                <w:szCs w:val="20"/>
              </w:rPr>
            </w:pPr>
            <w:r>
              <w:rPr>
                <w:rFonts w:cs="Arial"/>
                <w:bCs/>
                <w:szCs w:val="20"/>
              </w:rPr>
              <w:t>Abbott performed a study</w:t>
            </w:r>
            <w:r w:rsidRPr="008D1DEB">
              <w:rPr>
                <w:rFonts w:cs="Arial"/>
                <w:bCs/>
                <w:szCs w:val="20"/>
              </w:rPr>
              <w:t xml:space="preserve"> on the ARCHITECT i System.</w:t>
            </w:r>
            <w:r>
              <w:rPr>
                <w:rFonts w:cs="Arial"/>
                <w:bCs/>
                <w:szCs w:val="20"/>
              </w:rPr>
              <w:t xml:space="preserve"> </w:t>
            </w:r>
          </w:p>
          <w:p w14:paraId="62996ADD" w14:textId="3D2AC9A2" w:rsidR="008D1DEB" w:rsidRPr="008D1DEB" w:rsidRDefault="008D1DEB" w:rsidP="008D1DEB">
            <w:pPr>
              <w:autoSpaceDE w:val="0"/>
              <w:autoSpaceDN w:val="0"/>
              <w:adjustRightInd w:val="0"/>
              <w:rPr>
                <w:rFonts w:cs="Arial"/>
                <w:bCs/>
                <w:szCs w:val="20"/>
              </w:rPr>
            </w:pPr>
            <w:r w:rsidRPr="008D1DEB">
              <w:rPr>
                <w:rFonts w:cs="Arial"/>
                <w:bCs/>
                <w:szCs w:val="20"/>
              </w:rPr>
              <w:t>Potentially Interfering Endogenous Substances</w:t>
            </w:r>
            <w:r>
              <w:rPr>
                <w:rFonts w:cs="Arial"/>
                <w:bCs/>
                <w:szCs w:val="20"/>
              </w:rPr>
              <w:t>:</w:t>
            </w:r>
          </w:p>
          <w:p w14:paraId="5CD00008" w14:textId="0FB6D996" w:rsidR="002F5F18" w:rsidRPr="008D1DEB" w:rsidRDefault="008D1DEB" w:rsidP="008D1DEB">
            <w:pPr>
              <w:autoSpaceDE w:val="0"/>
              <w:autoSpaceDN w:val="0"/>
              <w:adjustRightInd w:val="0"/>
              <w:rPr>
                <w:rFonts w:cs="Arial"/>
                <w:bCs/>
                <w:szCs w:val="20"/>
              </w:rPr>
            </w:pPr>
            <w:r w:rsidRPr="008D1DEB">
              <w:rPr>
                <w:rFonts w:cs="Arial"/>
                <w:bCs/>
                <w:szCs w:val="20"/>
              </w:rPr>
              <w:t>The testing demonstrated ≤ 10% mean interference at the levels</w:t>
            </w:r>
            <w:r>
              <w:rPr>
                <w:rFonts w:cs="Arial"/>
                <w:bCs/>
                <w:szCs w:val="20"/>
              </w:rPr>
              <w:t xml:space="preserve"> </w:t>
            </w:r>
            <w:r w:rsidRPr="008D1DEB">
              <w:rPr>
                <w:rFonts w:cs="Arial"/>
                <w:bCs/>
                <w:szCs w:val="20"/>
              </w:rPr>
              <w:t>indicated below.</w:t>
            </w:r>
          </w:p>
          <w:p w14:paraId="1D4C3CD1" w14:textId="03612B95" w:rsidR="008577F5" w:rsidRPr="008134D1" w:rsidRDefault="008577F5" w:rsidP="008D1DEB">
            <w:pPr>
              <w:autoSpaceDE w:val="0"/>
              <w:autoSpaceDN w:val="0"/>
              <w:adjustRightInd w:val="0"/>
              <w:ind w:left="720"/>
              <w:jc w:val="both"/>
              <w:rPr>
                <w:rFonts w:cs="Arial"/>
                <w:szCs w:val="20"/>
              </w:rPr>
            </w:pPr>
            <w:r w:rsidRPr="008134D1">
              <w:rPr>
                <w:rFonts w:cs="Arial"/>
                <w:szCs w:val="20"/>
              </w:rPr>
              <w:t>Hemoglobin       ≤ 500 mg/dL</w:t>
            </w:r>
          </w:p>
          <w:p w14:paraId="10C5F1D9" w14:textId="478C7EBE" w:rsidR="008577F5" w:rsidRPr="008134D1" w:rsidRDefault="008577F5" w:rsidP="008D1DEB">
            <w:pPr>
              <w:autoSpaceDE w:val="0"/>
              <w:autoSpaceDN w:val="0"/>
              <w:adjustRightInd w:val="0"/>
              <w:ind w:left="720"/>
              <w:jc w:val="both"/>
              <w:rPr>
                <w:rFonts w:cs="Arial"/>
                <w:szCs w:val="20"/>
              </w:rPr>
            </w:pPr>
            <w:r w:rsidRPr="008134D1">
              <w:rPr>
                <w:rFonts w:cs="Arial"/>
                <w:szCs w:val="20"/>
              </w:rPr>
              <w:t>Bilirubin             ≤ 20 mg/dL</w:t>
            </w:r>
          </w:p>
          <w:p w14:paraId="14DBD618" w14:textId="73E716C3" w:rsidR="008577F5" w:rsidRPr="008134D1" w:rsidRDefault="008577F5" w:rsidP="008D1DEB">
            <w:pPr>
              <w:autoSpaceDE w:val="0"/>
              <w:autoSpaceDN w:val="0"/>
              <w:adjustRightInd w:val="0"/>
              <w:ind w:left="720"/>
              <w:jc w:val="both"/>
              <w:rPr>
                <w:rFonts w:cs="Arial"/>
                <w:szCs w:val="20"/>
              </w:rPr>
            </w:pPr>
            <w:r w:rsidRPr="008134D1">
              <w:rPr>
                <w:rFonts w:cs="Arial"/>
                <w:szCs w:val="20"/>
              </w:rPr>
              <w:t>Triglycerides      ≤ 3000 mg/dL</w:t>
            </w:r>
          </w:p>
          <w:p w14:paraId="74C60AD5" w14:textId="77777777" w:rsidR="000244AC" w:rsidRDefault="008577F5" w:rsidP="008D1DEB">
            <w:pPr>
              <w:autoSpaceDE w:val="0"/>
              <w:autoSpaceDN w:val="0"/>
              <w:adjustRightInd w:val="0"/>
              <w:ind w:left="720"/>
              <w:jc w:val="both"/>
              <w:rPr>
                <w:rFonts w:cs="Arial"/>
                <w:szCs w:val="20"/>
              </w:rPr>
            </w:pPr>
            <w:r w:rsidRPr="008134D1">
              <w:rPr>
                <w:rFonts w:cs="Arial"/>
                <w:szCs w:val="20"/>
              </w:rPr>
              <w:t>Protein               ≤ 12 g/dL</w:t>
            </w:r>
          </w:p>
          <w:p w14:paraId="5CD00011" w14:textId="41D1A69B" w:rsidR="008D1DEB" w:rsidRPr="008134D1" w:rsidRDefault="008D1DEB" w:rsidP="008D1DEB">
            <w:pPr>
              <w:autoSpaceDE w:val="0"/>
              <w:autoSpaceDN w:val="0"/>
              <w:adjustRightInd w:val="0"/>
              <w:ind w:left="720"/>
              <w:jc w:val="both"/>
              <w:rPr>
                <w:rFonts w:cs="Arial"/>
                <w:szCs w:val="20"/>
              </w:rPr>
            </w:pPr>
          </w:p>
        </w:tc>
      </w:tr>
      <w:tr w:rsidR="00E3253B" w:rsidRPr="008134D1" w14:paraId="5CD00019" w14:textId="77777777" w:rsidTr="007132A9">
        <w:trPr>
          <w:tblHeader/>
        </w:trPr>
        <w:tc>
          <w:tcPr>
            <w:tcW w:w="1800" w:type="dxa"/>
            <w:tcBorders>
              <w:top w:val="nil"/>
              <w:left w:val="nil"/>
              <w:bottom w:val="nil"/>
              <w:right w:val="nil"/>
            </w:tcBorders>
          </w:tcPr>
          <w:p w14:paraId="5CD00016" w14:textId="626E511E" w:rsidR="00E3253B" w:rsidRPr="008134D1" w:rsidRDefault="00250A09" w:rsidP="0039587D">
            <w:pPr>
              <w:rPr>
                <w:rFonts w:cs="Arial"/>
                <w:b/>
                <w:bCs/>
                <w:color w:val="0000FF"/>
                <w:szCs w:val="20"/>
              </w:rPr>
            </w:pPr>
            <w:r w:rsidRPr="008134D1">
              <w:rPr>
                <w:rFonts w:cs="Arial"/>
                <w:b/>
                <w:bCs/>
                <w:color w:val="0000FF"/>
                <w:szCs w:val="20"/>
              </w:rPr>
              <w:t>Reference Intervals</w:t>
            </w:r>
          </w:p>
          <w:p w14:paraId="5CD00017" w14:textId="77777777" w:rsidR="0039587D" w:rsidRPr="008134D1"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2E605A98" w14:textId="2FE7A4C0" w:rsidR="00B15507" w:rsidRPr="00444E0C" w:rsidRDefault="00B15507" w:rsidP="00B15507">
            <w:pPr>
              <w:rPr>
                <w:rFonts w:cs="Arial"/>
                <w:b/>
                <w:szCs w:val="20"/>
              </w:rPr>
            </w:pPr>
            <w:r w:rsidRPr="00444E0C">
              <w:rPr>
                <w:rFonts w:cs="Arial"/>
                <w:b/>
                <w:szCs w:val="20"/>
              </w:rPr>
              <w:t>Female:</w:t>
            </w:r>
            <w:r w:rsidR="004E085D">
              <w:rPr>
                <w:rFonts w:cs="Arial"/>
                <w:b/>
                <w:szCs w:val="20"/>
              </w:rPr>
              <w:t xml:space="preserve"> (ng/dL)</w:t>
            </w:r>
          </w:p>
          <w:p w14:paraId="737232F2" w14:textId="12B6F89D" w:rsidR="00B15507" w:rsidRDefault="00B15507" w:rsidP="00B15507">
            <w:pPr>
              <w:rPr>
                <w:rFonts w:cs="Arial"/>
                <w:szCs w:val="20"/>
              </w:rPr>
            </w:pPr>
            <w:r>
              <w:rPr>
                <w:rFonts w:cs="Arial"/>
                <w:szCs w:val="20"/>
              </w:rPr>
              <w:t xml:space="preserve"> 4 Days to &lt; 1 Year:   84.6 - 234</w:t>
            </w:r>
            <w:r w:rsidRPr="00B15507">
              <w:rPr>
                <w:rFonts w:cs="Arial"/>
                <w:szCs w:val="20"/>
              </w:rPr>
              <w:t xml:space="preserve"> </w:t>
            </w:r>
          </w:p>
          <w:p w14:paraId="0BDC1B15" w14:textId="2A9A0FBE" w:rsidR="00B15507" w:rsidRDefault="00B15507" w:rsidP="00B15507">
            <w:pPr>
              <w:rPr>
                <w:rFonts w:cs="Arial"/>
                <w:szCs w:val="20"/>
              </w:rPr>
            </w:pPr>
            <w:r>
              <w:rPr>
                <w:rFonts w:cs="Arial"/>
                <w:szCs w:val="20"/>
              </w:rPr>
              <w:t>1 to &lt; 12 Years:    113 - 189</w:t>
            </w:r>
            <w:r w:rsidRPr="00B15507">
              <w:rPr>
                <w:rFonts w:cs="Arial"/>
                <w:szCs w:val="20"/>
              </w:rPr>
              <w:t xml:space="preserve"> </w:t>
            </w:r>
          </w:p>
          <w:p w14:paraId="4C53590B" w14:textId="77A87788" w:rsidR="00B15507" w:rsidRDefault="00B15507" w:rsidP="00B15507">
            <w:pPr>
              <w:rPr>
                <w:rFonts w:cs="Arial"/>
                <w:szCs w:val="20"/>
              </w:rPr>
            </w:pPr>
            <w:r w:rsidRPr="00B15507">
              <w:rPr>
                <w:rFonts w:cs="Arial"/>
                <w:szCs w:val="20"/>
              </w:rPr>
              <w:t>12 to &lt; 15 Years</w:t>
            </w:r>
            <w:r>
              <w:rPr>
                <w:rFonts w:cs="Arial"/>
                <w:szCs w:val="20"/>
              </w:rPr>
              <w:t>:   97.7 - 176</w:t>
            </w:r>
            <w:r w:rsidRPr="00B15507">
              <w:rPr>
                <w:rFonts w:cs="Arial"/>
                <w:szCs w:val="20"/>
              </w:rPr>
              <w:t xml:space="preserve"> </w:t>
            </w:r>
          </w:p>
          <w:p w14:paraId="5712C6B9" w14:textId="02E28B6E" w:rsidR="00B15507" w:rsidRDefault="00B15507" w:rsidP="00B15507">
            <w:pPr>
              <w:rPr>
                <w:rFonts w:cs="Arial"/>
                <w:szCs w:val="20"/>
              </w:rPr>
            </w:pPr>
            <w:r>
              <w:rPr>
                <w:rFonts w:cs="Arial"/>
                <w:szCs w:val="20"/>
              </w:rPr>
              <w:t>1</w:t>
            </w:r>
            <w:r w:rsidRPr="00B15507">
              <w:rPr>
                <w:rFonts w:cs="Arial"/>
                <w:szCs w:val="20"/>
              </w:rPr>
              <w:t>5 to &lt; 17 Years</w:t>
            </w:r>
            <w:r>
              <w:rPr>
                <w:rFonts w:cs="Arial"/>
                <w:szCs w:val="20"/>
              </w:rPr>
              <w:t>:   92.5 - 142</w:t>
            </w:r>
            <w:r w:rsidRPr="00B15507">
              <w:rPr>
                <w:rFonts w:cs="Arial"/>
                <w:szCs w:val="20"/>
              </w:rPr>
              <w:t xml:space="preserve"> </w:t>
            </w:r>
          </w:p>
          <w:p w14:paraId="089AF8E7" w14:textId="009D8DFB" w:rsidR="00B15507" w:rsidRDefault="00B15507" w:rsidP="00B15507">
            <w:pPr>
              <w:rPr>
                <w:rFonts w:cs="Arial"/>
                <w:szCs w:val="20"/>
              </w:rPr>
            </w:pPr>
            <w:r w:rsidRPr="00B15507">
              <w:rPr>
                <w:rFonts w:cs="Arial"/>
                <w:szCs w:val="20"/>
              </w:rPr>
              <w:t>17 to &lt; 19 Years</w:t>
            </w:r>
            <w:r>
              <w:rPr>
                <w:rFonts w:cs="Arial"/>
                <w:szCs w:val="20"/>
              </w:rPr>
              <w:t>:  89.8 - 168</w:t>
            </w:r>
            <w:r w:rsidRPr="00B15507">
              <w:rPr>
                <w:rFonts w:cs="Arial"/>
                <w:szCs w:val="20"/>
              </w:rPr>
              <w:t xml:space="preserve">    </w:t>
            </w:r>
          </w:p>
          <w:p w14:paraId="7A0C1CF5" w14:textId="77777777" w:rsidR="00444E0C" w:rsidRDefault="00444E0C" w:rsidP="00B15507">
            <w:pPr>
              <w:rPr>
                <w:rFonts w:cs="Arial"/>
                <w:szCs w:val="20"/>
              </w:rPr>
            </w:pPr>
          </w:p>
          <w:p w14:paraId="339E5ECC" w14:textId="64A81910" w:rsidR="00B15507" w:rsidRDefault="00B15507" w:rsidP="00B15507">
            <w:pPr>
              <w:rPr>
                <w:rFonts w:cs="Arial"/>
                <w:szCs w:val="20"/>
              </w:rPr>
            </w:pPr>
            <w:r w:rsidRPr="00444E0C">
              <w:rPr>
                <w:rFonts w:cs="Arial"/>
                <w:b/>
                <w:szCs w:val="20"/>
              </w:rPr>
              <w:t>Male:</w:t>
            </w:r>
            <w:r w:rsidRPr="00B15507">
              <w:rPr>
                <w:rFonts w:cs="Arial"/>
                <w:szCs w:val="20"/>
              </w:rPr>
              <w:t xml:space="preserve"> </w:t>
            </w:r>
            <w:r w:rsidR="004E085D">
              <w:rPr>
                <w:rFonts w:cs="Arial"/>
                <w:szCs w:val="20"/>
              </w:rPr>
              <w:t>(</w:t>
            </w:r>
            <w:r w:rsidR="004E085D" w:rsidRPr="004E085D">
              <w:rPr>
                <w:rFonts w:cs="Arial"/>
                <w:b/>
                <w:szCs w:val="20"/>
              </w:rPr>
              <w:t>ng/dL</w:t>
            </w:r>
            <w:r w:rsidR="004E085D">
              <w:rPr>
                <w:rFonts w:cs="Arial"/>
                <w:szCs w:val="20"/>
              </w:rPr>
              <w:t>)</w:t>
            </w:r>
          </w:p>
          <w:p w14:paraId="60E6BC91" w14:textId="06A16CD0" w:rsidR="00B15507" w:rsidRDefault="00B15507" w:rsidP="00B15507">
            <w:pPr>
              <w:rPr>
                <w:rFonts w:cs="Arial"/>
                <w:szCs w:val="20"/>
              </w:rPr>
            </w:pPr>
            <w:r w:rsidRPr="00B15507">
              <w:rPr>
                <w:rFonts w:cs="Arial"/>
                <w:szCs w:val="20"/>
              </w:rPr>
              <w:t>4 Days to &lt; 1 Year</w:t>
            </w:r>
            <w:r>
              <w:rPr>
                <w:rFonts w:cs="Arial"/>
                <w:szCs w:val="20"/>
              </w:rPr>
              <w:t>: 84. 6</w:t>
            </w:r>
            <w:r w:rsidR="00444E0C">
              <w:rPr>
                <w:rFonts w:cs="Arial"/>
                <w:szCs w:val="20"/>
              </w:rPr>
              <w:t xml:space="preserve"> </w:t>
            </w:r>
            <w:r>
              <w:rPr>
                <w:rFonts w:cs="Arial"/>
                <w:szCs w:val="20"/>
              </w:rPr>
              <w:t>- 234</w:t>
            </w:r>
          </w:p>
          <w:p w14:paraId="2C99410E" w14:textId="5728D3BA" w:rsidR="00B15507" w:rsidRDefault="00B15507" w:rsidP="00B15507">
            <w:pPr>
              <w:rPr>
                <w:rFonts w:cs="Arial"/>
                <w:szCs w:val="20"/>
              </w:rPr>
            </w:pPr>
            <w:r w:rsidRPr="00B15507">
              <w:rPr>
                <w:rFonts w:cs="Arial"/>
                <w:szCs w:val="20"/>
              </w:rPr>
              <w:t>1 to &lt; 12 Years</w:t>
            </w:r>
            <w:r>
              <w:rPr>
                <w:rFonts w:cs="Arial"/>
                <w:szCs w:val="20"/>
              </w:rPr>
              <w:t>: 113 - 189</w:t>
            </w:r>
          </w:p>
          <w:p w14:paraId="6A64316C" w14:textId="08823C29" w:rsidR="00B15507" w:rsidRDefault="00B15507" w:rsidP="00B15507">
            <w:pPr>
              <w:rPr>
                <w:rFonts w:cs="Arial"/>
                <w:szCs w:val="20"/>
              </w:rPr>
            </w:pPr>
            <w:r w:rsidRPr="00B15507">
              <w:rPr>
                <w:rFonts w:cs="Arial"/>
                <w:szCs w:val="20"/>
              </w:rPr>
              <w:t>12 to &lt; 15 Years</w:t>
            </w:r>
            <w:r>
              <w:rPr>
                <w:rFonts w:cs="Arial"/>
                <w:szCs w:val="20"/>
              </w:rPr>
              <w:t>:  97.7 - 176</w:t>
            </w:r>
            <w:r w:rsidRPr="00B15507">
              <w:rPr>
                <w:rFonts w:cs="Arial"/>
                <w:szCs w:val="20"/>
              </w:rPr>
              <w:t xml:space="preserve"> </w:t>
            </w:r>
          </w:p>
          <w:p w14:paraId="3B3F037B" w14:textId="540F7383" w:rsidR="00B15507" w:rsidRDefault="00B15507" w:rsidP="00B15507">
            <w:pPr>
              <w:rPr>
                <w:rFonts w:cs="Arial"/>
                <w:szCs w:val="20"/>
              </w:rPr>
            </w:pPr>
            <w:r w:rsidRPr="00B15507">
              <w:rPr>
                <w:rFonts w:cs="Arial"/>
                <w:szCs w:val="20"/>
              </w:rPr>
              <w:t>15 to &lt; 17 Years</w:t>
            </w:r>
            <w:r>
              <w:rPr>
                <w:rFonts w:cs="Arial"/>
                <w:szCs w:val="20"/>
              </w:rPr>
              <w:t>:  93.8 - 156</w:t>
            </w:r>
          </w:p>
          <w:p w14:paraId="603C9F4E" w14:textId="0CF380CD" w:rsidR="0039587D" w:rsidRDefault="00B15507" w:rsidP="00B15507">
            <w:pPr>
              <w:rPr>
                <w:rFonts w:cs="Arial"/>
                <w:szCs w:val="20"/>
              </w:rPr>
            </w:pPr>
            <w:r w:rsidRPr="00B15507">
              <w:rPr>
                <w:rFonts w:cs="Arial"/>
                <w:szCs w:val="20"/>
              </w:rPr>
              <w:t>17 to &lt; 19 Years</w:t>
            </w:r>
            <w:r>
              <w:rPr>
                <w:rFonts w:cs="Arial"/>
                <w:szCs w:val="20"/>
              </w:rPr>
              <w:t>:   89.8 – 168</w:t>
            </w:r>
          </w:p>
          <w:p w14:paraId="4715D7BD" w14:textId="77777777" w:rsidR="004E085D" w:rsidRDefault="004E085D" w:rsidP="00B15507">
            <w:pPr>
              <w:rPr>
                <w:rFonts w:cs="Arial"/>
                <w:szCs w:val="20"/>
              </w:rPr>
            </w:pPr>
          </w:p>
          <w:p w14:paraId="2C024481" w14:textId="1FD66750" w:rsidR="004E085D" w:rsidRDefault="004E085D" w:rsidP="00B15507">
            <w:pPr>
              <w:rPr>
                <w:rFonts w:cs="Arial"/>
                <w:szCs w:val="20"/>
              </w:rPr>
            </w:pPr>
            <w:r w:rsidRPr="004E085D">
              <w:rPr>
                <w:rFonts w:cs="Arial"/>
                <w:b/>
                <w:szCs w:val="20"/>
              </w:rPr>
              <w:t>Adult</w:t>
            </w:r>
            <w:r>
              <w:rPr>
                <w:rFonts w:cs="Arial"/>
                <w:szCs w:val="20"/>
              </w:rPr>
              <w:t>: 35 to 193 ng/dL</w:t>
            </w:r>
          </w:p>
          <w:p w14:paraId="5CD00018" w14:textId="7F67AE48" w:rsidR="00B15507" w:rsidRPr="008134D1" w:rsidRDefault="00B15507" w:rsidP="00B15507">
            <w:pPr>
              <w:rPr>
                <w:rFonts w:cs="Arial"/>
                <w:szCs w:val="20"/>
              </w:rPr>
            </w:pPr>
          </w:p>
        </w:tc>
      </w:tr>
      <w:tr w:rsidR="00E3253B" w:rsidRPr="008134D1" w14:paraId="5CD0001C" w14:textId="77777777" w:rsidTr="007132A9">
        <w:trPr>
          <w:trHeight w:val="558"/>
          <w:tblHeader/>
        </w:trPr>
        <w:tc>
          <w:tcPr>
            <w:tcW w:w="1800" w:type="dxa"/>
            <w:tcBorders>
              <w:top w:val="nil"/>
              <w:left w:val="nil"/>
              <w:bottom w:val="nil"/>
              <w:right w:val="nil"/>
            </w:tcBorders>
          </w:tcPr>
          <w:p w14:paraId="5CD0001A" w14:textId="77777777" w:rsidR="00E3253B" w:rsidRPr="008134D1" w:rsidRDefault="00E3253B" w:rsidP="0039587D">
            <w:pPr>
              <w:rPr>
                <w:rFonts w:cs="Arial"/>
                <w:b/>
                <w:bCs/>
                <w:color w:val="0000FF"/>
                <w:szCs w:val="20"/>
              </w:rPr>
            </w:pPr>
            <w:r w:rsidRPr="008134D1">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4795FDF6" w:rsidR="00E3253B" w:rsidRPr="008134D1" w:rsidRDefault="00B15507" w:rsidP="001C641E">
            <w:pPr>
              <w:pStyle w:val="Header"/>
              <w:tabs>
                <w:tab w:val="clear" w:pos="4320"/>
                <w:tab w:val="clear" w:pos="8640"/>
              </w:tabs>
              <w:rPr>
                <w:rFonts w:cs="Arial"/>
                <w:szCs w:val="20"/>
              </w:rPr>
            </w:pPr>
            <w:r>
              <w:rPr>
                <w:rFonts w:cs="Arial"/>
                <w:szCs w:val="20"/>
              </w:rPr>
              <w:t>None specified</w:t>
            </w:r>
          </w:p>
        </w:tc>
      </w:tr>
      <w:tr w:rsidR="00E3253B" w:rsidRPr="008134D1" w14:paraId="5CD00022" w14:textId="77777777" w:rsidTr="007132A9">
        <w:trPr>
          <w:tblHeader/>
        </w:trPr>
        <w:tc>
          <w:tcPr>
            <w:tcW w:w="1800" w:type="dxa"/>
            <w:tcBorders>
              <w:top w:val="nil"/>
              <w:left w:val="nil"/>
              <w:bottom w:val="nil"/>
              <w:right w:val="nil"/>
            </w:tcBorders>
          </w:tcPr>
          <w:p w14:paraId="5CD0001D" w14:textId="77777777" w:rsidR="00E3253B" w:rsidRPr="008134D1" w:rsidRDefault="00E3253B" w:rsidP="0039587D">
            <w:pPr>
              <w:rPr>
                <w:rFonts w:cs="Arial"/>
                <w:b/>
                <w:bCs/>
                <w:color w:val="0000FF"/>
                <w:szCs w:val="20"/>
              </w:rPr>
            </w:pPr>
            <w:r w:rsidRPr="008134D1">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69B04786" w14:textId="58DA4B28" w:rsidR="008577F5" w:rsidRPr="008134D1" w:rsidRDefault="008D1DEB" w:rsidP="008577F5">
            <w:pPr>
              <w:autoSpaceDE w:val="0"/>
              <w:autoSpaceDN w:val="0"/>
              <w:adjustRightInd w:val="0"/>
              <w:rPr>
                <w:rFonts w:cs="Arial"/>
                <w:bCs/>
                <w:szCs w:val="20"/>
              </w:rPr>
            </w:pPr>
            <w:r>
              <w:rPr>
                <w:rFonts w:cs="Arial"/>
                <w:bCs/>
                <w:szCs w:val="20"/>
              </w:rPr>
              <w:t>For diagnostic purposes, r</w:t>
            </w:r>
            <w:r w:rsidR="008577F5" w:rsidRPr="008134D1">
              <w:rPr>
                <w:rFonts w:cs="Arial"/>
                <w:bCs/>
                <w:szCs w:val="20"/>
              </w:rPr>
              <w:t>esults should be used in conjunction with other data; e.g., symptoms, results of other thyroid tests, clinical impressions, etc.</w:t>
            </w:r>
          </w:p>
          <w:p w14:paraId="66F6F2CA" w14:textId="77777777" w:rsidR="008577F5" w:rsidRPr="008134D1" w:rsidRDefault="008577F5" w:rsidP="008577F5">
            <w:pPr>
              <w:autoSpaceDE w:val="0"/>
              <w:autoSpaceDN w:val="0"/>
              <w:adjustRightInd w:val="0"/>
              <w:rPr>
                <w:rFonts w:cs="Arial"/>
                <w:bCs/>
                <w:szCs w:val="20"/>
              </w:rPr>
            </w:pPr>
          </w:p>
          <w:p w14:paraId="6C9A882F" w14:textId="5F682E18" w:rsidR="00DC7421" w:rsidRDefault="008577F5" w:rsidP="008577F5">
            <w:pPr>
              <w:autoSpaceDE w:val="0"/>
              <w:autoSpaceDN w:val="0"/>
              <w:adjustRightInd w:val="0"/>
              <w:rPr>
                <w:rFonts w:cs="Arial"/>
                <w:bCs/>
                <w:szCs w:val="20"/>
              </w:rPr>
            </w:pPr>
            <w:r w:rsidRPr="008134D1">
              <w:rPr>
                <w:rFonts w:cs="Arial"/>
                <w:bCs/>
                <w:szCs w:val="20"/>
              </w:rPr>
              <w:t xml:space="preserve">If the </w:t>
            </w:r>
            <w:r w:rsidR="008D1DEB">
              <w:rPr>
                <w:rFonts w:cs="Arial"/>
                <w:bCs/>
                <w:szCs w:val="20"/>
              </w:rPr>
              <w:t>Total T3</w:t>
            </w:r>
            <w:r w:rsidRPr="008134D1">
              <w:rPr>
                <w:rFonts w:cs="Arial"/>
                <w:bCs/>
                <w:szCs w:val="20"/>
              </w:rPr>
              <w:t xml:space="preserve"> results are inconsistent with clinical evidence, additional testing is suggested to confirm the result.</w:t>
            </w:r>
            <w:r w:rsidR="008D1DEB">
              <w:rPr>
                <w:rFonts w:cs="Arial"/>
                <w:bCs/>
                <w:szCs w:val="20"/>
              </w:rPr>
              <w:t xml:space="preserve">  It is recommended th</w:t>
            </w:r>
            <w:r w:rsidR="00444E0C">
              <w:rPr>
                <w:rFonts w:cs="Arial"/>
                <w:bCs/>
                <w:szCs w:val="20"/>
              </w:rPr>
              <w:t>at neonates</w:t>
            </w:r>
            <w:r w:rsidR="008D1DEB">
              <w:rPr>
                <w:rFonts w:cs="Arial"/>
                <w:bCs/>
                <w:szCs w:val="20"/>
              </w:rPr>
              <w:t xml:space="preserve"> be tested by another method if results do not coincide with other data; e.g., symptoms, results of other thyroid tests, clinical impressions, etc.</w:t>
            </w:r>
            <w:r w:rsidR="007D171F">
              <w:rPr>
                <w:rFonts w:cs="Arial"/>
                <w:bCs/>
                <w:szCs w:val="20"/>
              </w:rPr>
              <w:t xml:space="preserve">  A separate test is orderable for children under 1 year of age is available for Mayo Medical Laboratories test code T3.  </w:t>
            </w:r>
          </w:p>
          <w:p w14:paraId="5CD00021" w14:textId="5FB1743D" w:rsidR="008D1DEB" w:rsidRPr="008134D1" w:rsidRDefault="008D1DEB" w:rsidP="008577F5">
            <w:pPr>
              <w:autoSpaceDE w:val="0"/>
              <w:autoSpaceDN w:val="0"/>
              <w:adjustRightInd w:val="0"/>
              <w:rPr>
                <w:rFonts w:cs="Arial"/>
                <w:bCs/>
                <w:szCs w:val="20"/>
              </w:rPr>
            </w:pPr>
          </w:p>
        </w:tc>
      </w:tr>
      <w:tr w:rsidR="00F83DB0" w:rsidRPr="008134D1" w14:paraId="0A2A1650" w14:textId="77777777" w:rsidTr="007132A9">
        <w:trPr>
          <w:tblHeader/>
        </w:trPr>
        <w:tc>
          <w:tcPr>
            <w:tcW w:w="1800" w:type="dxa"/>
            <w:tcBorders>
              <w:top w:val="nil"/>
              <w:left w:val="nil"/>
              <w:bottom w:val="nil"/>
              <w:right w:val="nil"/>
            </w:tcBorders>
          </w:tcPr>
          <w:p w14:paraId="3CAD869B" w14:textId="7F67682F" w:rsidR="00F83DB0" w:rsidRPr="008134D1" w:rsidRDefault="00F83DB0" w:rsidP="0039587D">
            <w:pPr>
              <w:rPr>
                <w:rFonts w:cs="Arial"/>
                <w:b/>
                <w:bCs/>
                <w:color w:val="0000FF"/>
                <w:szCs w:val="20"/>
              </w:rPr>
            </w:pPr>
            <w:r w:rsidRPr="008134D1">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8D1DEB" w:rsidRPr="00EC40A2" w14:paraId="262B4C09" w14:textId="77777777" w:rsidTr="004F2BB4">
              <w:tc>
                <w:tcPr>
                  <w:tcW w:w="1867" w:type="dxa"/>
                </w:tcPr>
                <w:p w14:paraId="787335E4" w14:textId="77777777" w:rsidR="008D1DEB" w:rsidRPr="00EC40A2" w:rsidRDefault="008D1DEB" w:rsidP="008D1DEB">
                  <w:pPr>
                    <w:rPr>
                      <w:rFonts w:cs="Arial"/>
                      <w:szCs w:val="20"/>
                    </w:rPr>
                  </w:pPr>
                  <w:r>
                    <w:rPr>
                      <w:rFonts w:cs="Arial"/>
                      <w:szCs w:val="20"/>
                    </w:rPr>
                    <w:t xml:space="preserve">Max </w:t>
                  </w:r>
                  <w:r w:rsidRPr="00EC40A2">
                    <w:rPr>
                      <w:rFonts w:cs="Arial"/>
                      <w:szCs w:val="20"/>
                    </w:rPr>
                    <w:t>Auto Dilution:</w:t>
                  </w:r>
                </w:p>
              </w:tc>
              <w:tc>
                <w:tcPr>
                  <w:tcW w:w="7200" w:type="dxa"/>
                </w:tcPr>
                <w:p w14:paraId="76E7656F" w14:textId="4FC24470" w:rsidR="008D1DEB" w:rsidRPr="00161F0D" w:rsidRDefault="008D1DEB" w:rsidP="008D1DEB">
                  <w:pPr>
                    <w:autoSpaceDE w:val="0"/>
                    <w:autoSpaceDN w:val="0"/>
                    <w:adjustRightInd w:val="0"/>
                    <w:rPr>
                      <w:rFonts w:cs="Arial"/>
                      <w:szCs w:val="20"/>
                    </w:rPr>
                  </w:pPr>
                  <w:r>
                    <w:rPr>
                      <w:rFonts w:cs="Arial"/>
                      <w:szCs w:val="20"/>
                    </w:rPr>
                    <w:t>None</w:t>
                  </w:r>
                </w:p>
              </w:tc>
            </w:tr>
            <w:tr w:rsidR="008D1DEB" w:rsidRPr="00EC40A2" w14:paraId="3F036ADA" w14:textId="77777777" w:rsidTr="004F2BB4">
              <w:trPr>
                <w:trHeight w:val="485"/>
              </w:trPr>
              <w:tc>
                <w:tcPr>
                  <w:tcW w:w="1867" w:type="dxa"/>
                </w:tcPr>
                <w:p w14:paraId="6610C0B8" w14:textId="77777777" w:rsidR="008D1DEB" w:rsidRPr="00EC40A2" w:rsidRDefault="008D1DEB" w:rsidP="008D1DEB">
                  <w:pPr>
                    <w:rPr>
                      <w:rFonts w:cs="Arial"/>
                      <w:szCs w:val="20"/>
                    </w:rPr>
                  </w:pPr>
                  <w:r w:rsidRPr="00EC40A2">
                    <w:rPr>
                      <w:rFonts w:cs="Arial"/>
                      <w:szCs w:val="20"/>
                    </w:rPr>
                    <w:t>Maximum Manual Dilution:</w:t>
                  </w:r>
                </w:p>
              </w:tc>
              <w:tc>
                <w:tcPr>
                  <w:tcW w:w="7200" w:type="dxa"/>
                </w:tcPr>
                <w:p w14:paraId="2487E312" w14:textId="77777777" w:rsidR="008D1DEB" w:rsidRDefault="008D1DEB" w:rsidP="008D1DEB">
                  <w:pPr>
                    <w:autoSpaceDE w:val="0"/>
                    <w:autoSpaceDN w:val="0"/>
                    <w:adjustRightInd w:val="0"/>
                    <w:rPr>
                      <w:rFonts w:cs="Arial"/>
                      <w:szCs w:val="20"/>
                    </w:rPr>
                  </w:pPr>
                  <w:r>
                    <w:rPr>
                      <w:rFonts w:cs="Arial"/>
                      <w:szCs w:val="20"/>
                    </w:rPr>
                    <w:t>1:2</w:t>
                  </w:r>
                </w:p>
                <w:p w14:paraId="2BBE4FAD" w14:textId="41D54B34" w:rsidR="008D1DEB" w:rsidRPr="00161F0D" w:rsidRDefault="008D1DEB" w:rsidP="008D1DEB">
                  <w:pPr>
                    <w:autoSpaceDE w:val="0"/>
                    <w:autoSpaceDN w:val="0"/>
                    <w:adjustRightInd w:val="0"/>
                    <w:rPr>
                      <w:rFonts w:cs="Arial"/>
                      <w:szCs w:val="20"/>
                    </w:rPr>
                  </w:pPr>
                  <w:r w:rsidRPr="008D1DEB">
                    <w:rPr>
                      <w:rFonts w:cs="Arial"/>
                      <w:szCs w:val="20"/>
                    </w:rPr>
                    <w:t>Add a minimum of 75 μL of the sample to 75 μL of Alinity i Total T3</w:t>
                  </w:r>
                  <w:r>
                    <w:rPr>
                      <w:rFonts w:cs="Arial"/>
                      <w:szCs w:val="20"/>
                    </w:rPr>
                    <w:t xml:space="preserve"> </w:t>
                  </w:r>
                  <w:r w:rsidRPr="008D1DEB">
                    <w:rPr>
                      <w:rFonts w:cs="Arial"/>
                      <w:szCs w:val="20"/>
                    </w:rPr>
                    <w:t>Manual Diluent.</w:t>
                  </w:r>
                </w:p>
              </w:tc>
            </w:tr>
            <w:tr w:rsidR="008D1DEB" w:rsidRPr="00EC40A2" w14:paraId="475A13E4" w14:textId="77777777" w:rsidTr="004F2BB4">
              <w:tc>
                <w:tcPr>
                  <w:tcW w:w="1867" w:type="dxa"/>
                </w:tcPr>
                <w:p w14:paraId="01270038" w14:textId="77777777" w:rsidR="008D1DEB" w:rsidRPr="00EC40A2" w:rsidRDefault="008D1DEB" w:rsidP="008D1DEB">
                  <w:pPr>
                    <w:rPr>
                      <w:rFonts w:cs="Arial"/>
                      <w:szCs w:val="20"/>
                    </w:rPr>
                  </w:pPr>
                  <w:r w:rsidRPr="00EC40A2">
                    <w:rPr>
                      <w:rFonts w:cs="Arial"/>
                      <w:szCs w:val="20"/>
                    </w:rPr>
                    <w:t>Diluent:</w:t>
                  </w:r>
                </w:p>
              </w:tc>
              <w:tc>
                <w:tcPr>
                  <w:tcW w:w="7200" w:type="dxa"/>
                </w:tcPr>
                <w:p w14:paraId="504021B6" w14:textId="15CF3FC1" w:rsidR="008D1DEB" w:rsidRPr="00161F0D" w:rsidRDefault="008D1DEB" w:rsidP="008D1DEB">
                  <w:pPr>
                    <w:autoSpaceDE w:val="0"/>
                    <w:autoSpaceDN w:val="0"/>
                    <w:adjustRightInd w:val="0"/>
                    <w:rPr>
                      <w:rFonts w:cs="Arial"/>
                      <w:szCs w:val="20"/>
                    </w:rPr>
                  </w:pPr>
                  <w:r>
                    <w:rPr>
                      <w:rFonts w:cs="Arial"/>
                      <w:szCs w:val="20"/>
                    </w:rPr>
                    <w:t>Abbott Alinity i Total T3 Manual Diluent</w:t>
                  </w:r>
                </w:p>
              </w:tc>
            </w:tr>
            <w:tr w:rsidR="008D1DEB" w:rsidRPr="00EC40A2" w14:paraId="3A5DC799" w14:textId="77777777" w:rsidTr="004F2BB4">
              <w:tc>
                <w:tcPr>
                  <w:tcW w:w="1867" w:type="dxa"/>
                </w:tcPr>
                <w:p w14:paraId="65B9EFC9" w14:textId="483496BE" w:rsidR="008D1DEB" w:rsidRPr="00EC40A2" w:rsidRDefault="008D1DEB" w:rsidP="008D1DEB">
                  <w:pPr>
                    <w:rPr>
                      <w:rFonts w:cs="Arial"/>
                      <w:szCs w:val="20"/>
                    </w:rPr>
                  </w:pPr>
                  <w:r>
                    <w:rPr>
                      <w:rFonts w:cs="Arial"/>
                      <w:szCs w:val="20"/>
                    </w:rPr>
                    <w:t xml:space="preserve">Manual </w:t>
                  </w:r>
                  <w:r w:rsidRPr="00EC40A2">
                    <w:rPr>
                      <w:rFonts w:cs="Arial"/>
                      <w:szCs w:val="20"/>
                    </w:rPr>
                    <w:t>Dilution:</w:t>
                  </w:r>
                </w:p>
              </w:tc>
              <w:tc>
                <w:tcPr>
                  <w:tcW w:w="7200" w:type="dxa"/>
                </w:tcPr>
                <w:p w14:paraId="2930E9AF" w14:textId="5C06C3A0" w:rsidR="008D1DEB" w:rsidRPr="00161F0D" w:rsidRDefault="008D1DEB" w:rsidP="008D1DEB">
                  <w:pPr>
                    <w:autoSpaceDE w:val="0"/>
                    <w:autoSpaceDN w:val="0"/>
                    <w:adjustRightInd w:val="0"/>
                    <w:rPr>
                      <w:rFonts w:eastAsia="HelenPro-Regular" w:cs="Arial"/>
                      <w:szCs w:val="20"/>
                    </w:rPr>
                  </w:pPr>
                  <w:r w:rsidRPr="00161F0D">
                    <w:rPr>
                      <w:rFonts w:cs="Arial"/>
                      <w:szCs w:val="20"/>
                    </w:rPr>
                    <w:t xml:space="preserve">Follow Abbott </w:t>
                  </w:r>
                  <w:hyperlink r:id="rId16" w:history="1">
                    <w:r w:rsidRPr="00161F0D">
                      <w:rPr>
                        <w:rStyle w:val="Hyperlink"/>
                        <w:rFonts w:cs="Arial"/>
                        <w:szCs w:val="20"/>
                      </w:rPr>
                      <w:t>Alinity Operator’s Manual</w:t>
                    </w:r>
                  </w:hyperlink>
                  <w:r w:rsidRPr="00161F0D">
                    <w:rPr>
                      <w:rFonts w:cs="Arial"/>
                      <w:szCs w:val="20"/>
                    </w:rPr>
                    <w:t xml:space="preserve"> instru</w:t>
                  </w:r>
                  <w:r w:rsidR="00B15507">
                    <w:rPr>
                      <w:rFonts w:cs="Arial"/>
                      <w:szCs w:val="20"/>
                    </w:rPr>
                    <w:t>ctions for programming manual</w:t>
                  </w:r>
                  <w:r w:rsidRPr="00161F0D">
                    <w:rPr>
                      <w:rFonts w:cs="Arial"/>
                      <w:szCs w:val="20"/>
                    </w:rPr>
                    <w:t xml:space="preserve"> dilutions.  </w:t>
                  </w:r>
                  <w:r w:rsidRPr="00161F0D">
                    <w:rPr>
                      <w:rFonts w:eastAsia="HelenPro-Regular" w:cs="Arial"/>
                      <w:szCs w:val="20"/>
                    </w:rPr>
                    <w:t xml:space="preserve">The system will automatically calculate the concentration of the sample and report the result.  </w:t>
                  </w:r>
                </w:p>
                <w:p w14:paraId="5481951F" w14:textId="77777777" w:rsidR="008D1DEB" w:rsidRPr="00161F0D" w:rsidRDefault="008D1DEB" w:rsidP="008D1DEB">
                  <w:pPr>
                    <w:autoSpaceDE w:val="0"/>
                    <w:autoSpaceDN w:val="0"/>
                    <w:adjustRightInd w:val="0"/>
                    <w:rPr>
                      <w:rFonts w:eastAsia="HelenPro-Regular" w:cs="Arial"/>
                      <w:szCs w:val="20"/>
                    </w:rPr>
                  </w:pPr>
                </w:p>
                <w:p w14:paraId="0A42A919" w14:textId="743E660E" w:rsidR="008D1DEB" w:rsidRPr="00161F0D" w:rsidRDefault="008D1DEB" w:rsidP="008D1DEB">
                  <w:pPr>
                    <w:autoSpaceDE w:val="0"/>
                    <w:autoSpaceDN w:val="0"/>
                    <w:adjustRightInd w:val="0"/>
                    <w:rPr>
                      <w:rFonts w:eastAsia="HelenPro-Regular" w:cs="Arial"/>
                      <w:szCs w:val="20"/>
                    </w:rPr>
                  </w:pPr>
                  <w:r w:rsidRPr="00161F0D">
                    <w:rPr>
                      <w:rFonts w:eastAsia="HelenPro-Regular" w:cs="Arial"/>
                      <w:szCs w:val="20"/>
                    </w:rPr>
                    <w:t xml:space="preserve">If a diluted sample result is less than the lower value of the measuring interval of </w:t>
                  </w:r>
                  <w:r w:rsidR="00B15507">
                    <w:rPr>
                      <w:rFonts w:eastAsia="HelenPro-Regular" w:cs="Arial"/>
                      <w:szCs w:val="20"/>
                    </w:rPr>
                    <w:t>40 ng/d</w:t>
                  </w:r>
                  <w:r>
                    <w:rPr>
                      <w:rFonts w:eastAsia="HelenPro-Regular" w:cs="Arial"/>
                      <w:szCs w:val="20"/>
                    </w:rPr>
                    <w:t>L</w:t>
                  </w:r>
                  <w:r w:rsidRPr="00161F0D">
                    <w:rPr>
                      <w:rFonts w:eastAsia="HelenPro-Regular" w:cs="Arial"/>
                      <w:szCs w:val="20"/>
                    </w:rPr>
                    <w:t>, do not report the result. Rerun and/or investigate for other possible causes of error.</w:t>
                  </w:r>
                </w:p>
              </w:tc>
            </w:tr>
          </w:tbl>
          <w:p w14:paraId="4909A7F0" w14:textId="77777777" w:rsidR="00B73BD5" w:rsidRPr="008134D1" w:rsidRDefault="00B73BD5" w:rsidP="00B73BD5">
            <w:pPr>
              <w:autoSpaceDE w:val="0"/>
              <w:autoSpaceDN w:val="0"/>
              <w:adjustRightInd w:val="0"/>
              <w:rPr>
                <w:rFonts w:cs="Arial"/>
                <w:bCs/>
                <w:szCs w:val="20"/>
              </w:rPr>
            </w:pPr>
          </w:p>
          <w:p w14:paraId="6811B3C2" w14:textId="664BBEF7" w:rsidR="00B73BD5" w:rsidRPr="008134D1" w:rsidRDefault="00B73BD5" w:rsidP="008D1DEB">
            <w:pPr>
              <w:autoSpaceDE w:val="0"/>
              <w:autoSpaceDN w:val="0"/>
              <w:adjustRightInd w:val="0"/>
              <w:rPr>
                <w:rFonts w:cs="Arial"/>
                <w:bCs/>
                <w:szCs w:val="20"/>
              </w:rPr>
            </w:pPr>
          </w:p>
        </w:tc>
      </w:tr>
      <w:tr w:rsidR="00E3253B" w:rsidRPr="008134D1" w14:paraId="5CD0003D" w14:textId="77777777" w:rsidTr="007132A9">
        <w:trPr>
          <w:tblHeader/>
        </w:trPr>
        <w:tc>
          <w:tcPr>
            <w:tcW w:w="1800" w:type="dxa"/>
            <w:tcBorders>
              <w:top w:val="nil"/>
              <w:left w:val="nil"/>
              <w:bottom w:val="nil"/>
              <w:right w:val="nil"/>
            </w:tcBorders>
          </w:tcPr>
          <w:p w14:paraId="643D95AC" w14:textId="77777777" w:rsidR="00EA580E" w:rsidRPr="008134D1" w:rsidRDefault="00EA580E" w:rsidP="0039587D">
            <w:pPr>
              <w:rPr>
                <w:rFonts w:cs="Arial"/>
                <w:b/>
                <w:bCs/>
                <w:color w:val="0000FF"/>
                <w:szCs w:val="20"/>
              </w:rPr>
            </w:pPr>
          </w:p>
          <w:p w14:paraId="29A3D209" w14:textId="77777777" w:rsidR="00EA580E" w:rsidRPr="008134D1" w:rsidRDefault="00EA580E" w:rsidP="0039587D">
            <w:pPr>
              <w:rPr>
                <w:rFonts w:cs="Arial"/>
                <w:b/>
                <w:bCs/>
                <w:color w:val="0000FF"/>
                <w:szCs w:val="20"/>
              </w:rPr>
            </w:pPr>
          </w:p>
          <w:p w14:paraId="5CD00036" w14:textId="77777777" w:rsidR="00E3253B" w:rsidRPr="008134D1" w:rsidRDefault="00E3253B" w:rsidP="0039587D">
            <w:pPr>
              <w:rPr>
                <w:rFonts w:cs="Arial"/>
                <w:b/>
                <w:bCs/>
                <w:color w:val="0000FF"/>
                <w:szCs w:val="20"/>
              </w:rPr>
            </w:pPr>
            <w:r w:rsidRPr="008134D1">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254710BD" w:rsidR="00F84C8E" w:rsidRPr="008134D1" w:rsidRDefault="00F84C8E" w:rsidP="00F84C8E">
            <w:pPr>
              <w:pStyle w:val="Header"/>
              <w:numPr>
                <w:ilvl w:val="0"/>
                <w:numId w:val="40"/>
              </w:numPr>
              <w:tabs>
                <w:tab w:val="clear" w:pos="4320"/>
                <w:tab w:val="clear" w:pos="8640"/>
              </w:tabs>
              <w:rPr>
                <w:rFonts w:cs="Arial"/>
                <w:szCs w:val="20"/>
              </w:rPr>
            </w:pPr>
            <w:r w:rsidRPr="008134D1">
              <w:rPr>
                <w:rFonts w:cs="Arial"/>
                <w:szCs w:val="20"/>
              </w:rPr>
              <w:t xml:space="preserve">Results between </w:t>
            </w:r>
            <w:r w:rsidR="00444E0C">
              <w:rPr>
                <w:rFonts w:cs="Arial"/>
                <w:szCs w:val="20"/>
              </w:rPr>
              <w:t>40</w:t>
            </w:r>
            <w:r w:rsidR="00E47DE5" w:rsidRPr="008134D1">
              <w:rPr>
                <w:rFonts w:cs="Arial"/>
                <w:szCs w:val="20"/>
              </w:rPr>
              <w:t xml:space="preserve"> </w:t>
            </w:r>
            <w:r w:rsidRPr="008134D1">
              <w:rPr>
                <w:rFonts w:cs="Arial"/>
                <w:szCs w:val="20"/>
              </w:rPr>
              <w:t xml:space="preserve">and </w:t>
            </w:r>
            <w:r w:rsidR="00444E0C">
              <w:rPr>
                <w:rFonts w:cs="Arial"/>
                <w:szCs w:val="20"/>
              </w:rPr>
              <w:t>600 ng/dL</w:t>
            </w:r>
            <w:r w:rsidR="00E47DE5" w:rsidRPr="008134D1">
              <w:rPr>
                <w:rFonts w:cs="Arial"/>
                <w:szCs w:val="20"/>
              </w:rPr>
              <w:t xml:space="preserve"> </w:t>
            </w:r>
            <w:r w:rsidRPr="008134D1">
              <w:rPr>
                <w:rFonts w:cs="Arial"/>
                <w:szCs w:val="20"/>
              </w:rPr>
              <w:t>without error messages are released</w:t>
            </w:r>
          </w:p>
          <w:p w14:paraId="512DB6C5" w14:textId="0D465773" w:rsidR="00F84C8E" w:rsidRPr="008134D1" w:rsidRDefault="00F84C8E" w:rsidP="00F84C8E">
            <w:pPr>
              <w:numPr>
                <w:ilvl w:val="0"/>
                <w:numId w:val="40"/>
              </w:numPr>
              <w:rPr>
                <w:rFonts w:cs="Arial"/>
                <w:szCs w:val="20"/>
              </w:rPr>
            </w:pPr>
            <w:r w:rsidRPr="008134D1">
              <w:rPr>
                <w:rFonts w:cs="Arial"/>
                <w:szCs w:val="20"/>
              </w:rPr>
              <w:t xml:space="preserve">Results below </w:t>
            </w:r>
            <w:r w:rsidR="00444E0C">
              <w:rPr>
                <w:rFonts w:cs="Arial"/>
                <w:szCs w:val="20"/>
              </w:rPr>
              <w:t>40</w:t>
            </w:r>
            <w:r w:rsidR="00E47DE5" w:rsidRPr="008134D1">
              <w:rPr>
                <w:rFonts w:cs="Arial"/>
                <w:szCs w:val="20"/>
              </w:rPr>
              <w:t xml:space="preserve"> </w:t>
            </w:r>
            <w:r w:rsidRPr="008134D1">
              <w:rPr>
                <w:rFonts w:cs="Arial"/>
                <w:szCs w:val="20"/>
              </w:rPr>
              <w:t xml:space="preserve">without error messages are reported as &lt; </w:t>
            </w:r>
            <w:r w:rsidR="00444E0C">
              <w:rPr>
                <w:rFonts w:cs="Arial"/>
                <w:szCs w:val="20"/>
              </w:rPr>
              <w:t>40 ng/dL</w:t>
            </w:r>
            <w:r w:rsidRPr="008134D1">
              <w:rPr>
                <w:rFonts w:cs="Arial"/>
                <w:szCs w:val="20"/>
              </w:rPr>
              <w:t>.</w:t>
            </w:r>
          </w:p>
          <w:p w14:paraId="61C98532" w14:textId="43C55EC6" w:rsidR="00F84C8E" w:rsidRPr="008134D1" w:rsidRDefault="00F84C8E" w:rsidP="00F84C8E">
            <w:pPr>
              <w:numPr>
                <w:ilvl w:val="0"/>
                <w:numId w:val="40"/>
              </w:numPr>
              <w:rPr>
                <w:rFonts w:cs="Arial"/>
                <w:szCs w:val="20"/>
              </w:rPr>
            </w:pPr>
            <w:r w:rsidRPr="008134D1">
              <w:rPr>
                <w:rFonts w:cs="Arial"/>
                <w:szCs w:val="20"/>
              </w:rPr>
              <w:t>Results &gt;</w:t>
            </w:r>
            <w:r w:rsidR="00444E0C">
              <w:rPr>
                <w:rFonts w:cs="Arial"/>
                <w:szCs w:val="20"/>
              </w:rPr>
              <w:t xml:space="preserve"> 600</w:t>
            </w:r>
            <w:r w:rsidR="00E47DE5" w:rsidRPr="008134D1">
              <w:rPr>
                <w:rFonts w:cs="Arial"/>
                <w:szCs w:val="20"/>
              </w:rPr>
              <w:t xml:space="preserve"> </w:t>
            </w:r>
            <w:r w:rsidRPr="008134D1">
              <w:rPr>
                <w:rFonts w:cs="Arial"/>
                <w:szCs w:val="20"/>
              </w:rPr>
              <w:t>should be dilu</w:t>
            </w:r>
            <w:r w:rsidR="00444E0C">
              <w:rPr>
                <w:rFonts w:cs="Arial"/>
                <w:szCs w:val="20"/>
              </w:rPr>
              <w:t>ted using the onboard manual 1:2 dilution</w:t>
            </w:r>
            <w:r w:rsidRPr="008134D1">
              <w:rPr>
                <w:rFonts w:cs="Arial"/>
                <w:szCs w:val="20"/>
              </w:rPr>
              <w:t>.  Release results without error messages following this dilution.</w:t>
            </w:r>
          </w:p>
          <w:p w14:paraId="1516BBCC" w14:textId="330AB00C" w:rsidR="00EA580E" w:rsidRPr="008134D1" w:rsidRDefault="00F84C8E" w:rsidP="00F84C8E">
            <w:pPr>
              <w:numPr>
                <w:ilvl w:val="0"/>
                <w:numId w:val="40"/>
              </w:numPr>
              <w:rPr>
                <w:rFonts w:cs="Arial"/>
                <w:szCs w:val="20"/>
              </w:rPr>
            </w:pPr>
            <w:r w:rsidRPr="008134D1">
              <w:rPr>
                <w:rFonts w:cs="Arial"/>
                <w:szCs w:val="20"/>
              </w:rPr>
              <w:t xml:space="preserve">Results &gt; </w:t>
            </w:r>
            <w:r w:rsidR="001B47D2">
              <w:rPr>
                <w:rFonts w:cs="Arial"/>
                <w:szCs w:val="20"/>
              </w:rPr>
              <w:t>1200</w:t>
            </w:r>
            <w:r w:rsidR="00E47DE5" w:rsidRPr="008134D1">
              <w:rPr>
                <w:rFonts w:cs="Arial"/>
                <w:szCs w:val="20"/>
              </w:rPr>
              <w:t xml:space="preserve"> </w:t>
            </w:r>
            <w:r w:rsidRPr="008134D1">
              <w:rPr>
                <w:rFonts w:cs="Arial"/>
                <w:szCs w:val="20"/>
              </w:rPr>
              <w:t xml:space="preserve">following automated dilution are reported as &gt; </w:t>
            </w:r>
            <w:r w:rsidR="001B47D2">
              <w:rPr>
                <w:rFonts w:cs="Arial"/>
                <w:szCs w:val="20"/>
              </w:rPr>
              <w:t>1200 ng/dL</w:t>
            </w:r>
            <w:r w:rsidRPr="008134D1">
              <w:rPr>
                <w:rFonts w:cs="Arial"/>
                <w:szCs w:val="20"/>
              </w:rPr>
              <w:t>.</w:t>
            </w:r>
          </w:p>
          <w:p w14:paraId="5CD0003C" w14:textId="77777777" w:rsidR="00F83DB0" w:rsidRPr="008134D1" w:rsidRDefault="00F83DB0" w:rsidP="00444E0C">
            <w:pPr>
              <w:ind w:left="360"/>
              <w:rPr>
                <w:rFonts w:cs="Arial"/>
                <w:szCs w:val="20"/>
              </w:rPr>
            </w:pPr>
          </w:p>
        </w:tc>
      </w:tr>
      <w:tr w:rsidR="00E3253B" w:rsidRPr="008134D1" w14:paraId="5CD00040" w14:textId="77777777" w:rsidTr="007132A9">
        <w:trPr>
          <w:trHeight w:val="738"/>
          <w:tblHeader/>
        </w:trPr>
        <w:tc>
          <w:tcPr>
            <w:tcW w:w="1800" w:type="dxa"/>
            <w:tcBorders>
              <w:top w:val="nil"/>
              <w:left w:val="nil"/>
              <w:bottom w:val="nil"/>
              <w:right w:val="nil"/>
            </w:tcBorders>
          </w:tcPr>
          <w:p w14:paraId="5CD0003E" w14:textId="242F4812" w:rsidR="00E3253B" w:rsidRPr="008134D1" w:rsidRDefault="00E3253B" w:rsidP="0039587D">
            <w:pPr>
              <w:rPr>
                <w:rFonts w:cs="Arial"/>
                <w:b/>
                <w:bCs/>
                <w:color w:val="0000FF"/>
                <w:szCs w:val="20"/>
              </w:rPr>
            </w:pPr>
            <w:r w:rsidRPr="008134D1">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610ECED7" w:rsidR="00E3253B" w:rsidRPr="008134D1" w:rsidRDefault="00E3253B">
            <w:pPr>
              <w:pStyle w:val="Header"/>
              <w:tabs>
                <w:tab w:val="clear" w:pos="4320"/>
                <w:tab w:val="clear" w:pos="8640"/>
              </w:tabs>
              <w:rPr>
                <w:rFonts w:cs="Arial"/>
                <w:szCs w:val="20"/>
              </w:rPr>
            </w:pPr>
            <w:r w:rsidRPr="008134D1">
              <w:rPr>
                <w:rFonts w:cs="Arial"/>
                <w:szCs w:val="20"/>
              </w:rPr>
              <w:t>Promptly stopper tested specimen and stor</w:t>
            </w:r>
            <w:r w:rsidR="00DC24D6" w:rsidRPr="008134D1">
              <w:rPr>
                <w:rFonts w:cs="Arial"/>
                <w:szCs w:val="20"/>
              </w:rPr>
              <w:t>e upright in a specimen rack</w:t>
            </w:r>
            <w:r w:rsidRPr="008134D1">
              <w:rPr>
                <w:rFonts w:cs="Arial"/>
                <w:szCs w:val="20"/>
              </w:rPr>
              <w:t>.</w:t>
            </w:r>
            <w:r w:rsidR="00250A09" w:rsidRPr="008134D1">
              <w:rPr>
                <w:rFonts w:cs="Arial"/>
                <w:szCs w:val="20"/>
              </w:rPr>
              <w:t xml:space="preserve"> </w:t>
            </w:r>
            <w:r w:rsidRPr="008134D1">
              <w:rPr>
                <w:rFonts w:cs="Arial"/>
                <w:szCs w:val="20"/>
              </w:rPr>
              <w:t xml:space="preserve"> Every 8 hours </w:t>
            </w:r>
            <w:r w:rsidR="00D271B1" w:rsidRPr="008134D1">
              <w:rPr>
                <w:rFonts w:cs="Arial"/>
                <w:szCs w:val="20"/>
              </w:rPr>
              <w:t>remove specimens to refrigerator</w:t>
            </w:r>
            <w:r w:rsidRPr="008134D1">
              <w:rPr>
                <w:rFonts w:cs="Arial"/>
                <w:szCs w:val="20"/>
              </w:rPr>
              <w:t>/freezer storage.</w:t>
            </w:r>
            <w:r w:rsidR="00250A09" w:rsidRPr="008134D1">
              <w:rPr>
                <w:rFonts w:cs="Arial"/>
                <w:szCs w:val="20"/>
              </w:rPr>
              <w:t xml:space="preserve"> </w:t>
            </w:r>
            <w:r w:rsidR="001B47D2">
              <w:rPr>
                <w:rFonts w:cs="Arial"/>
                <w:szCs w:val="20"/>
              </w:rPr>
              <w:t xml:space="preserve"> Samples are retained 14</w:t>
            </w:r>
            <w:r w:rsidRPr="008134D1">
              <w:rPr>
                <w:rFonts w:cs="Arial"/>
                <w:szCs w:val="20"/>
              </w:rPr>
              <w:t xml:space="preserve"> d</w:t>
            </w:r>
            <w:r w:rsidR="00DC7421" w:rsidRPr="008134D1">
              <w:rPr>
                <w:rFonts w:cs="Arial"/>
                <w:szCs w:val="20"/>
              </w:rPr>
              <w:t>ays in specimen storage freezer.</w:t>
            </w:r>
          </w:p>
        </w:tc>
      </w:tr>
      <w:tr w:rsidR="00E3253B" w:rsidRPr="008134D1" w14:paraId="5CD00047" w14:textId="77777777" w:rsidTr="007132A9">
        <w:trPr>
          <w:tblHeader/>
        </w:trPr>
        <w:tc>
          <w:tcPr>
            <w:tcW w:w="1800" w:type="dxa"/>
            <w:tcBorders>
              <w:top w:val="nil"/>
              <w:left w:val="nil"/>
              <w:bottom w:val="nil"/>
              <w:right w:val="nil"/>
            </w:tcBorders>
          </w:tcPr>
          <w:p w14:paraId="5CD00041" w14:textId="77777777" w:rsidR="00E3253B" w:rsidRPr="008134D1" w:rsidRDefault="00E3253B">
            <w:pPr>
              <w:ind w:left="-108" w:right="-108"/>
              <w:rPr>
                <w:rFonts w:cs="Arial"/>
                <w:b/>
                <w:bCs/>
                <w:color w:val="0000FF"/>
                <w:szCs w:val="20"/>
              </w:rPr>
            </w:pPr>
            <w:r w:rsidRPr="008134D1">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284998DC" w14:textId="4497CDA3" w:rsidR="001B47D2" w:rsidRPr="00960541" w:rsidRDefault="001B47D2" w:rsidP="001B47D2">
            <w:pPr>
              <w:numPr>
                <w:ilvl w:val="0"/>
                <w:numId w:val="33"/>
              </w:numPr>
              <w:rPr>
                <w:rFonts w:cs="Arial"/>
                <w:szCs w:val="20"/>
              </w:rPr>
            </w:pPr>
            <w:r>
              <w:rPr>
                <w:rFonts w:cs="Arial"/>
                <w:szCs w:val="20"/>
              </w:rPr>
              <w:t>Abbott Alinity i Total T3</w:t>
            </w:r>
            <w:r w:rsidRPr="00960541">
              <w:rPr>
                <w:rFonts w:cs="Arial"/>
                <w:szCs w:val="20"/>
              </w:rPr>
              <w:t xml:space="preserve"> Reagent Instructions for Use, Abbott Diagnostics Division, Abbott</w:t>
            </w:r>
            <w:r>
              <w:rPr>
                <w:rFonts w:cs="Arial"/>
                <w:szCs w:val="20"/>
              </w:rPr>
              <w:t xml:space="preserve"> Park, IL USA.  Revised April 2020</w:t>
            </w:r>
          </w:p>
          <w:p w14:paraId="2A79E6D9" w14:textId="1412C5D9" w:rsidR="001B47D2" w:rsidRDefault="001B47D2" w:rsidP="001B47D2">
            <w:pPr>
              <w:numPr>
                <w:ilvl w:val="0"/>
                <w:numId w:val="33"/>
              </w:numPr>
              <w:rPr>
                <w:rFonts w:cs="Arial"/>
                <w:szCs w:val="20"/>
              </w:rPr>
            </w:pPr>
            <w:r>
              <w:rPr>
                <w:rFonts w:cs="Arial"/>
                <w:szCs w:val="20"/>
              </w:rPr>
              <w:t>Abbott Alinity i Total T3</w:t>
            </w:r>
            <w:r w:rsidRPr="00960541">
              <w:rPr>
                <w:rFonts w:cs="Arial"/>
                <w:szCs w:val="20"/>
              </w:rPr>
              <w:t xml:space="preserve"> Calibrator Kit Package Insert, Abbott Diagnostics Division, Abbott Park, IL USA.  Revised </w:t>
            </w:r>
            <w:r>
              <w:rPr>
                <w:rFonts w:cs="Arial"/>
                <w:szCs w:val="20"/>
              </w:rPr>
              <w:t>February</w:t>
            </w:r>
            <w:r w:rsidRPr="00960541">
              <w:rPr>
                <w:rFonts w:cs="Arial"/>
                <w:szCs w:val="20"/>
              </w:rPr>
              <w:t xml:space="preserve"> 2018</w:t>
            </w:r>
          </w:p>
          <w:p w14:paraId="30FEC5EC" w14:textId="62FFAFFC" w:rsidR="001B47D2" w:rsidRPr="001B47D2" w:rsidRDefault="001B47D2" w:rsidP="001B47D2">
            <w:pPr>
              <w:pStyle w:val="ListParagraph"/>
              <w:numPr>
                <w:ilvl w:val="0"/>
                <w:numId w:val="33"/>
              </w:numPr>
              <w:rPr>
                <w:rFonts w:cs="Arial"/>
                <w:szCs w:val="20"/>
              </w:rPr>
            </w:pPr>
            <w:r>
              <w:rPr>
                <w:rFonts w:cs="Arial"/>
                <w:szCs w:val="20"/>
              </w:rPr>
              <w:t xml:space="preserve">Abbott Alinity i Total T3 Manual Diluent </w:t>
            </w:r>
            <w:r w:rsidRPr="001B47D2">
              <w:rPr>
                <w:rFonts w:cs="Arial"/>
                <w:szCs w:val="20"/>
              </w:rPr>
              <w:t>Insert, Abbott Diagnostics Division, Abb</w:t>
            </w:r>
            <w:r>
              <w:rPr>
                <w:rFonts w:cs="Arial"/>
                <w:szCs w:val="20"/>
              </w:rPr>
              <w:t>ott Park, IL USA.  Revised February</w:t>
            </w:r>
            <w:r w:rsidRPr="001B47D2">
              <w:rPr>
                <w:rFonts w:cs="Arial"/>
                <w:szCs w:val="20"/>
              </w:rPr>
              <w:t xml:space="preserve"> 2018</w:t>
            </w:r>
          </w:p>
          <w:p w14:paraId="2199CBC8" w14:textId="77777777" w:rsidR="001B47D2" w:rsidRPr="0092319D" w:rsidRDefault="007D171F" w:rsidP="001B47D2">
            <w:pPr>
              <w:numPr>
                <w:ilvl w:val="0"/>
                <w:numId w:val="33"/>
              </w:numPr>
              <w:rPr>
                <w:rFonts w:cs="Arial"/>
                <w:szCs w:val="20"/>
              </w:rPr>
            </w:pPr>
            <w:hyperlink r:id="rId17" w:anchor="/login;next=search;queryParams=%7B%7D" w:history="1">
              <w:r w:rsidR="001B47D2" w:rsidRPr="0000237D">
                <w:rPr>
                  <w:rStyle w:val="Hyperlink"/>
                  <w:rFonts w:cs="Arial"/>
                  <w:szCs w:val="20"/>
                </w:rPr>
                <w:t>CALIPER Reference Interval Studies</w:t>
              </w:r>
            </w:hyperlink>
            <w:r w:rsidR="001B47D2">
              <w:rPr>
                <w:rFonts w:cs="Arial"/>
                <w:szCs w:val="20"/>
              </w:rPr>
              <w:t>, accessed 10/27/2020.</w:t>
            </w:r>
          </w:p>
          <w:p w14:paraId="242B6CEF" w14:textId="77777777" w:rsidR="001B47D2" w:rsidRPr="0092319D" w:rsidRDefault="001B47D2" w:rsidP="001B47D2">
            <w:pPr>
              <w:pStyle w:val="ListParagraph"/>
              <w:numPr>
                <w:ilvl w:val="0"/>
                <w:numId w:val="33"/>
              </w:numPr>
              <w:rPr>
                <w:rFonts w:cs="Arial"/>
                <w:szCs w:val="20"/>
              </w:rPr>
            </w:pPr>
            <w:r w:rsidRPr="0092319D">
              <w:rPr>
                <w:rFonts w:cs="Arial"/>
                <w:szCs w:val="20"/>
              </w:rPr>
              <w:t>BioRad Liquichek Immunoassay Plus Quality Control Package Insert, BioRad Laboratories, Irvine, CA.  Revised April 2020</w:t>
            </w:r>
          </w:p>
          <w:p w14:paraId="5CD00046" w14:textId="77777777" w:rsidR="00E3253B" w:rsidRPr="008134D1" w:rsidRDefault="00E3253B" w:rsidP="001B47D2">
            <w:pPr>
              <w:ind w:left="360"/>
              <w:rPr>
                <w:rFonts w:cs="Arial"/>
                <w:szCs w:val="20"/>
              </w:rPr>
            </w:pPr>
          </w:p>
        </w:tc>
      </w:tr>
      <w:tr w:rsidR="00F50200" w:rsidRPr="008134D1"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8134D1" w:rsidRDefault="00F50200">
            <w:pPr>
              <w:rPr>
                <w:rFonts w:cs="Arial"/>
                <w:b/>
                <w:bCs/>
                <w:color w:val="3366FF"/>
                <w:szCs w:val="20"/>
              </w:rPr>
            </w:pPr>
            <w:r w:rsidRPr="008134D1">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8134D1" w:rsidRDefault="00F50200">
            <w:pPr>
              <w:rPr>
                <w:rFonts w:cs="Arial"/>
                <w:b/>
                <w:bCs/>
                <w:szCs w:val="20"/>
              </w:rPr>
            </w:pPr>
            <w:r w:rsidRPr="008134D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8134D1" w:rsidRDefault="00F50200">
            <w:pPr>
              <w:rPr>
                <w:rFonts w:cs="Arial"/>
                <w:b/>
                <w:bCs/>
                <w:iCs/>
                <w:szCs w:val="20"/>
              </w:rPr>
            </w:pPr>
            <w:r w:rsidRPr="008134D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8134D1" w:rsidRDefault="00F50200">
            <w:pPr>
              <w:rPr>
                <w:rFonts w:cs="Arial"/>
                <w:b/>
                <w:bCs/>
                <w:iCs/>
                <w:szCs w:val="20"/>
              </w:rPr>
            </w:pPr>
            <w:r w:rsidRPr="008134D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8134D1" w:rsidRDefault="00F50200">
            <w:pPr>
              <w:rPr>
                <w:rFonts w:cs="Arial"/>
                <w:b/>
                <w:bCs/>
                <w:iCs/>
                <w:szCs w:val="20"/>
              </w:rPr>
            </w:pPr>
            <w:r w:rsidRPr="008134D1">
              <w:rPr>
                <w:rFonts w:cs="Arial"/>
                <w:b/>
                <w:bCs/>
                <w:iCs/>
                <w:szCs w:val="20"/>
              </w:rPr>
              <w:t>Summary of Revisions</w:t>
            </w:r>
          </w:p>
        </w:tc>
      </w:tr>
      <w:tr w:rsidR="00F50200" w:rsidRPr="008134D1"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Pr="008134D1"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2BB7443A" w:rsidR="00F50200" w:rsidRPr="008134D1" w:rsidRDefault="001B47D2">
            <w:pPr>
              <w:rPr>
                <w:rFonts w:cs="Arial"/>
                <w:szCs w:val="20"/>
              </w:rPr>
            </w:pPr>
            <w:r>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00E9FDB9" w:rsidR="00F50200" w:rsidRPr="008134D1" w:rsidRDefault="001B47D2" w:rsidP="001B47D2">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1" w14:textId="4033DCEC" w:rsidR="00F50200" w:rsidRPr="008134D1" w:rsidRDefault="001B47D2">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2" w14:textId="3ABD31B3" w:rsidR="00F50200" w:rsidRPr="008134D1" w:rsidRDefault="00824C10" w:rsidP="001B47D2">
            <w:pPr>
              <w:rPr>
                <w:rFonts w:cs="Arial"/>
                <w:iCs/>
                <w:szCs w:val="20"/>
              </w:rPr>
            </w:pPr>
            <w:r w:rsidRPr="008134D1">
              <w:rPr>
                <w:rFonts w:cs="Arial"/>
                <w:iCs/>
                <w:szCs w:val="20"/>
              </w:rPr>
              <w:t xml:space="preserve">New Procedure for Abbott </w:t>
            </w:r>
            <w:r w:rsidR="001B47D2">
              <w:rPr>
                <w:rFonts w:cs="Arial"/>
                <w:iCs/>
                <w:szCs w:val="20"/>
              </w:rPr>
              <w:t xml:space="preserve">Alinity i </w:t>
            </w:r>
            <w:r w:rsidRPr="008134D1">
              <w:rPr>
                <w:rFonts w:cs="Arial"/>
                <w:iCs/>
                <w:szCs w:val="20"/>
              </w:rPr>
              <w:t>analyzer</w:t>
            </w:r>
            <w:r w:rsidR="007D171F">
              <w:rPr>
                <w:rFonts w:cs="Arial"/>
                <w:iCs/>
                <w:szCs w:val="20"/>
              </w:rPr>
              <w:t>, children under 1 year of age have separate test code</w:t>
            </w:r>
            <w:bookmarkStart w:id="0" w:name="_GoBack"/>
            <w:bookmarkEnd w:id="0"/>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Pr="008134D1"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30C12A62" w:rsidR="00F50200" w:rsidRPr="00F84C8E" w:rsidRDefault="00F50200">
            <w:pPr>
              <w:rPr>
                <w:rFonts w:cs="Arial"/>
                <w:iCs/>
                <w:szCs w:val="20"/>
              </w:rPr>
            </w:pPr>
          </w:p>
        </w:tc>
        <w:tc>
          <w:tcPr>
            <w:tcW w:w="2430" w:type="dxa"/>
            <w:tcBorders>
              <w:top w:val="single" w:sz="4" w:space="0" w:color="auto"/>
              <w:left w:val="single" w:sz="4" w:space="0" w:color="auto"/>
              <w:bottom w:val="single" w:sz="4" w:space="0" w:color="auto"/>
              <w:right w:val="single" w:sz="4" w:space="0" w:color="auto"/>
            </w:tcBorders>
          </w:tcPr>
          <w:p w14:paraId="5CD00056" w14:textId="54D006D3" w:rsidR="00F50200" w:rsidRPr="00F84C8E" w:rsidRDefault="00F50200">
            <w:pPr>
              <w:rPr>
                <w:rFonts w:cs="Arial"/>
                <w:iCs/>
                <w:szCs w:val="20"/>
              </w:rPr>
            </w:pPr>
          </w:p>
        </w:tc>
        <w:tc>
          <w:tcPr>
            <w:tcW w:w="1530" w:type="dxa"/>
            <w:tcBorders>
              <w:top w:val="single" w:sz="4" w:space="0" w:color="auto"/>
              <w:left w:val="single" w:sz="4" w:space="0" w:color="auto"/>
              <w:bottom w:val="single" w:sz="4" w:space="0" w:color="auto"/>
              <w:right w:val="single" w:sz="4" w:space="0" w:color="auto"/>
            </w:tcBorders>
          </w:tcPr>
          <w:p w14:paraId="5CD00057" w14:textId="39B44BE3" w:rsidR="00F50200" w:rsidRPr="00F84C8E"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8" w14:textId="4BA2B1CE" w:rsidR="00F50200" w:rsidRPr="00F84C8E" w:rsidRDefault="00F50200">
            <w:pPr>
              <w:rPr>
                <w:rFonts w:cs="Arial"/>
                <w:iCs/>
                <w:szCs w:val="20"/>
              </w:rPr>
            </w:pPr>
          </w:p>
        </w:tc>
      </w:tr>
    </w:tbl>
    <w:p w14:paraId="5CD0005A" w14:textId="77777777" w:rsidR="00E3253B" w:rsidRPr="00BC1DCC" w:rsidRDefault="00E3253B" w:rsidP="007132A9">
      <w:pPr>
        <w:rPr>
          <w:rFonts w:cs="Arial"/>
        </w:rPr>
      </w:pPr>
    </w:p>
    <w:sectPr w:rsidR="00E3253B" w:rsidRPr="00BC1DCC" w:rsidSect="008F2C66">
      <w:headerReference w:type="default" r:id="rId18"/>
      <w:footerReference w:type="defaul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13D1D62C" w:rsidR="00B13C1A" w:rsidRPr="002E718D" w:rsidRDefault="00B13C1A" w:rsidP="002E718D">
    <w:pPr>
      <w:ind w:left="-1260" w:right="-1260"/>
      <w:rPr>
        <w:rFonts w:cs="Arial"/>
        <w:sz w:val="16"/>
      </w:rPr>
    </w:pPr>
    <w:r>
      <w:rPr>
        <w:rFonts w:cs="Arial"/>
        <w:sz w:val="16"/>
      </w:rPr>
      <w:t xml:space="preserve">Laboratory, Children’s </w:t>
    </w:r>
    <w:r w:rsidR="008134D1">
      <w:rPr>
        <w:rFonts w:cs="Arial"/>
        <w:sz w:val="16"/>
      </w:rPr>
      <w:t xml:space="preserve">Minnesota, </w:t>
    </w:r>
    <w:r>
      <w:rPr>
        <w:rFonts w:cs="Arial"/>
        <w:sz w:val="16"/>
      </w:rPr>
      <w:t>Minneapolis,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7D171F">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7D171F">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27058A2A"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8134D1">
      <w:rPr>
        <w:rFonts w:cs="Arial"/>
      </w:rPr>
      <w:t>6.891 Total T3</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7B036F84" w:rsidR="00B13C1A" w:rsidRDefault="00B13C1A">
    <w:pPr>
      <w:ind w:left="-1260" w:right="-1260"/>
      <w:rPr>
        <w:rFonts w:cs="Arial"/>
      </w:rPr>
    </w:pPr>
    <w:r>
      <w:rPr>
        <w:rFonts w:cs="Arial"/>
      </w:rPr>
      <w:t xml:space="preserve">Effective Date: </w:t>
    </w:r>
    <w:r w:rsidR="008134D1">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13435"/>
    <w:rsid w:val="0002281F"/>
    <w:rsid w:val="000244AC"/>
    <w:rsid w:val="00025B50"/>
    <w:rsid w:val="0002771B"/>
    <w:rsid w:val="00064AD2"/>
    <w:rsid w:val="000A3E5A"/>
    <w:rsid w:val="000A6625"/>
    <w:rsid w:val="000E63E3"/>
    <w:rsid w:val="001102B2"/>
    <w:rsid w:val="00115DD6"/>
    <w:rsid w:val="001241E4"/>
    <w:rsid w:val="0017089C"/>
    <w:rsid w:val="001A1584"/>
    <w:rsid w:val="001B47D2"/>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44E0C"/>
    <w:rsid w:val="004735E9"/>
    <w:rsid w:val="00486653"/>
    <w:rsid w:val="004A698D"/>
    <w:rsid w:val="004B5D63"/>
    <w:rsid w:val="004C14CE"/>
    <w:rsid w:val="004C6A64"/>
    <w:rsid w:val="004E085D"/>
    <w:rsid w:val="00504F3B"/>
    <w:rsid w:val="005125A4"/>
    <w:rsid w:val="005571F0"/>
    <w:rsid w:val="005665A7"/>
    <w:rsid w:val="00575F3F"/>
    <w:rsid w:val="005A7373"/>
    <w:rsid w:val="005B66A7"/>
    <w:rsid w:val="005C29DB"/>
    <w:rsid w:val="005C6F36"/>
    <w:rsid w:val="006200C0"/>
    <w:rsid w:val="00646E63"/>
    <w:rsid w:val="00655B61"/>
    <w:rsid w:val="00685D61"/>
    <w:rsid w:val="00693888"/>
    <w:rsid w:val="006A26B2"/>
    <w:rsid w:val="006A2770"/>
    <w:rsid w:val="006A41B1"/>
    <w:rsid w:val="006A5A84"/>
    <w:rsid w:val="006B78CE"/>
    <w:rsid w:val="006C5661"/>
    <w:rsid w:val="006C7814"/>
    <w:rsid w:val="006F3EAE"/>
    <w:rsid w:val="007132A9"/>
    <w:rsid w:val="00747868"/>
    <w:rsid w:val="007B1809"/>
    <w:rsid w:val="007B2A3E"/>
    <w:rsid w:val="007B410A"/>
    <w:rsid w:val="007B6E84"/>
    <w:rsid w:val="007D171F"/>
    <w:rsid w:val="007F5B07"/>
    <w:rsid w:val="008044BA"/>
    <w:rsid w:val="0081197E"/>
    <w:rsid w:val="008134D1"/>
    <w:rsid w:val="0081598A"/>
    <w:rsid w:val="00824C10"/>
    <w:rsid w:val="008577F5"/>
    <w:rsid w:val="008A71A5"/>
    <w:rsid w:val="008A7BCC"/>
    <w:rsid w:val="008A7CDA"/>
    <w:rsid w:val="008B53E5"/>
    <w:rsid w:val="008C3D95"/>
    <w:rsid w:val="008D1DEB"/>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E7068"/>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15507"/>
    <w:rsid w:val="00B2749D"/>
    <w:rsid w:val="00B415C8"/>
    <w:rsid w:val="00B73BD5"/>
    <w:rsid w:val="00BB3F98"/>
    <w:rsid w:val="00BC1DCC"/>
    <w:rsid w:val="00BD0AE4"/>
    <w:rsid w:val="00BD0E0F"/>
    <w:rsid w:val="00BD3CED"/>
    <w:rsid w:val="00C00B65"/>
    <w:rsid w:val="00C13C50"/>
    <w:rsid w:val="00C36A46"/>
    <w:rsid w:val="00CD06C7"/>
    <w:rsid w:val="00CE07E8"/>
    <w:rsid w:val="00CE16FB"/>
    <w:rsid w:val="00CF08A6"/>
    <w:rsid w:val="00D271B1"/>
    <w:rsid w:val="00D302B9"/>
    <w:rsid w:val="00D63C07"/>
    <w:rsid w:val="00D75850"/>
    <w:rsid w:val="00D955F6"/>
    <w:rsid w:val="00DC24D6"/>
    <w:rsid w:val="00DC7091"/>
    <w:rsid w:val="00DC7421"/>
    <w:rsid w:val="00DF2DEC"/>
    <w:rsid w:val="00DF5549"/>
    <w:rsid w:val="00DF6343"/>
    <w:rsid w:val="00E049CF"/>
    <w:rsid w:val="00E246BA"/>
    <w:rsid w:val="00E3253B"/>
    <w:rsid w:val="00E47DE5"/>
    <w:rsid w:val="00E55C7B"/>
    <w:rsid w:val="00E93074"/>
    <w:rsid w:val="00EA2B3F"/>
    <w:rsid w:val="00EA580E"/>
    <w:rsid w:val="00EB4B6C"/>
    <w:rsid w:val="00EE145B"/>
    <w:rsid w:val="00EF1741"/>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liper.research.sickkids.ca/" TargetMode="External"/><Relationship Id="rId2" Type="http://schemas.openxmlformats.org/officeDocument/2006/relationships/customXml" Target="../customXml/item2.xml"/><Relationship Id="rId16" Type="http://schemas.openxmlformats.org/officeDocument/2006/relationships/hyperlink" Target="https://starnet.childrenshc.org/References/labsop/chem/operator/alinity-ci-series-operations-manu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emergency-and-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www.w3.org/XML/1998/namespace"/>
    <ds:schemaRef ds:uri="http://schemas.microsoft.com/office/infopath/2007/PartnerControls"/>
    <ds:schemaRef ds:uri="199f0838-75a6-4f0c-9be1-f2c07140bccc"/>
    <ds:schemaRef ds:uri="c1848e11-9cf6-4ce4-877e-6837d2c2fa23"/>
    <ds:schemaRef ds:uri="http://purl.org/dc/terms/"/>
    <ds:schemaRef ds:uri="http://purl.org/dc/dcmitype/"/>
    <ds:schemaRef ds:uri="http://schemas.openxmlformats.org/package/2006/metadata/core-properties"/>
    <ds:schemaRef ds:uri="http://schemas.microsoft.com/office/2006/metadata/properties"/>
    <ds:schemaRef ds:uri="http://schemas.microsoft.com/sharepoint.v3"/>
    <ds:schemaRef ds:uri="http://schemas.microsoft.com/office/2006/documentManagement/types"/>
    <ds:schemaRef ds:uri="http://schemas.microsoft.com/sharepoint/v3/fields"/>
    <ds:schemaRef ds:uri="http://schemas.microsoft.com/sharepoint/v3"/>
    <ds:schemaRef ds:uri="http://purl.org/dc/elements/1.1/"/>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392396D5-BD90-4F97-A31A-62E0B472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7</Pages>
  <Words>2364</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15766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8</cp:revision>
  <cp:lastPrinted>2020-04-15T15:00:00Z</cp:lastPrinted>
  <dcterms:created xsi:type="dcterms:W3CDTF">2020-11-23T16:16:00Z</dcterms:created>
  <dcterms:modified xsi:type="dcterms:W3CDTF">2020-12-16T16:00:00Z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