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070" w:type="dxa"/>
        <w:tblInd w:w="-1152" w:type="dxa"/>
        <w:tblLayout w:type="fixed"/>
        <w:tblLook w:val="0000" w:firstRow="0" w:lastRow="0" w:firstColumn="0" w:lastColumn="0" w:noHBand="0" w:noVBand="0"/>
      </w:tblPr>
      <w:tblGrid>
        <w:gridCol w:w="2160"/>
        <w:gridCol w:w="8910"/>
      </w:tblGrid>
      <w:tr w:rsidR="008C6EDC" w14:paraId="6FAB8BF5" w14:textId="77777777" w:rsidTr="00D120DB">
        <w:trPr>
          <w:cantSplit/>
          <w:tblHeader/>
        </w:trPr>
        <w:tc>
          <w:tcPr>
            <w:tcW w:w="11070" w:type="dxa"/>
            <w:gridSpan w:val="2"/>
            <w:tcBorders>
              <w:bottom w:val="single" w:sz="18" w:space="0" w:color="A6A6A6" w:themeColor="background1" w:themeShade="A6"/>
            </w:tcBorders>
          </w:tcPr>
          <w:p w14:paraId="6FAB8BF3" w14:textId="77777777" w:rsidR="008C6EDC" w:rsidRDefault="00B0339F">
            <w:pPr>
              <w:pStyle w:val="Header"/>
              <w:tabs>
                <w:tab w:val="clear" w:pos="4320"/>
                <w:tab w:val="clear" w:pos="8640"/>
                <w:tab w:val="left" w:pos="11520"/>
              </w:tabs>
              <w:jc w:val="both"/>
              <w:rPr>
                <w:rFonts w:cs="Arial"/>
                <w:b/>
                <w:bCs/>
                <w:color w:val="0000FF"/>
                <w:sz w:val="36"/>
              </w:rPr>
            </w:pPr>
            <w:r>
              <w:rPr>
                <w:rFonts w:cs="Arial"/>
                <w:b/>
                <w:bCs/>
                <w:color w:val="0000FF"/>
                <w:sz w:val="36"/>
              </w:rPr>
              <w:t>Hepatitis B Surface Anti</w:t>
            </w:r>
            <w:r w:rsidR="00BE7040">
              <w:rPr>
                <w:rFonts w:cs="Arial"/>
                <w:b/>
                <w:bCs/>
                <w:color w:val="0000FF"/>
                <w:sz w:val="36"/>
              </w:rPr>
              <w:t>gen</w:t>
            </w:r>
            <w:r w:rsidR="0045274F">
              <w:rPr>
                <w:rFonts w:cs="Arial"/>
                <w:b/>
                <w:bCs/>
                <w:color w:val="0000FF"/>
                <w:sz w:val="36"/>
              </w:rPr>
              <w:t xml:space="preserve"> Qualitative</w:t>
            </w:r>
            <w:r w:rsidR="00BE7040">
              <w:rPr>
                <w:rFonts w:cs="Arial"/>
                <w:b/>
                <w:bCs/>
                <w:color w:val="0000FF"/>
                <w:sz w:val="36"/>
              </w:rPr>
              <w:t xml:space="preserve"> (HBsAg)</w:t>
            </w:r>
          </w:p>
          <w:p w14:paraId="6FAB8BF4" w14:textId="77777777" w:rsidR="008C6EDC" w:rsidRDefault="008C6EDC">
            <w:pPr>
              <w:pStyle w:val="Header"/>
              <w:tabs>
                <w:tab w:val="clear" w:pos="4320"/>
                <w:tab w:val="clear" w:pos="8640"/>
                <w:tab w:val="left" w:pos="11520"/>
              </w:tabs>
              <w:jc w:val="both"/>
              <w:rPr>
                <w:rFonts w:cs="Arial"/>
                <w:color w:val="0000FF"/>
              </w:rPr>
            </w:pPr>
          </w:p>
        </w:tc>
      </w:tr>
      <w:tr w:rsidR="008C6EDC" w14:paraId="6FAB8BFB" w14:textId="77777777" w:rsidTr="00D120DB">
        <w:trPr>
          <w:tblHeader/>
        </w:trPr>
        <w:tc>
          <w:tcPr>
            <w:tcW w:w="2160" w:type="dxa"/>
            <w:tcBorders>
              <w:top w:val="single" w:sz="18" w:space="0" w:color="A6A6A6" w:themeColor="background1" w:themeShade="A6"/>
              <w:bottom w:val="single" w:sz="18" w:space="0" w:color="A6A6A6" w:themeColor="background1" w:themeShade="A6"/>
            </w:tcBorders>
          </w:tcPr>
          <w:p w14:paraId="6FAB8BF6" w14:textId="77777777" w:rsidR="008C6EDC" w:rsidRDefault="008C6EDC">
            <w:pPr>
              <w:rPr>
                <w:rFonts w:cs="Arial"/>
                <w:b/>
                <w:bCs/>
                <w:color w:val="0000FF"/>
              </w:rPr>
            </w:pPr>
          </w:p>
          <w:p w14:paraId="6FAB8BF7" w14:textId="77777777" w:rsidR="008C6EDC" w:rsidRDefault="008C6EDC">
            <w:pPr>
              <w:rPr>
                <w:rFonts w:cs="Arial"/>
                <w:b/>
                <w:bCs/>
                <w:color w:val="0000FF"/>
              </w:rPr>
            </w:pPr>
            <w:r>
              <w:rPr>
                <w:rFonts w:cs="Arial"/>
                <w:b/>
                <w:bCs/>
                <w:color w:val="0000FF"/>
              </w:rPr>
              <w:t>Purpose</w:t>
            </w:r>
          </w:p>
        </w:tc>
        <w:tc>
          <w:tcPr>
            <w:tcW w:w="8910" w:type="dxa"/>
            <w:tcBorders>
              <w:top w:val="single" w:sz="18" w:space="0" w:color="A6A6A6" w:themeColor="background1" w:themeShade="A6"/>
              <w:bottom w:val="single" w:sz="18" w:space="0" w:color="A6A6A6" w:themeColor="background1" w:themeShade="A6"/>
            </w:tcBorders>
            <w:vAlign w:val="center"/>
          </w:tcPr>
          <w:p w14:paraId="6FAB8BF8" w14:textId="77777777" w:rsidR="002F385E" w:rsidRDefault="002F385E" w:rsidP="008C6EDC">
            <w:pPr>
              <w:jc w:val="both"/>
              <w:rPr>
                <w:rFonts w:cs="Arial"/>
              </w:rPr>
            </w:pPr>
          </w:p>
          <w:p w14:paraId="6FAB8BF9" w14:textId="788D78FA" w:rsidR="008C6EDC" w:rsidRPr="006A248A" w:rsidRDefault="002F385E" w:rsidP="006A248A">
            <w:pPr>
              <w:jc w:val="both"/>
              <w:rPr>
                <w:rFonts w:cs="Arial"/>
              </w:rPr>
            </w:pPr>
            <w:r>
              <w:rPr>
                <w:rFonts w:cs="Arial"/>
              </w:rPr>
              <w:t xml:space="preserve">This procedure provides instructions for performing </w:t>
            </w:r>
            <w:r w:rsidR="00BE7040">
              <w:rPr>
                <w:rFonts w:cs="Arial"/>
              </w:rPr>
              <w:t>HEPATITIS B SURFACE ANTIGEN</w:t>
            </w:r>
            <w:r w:rsidR="006A248A">
              <w:rPr>
                <w:rFonts w:cs="Arial"/>
              </w:rPr>
              <w:t xml:space="preserve"> QUALITATIVE II on the Abbott Alinity i.  </w:t>
            </w:r>
            <w:r w:rsidR="006A248A" w:rsidRPr="006A248A">
              <w:rPr>
                <w:rFonts w:cs="Arial"/>
              </w:rPr>
              <w:t>The Alinity i HBsAg Qualitative</w:t>
            </w:r>
            <w:r w:rsidR="006A248A">
              <w:rPr>
                <w:rFonts w:cs="Arial"/>
              </w:rPr>
              <w:t xml:space="preserve"> II assay is a chemiluminescent </w:t>
            </w:r>
            <w:r w:rsidR="006A248A" w:rsidRPr="006A248A">
              <w:rPr>
                <w:rFonts w:cs="Arial"/>
              </w:rPr>
              <w:t>microparticle immunoassay (CMIA) use</w:t>
            </w:r>
            <w:r w:rsidR="006A248A">
              <w:rPr>
                <w:rFonts w:cs="Arial"/>
              </w:rPr>
              <w:t xml:space="preserve">d for the qualitative detection </w:t>
            </w:r>
            <w:r w:rsidR="006A248A" w:rsidRPr="006A248A">
              <w:rPr>
                <w:rFonts w:cs="Arial"/>
              </w:rPr>
              <w:t>of hepatitis B surface antigen (HBsA</w:t>
            </w:r>
            <w:r w:rsidR="006A248A">
              <w:rPr>
                <w:rFonts w:cs="Arial"/>
              </w:rPr>
              <w:t xml:space="preserve">g) in human adult and pediatric </w:t>
            </w:r>
            <w:r w:rsidR="006A248A" w:rsidRPr="006A248A">
              <w:rPr>
                <w:rFonts w:cs="Arial"/>
              </w:rPr>
              <w:t>serum and plasma and neonate s</w:t>
            </w:r>
            <w:r w:rsidR="006A248A">
              <w:rPr>
                <w:rFonts w:cs="Arial"/>
              </w:rPr>
              <w:t xml:space="preserve">erum on the Alinity i analyzer. </w:t>
            </w:r>
            <w:r w:rsidR="006A248A" w:rsidRPr="006A248A">
              <w:rPr>
                <w:rFonts w:cs="Arial"/>
              </w:rPr>
              <w:t xml:space="preserve">The assay may also be used to screen for HBV infection in </w:t>
            </w:r>
            <w:r w:rsidR="006A248A">
              <w:rPr>
                <w:rFonts w:cs="Arial"/>
              </w:rPr>
              <w:t xml:space="preserve">pregnant </w:t>
            </w:r>
            <w:r w:rsidR="006A248A" w:rsidRPr="006A248A">
              <w:rPr>
                <w:rFonts w:cs="Arial"/>
              </w:rPr>
              <w:t>women to identify neonates who are at</w:t>
            </w:r>
            <w:r w:rsidR="006A248A">
              <w:rPr>
                <w:rFonts w:cs="Arial"/>
              </w:rPr>
              <w:t xml:space="preserve"> risk for acquiring hepatitis B </w:t>
            </w:r>
            <w:r w:rsidR="006A248A" w:rsidRPr="006A248A">
              <w:rPr>
                <w:rFonts w:cs="Arial"/>
              </w:rPr>
              <w:t>during the perinatal period. Assay res</w:t>
            </w:r>
            <w:r w:rsidR="006A248A">
              <w:rPr>
                <w:rFonts w:cs="Arial"/>
              </w:rPr>
              <w:t xml:space="preserve">ults, in conjunction with other </w:t>
            </w:r>
            <w:r w:rsidR="006A248A" w:rsidRPr="006A248A">
              <w:rPr>
                <w:rFonts w:cs="Arial"/>
              </w:rPr>
              <w:t>laboratory results and clinical info</w:t>
            </w:r>
            <w:r w:rsidR="006A248A">
              <w:rPr>
                <w:rFonts w:cs="Arial"/>
              </w:rPr>
              <w:t xml:space="preserve">rmation, may be used to provide </w:t>
            </w:r>
            <w:r w:rsidR="006A248A" w:rsidRPr="006A248A">
              <w:rPr>
                <w:rFonts w:cs="Arial"/>
              </w:rPr>
              <w:t>presumptive evidence of infection with t</w:t>
            </w:r>
            <w:r w:rsidR="006A248A">
              <w:rPr>
                <w:rFonts w:cs="Arial"/>
              </w:rPr>
              <w:t xml:space="preserve">he hepatitis B virus (HBV) </w:t>
            </w:r>
            <w:r w:rsidR="006A248A" w:rsidRPr="006A248A">
              <w:rPr>
                <w:rFonts w:cs="Arial"/>
              </w:rPr>
              <w:t>(state of infection or associated dis</w:t>
            </w:r>
            <w:r w:rsidR="006A248A">
              <w:rPr>
                <w:rFonts w:cs="Arial"/>
              </w:rPr>
              <w:t xml:space="preserve">ease not determined) in persons </w:t>
            </w:r>
            <w:r w:rsidR="006A248A" w:rsidRPr="006A248A">
              <w:rPr>
                <w:rFonts w:cs="Arial"/>
              </w:rPr>
              <w:t>with signs and symptoms of hepat</w:t>
            </w:r>
            <w:r w:rsidR="006A248A">
              <w:rPr>
                <w:rFonts w:cs="Arial"/>
              </w:rPr>
              <w:t xml:space="preserve">itis and in persons at risk for </w:t>
            </w:r>
            <w:r w:rsidR="006A248A" w:rsidRPr="006A248A">
              <w:rPr>
                <w:rFonts w:cs="Arial"/>
              </w:rPr>
              <w:t>hepatitis B infection.</w:t>
            </w:r>
          </w:p>
          <w:p w14:paraId="6FAB8BFA" w14:textId="77777777" w:rsidR="008C6EDC" w:rsidRPr="008634BF" w:rsidRDefault="008C6EDC" w:rsidP="00D0201D">
            <w:pPr>
              <w:autoSpaceDE w:val="0"/>
              <w:autoSpaceDN w:val="0"/>
              <w:adjustRightInd w:val="0"/>
              <w:jc w:val="both"/>
              <w:rPr>
                <w:rFonts w:cs="Arial"/>
                <w:szCs w:val="20"/>
              </w:rPr>
            </w:pPr>
          </w:p>
        </w:tc>
      </w:tr>
      <w:tr w:rsidR="008C6EDC" w14:paraId="6FAB8BFF" w14:textId="77777777" w:rsidTr="00D120DB">
        <w:trPr>
          <w:trHeight w:val="935"/>
          <w:tblHeader/>
        </w:trPr>
        <w:tc>
          <w:tcPr>
            <w:tcW w:w="2160" w:type="dxa"/>
            <w:tcBorders>
              <w:top w:val="single" w:sz="18" w:space="0" w:color="A6A6A6" w:themeColor="background1" w:themeShade="A6"/>
              <w:bottom w:val="single" w:sz="18" w:space="0" w:color="A6A6A6" w:themeColor="background1" w:themeShade="A6"/>
            </w:tcBorders>
          </w:tcPr>
          <w:p w14:paraId="6FAB8BFC" w14:textId="77777777" w:rsidR="008C6EDC" w:rsidRDefault="008C6EDC" w:rsidP="008C6EDC">
            <w:pPr>
              <w:rPr>
                <w:rFonts w:cs="Arial"/>
                <w:b/>
                <w:bCs/>
                <w:color w:val="0000FF"/>
              </w:rPr>
            </w:pPr>
          </w:p>
          <w:p w14:paraId="6FAB8BFD" w14:textId="77777777" w:rsidR="008C6EDC" w:rsidRDefault="008C6EDC" w:rsidP="008C6EDC">
            <w:pPr>
              <w:rPr>
                <w:rFonts w:cs="Arial"/>
                <w:b/>
                <w:bCs/>
                <w:color w:val="0000FF"/>
              </w:rPr>
            </w:pPr>
            <w:r>
              <w:rPr>
                <w:rFonts w:cs="Arial"/>
                <w:b/>
                <w:bCs/>
                <w:color w:val="0000FF"/>
              </w:rPr>
              <w:t>Policy Statements</w:t>
            </w:r>
          </w:p>
        </w:tc>
        <w:tc>
          <w:tcPr>
            <w:tcW w:w="8910" w:type="dxa"/>
            <w:tcBorders>
              <w:top w:val="single" w:sz="18" w:space="0" w:color="A6A6A6" w:themeColor="background1" w:themeShade="A6"/>
              <w:bottom w:val="single" w:sz="18" w:space="0" w:color="A6A6A6" w:themeColor="background1" w:themeShade="A6"/>
            </w:tcBorders>
            <w:vAlign w:val="center"/>
          </w:tcPr>
          <w:p w14:paraId="6FAB8BFE" w14:textId="7AE4B2C9" w:rsidR="008C6EDC" w:rsidRPr="001246C0" w:rsidRDefault="001B1C87" w:rsidP="00253C63">
            <w:pPr>
              <w:autoSpaceDE w:val="0"/>
              <w:autoSpaceDN w:val="0"/>
              <w:adjustRightInd w:val="0"/>
              <w:jc w:val="both"/>
              <w:rPr>
                <w:rFonts w:cs="Arial"/>
                <w:szCs w:val="20"/>
              </w:rPr>
            </w:pPr>
            <w:r>
              <w:rPr>
                <w:rFonts w:cs="Arial"/>
                <w:szCs w:val="15"/>
              </w:rPr>
              <w:t xml:space="preserve">This procedure applies to all personnel responsible for performing testing on the </w:t>
            </w:r>
            <w:r w:rsidR="006A248A">
              <w:rPr>
                <w:rFonts w:cs="Arial"/>
                <w:szCs w:val="20"/>
              </w:rPr>
              <w:t xml:space="preserve">Abbott Alinity ci.  </w:t>
            </w:r>
          </w:p>
        </w:tc>
      </w:tr>
      <w:tr w:rsidR="008C6EDC" w14:paraId="6FAB8C06" w14:textId="77777777" w:rsidTr="00D120DB">
        <w:trPr>
          <w:tblHeader/>
        </w:trPr>
        <w:tc>
          <w:tcPr>
            <w:tcW w:w="2160" w:type="dxa"/>
            <w:tcBorders>
              <w:top w:val="single" w:sz="18" w:space="0" w:color="A6A6A6" w:themeColor="background1" w:themeShade="A6"/>
              <w:bottom w:val="single" w:sz="18" w:space="0" w:color="A6A6A6" w:themeColor="background1" w:themeShade="A6"/>
            </w:tcBorders>
          </w:tcPr>
          <w:p w14:paraId="6FAB8C00" w14:textId="77777777" w:rsidR="008C6EDC" w:rsidRDefault="008C6EDC">
            <w:pPr>
              <w:rPr>
                <w:rFonts w:cs="Arial"/>
                <w:b/>
                <w:bCs/>
                <w:color w:val="0000FF"/>
              </w:rPr>
            </w:pPr>
          </w:p>
          <w:p w14:paraId="6FAB8C01" w14:textId="77777777" w:rsidR="008C6EDC" w:rsidRDefault="008C6EDC">
            <w:pPr>
              <w:rPr>
                <w:rFonts w:cs="Arial"/>
                <w:b/>
                <w:bCs/>
                <w:color w:val="0000FF"/>
              </w:rPr>
            </w:pPr>
            <w:r>
              <w:rPr>
                <w:rFonts w:cs="Arial"/>
                <w:b/>
                <w:bCs/>
                <w:color w:val="0000FF"/>
              </w:rPr>
              <w:t>Principle</w:t>
            </w:r>
          </w:p>
          <w:p w14:paraId="6FAB8C02" w14:textId="77777777" w:rsidR="008C6EDC" w:rsidRDefault="008C6EDC">
            <w:pPr>
              <w:rPr>
                <w:rFonts w:cs="Arial"/>
                <w:b/>
                <w:bCs/>
                <w:color w:val="0000FF"/>
              </w:rPr>
            </w:pPr>
          </w:p>
        </w:tc>
        <w:tc>
          <w:tcPr>
            <w:tcW w:w="8910" w:type="dxa"/>
            <w:tcBorders>
              <w:top w:val="single" w:sz="18" w:space="0" w:color="A6A6A6" w:themeColor="background1" w:themeShade="A6"/>
              <w:bottom w:val="single" w:sz="18" w:space="0" w:color="A6A6A6" w:themeColor="background1" w:themeShade="A6"/>
            </w:tcBorders>
            <w:vAlign w:val="center"/>
          </w:tcPr>
          <w:p w14:paraId="6FAB8C03" w14:textId="77777777" w:rsidR="001B1C87" w:rsidRDefault="001B1C87" w:rsidP="002F385E">
            <w:pPr>
              <w:autoSpaceDE w:val="0"/>
              <w:autoSpaceDN w:val="0"/>
              <w:adjustRightInd w:val="0"/>
              <w:rPr>
                <w:rFonts w:eastAsia="HelenPro-Regular"/>
              </w:rPr>
            </w:pPr>
          </w:p>
          <w:p w14:paraId="2110642D" w14:textId="591FCDED" w:rsidR="00841035" w:rsidRPr="00841035" w:rsidRDefault="00841035" w:rsidP="00841035">
            <w:pPr>
              <w:autoSpaceDE w:val="0"/>
              <w:autoSpaceDN w:val="0"/>
              <w:adjustRightInd w:val="0"/>
              <w:rPr>
                <w:rFonts w:eastAsia="HelenPro-Regular"/>
              </w:rPr>
            </w:pPr>
            <w:r w:rsidRPr="00841035">
              <w:rPr>
                <w:rFonts w:eastAsia="HelenPro-Regular"/>
              </w:rPr>
              <w:t>This assay is a one-step immunoassa</w:t>
            </w:r>
            <w:r>
              <w:rPr>
                <w:rFonts w:eastAsia="HelenPro-Regular"/>
              </w:rPr>
              <w:t xml:space="preserve">y for the qualitative detection </w:t>
            </w:r>
            <w:r w:rsidRPr="00841035">
              <w:rPr>
                <w:rFonts w:eastAsia="HelenPro-Regular"/>
              </w:rPr>
              <w:t>of HBsAg in human serum an</w:t>
            </w:r>
            <w:r>
              <w:rPr>
                <w:rFonts w:eastAsia="HelenPro-Regular"/>
              </w:rPr>
              <w:t xml:space="preserve">d plasma using chemiluminescent </w:t>
            </w:r>
            <w:r w:rsidRPr="00841035">
              <w:rPr>
                <w:rFonts w:eastAsia="HelenPro-Regular"/>
              </w:rPr>
              <w:t>microparticle immunoa</w:t>
            </w:r>
            <w:r>
              <w:rPr>
                <w:rFonts w:eastAsia="HelenPro-Regular"/>
              </w:rPr>
              <w:t xml:space="preserve">ssay (CMIA) technology. </w:t>
            </w:r>
            <w:r w:rsidRPr="00841035">
              <w:rPr>
                <w:rFonts w:eastAsia="HelenPro-Regular"/>
              </w:rPr>
              <w:t>(Note: Ancillary Wash Buffer is add</w:t>
            </w:r>
            <w:r>
              <w:rPr>
                <w:rFonts w:eastAsia="HelenPro-Regular"/>
              </w:rPr>
              <w:t xml:space="preserve">ed in a second incubation step, </w:t>
            </w:r>
            <w:r w:rsidRPr="00841035">
              <w:rPr>
                <w:rFonts w:eastAsia="HelenPro-Regular"/>
              </w:rPr>
              <w:t>so the assay file performs a two-step assay protocol).</w:t>
            </w:r>
          </w:p>
          <w:p w14:paraId="7C69522A" w14:textId="5F1287DB" w:rsidR="00841035" w:rsidRDefault="00841035" w:rsidP="00841035">
            <w:pPr>
              <w:autoSpaceDE w:val="0"/>
              <w:autoSpaceDN w:val="0"/>
              <w:adjustRightInd w:val="0"/>
              <w:rPr>
                <w:rFonts w:eastAsia="HelenPro-Regular"/>
              </w:rPr>
            </w:pPr>
            <w:r w:rsidRPr="00841035">
              <w:rPr>
                <w:rFonts w:eastAsia="HelenPro-Regular"/>
              </w:rPr>
              <w:t>Sample, anti-HBs coated paramagnet</w:t>
            </w:r>
            <w:r>
              <w:rPr>
                <w:rFonts w:eastAsia="HelenPro-Regular"/>
              </w:rPr>
              <w:t xml:space="preserve">ic microparticles, and anti-HBs </w:t>
            </w:r>
            <w:r w:rsidRPr="00841035">
              <w:rPr>
                <w:rFonts w:eastAsia="HelenPro-Regular"/>
              </w:rPr>
              <w:t>acridinium-labeled conjugate are combined to</w:t>
            </w:r>
            <w:r>
              <w:rPr>
                <w:rFonts w:eastAsia="HelenPro-Regular"/>
              </w:rPr>
              <w:t xml:space="preserve"> create a reaction </w:t>
            </w:r>
            <w:r w:rsidRPr="00841035">
              <w:rPr>
                <w:rFonts w:eastAsia="HelenPro-Regular"/>
              </w:rPr>
              <w:t>mixture and incubated. The HBsAg</w:t>
            </w:r>
            <w:r>
              <w:rPr>
                <w:rFonts w:eastAsia="HelenPro-Regular"/>
              </w:rPr>
              <w:t xml:space="preserve"> present in the sample binds to </w:t>
            </w:r>
            <w:r w:rsidRPr="00841035">
              <w:rPr>
                <w:rFonts w:eastAsia="HelenPro-Regular"/>
              </w:rPr>
              <w:t>the anti-HBs coated microparticles and to</w:t>
            </w:r>
            <w:r>
              <w:rPr>
                <w:rFonts w:eastAsia="HelenPro-Regular"/>
              </w:rPr>
              <w:t xml:space="preserve"> the anti-HBs acridiniumlabeled </w:t>
            </w:r>
            <w:r w:rsidRPr="00841035">
              <w:rPr>
                <w:rFonts w:eastAsia="HelenPro-Regular"/>
              </w:rPr>
              <w:t>conjugate. Following a wash</w:t>
            </w:r>
            <w:r>
              <w:rPr>
                <w:rFonts w:eastAsia="HelenPro-Regular"/>
              </w:rPr>
              <w:t xml:space="preserve"> cycle, Pre-Trigger and Trigger </w:t>
            </w:r>
            <w:r w:rsidRPr="00841035">
              <w:rPr>
                <w:rFonts w:eastAsia="HelenPro-Regular"/>
              </w:rPr>
              <w:t>Solutions are added.</w:t>
            </w:r>
          </w:p>
          <w:p w14:paraId="64F2C8E7" w14:textId="77777777" w:rsidR="00841035" w:rsidRPr="00841035" w:rsidRDefault="00841035" w:rsidP="00841035">
            <w:pPr>
              <w:autoSpaceDE w:val="0"/>
              <w:autoSpaceDN w:val="0"/>
              <w:adjustRightInd w:val="0"/>
              <w:rPr>
                <w:rFonts w:eastAsia="HelenPro-Regular"/>
              </w:rPr>
            </w:pPr>
          </w:p>
          <w:p w14:paraId="09347AB7" w14:textId="2E34FF58" w:rsidR="00841035" w:rsidRDefault="00841035" w:rsidP="00841035">
            <w:pPr>
              <w:autoSpaceDE w:val="0"/>
              <w:autoSpaceDN w:val="0"/>
              <w:adjustRightInd w:val="0"/>
              <w:rPr>
                <w:rFonts w:eastAsia="HelenPro-Regular"/>
              </w:rPr>
            </w:pPr>
            <w:r w:rsidRPr="00841035">
              <w:rPr>
                <w:rFonts w:eastAsia="HelenPro-Regular"/>
              </w:rPr>
              <w:t>The resulting chemiluminescent reactio</w:t>
            </w:r>
            <w:r>
              <w:rPr>
                <w:rFonts w:eastAsia="HelenPro-Regular"/>
              </w:rPr>
              <w:t xml:space="preserve">n is measured as relative light </w:t>
            </w:r>
            <w:r w:rsidRPr="00841035">
              <w:rPr>
                <w:rFonts w:eastAsia="HelenPro-Regular"/>
              </w:rPr>
              <w:t>units (RLUs). There is a direct rel</w:t>
            </w:r>
            <w:r>
              <w:rPr>
                <w:rFonts w:eastAsia="HelenPro-Regular"/>
              </w:rPr>
              <w:t xml:space="preserve">ationship between the amount of </w:t>
            </w:r>
            <w:r w:rsidRPr="00841035">
              <w:rPr>
                <w:rFonts w:eastAsia="HelenPro-Regular"/>
              </w:rPr>
              <w:t>HBsAg in the sample and the RLUs</w:t>
            </w:r>
            <w:r>
              <w:rPr>
                <w:rFonts w:eastAsia="HelenPro-Regular"/>
              </w:rPr>
              <w:t xml:space="preserve"> detected by the system optics. </w:t>
            </w:r>
            <w:r w:rsidRPr="00841035">
              <w:rPr>
                <w:rFonts w:eastAsia="HelenPro-Regular"/>
              </w:rPr>
              <w:t>The presence or absence of HBsAg</w:t>
            </w:r>
            <w:r>
              <w:rPr>
                <w:rFonts w:eastAsia="HelenPro-Regular"/>
              </w:rPr>
              <w:t xml:space="preserve"> in the sample is determined by </w:t>
            </w:r>
            <w:r w:rsidRPr="00841035">
              <w:rPr>
                <w:rFonts w:eastAsia="HelenPro-Regular"/>
              </w:rPr>
              <w:t>comparing the chemiluminescent RL</w:t>
            </w:r>
            <w:r>
              <w:rPr>
                <w:rFonts w:eastAsia="HelenPro-Regular"/>
              </w:rPr>
              <w:t xml:space="preserve">U in the reaction to the cutoff </w:t>
            </w:r>
            <w:r w:rsidRPr="00841035">
              <w:rPr>
                <w:rFonts w:eastAsia="HelenPro-Regular"/>
              </w:rPr>
              <w:t>RLU determined from an active calibration.</w:t>
            </w:r>
          </w:p>
          <w:p w14:paraId="423490C9" w14:textId="77777777" w:rsidR="00841035" w:rsidRPr="00841035" w:rsidRDefault="00841035" w:rsidP="00841035">
            <w:pPr>
              <w:autoSpaceDE w:val="0"/>
              <w:autoSpaceDN w:val="0"/>
              <w:adjustRightInd w:val="0"/>
              <w:rPr>
                <w:rFonts w:eastAsia="HelenPro-Regular"/>
              </w:rPr>
            </w:pPr>
          </w:p>
          <w:p w14:paraId="12363406" w14:textId="5DE6AEE5" w:rsidR="00841035" w:rsidRDefault="00841035" w:rsidP="00841035">
            <w:pPr>
              <w:autoSpaceDE w:val="0"/>
              <w:autoSpaceDN w:val="0"/>
              <w:adjustRightInd w:val="0"/>
              <w:rPr>
                <w:rFonts w:eastAsia="HelenPro-Regular"/>
              </w:rPr>
            </w:pPr>
            <w:r w:rsidRPr="00841035">
              <w:rPr>
                <w:rFonts w:eastAsia="HelenPro-Regular"/>
              </w:rPr>
              <w:t xml:space="preserve">If the chemiluminescent signal in </w:t>
            </w:r>
            <w:r>
              <w:rPr>
                <w:rFonts w:eastAsia="HelenPro-Regular"/>
              </w:rPr>
              <w:t xml:space="preserve">the specimen is greater than or </w:t>
            </w:r>
            <w:r w:rsidRPr="00841035">
              <w:rPr>
                <w:rFonts w:eastAsia="HelenPro-Regular"/>
              </w:rPr>
              <w:t>equal to the cutoff signal, the sa</w:t>
            </w:r>
            <w:r>
              <w:rPr>
                <w:rFonts w:eastAsia="HelenPro-Regular"/>
              </w:rPr>
              <w:t xml:space="preserve">mple is considered reactive for </w:t>
            </w:r>
            <w:r w:rsidRPr="00841035">
              <w:rPr>
                <w:rFonts w:eastAsia="HelenPro-Regular"/>
              </w:rPr>
              <w:t>HBsAg.</w:t>
            </w:r>
          </w:p>
          <w:p w14:paraId="75D07183" w14:textId="77777777" w:rsidR="00841035" w:rsidRPr="00841035" w:rsidRDefault="00841035" w:rsidP="00841035">
            <w:pPr>
              <w:autoSpaceDE w:val="0"/>
              <w:autoSpaceDN w:val="0"/>
              <w:adjustRightInd w:val="0"/>
              <w:rPr>
                <w:rFonts w:eastAsia="HelenPro-Regular"/>
              </w:rPr>
            </w:pPr>
          </w:p>
          <w:p w14:paraId="1A43A758" w14:textId="77777777" w:rsidR="00841035" w:rsidRDefault="00841035" w:rsidP="00841035">
            <w:pPr>
              <w:autoSpaceDE w:val="0"/>
              <w:autoSpaceDN w:val="0"/>
              <w:adjustRightInd w:val="0"/>
              <w:rPr>
                <w:rFonts w:eastAsia="HelenPro-Regular"/>
              </w:rPr>
            </w:pPr>
            <w:r w:rsidRPr="00841035">
              <w:rPr>
                <w:rFonts w:eastAsia="HelenPro-Regular"/>
              </w:rPr>
              <w:t>For additional information on system</w:t>
            </w:r>
            <w:r>
              <w:rPr>
                <w:rFonts w:eastAsia="HelenPro-Regular"/>
              </w:rPr>
              <w:t xml:space="preserve"> and assay technology, refer to </w:t>
            </w:r>
            <w:r w:rsidRPr="00841035">
              <w:rPr>
                <w:rFonts w:eastAsia="HelenPro-Regular"/>
              </w:rPr>
              <w:t>the Alinity ci-series Operations Manual, Section 3.</w:t>
            </w:r>
          </w:p>
          <w:p w14:paraId="6FAB8C05" w14:textId="1E400D1C" w:rsidR="00841035" w:rsidRPr="00841035" w:rsidRDefault="00841035" w:rsidP="00841035">
            <w:pPr>
              <w:autoSpaceDE w:val="0"/>
              <w:autoSpaceDN w:val="0"/>
              <w:adjustRightInd w:val="0"/>
              <w:rPr>
                <w:rFonts w:eastAsia="HelenPro-Regular"/>
              </w:rPr>
            </w:pPr>
          </w:p>
        </w:tc>
      </w:tr>
      <w:tr w:rsidR="008C6EDC" w14:paraId="6FAB8C0F" w14:textId="77777777" w:rsidTr="00D120DB">
        <w:trPr>
          <w:tblHeader/>
        </w:trPr>
        <w:tc>
          <w:tcPr>
            <w:tcW w:w="2160" w:type="dxa"/>
            <w:tcBorders>
              <w:top w:val="single" w:sz="18" w:space="0" w:color="A6A6A6" w:themeColor="background1" w:themeShade="A6"/>
              <w:bottom w:val="single" w:sz="18" w:space="0" w:color="A6A6A6" w:themeColor="background1" w:themeShade="A6"/>
            </w:tcBorders>
          </w:tcPr>
          <w:p w14:paraId="6FAB8C07" w14:textId="77777777" w:rsidR="008C6EDC" w:rsidRDefault="008C6EDC">
            <w:pPr>
              <w:rPr>
                <w:rFonts w:cs="Arial"/>
                <w:b/>
                <w:bCs/>
                <w:color w:val="0000FF"/>
              </w:rPr>
            </w:pPr>
          </w:p>
          <w:p w14:paraId="6FAB8C08" w14:textId="77777777" w:rsidR="008C6EDC" w:rsidRDefault="008C6EDC">
            <w:pPr>
              <w:rPr>
                <w:rFonts w:cs="Arial"/>
                <w:b/>
                <w:bCs/>
                <w:color w:val="0000FF"/>
              </w:rPr>
            </w:pPr>
            <w:r>
              <w:rPr>
                <w:rFonts w:cs="Arial"/>
                <w:b/>
                <w:bCs/>
                <w:color w:val="0000FF"/>
              </w:rPr>
              <w:t>Clinical Significance</w:t>
            </w:r>
          </w:p>
          <w:p w14:paraId="6FAB8C09" w14:textId="77777777" w:rsidR="008C6EDC" w:rsidRDefault="008C6EDC">
            <w:pPr>
              <w:rPr>
                <w:rFonts w:cs="Arial"/>
                <w:b/>
                <w:bCs/>
                <w:color w:val="0000FF"/>
              </w:rPr>
            </w:pPr>
          </w:p>
        </w:tc>
        <w:tc>
          <w:tcPr>
            <w:tcW w:w="8910" w:type="dxa"/>
            <w:tcBorders>
              <w:top w:val="single" w:sz="18" w:space="0" w:color="A6A6A6" w:themeColor="background1" w:themeShade="A6"/>
              <w:bottom w:val="single" w:sz="18" w:space="0" w:color="A6A6A6" w:themeColor="background1" w:themeShade="A6"/>
            </w:tcBorders>
            <w:vAlign w:val="center"/>
          </w:tcPr>
          <w:p w14:paraId="6FAB8C0A" w14:textId="77777777" w:rsidR="001B1C87" w:rsidRDefault="001B1C87" w:rsidP="001B1C87">
            <w:pPr>
              <w:autoSpaceDE w:val="0"/>
              <w:autoSpaceDN w:val="0"/>
              <w:adjustRightInd w:val="0"/>
              <w:rPr>
                <w:rFonts w:eastAsia="HelenPro-Regular"/>
              </w:rPr>
            </w:pPr>
          </w:p>
          <w:p w14:paraId="4AA98179" w14:textId="61397396" w:rsidR="00841035" w:rsidRPr="00841035" w:rsidRDefault="00841035" w:rsidP="00841035">
            <w:pPr>
              <w:autoSpaceDE w:val="0"/>
              <w:autoSpaceDN w:val="0"/>
              <w:adjustRightInd w:val="0"/>
              <w:rPr>
                <w:rFonts w:eastAsia="HelenPro-Regular"/>
              </w:rPr>
            </w:pPr>
            <w:r w:rsidRPr="00841035">
              <w:rPr>
                <w:rFonts w:eastAsia="HelenPro-Regular"/>
              </w:rPr>
              <w:t>The causative agent of ser</w:t>
            </w:r>
            <w:r>
              <w:rPr>
                <w:rFonts w:eastAsia="HelenPro-Regular"/>
              </w:rPr>
              <w:t xml:space="preserve">um hepatitis is HBV which is an </w:t>
            </w:r>
            <w:r w:rsidRPr="00841035">
              <w:rPr>
                <w:rFonts w:eastAsia="HelenPro-Regular"/>
              </w:rPr>
              <w:t>enveloped DNA virus. During in</w:t>
            </w:r>
            <w:r>
              <w:rPr>
                <w:rFonts w:eastAsia="HelenPro-Regular"/>
              </w:rPr>
              <w:t xml:space="preserve">fection, HBV produces an excess </w:t>
            </w:r>
            <w:r w:rsidRPr="00841035">
              <w:rPr>
                <w:rFonts w:eastAsia="HelenPro-Regular"/>
              </w:rPr>
              <w:t>of HBsAg, also known as Australia</w:t>
            </w:r>
            <w:r>
              <w:rPr>
                <w:rFonts w:eastAsia="HelenPro-Regular"/>
              </w:rPr>
              <w:t xml:space="preserve"> antigen, which can be detected </w:t>
            </w:r>
            <w:r w:rsidRPr="00841035">
              <w:rPr>
                <w:rFonts w:eastAsia="HelenPro-Regular"/>
              </w:rPr>
              <w:t>in the blood of infected individuals</w:t>
            </w:r>
            <w:r>
              <w:rPr>
                <w:rFonts w:eastAsia="HelenPro-Regular"/>
              </w:rPr>
              <w:t xml:space="preserve">. It is responsible for binding </w:t>
            </w:r>
            <w:r w:rsidRPr="00841035">
              <w:rPr>
                <w:rFonts w:eastAsia="HelenPro-Regular"/>
              </w:rPr>
              <w:t>the virus to the liver cell and is the t</w:t>
            </w:r>
            <w:r>
              <w:rPr>
                <w:rFonts w:eastAsia="HelenPro-Regular"/>
              </w:rPr>
              <w:t xml:space="preserve">arget structure of neutralizing antibodies. </w:t>
            </w:r>
            <w:r w:rsidRPr="00841035">
              <w:rPr>
                <w:rFonts w:eastAsia="HelenPro-Regular"/>
              </w:rPr>
              <w:t xml:space="preserve"> HBsAg is the first ser</w:t>
            </w:r>
            <w:r>
              <w:rPr>
                <w:rFonts w:eastAsia="HelenPro-Regular"/>
              </w:rPr>
              <w:t xml:space="preserve">ological marker after infection </w:t>
            </w:r>
            <w:r w:rsidRPr="00841035">
              <w:rPr>
                <w:rFonts w:eastAsia="HelenPro-Regular"/>
              </w:rPr>
              <w:t xml:space="preserve">with HBV, appearing 1 to 10 weeks </w:t>
            </w:r>
            <w:r>
              <w:rPr>
                <w:rFonts w:eastAsia="HelenPro-Regular"/>
              </w:rPr>
              <w:t>after exposure and 2 to 8 weeks before the onset of clinical symptoms.</w:t>
            </w:r>
            <w:r w:rsidRPr="00841035">
              <w:rPr>
                <w:rFonts w:eastAsia="HelenPro-Regular"/>
              </w:rPr>
              <w:t xml:space="preserve"> HBsAg</w:t>
            </w:r>
            <w:r>
              <w:rPr>
                <w:rFonts w:eastAsia="HelenPro-Regular"/>
              </w:rPr>
              <w:t xml:space="preserve"> persists during this </w:t>
            </w:r>
            <w:r w:rsidRPr="00841035">
              <w:rPr>
                <w:rFonts w:eastAsia="HelenPro-Regular"/>
              </w:rPr>
              <w:t>acute phase and clears lat</w:t>
            </w:r>
            <w:r>
              <w:rPr>
                <w:rFonts w:eastAsia="HelenPro-Regular"/>
              </w:rPr>
              <w:t xml:space="preserve">e in the convalescence period. Failure to </w:t>
            </w:r>
            <w:r w:rsidRPr="00841035">
              <w:rPr>
                <w:rFonts w:eastAsia="HelenPro-Regular"/>
              </w:rPr>
              <w:t>clear HBsAg within 6 months indicates</w:t>
            </w:r>
            <w:r>
              <w:rPr>
                <w:rFonts w:eastAsia="HelenPro-Regular"/>
              </w:rPr>
              <w:t xml:space="preserve"> a chronic HBsAg carrier state. </w:t>
            </w:r>
            <w:r w:rsidRPr="00841035">
              <w:rPr>
                <w:rFonts w:eastAsia="HelenPro-Regular"/>
              </w:rPr>
              <w:t>HBsAg assays are used to identify p</w:t>
            </w:r>
            <w:r>
              <w:rPr>
                <w:rFonts w:eastAsia="HelenPro-Regular"/>
              </w:rPr>
              <w:t xml:space="preserve">ersons infected with HBV and to </w:t>
            </w:r>
            <w:r w:rsidRPr="00841035">
              <w:rPr>
                <w:rFonts w:eastAsia="HelenPro-Regular"/>
              </w:rPr>
              <w:t>monitor the status of infected indivi</w:t>
            </w:r>
            <w:r>
              <w:rPr>
                <w:rFonts w:eastAsia="HelenPro-Regular"/>
              </w:rPr>
              <w:t xml:space="preserve">duals in combination with other </w:t>
            </w:r>
            <w:r w:rsidRPr="00841035">
              <w:rPr>
                <w:rFonts w:eastAsia="HelenPro-Regular"/>
              </w:rPr>
              <w:t>h</w:t>
            </w:r>
            <w:r>
              <w:rPr>
                <w:rFonts w:eastAsia="HelenPro-Regular"/>
              </w:rPr>
              <w:t>epatitis B serological markers.</w:t>
            </w:r>
            <w:r w:rsidRPr="00841035">
              <w:rPr>
                <w:rFonts w:eastAsia="HelenPro-Regular"/>
              </w:rPr>
              <w:t xml:space="preserve"> In most countries, testing for HBsAg</w:t>
            </w:r>
          </w:p>
          <w:p w14:paraId="308851E2" w14:textId="04020CB6" w:rsidR="00841035" w:rsidRDefault="00841035" w:rsidP="00841035">
            <w:pPr>
              <w:autoSpaceDE w:val="0"/>
              <w:autoSpaceDN w:val="0"/>
              <w:adjustRightInd w:val="0"/>
              <w:rPr>
                <w:rFonts w:eastAsia="HelenPro-Regular"/>
              </w:rPr>
            </w:pPr>
            <w:r w:rsidRPr="00841035">
              <w:rPr>
                <w:rFonts w:eastAsia="HelenPro-Regular"/>
              </w:rPr>
              <w:t>is part of the antenatal screening p</w:t>
            </w:r>
            <w:r w:rsidR="007124F6">
              <w:rPr>
                <w:rFonts w:eastAsia="HelenPro-Regular"/>
              </w:rPr>
              <w:t xml:space="preserve">rogram to identify HBV infected mothers and to prevent </w:t>
            </w:r>
            <w:r w:rsidRPr="00841035">
              <w:rPr>
                <w:rFonts w:eastAsia="HelenPro-Regular"/>
              </w:rPr>
              <w:t>perina</w:t>
            </w:r>
            <w:r w:rsidR="007124F6">
              <w:rPr>
                <w:rFonts w:eastAsia="HelenPro-Regular"/>
              </w:rPr>
              <w:t xml:space="preserve">tal HBV infection by subsequent </w:t>
            </w:r>
            <w:r>
              <w:rPr>
                <w:rFonts w:eastAsia="HelenPro-Regular"/>
              </w:rPr>
              <w:t>immunization.</w:t>
            </w:r>
          </w:p>
          <w:p w14:paraId="6114709D" w14:textId="77777777" w:rsidR="007124F6" w:rsidRPr="00841035" w:rsidRDefault="007124F6" w:rsidP="00841035">
            <w:pPr>
              <w:autoSpaceDE w:val="0"/>
              <w:autoSpaceDN w:val="0"/>
              <w:adjustRightInd w:val="0"/>
              <w:rPr>
                <w:rFonts w:eastAsia="HelenPro-Regular"/>
              </w:rPr>
            </w:pPr>
          </w:p>
          <w:p w14:paraId="19B1822E" w14:textId="5138FFE5" w:rsidR="00841035" w:rsidRPr="00841035" w:rsidRDefault="00841035" w:rsidP="00841035">
            <w:pPr>
              <w:autoSpaceDE w:val="0"/>
              <w:autoSpaceDN w:val="0"/>
              <w:adjustRightInd w:val="0"/>
              <w:rPr>
                <w:rFonts w:eastAsia="HelenPro-Regular"/>
              </w:rPr>
            </w:pPr>
            <w:r w:rsidRPr="00841035">
              <w:rPr>
                <w:rFonts w:eastAsia="HelenPro-Regular"/>
              </w:rPr>
              <w:t>Specimens nonreactive by Ali</w:t>
            </w:r>
            <w:r>
              <w:rPr>
                <w:rFonts w:eastAsia="HelenPro-Regular"/>
              </w:rPr>
              <w:t xml:space="preserve">nity i HBsAg Qualitative II are </w:t>
            </w:r>
            <w:r w:rsidRPr="00841035">
              <w:rPr>
                <w:rFonts w:eastAsia="HelenPro-Regular"/>
              </w:rPr>
              <w:t>considered negative for HBs</w:t>
            </w:r>
            <w:r>
              <w:rPr>
                <w:rFonts w:eastAsia="HelenPro-Regular"/>
              </w:rPr>
              <w:t xml:space="preserve">Ag. A reactive specimen must be </w:t>
            </w:r>
            <w:r w:rsidRPr="00841035">
              <w:rPr>
                <w:rFonts w:eastAsia="HelenPro-Regular"/>
              </w:rPr>
              <w:t>retested in duplicate by Alinity i HBsAg Qualitative II to determine</w:t>
            </w:r>
          </w:p>
          <w:p w14:paraId="1B3F28FF" w14:textId="77777777" w:rsidR="001B1C87" w:rsidRDefault="00841035" w:rsidP="00841035">
            <w:pPr>
              <w:autoSpaceDE w:val="0"/>
              <w:autoSpaceDN w:val="0"/>
              <w:adjustRightInd w:val="0"/>
              <w:rPr>
                <w:rFonts w:eastAsia="HelenPro-Regular"/>
              </w:rPr>
            </w:pPr>
            <w:r w:rsidRPr="00841035">
              <w:rPr>
                <w:rFonts w:eastAsia="HelenPro-Regular"/>
              </w:rPr>
              <w:t>whether it is repeatedly reactive. S</w:t>
            </w:r>
            <w:r>
              <w:rPr>
                <w:rFonts w:eastAsia="HelenPro-Regular"/>
              </w:rPr>
              <w:t xml:space="preserve">pecimens found to be repeatedly </w:t>
            </w:r>
            <w:r w:rsidRPr="00841035">
              <w:rPr>
                <w:rFonts w:eastAsia="HelenPro-Regular"/>
              </w:rPr>
              <w:t>reactive by the Alinity i HBsAg</w:t>
            </w:r>
            <w:r>
              <w:rPr>
                <w:rFonts w:eastAsia="HelenPro-Regular"/>
              </w:rPr>
              <w:t xml:space="preserve"> Qualitative II assay should be sent out for a confirmatory assay. </w:t>
            </w:r>
            <w:r w:rsidRPr="00841035">
              <w:rPr>
                <w:rFonts w:eastAsia="HelenPro-Regular"/>
              </w:rPr>
              <w:t>If the specimen is neutralized, the specimen is considered conf</w:t>
            </w:r>
            <w:r w:rsidR="007124F6">
              <w:rPr>
                <w:rFonts w:eastAsia="HelenPro-Regular"/>
              </w:rPr>
              <w:t xml:space="preserve">irmed </w:t>
            </w:r>
            <w:r w:rsidRPr="00841035">
              <w:rPr>
                <w:rFonts w:eastAsia="HelenPro-Regular"/>
              </w:rPr>
              <w:t>positive for HBsAg. It is recommend</w:t>
            </w:r>
            <w:r w:rsidR="007124F6">
              <w:rPr>
                <w:rFonts w:eastAsia="HelenPro-Regular"/>
              </w:rPr>
              <w:t xml:space="preserve">ed that confirmatory testing be </w:t>
            </w:r>
            <w:r w:rsidRPr="00841035">
              <w:rPr>
                <w:rFonts w:eastAsia="HelenPro-Regular"/>
              </w:rPr>
              <w:t>performed before disclosing HBsAg status.</w:t>
            </w:r>
          </w:p>
          <w:p w14:paraId="6FAB8C0E" w14:textId="6B2C3D79" w:rsidR="007124F6" w:rsidRPr="007124F6" w:rsidRDefault="007124F6" w:rsidP="00841035">
            <w:pPr>
              <w:autoSpaceDE w:val="0"/>
              <w:autoSpaceDN w:val="0"/>
              <w:adjustRightInd w:val="0"/>
              <w:rPr>
                <w:rFonts w:eastAsia="HelenPro-Regular"/>
              </w:rPr>
            </w:pPr>
          </w:p>
        </w:tc>
      </w:tr>
      <w:tr w:rsidR="008C6EDC" w14:paraId="6FAB8C16" w14:textId="77777777" w:rsidTr="00D120DB">
        <w:trPr>
          <w:tblHeader/>
        </w:trPr>
        <w:tc>
          <w:tcPr>
            <w:tcW w:w="2160" w:type="dxa"/>
            <w:tcBorders>
              <w:top w:val="single" w:sz="18" w:space="0" w:color="A6A6A6" w:themeColor="background1" w:themeShade="A6"/>
              <w:bottom w:val="single" w:sz="18" w:space="0" w:color="A6A6A6" w:themeColor="background1" w:themeShade="A6"/>
            </w:tcBorders>
          </w:tcPr>
          <w:p w14:paraId="6FAB8C10" w14:textId="77777777" w:rsidR="008C6EDC" w:rsidRDefault="008C6EDC">
            <w:pPr>
              <w:rPr>
                <w:rFonts w:cs="Arial"/>
                <w:b/>
                <w:bCs/>
                <w:color w:val="0000FF"/>
              </w:rPr>
            </w:pPr>
          </w:p>
          <w:p w14:paraId="6FAB8C11" w14:textId="77777777" w:rsidR="008C6EDC" w:rsidRDefault="008C6EDC">
            <w:pPr>
              <w:rPr>
                <w:rFonts w:cs="Arial"/>
                <w:b/>
                <w:bCs/>
                <w:color w:val="0000FF"/>
              </w:rPr>
            </w:pPr>
            <w:r>
              <w:rPr>
                <w:rFonts w:cs="Arial"/>
                <w:b/>
                <w:bCs/>
                <w:color w:val="0000FF"/>
              </w:rPr>
              <w:t>Instrument</w:t>
            </w:r>
          </w:p>
        </w:tc>
        <w:tc>
          <w:tcPr>
            <w:tcW w:w="8910" w:type="dxa"/>
            <w:tcBorders>
              <w:top w:val="single" w:sz="18" w:space="0" w:color="A6A6A6" w:themeColor="background1" w:themeShade="A6"/>
              <w:bottom w:val="single" w:sz="18" w:space="0" w:color="A6A6A6" w:themeColor="background1" w:themeShade="A6"/>
            </w:tcBorders>
            <w:vAlign w:val="center"/>
          </w:tcPr>
          <w:p w14:paraId="6FAB8C12" w14:textId="77777777" w:rsidR="008C6EDC" w:rsidRDefault="008C6EDC" w:rsidP="008C6EDC">
            <w:pPr>
              <w:pStyle w:val="Header"/>
              <w:tabs>
                <w:tab w:val="clear" w:pos="4320"/>
                <w:tab w:val="clear" w:pos="8640"/>
              </w:tabs>
              <w:jc w:val="both"/>
              <w:rPr>
                <w:rFonts w:cs="Arial"/>
              </w:rPr>
            </w:pPr>
          </w:p>
          <w:p w14:paraId="6FAB8C13" w14:textId="3EDA1E36" w:rsidR="00D0201D" w:rsidRPr="0045274F" w:rsidRDefault="008C6EDC" w:rsidP="008C6EDC">
            <w:pPr>
              <w:pStyle w:val="Header"/>
              <w:tabs>
                <w:tab w:val="clear" w:pos="4320"/>
                <w:tab w:val="clear" w:pos="8640"/>
              </w:tabs>
              <w:spacing w:line="360" w:lineRule="auto"/>
              <w:jc w:val="both"/>
            </w:pPr>
            <w:r w:rsidRPr="00D05869">
              <w:rPr>
                <w:b/>
                <w:bCs/>
                <w:color w:val="5F497A"/>
              </w:rPr>
              <w:t>PRIMARY METHOD:</w:t>
            </w:r>
            <w:r w:rsidRPr="00B1018B">
              <w:rPr>
                <w:b/>
                <w:bCs/>
              </w:rPr>
              <w:t xml:space="preserve"> </w:t>
            </w:r>
            <w:r w:rsidR="006A248A">
              <w:rPr>
                <w:bCs/>
              </w:rPr>
              <w:t>Abbott Alinity ci</w:t>
            </w:r>
          </w:p>
          <w:p w14:paraId="6FAB8C14" w14:textId="77777777" w:rsidR="008C6EDC" w:rsidRPr="0045274F" w:rsidRDefault="0045274F" w:rsidP="008C6EDC">
            <w:pPr>
              <w:pStyle w:val="Header"/>
              <w:tabs>
                <w:tab w:val="clear" w:pos="4320"/>
                <w:tab w:val="clear" w:pos="8640"/>
              </w:tabs>
              <w:spacing w:line="360" w:lineRule="auto"/>
              <w:jc w:val="both"/>
              <w:rPr>
                <w:rFonts w:cs="Arial"/>
              </w:rPr>
            </w:pPr>
            <w:r>
              <w:rPr>
                <w:bCs/>
              </w:rPr>
              <w:t>Backup Method</w:t>
            </w:r>
            <w:r w:rsidR="008C6EDC" w:rsidRPr="0045274F">
              <w:rPr>
                <w:bCs/>
              </w:rPr>
              <w:t xml:space="preserve">: </w:t>
            </w:r>
            <w:r w:rsidR="001B1C87" w:rsidRPr="0045274F">
              <w:rPr>
                <w:bCs/>
              </w:rPr>
              <w:t xml:space="preserve">Mayo Medical </w:t>
            </w:r>
            <w:r w:rsidRPr="0045274F">
              <w:rPr>
                <w:bCs/>
              </w:rPr>
              <w:t>Laboratories</w:t>
            </w:r>
          </w:p>
          <w:p w14:paraId="6FAB8C15" w14:textId="77777777" w:rsidR="008C6EDC" w:rsidRDefault="008C6EDC" w:rsidP="008C6EDC">
            <w:pPr>
              <w:pStyle w:val="Header"/>
              <w:tabs>
                <w:tab w:val="clear" w:pos="4320"/>
                <w:tab w:val="clear" w:pos="8640"/>
              </w:tabs>
              <w:jc w:val="both"/>
              <w:rPr>
                <w:rFonts w:cs="Arial"/>
                <w:szCs w:val="15"/>
              </w:rPr>
            </w:pPr>
          </w:p>
        </w:tc>
      </w:tr>
      <w:tr w:rsidR="00B816B4" w14:paraId="6FAB8C19" w14:textId="77777777" w:rsidTr="00D120DB">
        <w:trPr>
          <w:trHeight w:val="697"/>
          <w:tblHeader/>
        </w:trPr>
        <w:tc>
          <w:tcPr>
            <w:tcW w:w="2160" w:type="dxa"/>
            <w:tcBorders>
              <w:top w:val="single" w:sz="18" w:space="0" w:color="A6A6A6" w:themeColor="background1" w:themeShade="A6"/>
              <w:bottom w:val="single" w:sz="18" w:space="0" w:color="A6A6A6" w:themeColor="background1" w:themeShade="A6"/>
            </w:tcBorders>
            <w:vAlign w:val="center"/>
          </w:tcPr>
          <w:p w14:paraId="6FAB8C17" w14:textId="77777777" w:rsidR="00B816B4" w:rsidRDefault="00B816B4">
            <w:pPr>
              <w:rPr>
                <w:rFonts w:cs="Arial"/>
                <w:b/>
                <w:bCs/>
                <w:color w:val="0000FF"/>
              </w:rPr>
            </w:pPr>
            <w:r>
              <w:rPr>
                <w:rFonts w:cs="Arial"/>
                <w:b/>
                <w:bCs/>
                <w:color w:val="0000FF"/>
              </w:rPr>
              <w:t>Sunquest Test Code</w:t>
            </w:r>
          </w:p>
        </w:tc>
        <w:tc>
          <w:tcPr>
            <w:tcW w:w="8910" w:type="dxa"/>
            <w:tcBorders>
              <w:top w:val="single" w:sz="18" w:space="0" w:color="A6A6A6" w:themeColor="background1" w:themeShade="A6"/>
              <w:bottom w:val="single" w:sz="18" w:space="0" w:color="A6A6A6" w:themeColor="background1" w:themeShade="A6"/>
            </w:tcBorders>
            <w:vAlign w:val="center"/>
          </w:tcPr>
          <w:p w14:paraId="6FAB8C18" w14:textId="77777777" w:rsidR="00B816B4" w:rsidRPr="00BE7040" w:rsidRDefault="00B0339F" w:rsidP="003571BD">
            <w:pPr>
              <w:rPr>
                <w:rFonts w:cs="Arial"/>
                <w:b/>
                <w:szCs w:val="15"/>
              </w:rPr>
            </w:pPr>
            <w:r w:rsidRPr="00BE7040">
              <w:rPr>
                <w:rFonts w:cs="Arial"/>
                <w:b/>
                <w:szCs w:val="15"/>
              </w:rPr>
              <w:t>HBSA</w:t>
            </w:r>
          </w:p>
        </w:tc>
      </w:tr>
      <w:tr w:rsidR="008C6EDC" w14:paraId="6FAB8C30" w14:textId="77777777" w:rsidTr="00D120DB">
        <w:trPr>
          <w:cantSplit/>
          <w:trHeight w:val="2095"/>
          <w:tblHeader/>
        </w:trPr>
        <w:tc>
          <w:tcPr>
            <w:tcW w:w="2160" w:type="dxa"/>
            <w:tcBorders>
              <w:top w:val="single" w:sz="18" w:space="0" w:color="A6A6A6" w:themeColor="background1" w:themeShade="A6"/>
              <w:bottom w:val="single" w:sz="18" w:space="0" w:color="A6A6A6" w:themeColor="background1" w:themeShade="A6"/>
            </w:tcBorders>
          </w:tcPr>
          <w:p w14:paraId="6FAB8C1A" w14:textId="77777777" w:rsidR="008C6EDC" w:rsidRDefault="008C6EDC" w:rsidP="00FC6715">
            <w:pPr>
              <w:rPr>
                <w:rFonts w:cs="Arial"/>
                <w:b/>
                <w:bCs/>
                <w:color w:val="0000FF"/>
              </w:rPr>
            </w:pPr>
          </w:p>
          <w:p w14:paraId="6FAB8C1B" w14:textId="77777777" w:rsidR="008C6EDC" w:rsidRDefault="008C6EDC" w:rsidP="00FC6715">
            <w:pPr>
              <w:rPr>
                <w:rFonts w:cs="Arial"/>
                <w:b/>
                <w:bCs/>
                <w:color w:val="0000FF"/>
              </w:rPr>
            </w:pPr>
            <w:r>
              <w:rPr>
                <w:rFonts w:cs="Arial"/>
                <w:b/>
                <w:bCs/>
                <w:color w:val="0000FF"/>
              </w:rPr>
              <w:t>Specimen</w:t>
            </w:r>
          </w:p>
          <w:p w14:paraId="6FAB8C1C" w14:textId="77777777" w:rsidR="008C6EDC" w:rsidRDefault="008C6EDC" w:rsidP="00FC6715">
            <w:pPr>
              <w:rPr>
                <w:rFonts w:cs="Arial"/>
                <w:b/>
                <w:bCs/>
                <w:color w:val="0000FF"/>
              </w:rPr>
            </w:pPr>
          </w:p>
        </w:tc>
        <w:tc>
          <w:tcPr>
            <w:tcW w:w="8910" w:type="dxa"/>
            <w:tcBorders>
              <w:top w:val="single" w:sz="18" w:space="0" w:color="A6A6A6" w:themeColor="background1" w:themeShade="A6"/>
              <w:bottom w:val="single" w:sz="18" w:space="0" w:color="A6A6A6" w:themeColor="background1" w:themeShade="A6"/>
            </w:tcBorders>
          </w:tcPr>
          <w:p w14:paraId="6FAB8C1D" w14:textId="77777777" w:rsidR="008C6EDC" w:rsidRDefault="008C6EDC" w:rsidP="00FC6715">
            <w:pPr>
              <w:pStyle w:val="Header"/>
              <w:tabs>
                <w:tab w:val="clear" w:pos="4320"/>
                <w:tab w:val="clear" w:pos="8640"/>
              </w:tabs>
              <w:rPr>
                <w:rFonts w:cs="Arial"/>
              </w:rPr>
            </w:pPr>
          </w:p>
          <w:p w14:paraId="6FAB8C1E" w14:textId="77777777" w:rsidR="00F07A1B" w:rsidRDefault="00F07A1B" w:rsidP="00FC6715">
            <w:pPr>
              <w:pStyle w:val="Header"/>
              <w:tabs>
                <w:tab w:val="clear" w:pos="4320"/>
                <w:tab w:val="clear" w:pos="8640"/>
              </w:tabs>
              <w:rPr>
                <w:rFonts w:cs="Arial"/>
              </w:rPr>
            </w:pPr>
            <w:r>
              <w:rPr>
                <w:rFonts w:cs="Arial"/>
                <w:b/>
              </w:rPr>
              <w:t xml:space="preserve">Preferred </w:t>
            </w:r>
            <w:r w:rsidR="00D0201D">
              <w:rPr>
                <w:rFonts w:cs="Arial"/>
                <w:b/>
              </w:rPr>
              <w:t>Sample type:</w:t>
            </w:r>
            <w:r w:rsidR="00DA7E2D">
              <w:rPr>
                <w:rFonts w:cs="Arial"/>
                <w:b/>
              </w:rPr>
              <w:t xml:space="preserve"> </w:t>
            </w:r>
            <w:r>
              <w:rPr>
                <w:rFonts w:cs="Arial"/>
              </w:rPr>
              <w:t>Serum/SST</w:t>
            </w:r>
          </w:p>
          <w:p w14:paraId="59DF2E95" w14:textId="620ADE46" w:rsidR="00334FD8" w:rsidRDefault="00334FD8" w:rsidP="00FC6715">
            <w:pPr>
              <w:pStyle w:val="Header"/>
              <w:tabs>
                <w:tab w:val="clear" w:pos="4320"/>
                <w:tab w:val="clear" w:pos="8640"/>
              </w:tabs>
              <w:rPr>
                <w:rFonts w:cs="Arial"/>
              </w:rPr>
            </w:pPr>
            <w:r>
              <w:rPr>
                <w:rFonts w:cs="Arial"/>
              </w:rPr>
              <w:t>Other sample types are acceptable but cannot be used for confirmatory testing.  See package insert for more details.</w:t>
            </w:r>
          </w:p>
          <w:p w14:paraId="6FAB8C1F" w14:textId="77777777" w:rsidR="008C6EDC" w:rsidRPr="00DA7E2D" w:rsidRDefault="00DA7E2D" w:rsidP="00FC6715">
            <w:pPr>
              <w:pStyle w:val="Header"/>
              <w:tabs>
                <w:tab w:val="clear" w:pos="4320"/>
                <w:tab w:val="clear" w:pos="8640"/>
              </w:tabs>
              <w:rPr>
                <w:rFonts w:cs="Arial"/>
              </w:rPr>
            </w:pPr>
            <w:r>
              <w:rPr>
                <w:rFonts w:cs="Arial"/>
              </w:rPr>
              <w:t xml:space="preserve"> </w:t>
            </w:r>
          </w:p>
          <w:p w14:paraId="6FAB8C20" w14:textId="77777777" w:rsidR="008C6EDC" w:rsidRDefault="00F07A1B" w:rsidP="00FC6715">
            <w:pPr>
              <w:rPr>
                <w:rFonts w:cs="Arial"/>
              </w:rPr>
            </w:pPr>
            <w:r w:rsidRPr="00F07A1B">
              <w:rPr>
                <w:rFonts w:cs="Arial"/>
                <w:b/>
              </w:rPr>
              <w:t>Preferred Sample Draw Volume</w:t>
            </w:r>
            <w:r>
              <w:rPr>
                <w:rFonts w:cs="Arial"/>
              </w:rPr>
              <w:t>: 3.6 mL blood</w:t>
            </w:r>
          </w:p>
          <w:p w14:paraId="6FAB8C21" w14:textId="77777777" w:rsidR="00F07A1B" w:rsidRDefault="00F07A1B" w:rsidP="00FC6715">
            <w:pPr>
              <w:rPr>
                <w:rFonts w:cs="Arial"/>
              </w:rPr>
            </w:pPr>
          </w:p>
          <w:p w14:paraId="6FAB8C22" w14:textId="77777777" w:rsidR="008C6EDC" w:rsidRDefault="008C6EDC" w:rsidP="00FC6715">
            <w:pPr>
              <w:pStyle w:val="Header"/>
              <w:tabs>
                <w:tab w:val="clear" w:pos="4320"/>
                <w:tab w:val="clear" w:pos="8640"/>
              </w:tabs>
              <w:rPr>
                <w:rFonts w:cs="Arial"/>
              </w:rPr>
            </w:pPr>
            <w:r>
              <w:rPr>
                <w:rFonts w:cs="Arial"/>
                <w:b/>
                <w:bCs/>
              </w:rPr>
              <w:t xml:space="preserve">Minimum </w:t>
            </w:r>
            <w:r w:rsidR="00F07A1B">
              <w:rPr>
                <w:rFonts w:cs="Arial"/>
                <w:b/>
                <w:bCs/>
              </w:rPr>
              <w:t>Processed Sample V</w:t>
            </w:r>
            <w:r>
              <w:rPr>
                <w:rFonts w:cs="Arial"/>
                <w:b/>
                <w:bCs/>
              </w:rPr>
              <w:t>olume:</w:t>
            </w:r>
            <w:r>
              <w:rPr>
                <w:rFonts w:cs="Arial"/>
              </w:rPr>
              <w:t xml:space="preserve"> </w:t>
            </w:r>
            <w:r w:rsidR="00DA7E2D">
              <w:rPr>
                <w:rFonts w:cs="Arial"/>
              </w:rPr>
              <w:t xml:space="preserve"> </w:t>
            </w:r>
            <w:r w:rsidR="004A2D6A">
              <w:rPr>
                <w:rFonts w:cs="Arial"/>
              </w:rPr>
              <w:t>1.0</w:t>
            </w:r>
            <w:r w:rsidR="00F07A1B">
              <w:rPr>
                <w:rFonts w:cs="Arial"/>
              </w:rPr>
              <w:t xml:space="preserve"> </w:t>
            </w:r>
            <w:r w:rsidR="004A2D6A">
              <w:rPr>
                <w:rFonts w:cs="Arial"/>
              </w:rPr>
              <w:t>mL</w:t>
            </w:r>
            <w:r w:rsidR="00DA7E2D">
              <w:rPr>
                <w:rFonts w:cs="Arial"/>
                <w:szCs w:val="20"/>
              </w:rPr>
              <w:t xml:space="preserve"> of serum </w:t>
            </w:r>
          </w:p>
          <w:p w14:paraId="6FAB8C23" w14:textId="77777777" w:rsidR="008C6EDC" w:rsidRDefault="008C6EDC" w:rsidP="00FC6715">
            <w:pPr>
              <w:rPr>
                <w:rFonts w:cs="Arial"/>
              </w:rPr>
            </w:pPr>
          </w:p>
          <w:p w14:paraId="6FAB8C24" w14:textId="4D3DA008" w:rsidR="008C6EDC" w:rsidRDefault="008C6EDC" w:rsidP="00DA7E2D">
            <w:pPr>
              <w:autoSpaceDE w:val="0"/>
              <w:autoSpaceDN w:val="0"/>
              <w:adjustRightInd w:val="0"/>
              <w:rPr>
                <w:rFonts w:eastAsia="HelenPro-Regular"/>
              </w:rPr>
            </w:pPr>
            <w:r>
              <w:rPr>
                <w:rFonts w:cs="Arial"/>
                <w:b/>
                <w:bCs/>
              </w:rPr>
              <w:t>Stability</w:t>
            </w:r>
            <w:r w:rsidR="00B0339F">
              <w:rPr>
                <w:rFonts w:cs="Arial"/>
                <w:b/>
                <w:bCs/>
              </w:rPr>
              <w:t xml:space="preserve">: </w:t>
            </w:r>
            <w:r w:rsidR="00B7030D">
              <w:rPr>
                <w:rFonts w:cs="Arial"/>
                <w:bCs/>
              </w:rPr>
              <w:t>24 hours</w:t>
            </w:r>
            <w:r w:rsidR="00334FD8">
              <w:rPr>
                <w:rFonts w:cs="Arial"/>
              </w:rPr>
              <w:t xml:space="preserve"> at room temperature, 6</w:t>
            </w:r>
            <w:r w:rsidR="00DA7E2D">
              <w:rPr>
                <w:rFonts w:cs="Arial"/>
              </w:rPr>
              <w:t xml:space="preserve"> days </w:t>
            </w:r>
            <w:r w:rsidR="00DA7E2D">
              <w:rPr>
                <w:rFonts w:eastAsia="HelenPro-Regular"/>
              </w:rPr>
              <w:t>at 2-8°C,</w:t>
            </w:r>
            <w:r w:rsidR="00B0339F">
              <w:rPr>
                <w:rFonts w:eastAsia="HelenPro-Bold"/>
                <w:bCs/>
              </w:rPr>
              <w:t xml:space="preserve"> 2 years at</w:t>
            </w:r>
            <w:r w:rsidR="00DA7E2D" w:rsidRPr="008036AC">
              <w:rPr>
                <w:rFonts w:eastAsia="HelenPro-Regular"/>
              </w:rPr>
              <w:t xml:space="preserve"> -20°C or</w:t>
            </w:r>
            <w:r w:rsidR="00DA7E2D">
              <w:rPr>
                <w:rFonts w:eastAsia="HelenPro-Regular"/>
              </w:rPr>
              <w:t xml:space="preserve"> </w:t>
            </w:r>
            <w:r w:rsidR="00DA7E2D" w:rsidRPr="008036AC">
              <w:rPr>
                <w:rFonts w:eastAsia="HelenPro-Regular"/>
              </w:rPr>
              <w:t>colder.</w:t>
            </w:r>
            <w:r w:rsidR="00DA7E2D">
              <w:rPr>
                <w:rFonts w:eastAsia="HelenPro-Regular"/>
              </w:rPr>
              <w:t xml:space="preserve"> </w:t>
            </w:r>
            <w:r w:rsidR="00334FD8">
              <w:rPr>
                <w:rFonts w:eastAsia="HelenPro-Regular"/>
              </w:rPr>
              <w:t xml:space="preserve"> Avoid more than 3 freeze/thaw cycles.  </w:t>
            </w:r>
          </w:p>
          <w:p w14:paraId="6FAB8C25" w14:textId="77777777" w:rsidR="00F07A1B" w:rsidRDefault="00F07A1B" w:rsidP="00DA7E2D">
            <w:pPr>
              <w:autoSpaceDE w:val="0"/>
              <w:autoSpaceDN w:val="0"/>
              <w:adjustRightInd w:val="0"/>
              <w:rPr>
                <w:rFonts w:eastAsia="HelenPro-Regular"/>
              </w:rPr>
            </w:pPr>
          </w:p>
          <w:p w14:paraId="6FAB8C26" w14:textId="77777777" w:rsidR="00F07A1B" w:rsidRPr="00F07A1B" w:rsidRDefault="00F07A1B" w:rsidP="00DA7E2D">
            <w:pPr>
              <w:autoSpaceDE w:val="0"/>
              <w:autoSpaceDN w:val="0"/>
              <w:adjustRightInd w:val="0"/>
              <w:rPr>
                <w:rFonts w:eastAsia="HelenPro-Bold"/>
                <w:bCs/>
              </w:rPr>
            </w:pPr>
            <w:r>
              <w:rPr>
                <w:rFonts w:eastAsia="HelenPro-Regular"/>
                <w:b/>
              </w:rPr>
              <w:t xml:space="preserve">Transport: </w:t>
            </w:r>
            <w:r>
              <w:rPr>
                <w:rFonts w:eastAsia="HelenPro-Regular"/>
              </w:rPr>
              <w:t xml:space="preserve"> Send samples to Minneapolis lab refrigerated at 2-8°C.  Reactive reflexed samples should be sent frozen to MML.</w:t>
            </w:r>
          </w:p>
          <w:p w14:paraId="6FAB8C27" w14:textId="77777777" w:rsidR="008C6EDC" w:rsidRDefault="008C6EDC" w:rsidP="00FC6715">
            <w:pPr>
              <w:pStyle w:val="Header"/>
              <w:tabs>
                <w:tab w:val="clear" w:pos="4320"/>
                <w:tab w:val="clear" w:pos="8640"/>
              </w:tabs>
              <w:rPr>
                <w:rFonts w:cs="Arial"/>
                <w:szCs w:val="14"/>
              </w:rPr>
            </w:pPr>
          </w:p>
          <w:p w14:paraId="6FAB8C28" w14:textId="77777777" w:rsidR="008C6EDC" w:rsidRDefault="008C6EDC" w:rsidP="00FC6715">
            <w:pPr>
              <w:rPr>
                <w:rFonts w:cs="Arial"/>
              </w:rPr>
            </w:pPr>
            <w:r>
              <w:rPr>
                <w:rFonts w:cs="Arial"/>
                <w:b/>
                <w:bCs/>
              </w:rPr>
              <w:t>Rejection criteria:</w:t>
            </w:r>
            <w:r>
              <w:rPr>
                <w:rFonts w:cs="Arial"/>
              </w:rPr>
              <w:t xml:space="preserve"> </w:t>
            </w:r>
            <w:r w:rsidR="00CF7522">
              <w:rPr>
                <w:rFonts w:cs="Arial"/>
              </w:rPr>
              <w:t>Unlabeled specimens, incorrect sample type</w:t>
            </w:r>
          </w:p>
          <w:p w14:paraId="6FAB8C29" w14:textId="77777777" w:rsidR="008C6EDC" w:rsidRDefault="008C6EDC" w:rsidP="00FC6715">
            <w:pPr>
              <w:rPr>
                <w:rFonts w:cs="Arial"/>
                <w:b/>
                <w:bCs/>
                <w:szCs w:val="20"/>
              </w:rPr>
            </w:pPr>
          </w:p>
          <w:p w14:paraId="6FAB8C2A" w14:textId="77777777" w:rsidR="008C6EDC" w:rsidRPr="009F5F31" w:rsidRDefault="008C6EDC" w:rsidP="00FC6715">
            <w:pPr>
              <w:rPr>
                <w:rFonts w:cs="Arial"/>
                <w:szCs w:val="20"/>
              </w:rPr>
            </w:pPr>
            <w:r w:rsidRPr="009F5F31">
              <w:rPr>
                <w:rFonts w:cs="Arial"/>
                <w:b/>
                <w:bCs/>
                <w:szCs w:val="20"/>
              </w:rPr>
              <w:t>Preparation:</w:t>
            </w:r>
            <w:r w:rsidRPr="009F5F31">
              <w:rPr>
                <w:rFonts w:cs="Arial"/>
                <w:szCs w:val="20"/>
              </w:rPr>
              <w:t xml:space="preserve"> </w:t>
            </w:r>
          </w:p>
          <w:p w14:paraId="5122D4C7" w14:textId="77777777" w:rsidR="00334FD8" w:rsidRPr="00334FD8" w:rsidRDefault="00334FD8" w:rsidP="00334FD8">
            <w:pPr>
              <w:numPr>
                <w:ilvl w:val="0"/>
                <w:numId w:val="14"/>
              </w:numPr>
              <w:autoSpaceDE w:val="0"/>
              <w:autoSpaceDN w:val="0"/>
              <w:adjustRightInd w:val="0"/>
              <w:rPr>
                <w:rFonts w:cs="Arial"/>
                <w:szCs w:val="20"/>
              </w:rPr>
            </w:pPr>
            <w:r w:rsidRPr="00334FD8">
              <w:rPr>
                <w:rFonts w:cs="Arial"/>
                <w:szCs w:val="20"/>
              </w:rPr>
              <w:t>Whole blood specimens should be centrifuged following complete clot formation, according to Specimen Processing procedures prior to analysis.</w:t>
            </w:r>
          </w:p>
          <w:p w14:paraId="4049B693" w14:textId="44C368D9" w:rsidR="00334FD8" w:rsidRPr="00334FD8" w:rsidRDefault="00334FD8" w:rsidP="00334FD8">
            <w:pPr>
              <w:numPr>
                <w:ilvl w:val="0"/>
                <w:numId w:val="14"/>
              </w:numPr>
              <w:autoSpaceDE w:val="0"/>
              <w:autoSpaceDN w:val="0"/>
              <w:adjustRightInd w:val="0"/>
              <w:rPr>
                <w:rFonts w:cs="Arial"/>
                <w:szCs w:val="20"/>
              </w:rPr>
            </w:pPr>
            <w:r>
              <w:rPr>
                <w:rFonts w:cs="Arial"/>
                <w:szCs w:val="20"/>
              </w:rPr>
              <w:t>Serum or</w:t>
            </w:r>
            <w:r w:rsidRPr="00334FD8">
              <w:rPr>
                <w:rFonts w:cs="Arial"/>
                <w:szCs w:val="20"/>
              </w:rPr>
              <w:t xml:space="preserve"> should be physically separated from cells as soon as possible with a maximum limit of two hours from the time of collection.</w:t>
            </w:r>
          </w:p>
          <w:p w14:paraId="66EE0EE6" w14:textId="77777777" w:rsidR="00334FD8" w:rsidRPr="00334FD8" w:rsidRDefault="00334FD8" w:rsidP="00334FD8">
            <w:pPr>
              <w:numPr>
                <w:ilvl w:val="0"/>
                <w:numId w:val="14"/>
              </w:numPr>
              <w:autoSpaceDE w:val="0"/>
              <w:autoSpaceDN w:val="0"/>
              <w:adjustRightInd w:val="0"/>
              <w:rPr>
                <w:rFonts w:cs="Arial"/>
                <w:szCs w:val="20"/>
              </w:rPr>
            </w:pPr>
            <w:r w:rsidRPr="00334FD8">
              <w:rPr>
                <w:rFonts w:cs="Arial"/>
                <w:szCs w:val="20"/>
              </w:rPr>
              <w:t xml:space="preserve">Specimens should be free of particulate matter. </w:t>
            </w:r>
          </w:p>
          <w:p w14:paraId="55BE842A" w14:textId="77777777" w:rsidR="00334FD8" w:rsidRPr="00334FD8" w:rsidRDefault="00334FD8" w:rsidP="00334FD8">
            <w:pPr>
              <w:numPr>
                <w:ilvl w:val="0"/>
                <w:numId w:val="14"/>
              </w:numPr>
              <w:autoSpaceDE w:val="0"/>
              <w:autoSpaceDN w:val="0"/>
              <w:adjustRightInd w:val="0"/>
              <w:rPr>
                <w:rFonts w:cs="Arial"/>
                <w:szCs w:val="20"/>
              </w:rPr>
            </w:pPr>
            <w:r w:rsidRPr="00334FD8">
              <w:rPr>
                <w:rFonts w:cs="Arial"/>
                <w:szCs w:val="20"/>
              </w:rPr>
              <w:t xml:space="preserve">Transfer serum or plasma directly to a properly labeled pilot tube.  </w:t>
            </w:r>
          </w:p>
          <w:p w14:paraId="08E12DB5" w14:textId="77777777" w:rsidR="00334FD8" w:rsidRPr="00334FD8" w:rsidRDefault="00334FD8" w:rsidP="00334FD8">
            <w:pPr>
              <w:numPr>
                <w:ilvl w:val="0"/>
                <w:numId w:val="14"/>
              </w:numPr>
              <w:autoSpaceDE w:val="0"/>
              <w:autoSpaceDN w:val="0"/>
              <w:adjustRightInd w:val="0"/>
              <w:rPr>
                <w:rFonts w:cs="Arial"/>
                <w:szCs w:val="20"/>
              </w:rPr>
            </w:pPr>
            <w:r w:rsidRPr="00334FD8">
              <w:rPr>
                <w:rFonts w:cs="Arial"/>
                <w:szCs w:val="20"/>
              </w:rPr>
              <w:t xml:space="preserve">Architect and Alinity systems utilize a specimen level detect mechanism, so special racks specific to tube-type are not required.  </w:t>
            </w:r>
          </w:p>
          <w:p w14:paraId="41A32231" w14:textId="77777777" w:rsidR="00334FD8" w:rsidRPr="00334FD8" w:rsidRDefault="00334FD8" w:rsidP="00334FD8">
            <w:pPr>
              <w:numPr>
                <w:ilvl w:val="0"/>
                <w:numId w:val="14"/>
              </w:numPr>
              <w:autoSpaceDE w:val="0"/>
              <w:autoSpaceDN w:val="0"/>
              <w:adjustRightInd w:val="0"/>
              <w:rPr>
                <w:rFonts w:cs="Arial"/>
                <w:szCs w:val="20"/>
              </w:rPr>
            </w:pPr>
            <w:r w:rsidRPr="00334FD8">
              <w:rPr>
                <w:rFonts w:cs="Arial"/>
                <w:szCs w:val="20"/>
              </w:rPr>
              <w:t>Minimum labeling includes sample accession ID, and/ or patient name, medical record number, collection date and time.</w:t>
            </w:r>
          </w:p>
          <w:p w14:paraId="6FAB8C2F" w14:textId="77777777" w:rsidR="008C6EDC" w:rsidRDefault="008C6EDC" w:rsidP="00FC6715">
            <w:pPr>
              <w:autoSpaceDE w:val="0"/>
              <w:autoSpaceDN w:val="0"/>
              <w:adjustRightInd w:val="0"/>
              <w:rPr>
                <w:rFonts w:cs="Arial"/>
              </w:rPr>
            </w:pPr>
          </w:p>
        </w:tc>
      </w:tr>
      <w:tr w:rsidR="00B816B4" w14:paraId="6FAB8C58" w14:textId="77777777" w:rsidTr="00D120DB">
        <w:trPr>
          <w:trHeight w:val="5417"/>
          <w:tblHeader/>
        </w:trPr>
        <w:tc>
          <w:tcPr>
            <w:tcW w:w="2160" w:type="dxa"/>
            <w:tcBorders>
              <w:top w:val="single" w:sz="18" w:space="0" w:color="A6A6A6" w:themeColor="background1" w:themeShade="A6"/>
              <w:bottom w:val="single" w:sz="18" w:space="0" w:color="A6A6A6" w:themeColor="background1" w:themeShade="A6"/>
            </w:tcBorders>
          </w:tcPr>
          <w:p w14:paraId="6FAB8C31" w14:textId="77777777" w:rsidR="00B816B4" w:rsidRDefault="00B816B4">
            <w:pPr>
              <w:rPr>
                <w:rFonts w:cs="Arial"/>
                <w:b/>
                <w:bCs/>
                <w:color w:val="0000FF"/>
              </w:rPr>
            </w:pPr>
          </w:p>
          <w:p w14:paraId="6FAB8C32" w14:textId="77777777" w:rsidR="00B816B4" w:rsidRDefault="00B816B4">
            <w:pPr>
              <w:rPr>
                <w:rFonts w:cs="Arial"/>
                <w:b/>
                <w:bCs/>
                <w:color w:val="0000FF"/>
              </w:rPr>
            </w:pPr>
            <w:r>
              <w:rPr>
                <w:rFonts w:cs="Arial"/>
                <w:b/>
                <w:bCs/>
                <w:color w:val="0000FF"/>
              </w:rPr>
              <w:t>Reagents</w:t>
            </w:r>
          </w:p>
          <w:p w14:paraId="6FAB8C33" w14:textId="77777777" w:rsidR="00B816B4" w:rsidRDefault="00B816B4">
            <w:pPr>
              <w:rPr>
                <w:rFonts w:cs="Arial"/>
                <w:b/>
                <w:bCs/>
                <w:color w:val="0000FF"/>
              </w:rPr>
            </w:pPr>
          </w:p>
        </w:tc>
        <w:tc>
          <w:tcPr>
            <w:tcW w:w="8910" w:type="dxa"/>
            <w:tcBorders>
              <w:top w:val="single" w:sz="18" w:space="0" w:color="A6A6A6" w:themeColor="background1" w:themeShade="A6"/>
              <w:bottom w:val="single" w:sz="18" w:space="0" w:color="A6A6A6" w:themeColor="background1" w:themeShade="A6"/>
            </w:tcBorders>
          </w:tcPr>
          <w:p w14:paraId="6CFFF451" w14:textId="5D45B3B1" w:rsidR="004C7639" w:rsidRPr="004C7639" w:rsidRDefault="004C7639" w:rsidP="004C7639">
            <w:pPr>
              <w:pStyle w:val="Reagents"/>
              <w:rPr>
                <w:rFonts w:ascii="Arial" w:hAnsi="Arial" w:cs="Arial"/>
                <w:b/>
                <w:bCs/>
              </w:rPr>
            </w:pPr>
            <w:r w:rsidRPr="004C7639">
              <w:rPr>
                <w:rFonts w:ascii="Arial" w:hAnsi="Arial" w:cs="Arial"/>
                <w:b/>
                <w:bCs/>
              </w:rPr>
              <w:t>Reagent Handling</w:t>
            </w:r>
            <w:r>
              <w:rPr>
                <w:rFonts w:ascii="Arial" w:hAnsi="Arial" w:cs="Arial"/>
                <w:b/>
                <w:bCs/>
              </w:rPr>
              <w:t>:</w:t>
            </w:r>
          </w:p>
          <w:p w14:paraId="0351956C" w14:textId="1D91FB84" w:rsidR="004C7639" w:rsidRDefault="004C7639" w:rsidP="004C7639">
            <w:pPr>
              <w:pStyle w:val="Reagents"/>
              <w:rPr>
                <w:rFonts w:ascii="Arial" w:hAnsi="Arial" w:cs="Arial"/>
                <w:bCs/>
              </w:rPr>
            </w:pPr>
            <w:r w:rsidRPr="004C7639">
              <w:rPr>
                <w:rFonts w:ascii="Arial" w:hAnsi="Arial" w:cs="Arial"/>
                <w:bCs/>
              </w:rPr>
              <w:t>• Upon receipt, gently invert the u</w:t>
            </w:r>
            <w:r>
              <w:rPr>
                <w:rFonts w:ascii="Arial" w:hAnsi="Arial" w:cs="Arial"/>
                <w:bCs/>
              </w:rPr>
              <w:t xml:space="preserve">nopened reagent kit by rotating </w:t>
            </w:r>
            <w:r w:rsidRPr="004C7639">
              <w:rPr>
                <w:rFonts w:ascii="Arial" w:hAnsi="Arial" w:cs="Arial"/>
                <w:bCs/>
              </w:rPr>
              <w:t>it over and back for a full 180 de</w:t>
            </w:r>
            <w:r>
              <w:rPr>
                <w:rFonts w:ascii="Arial" w:hAnsi="Arial" w:cs="Arial"/>
                <w:bCs/>
              </w:rPr>
              <w:t xml:space="preserve">grees, 5 times with green label </w:t>
            </w:r>
            <w:r w:rsidRPr="004C7639">
              <w:rPr>
                <w:rFonts w:ascii="Arial" w:hAnsi="Arial" w:cs="Arial"/>
                <w:bCs/>
              </w:rPr>
              <w:t>stripe facing up and then 5 times with</w:t>
            </w:r>
            <w:r>
              <w:rPr>
                <w:rFonts w:ascii="Arial" w:hAnsi="Arial" w:cs="Arial"/>
                <w:bCs/>
              </w:rPr>
              <w:t xml:space="preserve"> green label stripe facing </w:t>
            </w:r>
            <w:r w:rsidRPr="004C7639">
              <w:rPr>
                <w:rFonts w:ascii="Arial" w:hAnsi="Arial" w:cs="Arial"/>
                <w:bCs/>
              </w:rPr>
              <w:t xml:space="preserve">down. This ensures that liquid </w:t>
            </w:r>
            <w:r>
              <w:rPr>
                <w:rFonts w:ascii="Arial" w:hAnsi="Arial" w:cs="Arial"/>
                <w:bCs/>
              </w:rPr>
              <w:t xml:space="preserve">covers all sides of the bottles </w:t>
            </w:r>
            <w:r w:rsidRPr="004C7639">
              <w:rPr>
                <w:rFonts w:ascii="Arial" w:hAnsi="Arial" w:cs="Arial"/>
                <w:bCs/>
              </w:rPr>
              <w:t>within the cartridges. During r</w:t>
            </w:r>
            <w:r>
              <w:rPr>
                <w:rFonts w:ascii="Arial" w:hAnsi="Arial" w:cs="Arial"/>
                <w:bCs/>
              </w:rPr>
              <w:t xml:space="preserve">eagent shipment, microparticles </w:t>
            </w:r>
            <w:r w:rsidRPr="004C7639">
              <w:rPr>
                <w:rFonts w:ascii="Arial" w:hAnsi="Arial" w:cs="Arial"/>
                <w:bCs/>
              </w:rPr>
              <w:t>can settle on the reagent septum.</w:t>
            </w:r>
          </w:p>
          <w:p w14:paraId="40781E0B" w14:textId="77777777" w:rsidR="004C7639" w:rsidRPr="004C7639" w:rsidRDefault="004C7639" w:rsidP="004C7639">
            <w:pPr>
              <w:pStyle w:val="Reagents"/>
              <w:rPr>
                <w:rFonts w:ascii="Arial" w:hAnsi="Arial" w:cs="Arial"/>
                <w:bCs/>
              </w:rPr>
            </w:pPr>
          </w:p>
          <w:p w14:paraId="3EFC31E5" w14:textId="13D88C2A" w:rsidR="004C7639" w:rsidRDefault="004C7639" w:rsidP="004C7639">
            <w:pPr>
              <w:pStyle w:val="Reagents"/>
              <w:rPr>
                <w:rFonts w:ascii="Arial" w:hAnsi="Arial" w:cs="Arial"/>
                <w:b/>
                <w:bCs/>
              </w:rPr>
            </w:pPr>
            <w:r w:rsidRPr="004C7639">
              <w:rPr>
                <w:rFonts w:ascii="Arial" w:hAnsi="Arial" w:cs="Arial"/>
                <w:bCs/>
              </w:rPr>
              <w:t xml:space="preserve">–– </w:t>
            </w:r>
            <w:r w:rsidRPr="004C7639">
              <w:rPr>
                <w:rFonts w:ascii="Arial" w:hAnsi="Arial" w:cs="Arial"/>
                <w:b/>
                <w:bCs/>
              </w:rPr>
              <w:t>Place a check in the square on</w:t>
            </w:r>
            <w:r w:rsidRPr="004C7639">
              <w:rPr>
                <w:rFonts w:ascii="Arial" w:hAnsi="Arial" w:cs="Arial"/>
                <w:b/>
                <w:bCs/>
              </w:rPr>
              <w:t xml:space="preserve"> the reagent kit to indicate to </w:t>
            </w:r>
            <w:r w:rsidRPr="004C7639">
              <w:rPr>
                <w:rFonts w:ascii="Arial" w:hAnsi="Arial" w:cs="Arial"/>
                <w:b/>
                <w:bCs/>
              </w:rPr>
              <w:t>others that the inversions have been completed.</w:t>
            </w:r>
          </w:p>
          <w:p w14:paraId="40D18214" w14:textId="77777777" w:rsidR="004C7639" w:rsidRPr="004C7639" w:rsidRDefault="004C7639" w:rsidP="004C7639">
            <w:pPr>
              <w:pStyle w:val="Reagents"/>
              <w:rPr>
                <w:rFonts w:ascii="Arial" w:hAnsi="Arial" w:cs="Arial"/>
                <w:bCs/>
              </w:rPr>
            </w:pPr>
          </w:p>
          <w:p w14:paraId="7376C5C0" w14:textId="4970C027" w:rsidR="004C7639" w:rsidRDefault="004C7639" w:rsidP="004C7639">
            <w:pPr>
              <w:pStyle w:val="Reagents"/>
              <w:rPr>
                <w:rFonts w:ascii="Arial" w:hAnsi="Arial" w:cs="Arial"/>
                <w:bCs/>
              </w:rPr>
            </w:pPr>
            <w:r w:rsidRPr="004C7639">
              <w:rPr>
                <w:rFonts w:ascii="Arial" w:hAnsi="Arial" w:cs="Arial"/>
                <w:bCs/>
              </w:rPr>
              <w:t>• After mixing, place reagent cartri</w:t>
            </w:r>
            <w:r>
              <w:rPr>
                <w:rFonts w:ascii="Arial" w:hAnsi="Arial" w:cs="Arial"/>
                <w:bCs/>
              </w:rPr>
              <w:t xml:space="preserve">dges in an upright position for </w:t>
            </w:r>
            <w:r w:rsidRPr="004C7639">
              <w:rPr>
                <w:rFonts w:ascii="Arial" w:hAnsi="Arial" w:cs="Arial"/>
                <w:bCs/>
              </w:rPr>
              <w:t xml:space="preserve">1 hour before use to allow </w:t>
            </w:r>
            <w:r>
              <w:rPr>
                <w:rFonts w:ascii="Arial" w:hAnsi="Arial" w:cs="Arial"/>
                <w:bCs/>
              </w:rPr>
              <w:t xml:space="preserve">bubbles that may have formed to </w:t>
            </w:r>
            <w:r w:rsidRPr="004C7639">
              <w:rPr>
                <w:rFonts w:ascii="Arial" w:hAnsi="Arial" w:cs="Arial"/>
                <w:bCs/>
              </w:rPr>
              <w:t>dissipate.</w:t>
            </w:r>
          </w:p>
          <w:p w14:paraId="15D5A96D" w14:textId="77777777" w:rsidR="004C7639" w:rsidRPr="004C7639" w:rsidRDefault="004C7639" w:rsidP="004C7639">
            <w:pPr>
              <w:pStyle w:val="Reagents"/>
              <w:rPr>
                <w:rFonts w:ascii="Arial" w:hAnsi="Arial" w:cs="Arial"/>
                <w:bCs/>
              </w:rPr>
            </w:pPr>
          </w:p>
          <w:p w14:paraId="48E1AE1B" w14:textId="6570D084" w:rsidR="004C7639" w:rsidRDefault="004C7639" w:rsidP="004C7639">
            <w:pPr>
              <w:pStyle w:val="Reagents"/>
              <w:rPr>
                <w:rFonts w:ascii="Arial" w:hAnsi="Arial" w:cs="Arial"/>
                <w:bCs/>
              </w:rPr>
            </w:pPr>
            <w:r w:rsidRPr="004C7639">
              <w:rPr>
                <w:rFonts w:ascii="Arial" w:hAnsi="Arial" w:cs="Arial"/>
                <w:bCs/>
              </w:rPr>
              <w:t>• If a reagent cartridge is droppe</w:t>
            </w:r>
            <w:r>
              <w:rPr>
                <w:rFonts w:ascii="Arial" w:hAnsi="Arial" w:cs="Arial"/>
                <w:bCs/>
              </w:rPr>
              <w:t xml:space="preserve">d, place in an upright position </w:t>
            </w:r>
            <w:r w:rsidRPr="004C7639">
              <w:rPr>
                <w:rFonts w:ascii="Arial" w:hAnsi="Arial" w:cs="Arial"/>
                <w:bCs/>
              </w:rPr>
              <w:t xml:space="preserve">for 1 hour before use to allow </w:t>
            </w:r>
            <w:r>
              <w:rPr>
                <w:rFonts w:ascii="Arial" w:hAnsi="Arial" w:cs="Arial"/>
                <w:bCs/>
              </w:rPr>
              <w:t xml:space="preserve">bubbles that may have formed to </w:t>
            </w:r>
            <w:r w:rsidRPr="004C7639">
              <w:rPr>
                <w:rFonts w:ascii="Arial" w:hAnsi="Arial" w:cs="Arial"/>
                <w:bCs/>
              </w:rPr>
              <w:t>dissipate.</w:t>
            </w:r>
          </w:p>
          <w:p w14:paraId="43F12999" w14:textId="77777777" w:rsidR="004C7639" w:rsidRPr="004C7639" w:rsidRDefault="004C7639" w:rsidP="004C7639">
            <w:pPr>
              <w:pStyle w:val="Reagents"/>
              <w:rPr>
                <w:rFonts w:ascii="Arial" w:hAnsi="Arial" w:cs="Arial"/>
                <w:bCs/>
              </w:rPr>
            </w:pPr>
          </w:p>
          <w:p w14:paraId="330B3697" w14:textId="6ED6DD35" w:rsidR="004C7639" w:rsidRPr="004C7639" w:rsidRDefault="004C7639" w:rsidP="004C7639">
            <w:pPr>
              <w:pStyle w:val="Reagents"/>
              <w:rPr>
                <w:rFonts w:ascii="Arial" w:hAnsi="Arial" w:cs="Arial"/>
                <w:bCs/>
              </w:rPr>
            </w:pPr>
            <w:r w:rsidRPr="004C7639">
              <w:rPr>
                <w:rFonts w:ascii="Arial" w:hAnsi="Arial" w:cs="Arial"/>
                <w:bCs/>
              </w:rPr>
              <w:t>• Reagents are susceptible to the</w:t>
            </w:r>
            <w:r>
              <w:rPr>
                <w:rFonts w:ascii="Arial" w:hAnsi="Arial" w:cs="Arial"/>
                <w:bCs/>
              </w:rPr>
              <w:t xml:space="preserve"> formation of foam and bubbles. </w:t>
            </w:r>
            <w:r w:rsidRPr="004C7639">
              <w:rPr>
                <w:rFonts w:ascii="Arial" w:hAnsi="Arial" w:cs="Arial"/>
                <w:bCs/>
              </w:rPr>
              <w:t>Bubbles may interfere with the de</w:t>
            </w:r>
            <w:r>
              <w:rPr>
                <w:rFonts w:ascii="Arial" w:hAnsi="Arial" w:cs="Arial"/>
                <w:bCs/>
              </w:rPr>
              <w:t xml:space="preserve">tection of the reagent level in </w:t>
            </w:r>
            <w:r w:rsidRPr="004C7639">
              <w:rPr>
                <w:rFonts w:ascii="Arial" w:hAnsi="Arial" w:cs="Arial"/>
                <w:bCs/>
              </w:rPr>
              <w:t>the cartridge and cause insufficient reagent aspiration that may</w:t>
            </w:r>
          </w:p>
          <w:p w14:paraId="23D461DC" w14:textId="5B257199" w:rsidR="004C7639" w:rsidRPr="004C7639" w:rsidRDefault="004C7639" w:rsidP="008C6EDC">
            <w:pPr>
              <w:pStyle w:val="Reagents"/>
              <w:rPr>
                <w:rFonts w:ascii="Arial" w:hAnsi="Arial" w:cs="Arial"/>
                <w:bCs/>
              </w:rPr>
            </w:pPr>
            <w:r w:rsidRPr="004C7639">
              <w:rPr>
                <w:rFonts w:ascii="Arial" w:hAnsi="Arial" w:cs="Arial"/>
                <w:bCs/>
              </w:rPr>
              <w:t>adversely affect results.</w:t>
            </w:r>
          </w:p>
          <w:p w14:paraId="25BAF2D1" w14:textId="77777777" w:rsidR="004C7639" w:rsidRPr="00EF1741" w:rsidRDefault="004C7639" w:rsidP="008C6EDC">
            <w:pPr>
              <w:pStyle w:val="Reagents"/>
              <w:rPr>
                <w:rFonts w:ascii="Arial" w:hAnsi="Arial" w:cs="Arial"/>
                <w:b/>
                <w:bCs/>
                <w:color w:val="365F91"/>
              </w:rPr>
            </w:pPr>
          </w:p>
          <w:tbl>
            <w:tblPr>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59"/>
              <w:gridCol w:w="1655"/>
              <w:gridCol w:w="4307"/>
              <w:gridCol w:w="379"/>
            </w:tblGrid>
            <w:tr w:rsidR="00B816B4" w14:paraId="6FAB8C38" w14:textId="77777777" w:rsidTr="007124F6">
              <w:tc>
                <w:tcPr>
                  <w:tcW w:w="2759" w:type="dxa"/>
                </w:tcPr>
                <w:p w14:paraId="6FAB8C35" w14:textId="77777777" w:rsidR="00B816B4" w:rsidRDefault="00B816B4" w:rsidP="008C6EDC">
                  <w:pPr>
                    <w:pStyle w:val="Reagents"/>
                    <w:rPr>
                      <w:rFonts w:ascii="Arial" w:hAnsi="Arial" w:cs="Arial"/>
                      <w:b/>
                      <w:bCs/>
                    </w:rPr>
                  </w:pPr>
                  <w:r w:rsidRPr="006D1E54">
                    <w:rPr>
                      <w:rFonts w:ascii="Arial" w:hAnsi="Arial" w:cs="Arial"/>
                      <w:b/>
                      <w:bCs/>
                      <w:i/>
                      <w:iCs/>
                    </w:rPr>
                    <w:t>Product Description</w:t>
                  </w:r>
                </w:p>
              </w:tc>
              <w:tc>
                <w:tcPr>
                  <w:tcW w:w="1655" w:type="dxa"/>
                </w:tcPr>
                <w:p w14:paraId="6FAB8C36" w14:textId="77777777" w:rsidR="00B816B4" w:rsidRDefault="00B816B4" w:rsidP="008C6EDC">
                  <w:pPr>
                    <w:pStyle w:val="Reagents"/>
                    <w:rPr>
                      <w:rFonts w:ascii="Arial" w:hAnsi="Arial" w:cs="Arial"/>
                      <w:b/>
                      <w:bCs/>
                    </w:rPr>
                  </w:pPr>
                  <w:r w:rsidRPr="006D1E54">
                    <w:rPr>
                      <w:rFonts w:ascii="Arial" w:hAnsi="Arial" w:cs="Arial"/>
                      <w:b/>
                      <w:bCs/>
                      <w:i/>
                      <w:iCs/>
                    </w:rPr>
                    <w:t xml:space="preserve">Product </w:t>
                  </w:r>
                  <w:r>
                    <w:rPr>
                      <w:rFonts w:ascii="Arial" w:hAnsi="Arial" w:cs="Arial"/>
                      <w:b/>
                      <w:bCs/>
                      <w:i/>
                      <w:iCs/>
                    </w:rPr>
                    <w:t>Code</w:t>
                  </w:r>
                </w:p>
              </w:tc>
              <w:tc>
                <w:tcPr>
                  <w:tcW w:w="4686" w:type="dxa"/>
                  <w:gridSpan w:val="2"/>
                </w:tcPr>
                <w:p w14:paraId="6FAB8C37" w14:textId="77777777" w:rsidR="00B816B4" w:rsidRDefault="00B816B4" w:rsidP="008C6EDC">
                  <w:pPr>
                    <w:pStyle w:val="Reagents"/>
                    <w:rPr>
                      <w:rFonts w:ascii="Arial" w:hAnsi="Arial" w:cs="Arial"/>
                      <w:b/>
                      <w:bCs/>
                    </w:rPr>
                  </w:pPr>
                  <w:r w:rsidRPr="006D1E54">
                    <w:rPr>
                      <w:rFonts w:ascii="Arial" w:hAnsi="Arial" w:cs="Arial"/>
                      <w:b/>
                      <w:bCs/>
                      <w:i/>
                      <w:iCs/>
                    </w:rPr>
                    <w:t>Stability</w:t>
                  </w:r>
                </w:p>
              </w:tc>
            </w:tr>
            <w:tr w:rsidR="00B816B4" w:rsidRPr="00C709DD" w14:paraId="6FAB8C40" w14:textId="77777777" w:rsidTr="007124F6">
              <w:trPr>
                <w:gridAfter w:val="1"/>
                <w:wAfter w:w="379" w:type="dxa"/>
              </w:trPr>
              <w:tc>
                <w:tcPr>
                  <w:tcW w:w="2759" w:type="dxa"/>
                </w:tcPr>
                <w:p w14:paraId="6FAB8C39" w14:textId="10626345" w:rsidR="00B816B4" w:rsidRPr="006A36C8" w:rsidRDefault="004C7639" w:rsidP="008C6EDC">
                  <w:pPr>
                    <w:autoSpaceDE w:val="0"/>
                    <w:autoSpaceDN w:val="0"/>
                    <w:adjustRightInd w:val="0"/>
                    <w:rPr>
                      <w:rFonts w:cs="Arial"/>
                      <w:szCs w:val="20"/>
                    </w:rPr>
                  </w:pPr>
                  <w:r>
                    <w:rPr>
                      <w:rFonts w:cs="Arial"/>
                      <w:szCs w:val="20"/>
                    </w:rPr>
                    <w:t xml:space="preserve">Abbott Alinity i </w:t>
                  </w:r>
                  <w:r w:rsidR="00284EE6">
                    <w:rPr>
                      <w:rFonts w:cs="Arial"/>
                      <w:szCs w:val="20"/>
                    </w:rPr>
                    <w:t>HBsAg</w:t>
                  </w:r>
                  <w:r w:rsidR="00CF7522">
                    <w:rPr>
                      <w:rFonts w:cs="Arial"/>
                      <w:szCs w:val="20"/>
                    </w:rPr>
                    <w:t xml:space="preserve"> </w:t>
                  </w:r>
                  <w:r>
                    <w:rPr>
                      <w:rFonts w:cs="Arial"/>
                      <w:szCs w:val="20"/>
                    </w:rPr>
                    <w:t xml:space="preserve">Qualitative II </w:t>
                  </w:r>
                  <w:r w:rsidR="00CF7522">
                    <w:rPr>
                      <w:rFonts w:cs="Arial"/>
                      <w:szCs w:val="20"/>
                    </w:rPr>
                    <w:t>Reagent</w:t>
                  </w:r>
                  <w:r>
                    <w:rPr>
                      <w:rFonts w:cs="Arial"/>
                      <w:szCs w:val="20"/>
                    </w:rPr>
                    <w:t xml:space="preserve"> Kit</w:t>
                  </w:r>
                </w:p>
                <w:p w14:paraId="6FAB8C3A" w14:textId="77777777" w:rsidR="00B816B4" w:rsidRPr="006A36C8" w:rsidRDefault="00B816B4" w:rsidP="008C6EDC">
                  <w:pPr>
                    <w:autoSpaceDE w:val="0"/>
                    <w:autoSpaceDN w:val="0"/>
                    <w:adjustRightInd w:val="0"/>
                    <w:rPr>
                      <w:rFonts w:cs="Arial"/>
                      <w:szCs w:val="20"/>
                    </w:rPr>
                  </w:pPr>
                </w:p>
              </w:tc>
              <w:tc>
                <w:tcPr>
                  <w:tcW w:w="1655" w:type="dxa"/>
                </w:tcPr>
                <w:p w14:paraId="6FAB8C3B" w14:textId="5D5EC6EC" w:rsidR="00B816B4" w:rsidRPr="006A36C8" w:rsidRDefault="004C7639" w:rsidP="008C6EDC">
                  <w:pPr>
                    <w:pStyle w:val="BodyText"/>
                    <w:tabs>
                      <w:tab w:val="left" w:pos="3240"/>
                    </w:tabs>
                    <w:rPr>
                      <w:rFonts w:cs="Arial"/>
                      <w:szCs w:val="20"/>
                    </w:rPr>
                  </w:pPr>
                  <w:r w:rsidRPr="004C7639">
                    <w:rPr>
                      <w:rFonts w:cs="Arial"/>
                      <w:szCs w:val="20"/>
                    </w:rPr>
                    <w:t>08P1021</w:t>
                  </w:r>
                </w:p>
              </w:tc>
              <w:tc>
                <w:tcPr>
                  <w:tcW w:w="4307" w:type="dxa"/>
                  <w:vAlign w:val="center"/>
                </w:tcPr>
                <w:p w14:paraId="6FAB8C3C" w14:textId="77777777" w:rsidR="00B816B4" w:rsidRPr="00214007" w:rsidRDefault="00B816B4" w:rsidP="002265E2">
                  <w:pPr>
                    <w:pStyle w:val="Reagents"/>
                    <w:spacing w:after="80"/>
                    <w:rPr>
                      <w:rFonts w:ascii="Arial" w:hAnsi="Arial" w:cs="Arial"/>
                      <w:bCs/>
                    </w:rPr>
                  </w:pPr>
                  <w:r w:rsidRPr="00214007">
                    <w:rPr>
                      <w:rFonts w:ascii="Arial" w:hAnsi="Arial" w:cs="Arial"/>
                      <w:b/>
                      <w:bCs/>
                    </w:rPr>
                    <w:t>Store at:</w:t>
                  </w:r>
                  <w:r w:rsidRPr="00214007">
                    <w:rPr>
                      <w:rFonts w:ascii="Arial" w:hAnsi="Arial" w:cs="Arial"/>
                      <w:bCs/>
                    </w:rPr>
                    <w:t xml:space="preserve"> 2 – 8 °C</w:t>
                  </w:r>
                </w:p>
                <w:p w14:paraId="70FE2CE7" w14:textId="619A85DA" w:rsidR="004C7639" w:rsidRPr="004C7639" w:rsidRDefault="00B816B4" w:rsidP="004C7639">
                  <w:pPr>
                    <w:pStyle w:val="Reagents"/>
                    <w:spacing w:after="80"/>
                    <w:rPr>
                      <w:rFonts w:ascii="Arial" w:hAnsi="Arial" w:cs="Arial"/>
                      <w:bCs/>
                    </w:rPr>
                  </w:pPr>
                  <w:r w:rsidRPr="00214007">
                    <w:rPr>
                      <w:rFonts w:ascii="Arial" w:hAnsi="Arial" w:cs="Arial"/>
                      <w:b/>
                      <w:bCs/>
                    </w:rPr>
                    <w:t>Unopened</w:t>
                  </w:r>
                  <w:r w:rsidR="00284EE6">
                    <w:rPr>
                      <w:rFonts w:ascii="Arial" w:hAnsi="Arial" w:cs="Arial"/>
                      <w:b/>
                      <w:bCs/>
                    </w:rPr>
                    <w:t xml:space="preserve">: </w:t>
                  </w:r>
                  <w:r w:rsidR="00284EE6">
                    <w:rPr>
                      <w:rFonts w:ascii="Arial" w:hAnsi="Arial" w:cs="Arial"/>
                      <w:bCs/>
                    </w:rPr>
                    <w:t>Manufacture</w:t>
                  </w:r>
                  <w:r w:rsidR="00F07A1B">
                    <w:rPr>
                      <w:rFonts w:ascii="Arial" w:hAnsi="Arial" w:cs="Arial"/>
                      <w:bCs/>
                    </w:rPr>
                    <w:t>r</w:t>
                  </w:r>
                  <w:r w:rsidR="00284EE6">
                    <w:rPr>
                      <w:rFonts w:ascii="Arial" w:hAnsi="Arial" w:cs="Arial"/>
                      <w:bCs/>
                    </w:rPr>
                    <w:t xml:space="preserve"> expiration date</w:t>
                  </w:r>
                  <w:r w:rsidR="004C7639">
                    <w:rPr>
                      <w:rFonts w:ascii="Arial" w:hAnsi="Arial" w:cs="Arial"/>
                      <w:bCs/>
                    </w:rPr>
                    <w:t xml:space="preserve">.  Store in upright position. If cartridge does not remain upright, gently invert the cartridge 10 times and place in an upright position for 1 hour </w:t>
                  </w:r>
                  <w:r w:rsidR="004C7639" w:rsidRPr="004C7639">
                    <w:rPr>
                      <w:rFonts w:ascii="Arial" w:hAnsi="Arial" w:cs="Arial"/>
                      <w:bCs/>
                    </w:rPr>
                    <w:t>before use.</w:t>
                  </w:r>
                </w:p>
                <w:p w14:paraId="6FAB8C3D" w14:textId="3F85C31A" w:rsidR="00284EE6" w:rsidRPr="004C7639" w:rsidRDefault="004C7639" w:rsidP="004C7639">
                  <w:pPr>
                    <w:pStyle w:val="Reagents"/>
                    <w:spacing w:after="80"/>
                    <w:rPr>
                      <w:rFonts w:ascii="Arial" w:hAnsi="Arial" w:cs="Arial"/>
                      <w:bCs/>
                    </w:rPr>
                  </w:pPr>
                  <w:r>
                    <w:rPr>
                      <w:rFonts w:ascii="Arial" w:hAnsi="Arial" w:cs="Arial"/>
                      <w:bCs/>
                    </w:rPr>
                    <w:t xml:space="preserve">May be used immediately after removal from 2-8°C </w:t>
                  </w:r>
                  <w:r w:rsidRPr="004C7639">
                    <w:rPr>
                      <w:rFonts w:ascii="Arial" w:hAnsi="Arial" w:cs="Arial"/>
                      <w:bCs/>
                    </w:rPr>
                    <w:t>storage.</w:t>
                  </w:r>
                </w:p>
                <w:p w14:paraId="6FAB8C3E" w14:textId="3D898B89" w:rsidR="00B816B4" w:rsidRPr="00284EE6" w:rsidRDefault="002265E2" w:rsidP="005F47BB">
                  <w:pPr>
                    <w:pStyle w:val="Reagents"/>
                    <w:spacing w:after="80"/>
                    <w:rPr>
                      <w:rFonts w:ascii="Arial" w:hAnsi="Arial" w:cs="Arial"/>
                      <w:bCs/>
                    </w:rPr>
                  </w:pPr>
                  <w:r>
                    <w:rPr>
                      <w:rFonts w:ascii="Arial" w:hAnsi="Arial" w:cs="Arial"/>
                      <w:b/>
                      <w:bCs/>
                    </w:rPr>
                    <w:t>Opened</w:t>
                  </w:r>
                  <w:r w:rsidR="00B816B4" w:rsidRPr="00214007">
                    <w:rPr>
                      <w:rFonts w:ascii="Arial" w:hAnsi="Arial" w:cs="Arial"/>
                      <w:b/>
                      <w:bCs/>
                    </w:rPr>
                    <w:t>:</w:t>
                  </w:r>
                  <w:r>
                    <w:rPr>
                      <w:rFonts w:ascii="Arial" w:hAnsi="Arial" w:cs="Arial"/>
                      <w:b/>
                      <w:bCs/>
                    </w:rPr>
                    <w:t xml:space="preserve"> </w:t>
                  </w:r>
                  <w:r w:rsidR="00284EE6">
                    <w:rPr>
                      <w:rFonts w:ascii="Arial" w:hAnsi="Arial" w:cs="Arial"/>
                      <w:bCs/>
                    </w:rPr>
                    <w:t>30 Days</w:t>
                  </w:r>
                  <w:r w:rsidR="005F47BB">
                    <w:rPr>
                      <w:rFonts w:ascii="Arial" w:hAnsi="Arial" w:cs="Arial"/>
                      <w:bCs/>
                    </w:rPr>
                    <w:t xml:space="preserve">.  Store in upright position. If cartridge does not remain upright during storage, discard the cartridge. Do not reuse original reagent caps or replacement caps due to the risk of contamination and the potential to compromise reagent performance. </w:t>
                  </w:r>
                  <w:r w:rsidR="005F47BB" w:rsidRPr="005F47BB">
                    <w:rPr>
                      <w:rFonts w:ascii="Arial" w:hAnsi="Arial" w:cs="Arial"/>
                      <w:bCs/>
                    </w:rPr>
                    <w:t xml:space="preserve">May </w:t>
                  </w:r>
                  <w:r w:rsidR="005F47BB">
                    <w:rPr>
                      <w:rFonts w:ascii="Arial" w:hAnsi="Arial" w:cs="Arial"/>
                      <w:bCs/>
                    </w:rPr>
                    <w:t xml:space="preserve">be used immediately after removal from 2-8°C </w:t>
                  </w:r>
                  <w:r w:rsidR="005F47BB" w:rsidRPr="005F47BB">
                    <w:rPr>
                      <w:rFonts w:ascii="Arial" w:hAnsi="Arial" w:cs="Arial"/>
                      <w:bCs/>
                    </w:rPr>
                    <w:t>storage.</w:t>
                  </w:r>
                </w:p>
                <w:p w14:paraId="6FAB8C3F" w14:textId="4FB20054" w:rsidR="00B816B4" w:rsidRPr="00214007" w:rsidRDefault="00B816B4" w:rsidP="002265E2">
                  <w:pPr>
                    <w:autoSpaceDE w:val="0"/>
                    <w:autoSpaceDN w:val="0"/>
                    <w:adjustRightInd w:val="0"/>
                    <w:spacing w:after="80"/>
                    <w:rPr>
                      <w:rFonts w:cs="Arial"/>
                      <w:szCs w:val="20"/>
                    </w:rPr>
                  </w:pPr>
                  <w:r w:rsidRPr="00214007">
                    <w:rPr>
                      <w:rFonts w:cs="Arial"/>
                      <w:b/>
                      <w:bCs/>
                      <w:szCs w:val="20"/>
                    </w:rPr>
                    <w:t xml:space="preserve">On-board: </w:t>
                  </w:r>
                  <w:r w:rsidR="004C7639">
                    <w:rPr>
                      <w:rFonts w:cs="Arial"/>
                      <w:szCs w:val="20"/>
                    </w:rPr>
                    <w:t>30</w:t>
                  </w:r>
                  <w:r w:rsidR="002265E2">
                    <w:rPr>
                      <w:rFonts w:cs="Arial"/>
                      <w:szCs w:val="20"/>
                    </w:rPr>
                    <w:t xml:space="preserve"> Days</w:t>
                  </w:r>
                  <w:r w:rsidR="004C7639">
                    <w:rPr>
                      <w:rFonts w:cs="Arial"/>
                      <w:szCs w:val="20"/>
                    </w:rPr>
                    <w:t xml:space="preserve">.  </w:t>
                  </w:r>
                </w:p>
              </w:tc>
            </w:tr>
            <w:tr w:rsidR="00B816B4" w:rsidRPr="007B2A3E" w14:paraId="6FAB8C46" w14:textId="77777777" w:rsidTr="007124F6">
              <w:trPr>
                <w:gridAfter w:val="1"/>
                <w:wAfter w:w="379" w:type="dxa"/>
              </w:trPr>
              <w:tc>
                <w:tcPr>
                  <w:tcW w:w="2759" w:type="dxa"/>
                </w:tcPr>
                <w:p w14:paraId="6FAB8C41" w14:textId="74570E2B" w:rsidR="00B816B4" w:rsidRPr="006A36C8" w:rsidRDefault="004C7639" w:rsidP="00B0339F">
                  <w:pPr>
                    <w:pStyle w:val="BodyText"/>
                    <w:rPr>
                      <w:rFonts w:cs="Arial"/>
                      <w:szCs w:val="20"/>
                    </w:rPr>
                  </w:pPr>
                  <w:r w:rsidRPr="004C7639">
                    <w:rPr>
                      <w:rFonts w:cs="Arial"/>
                      <w:szCs w:val="20"/>
                    </w:rPr>
                    <w:t>Abbott Alinit</w:t>
                  </w:r>
                  <w:r>
                    <w:rPr>
                      <w:rFonts w:cs="Arial"/>
                      <w:szCs w:val="20"/>
                    </w:rPr>
                    <w:t>y i HBsAg Qualitative II Calibrator</w:t>
                  </w:r>
                  <w:r w:rsidRPr="004C7639">
                    <w:rPr>
                      <w:rFonts w:cs="Arial"/>
                      <w:szCs w:val="20"/>
                    </w:rPr>
                    <w:t xml:space="preserve"> Kit</w:t>
                  </w:r>
                </w:p>
              </w:tc>
              <w:tc>
                <w:tcPr>
                  <w:tcW w:w="1655" w:type="dxa"/>
                </w:tcPr>
                <w:p w14:paraId="6FAB8C42" w14:textId="1F348866" w:rsidR="00B816B4" w:rsidRPr="006A36C8" w:rsidRDefault="004C7639" w:rsidP="008C6EDC">
                  <w:pPr>
                    <w:pStyle w:val="BodyText"/>
                    <w:rPr>
                      <w:rFonts w:cs="Arial"/>
                      <w:szCs w:val="20"/>
                    </w:rPr>
                  </w:pPr>
                  <w:r w:rsidRPr="004C7639">
                    <w:rPr>
                      <w:rFonts w:cs="Arial"/>
                      <w:szCs w:val="20"/>
                    </w:rPr>
                    <w:t>08P1002</w:t>
                  </w:r>
                </w:p>
              </w:tc>
              <w:tc>
                <w:tcPr>
                  <w:tcW w:w="4307" w:type="dxa"/>
                  <w:vAlign w:val="center"/>
                </w:tcPr>
                <w:p w14:paraId="6FAB8C43" w14:textId="77777777" w:rsidR="00B816B4" w:rsidRDefault="00260A50" w:rsidP="008C6EDC">
                  <w:pPr>
                    <w:pStyle w:val="BodyText"/>
                    <w:spacing w:after="80"/>
                    <w:jc w:val="both"/>
                    <w:rPr>
                      <w:rFonts w:cs="Arial"/>
                      <w:bCs/>
                    </w:rPr>
                  </w:pPr>
                  <w:r>
                    <w:rPr>
                      <w:rFonts w:cs="Arial"/>
                      <w:b/>
                      <w:szCs w:val="20"/>
                    </w:rPr>
                    <w:t xml:space="preserve">Store at: </w:t>
                  </w:r>
                  <w:r w:rsidR="00CF7522">
                    <w:rPr>
                      <w:rFonts w:cs="Arial"/>
                      <w:szCs w:val="20"/>
                    </w:rPr>
                    <w:t xml:space="preserve"> 2-8</w:t>
                  </w:r>
                  <w:r w:rsidRPr="00214007">
                    <w:rPr>
                      <w:rFonts w:cs="Arial"/>
                      <w:bCs/>
                    </w:rPr>
                    <w:t>°C</w:t>
                  </w:r>
                </w:p>
                <w:p w14:paraId="6FAB8C44" w14:textId="77777777" w:rsidR="00260A50" w:rsidRDefault="00260A50" w:rsidP="008C6EDC">
                  <w:pPr>
                    <w:pStyle w:val="BodyText"/>
                    <w:spacing w:after="80"/>
                    <w:jc w:val="both"/>
                    <w:rPr>
                      <w:rFonts w:cs="Arial"/>
                      <w:bCs/>
                    </w:rPr>
                  </w:pPr>
                  <w:r w:rsidRPr="00260A50">
                    <w:rPr>
                      <w:rFonts w:cs="Arial"/>
                      <w:b/>
                      <w:bCs/>
                    </w:rPr>
                    <w:t>Unopened</w:t>
                  </w:r>
                  <w:r w:rsidR="00CF7522">
                    <w:rPr>
                      <w:rFonts w:cs="Arial"/>
                      <w:bCs/>
                    </w:rPr>
                    <w:t>: Manufacture</w:t>
                  </w:r>
                  <w:r w:rsidR="0045274F">
                    <w:rPr>
                      <w:rFonts w:cs="Arial"/>
                      <w:bCs/>
                    </w:rPr>
                    <w:t>r</w:t>
                  </w:r>
                  <w:r w:rsidR="00CF7522">
                    <w:rPr>
                      <w:rFonts w:cs="Arial"/>
                      <w:bCs/>
                    </w:rPr>
                    <w:t xml:space="preserve"> ex</w:t>
                  </w:r>
                  <w:r>
                    <w:rPr>
                      <w:rFonts w:cs="Arial"/>
                      <w:bCs/>
                    </w:rPr>
                    <w:t>piration date.</w:t>
                  </w:r>
                </w:p>
                <w:p w14:paraId="45BC1A34" w14:textId="77777777" w:rsidR="00260A50" w:rsidRDefault="00260A50" w:rsidP="004C7639">
                  <w:pPr>
                    <w:pStyle w:val="BodyText"/>
                    <w:spacing w:after="80"/>
                    <w:jc w:val="both"/>
                    <w:rPr>
                      <w:rFonts w:cs="Arial"/>
                      <w:bCs/>
                    </w:rPr>
                  </w:pPr>
                  <w:r w:rsidRPr="00260A50">
                    <w:rPr>
                      <w:rFonts w:cs="Arial"/>
                      <w:b/>
                      <w:bCs/>
                    </w:rPr>
                    <w:t>Opened</w:t>
                  </w:r>
                  <w:r>
                    <w:rPr>
                      <w:rFonts w:cs="Arial"/>
                      <w:bCs/>
                    </w:rPr>
                    <w:t xml:space="preserve">: Store at </w:t>
                  </w:r>
                  <w:r w:rsidRPr="00214007">
                    <w:rPr>
                      <w:rFonts w:cs="Arial"/>
                      <w:bCs/>
                    </w:rPr>
                    <w:t>2 – 8 °C</w:t>
                  </w:r>
                  <w:r w:rsidR="00CF7522">
                    <w:rPr>
                      <w:rFonts w:cs="Arial"/>
                      <w:bCs/>
                    </w:rPr>
                    <w:t xml:space="preserve">, </w:t>
                  </w:r>
                  <w:r w:rsidR="004C7639">
                    <w:rPr>
                      <w:rFonts w:cs="Arial"/>
                      <w:bCs/>
                    </w:rPr>
                    <w:t xml:space="preserve">Store tightly capped with new replacement cap. Store in an upright position. Return to refrigerated </w:t>
                  </w:r>
                  <w:r w:rsidR="004C7639" w:rsidRPr="004C7639">
                    <w:rPr>
                      <w:rFonts w:cs="Arial"/>
                      <w:bCs/>
                    </w:rPr>
                    <w:t>storage after use.</w:t>
                  </w:r>
                  <w:r w:rsidR="00CF7522">
                    <w:rPr>
                      <w:rFonts w:cs="Arial"/>
                      <w:bCs/>
                    </w:rPr>
                    <w:t xml:space="preserve">stable until expiration date when stored and handled as directed. </w:t>
                  </w:r>
                </w:p>
                <w:p w14:paraId="6FAB8C45" w14:textId="0F860758" w:rsidR="004C7639" w:rsidRPr="004C7639" w:rsidRDefault="004C7639" w:rsidP="004C7639">
                  <w:pPr>
                    <w:pStyle w:val="BodyText"/>
                    <w:spacing w:after="80"/>
                    <w:jc w:val="both"/>
                    <w:rPr>
                      <w:rFonts w:cs="Arial"/>
                      <w:bCs/>
                    </w:rPr>
                  </w:pPr>
                  <w:r w:rsidRPr="004C7639">
                    <w:rPr>
                      <w:rFonts w:cs="Arial"/>
                      <w:bCs/>
                    </w:rPr>
                    <w:t>The analyzer will track In-use S</w:t>
                  </w:r>
                  <w:r>
                    <w:rPr>
                      <w:rFonts w:cs="Arial"/>
                      <w:bCs/>
                    </w:rPr>
                    <w:t xml:space="preserve">tability, which is the time the </w:t>
                  </w:r>
                  <w:r w:rsidRPr="004C7639">
                    <w:rPr>
                      <w:rFonts w:cs="Arial"/>
                      <w:bCs/>
                    </w:rPr>
                    <w:t>calibrator is outside of refrigerated sto</w:t>
                  </w:r>
                  <w:r>
                    <w:rPr>
                      <w:rFonts w:cs="Arial"/>
                      <w:bCs/>
                    </w:rPr>
                    <w:t xml:space="preserve">rage while on the analyzer. The </w:t>
                  </w:r>
                  <w:r w:rsidRPr="004C7639">
                    <w:rPr>
                      <w:rFonts w:cs="Arial"/>
                      <w:bCs/>
                    </w:rPr>
                    <w:t>analyzer will not allow the use of the cal</w:t>
                  </w:r>
                  <w:r>
                    <w:rPr>
                      <w:rFonts w:cs="Arial"/>
                      <w:bCs/>
                    </w:rPr>
                    <w:t xml:space="preserve">ibrator if the In-use Stability </w:t>
                  </w:r>
                  <w:r w:rsidRPr="004C7639">
                    <w:rPr>
                      <w:rFonts w:cs="Arial"/>
                      <w:bCs/>
                    </w:rPr>
                    <w:t>has been exceeded. Maximum In-us</w:t>
                  </w:r>
                  <w:r>
                    <w:rPr>
                      <w:rFonts w:cs="Arial"/>
                      <w:bCs/>
                    </w:rPr>
                    <w:t xml:space="preserve">e Stability can be found in the </w:t>
                  </w:r>
                  <w:r w:rsidRPr="004C7639">
                    <w:rPr>
                      <w:rFonts w:cs="Arial"/>
                      <w:bCs/>
                    </w:rPr>
                    <w:t xml:space="preserve">Assay Parameter Report. For additional </w:t>
                  </w:r>
                  <w:r>
                    <w:rPr>
                      <w:rFonts w:cs="Arial"/>
                      <w:bCs/>
                    </w:rPr>
                    <w:t xml:space="preserve">information on calibrator Inuse </w:t>
                  </w:r>
                  <w:r w:rsidRPr="004C7639">
                    <w:rPr>
                      <w:rFonts w:cs="Arial"/>
                      <w:bCs/>
                    </w:rPr>
                    <w:t>Stability, refer to the Alinity ci-se</w:t>
                  </w:r>
                  <w:r>
                    <w:rPr>
                      <w:rFonts w:cs="Arial"/>
                      <w:bCs/>
                    </w:rPr>
                    <w:t xml:space="preserve">ries Operations Manual, Section </w:t>
                  </w:r>
                  <w:r w:rsidRPr="004C7639">
                    <w:rPr>
                      <w:rFonts w:cs="Arial"/>
                      <w:bCs/>
                    </w:rPr>
                    <w:t>5.</w:t>
                  </w:r>
                </w:p>
              </w:tc>
            </w:tr>
          </w:tbl>
          <w:p w14:paraId="6FAB8C57" w14:textId="77777777" w:rsidR="00B816B4" w:rsidRDefault="00B816B4" w:rsidP="008C6EDC">
            <w:pPr>
              <w:pStyle w:val="Header"/>
              <w:tabs>
                <w:tab w:val="clear" w:pos="4320"/>
                <w:tab w:val="clear" w:pos="8640"/>
              </w:tabs>
              <w:rPr>
                <w:rFonts w:cs="Arial"/>
              </w:rPr>
            </w:pPr>
          </w:p>
        </w:tc>
      </w:tr>
      <w:tr w:rsidR="008C6EDC" w14:paraId="6FAB8C5E" w14:textId="77777777" w:rsidTr="00D120DB">
        <w:trPr>
          <w:tblHeader/>
        </w:trPr>
        <w:tc>
          <w:tcPr>
            <w:tcW w:w="2160" w:type="dxa"/>
            <w:tcBorders>
              <w:top w:val="single" w:sz="18" w:space="0" w:color="A6A6A6" w:themeColor="background1" w:themeShade="A6"/>
              <w:bottom w:val="single" w:sz="18" w:space="0" w:color="A6A6A6" w:themeColor="background1" w:themeShade="A6"/>
            </w:tcBorders>
          </w:tcPr>
          <w:p w14:paraId="6FAB8C59" w14:textId="77777777" w:rsidR="008C6EDC" w:rsidRDefault="008C6EDC">
            <w:pPr>
              <w:rPr>
                <w:rFonts w:cs="Arial"/>
                <w:b/>
                <w:bCs/>
                <w:color w:val="0000FF"/>
              </w:rPr>
            </w:pPr>
          </w:p>
          <w:p w14:paraId="6FAB8C5A" w14:textId="77777777" w:rsidR="008C6EDC" w:rsidRDefault="008C6EDC">
            <w:pPr>
              <w:rPr>
                <w:rFonts w:cs="Arial"/>
                <w:b/>
                <w:bCs/>
                <w:color w:val="0000FF"/>
              </w:rPr>
            </w:pPr>
            <w:r>
              <w:rPr>
                <w:rFonts w:cs="Arial"/>
                <w:b/>
                <w:bCs/>
                <w:color w:val="0000FF"/>
              </w:rPr>
              <w:t>Risk and Safety:</w:t>
            </w:r>
          </w:p>
        </w:tc>
        <w:tc>
          <w:tcPr>
            <w:tcW w:w="8910" w:type="dxa"/>
            <w:tcBorders>
              <w:top w:val="single" w:sz="18" w:space="0" w:color="A6A6A6" w:themeColor="background1" w:themeShade="A6"/>
              <w:bottom w:val="single" w:sz="18" w:space="0" w:color="A6A6A6" w:themeColor="background1" w:themeShade="A6"/>
            </w:tcBorders>
          </w:tcPr>
          <w:p w14:paraId="6FAB8C5B" w14:textId="77777777" w:rsidR="008C6EDC" w:rsidRPr="005516E7" w:rsidRDefault="008C6EDC">
            <w:pPr>
              <w:pStyle w:val="Pa13"/>
              <w:rPr>
                <w:rFonts w:ascii="Arial" w:hAnsi="Arial" w:cs="Arial"/>
                <w:color w:val="000000"/>
                <w:sz w:val="20"/>
                <w:szCs w:val="15"/>
              </w:rPr>
            </w:pPr>
          </w:p>
          <w:p w14:paraId="6FAB8C5C" w14:textId="77777777" w:rsidR="00CF7522" w:rsidRPr="007E0514" w:rsidRDefault="007E0514" w:rsidP="007E0514">
            <w:pPr>
              <w:autoSpaceDE w:val="0"/>
              <w:autoSpaceDN w:val="0"/>
              <w:adjustRightInd w:val="0"/>
              <w:rPr>
                <w:rFonts w:eastAsia="HelenPro-Regular" w:cs="Arial"/>
                <w:szCs w:val="20"/>
              </w:rPr>
            </w:pPr>
            <w:r w:rsidRPr="007E0514">
              <w:rPr>
                <w:rFonts w:eastAsia="HelenPro-Regular" w:cs="Arial"/>
                <w:szCs w:val="20"/>
              </w:rPr>
              <w:t xml:space="preserve">Contains methylisothiazolones.  May cause an allergic skin reaction.  Avoid breathing mist, </w:t>
            </w:r>
            <w:r w:rsidR="0045274F" w:rsidRPr="007E0514">
              <w:rPr>
                <w:rFonts w:eastAsia="HelenPro-Regular" w:cs="Arial"/>
                <w:szCs w:val="20"/>
              </w:rPr>
              <w:t>vapors</w:t>
            </w:r>
            <w:r w:rsidRPr="007E0514">
              <w:rPr>
                <w:rFonts w:eastAsia="HelenPro-Regular" w:cs="Arial"/>
                <w:szCs w:val="20"/>
              </w:rPr>
              <w:t>, and spray.  Contaminated work clothing should not be  allowed out of the workplace.  Wear protective gloves, protective clothing, and eye protection.  Dispo</w:t>
            </w:r>
            <w:r w:rsidR="0045274F">
              <w:rPr>
                <w:rFonts w:eastAsia="HelenPro-Regular" w:cs="Arial"/>
                <w:szCs w:val="20"/>
              </w:rPr>
              <w:t>se of in proper waste container; when reagent is empty, this may be disposed of in regular trash.</w:t>
            </w:r>
          </w:p>
          <w:p w14:paraId="6FAB8C5D" w14:textId="77777777" w:rsidR="007E0514" w:rsidRPr="00A072CE" w:rsidRDefault="007E0514" w:rsidP="007E0514">
            <w:pPr>
              <w:autoSpaceDE w:val="0"/>
              <w:autoSpaceDN w:val="0"/>
              <w:adjustRightInd w:val="0"/>
              <w:rPr>
                <w:rFonts w:eastAsia="HelenPro-Regular" w:cs="Arial"/>
                <w:szCs w:val="20"/>
              </w:rPr>
            </w:pPr>
          </w:p>
        </w:tc>
      </w:tr>
      <w:tr w:rsidR="00B816B4" w14:paraId="6FAB8C7C" w14:textId="77777777" w:rsidTr="007E0514">
        <w:trPr>
          <w:trHeight w:val="4914"/>
          <w:tblHeader/>
        </w:trPr>
        <w:tc>
          <w:tcPr>
            <w:tcW w:w="2160" w:type="dxa"/>
            <w:tcBorders>
              <w:top w:val="single" w:sz="18" w:space="0" w:color="A6A6A6" w:themeColor="background1" w:themeShade="A6"/>
              <w:bottom w:val="single" w:sz="18" w:space="0" w:color="A6A6A6" w:themeColor="background1" w:themeShade="A6"/>
            </w:tcBorders>
          </w:tcPr>
          <w:p w14:paraId="6FAB8C5F" w14:textId="77777777" w:rsidR="00B816B4" w:rsidRDefault="00B816B4" w:rsidP="008C6EDC">
            <w:pPr>
              <w:pStyle w:val="BodyTextIndent"/>
            </w:pPr>
          </w:p>
          <w:p w14:paraId="6FAB8C60" w14:textId="77777777" w:rsidR="00B816B4" w:rsidRDefault="00B816B4" w:rsidP="008C6EDC">
            <w:pPr>
              <w:pStyle w:val="BodyTextIndent"/>
            </w:pPr>
            <w:r>
              <w:t>Calibration/ Verification/AMR</w:t>
            </w:r>
          </w:p>
          <w:p w14:paraId="6FAB8C61" w14:textId="77777777" w:rsidR="00B816B4" w:rsidRDefault="00B816B4" w:rsidP="008C6EDC">
            <w:pPr>
              <w:pStyle w:val="BodyTextIndent"/>
            </w:pPr>
          </w:p>
        </w:tc>
        <w:tc>
          <w:tcPr>
            <w:tcW w:w="8910" w:type="dxa"/>
            <w:tcBorders>
              <w:top w:val="single" w:sz="18" w:space="0" w:color="A6A6A6" w:themeColor="background1" w:themeShade="A6"/>
              <w:bottom w:val="single" w:sz="18" w:space="0" w:color="A6A6A6" w:themeColor="background1" w:themeShade="A6"/>
            </w:tcBorders>
          </w:tcPr>
          <w:p w14:paraId="6FAB8C62" w14:textId="77777777" w:rsidR="00B816B4" w:rsidRPr="00B13C1A" w:rsidRDefault="00B816B4" w:rsidP="008C6EDC">
            <w:pPr>
              <w:rPr>
                <w:rFonts w:cs="Arial"/>
                <w:szCs w:val="20"/>
              </w:rPr>
            </w:pPr>
          </w:p>
          <w:tbl>
            <w:tblPr>
              <w:tblW w:w="9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7"/>
              <w:gridCol w:w="5760"/>
              <w:gridCol w:w="509"/>
            </w:tblGrid>
            <w:tr w:rsidR="00B816B4" w14:paraId="6FAB8C65" w14:textId="77777777" w:rsidTr="00814EAD">
              <w:trPr>
                <w:gridAfter w:val="1"/>
                <w:wAfter w:w="509" w:type="dxa"/>
                <w:trHeight w:val="377"/>
              </w:trPr>
              <w:tc>
                <w:tcPr>
                  <w:tcW w:w="2947" w:type="dxa"/>
                  <w:tcBorders>
                    <w:top w:val="single" w:sz="4" w:space="0" w:color="auto"/>
                    <w:left w:val="single" w:sz="4" w:space="0" w:color="auto"/>
                    <w:bottom w:val="single" w:sz="4" w:space="0" w:color="auto"/>
                    <w:right w:val="single" w:sz="4" w:space="0" w:color="auto"/>
                  </w:tcBorders>
                </w:tcPr>
                <w:p w14:paraId="6FAB8C63" w14:textId="77777777" w:rsidR="00B816B4" w:rsidRPr="00E14C48" w:rsidRDefault="00B816B4" w:rsidP="008C6EDC">
                  <w:pPr>
                    <w:pStyle w:val="CalVerTable"/>
                    <w:ind w:left="0" w:firstLine="0"/>
                    <w:jc w:val="both"/>
                    <w:rPr>
                      <w:rFonts w:ascii="Arial" w:hAnsi="Arial" w:cs="Arial"/>
                    </w:rPr>
                  </w:pPr>
                  <w:r w:rsidRPr="00E14C48">
                    <w:rPr>
                      <w:rFonts w:ascii="Arial" w:hAnsi="Arial" w:cs="Arial"/>
                    </w:rPr>
                    <w:t>Analytical Measuring Range:</w:t>
                  </w:r>
                </w:p>
              </w:tc>
              <w:tc>
                <w:tcPr>
                  <w:tcW w:w="5760" w:type="dxa"/>
                  <w:tcBorders>
                    <w:top w:val="single" w:sz="4" w:space="0" w:color="auto"/>
                    <w:left w:val="single" w:sz="4" w:space="0" w:color="auto"/>
                    <w:bottom w:val="single" w:sz="4" w:space="0" w:color="auto"/>
                    <w:right w:val="single" w:sz="4" w:space="0" w:color="auto"/>
                  </w:tcBorders>
                  <w:vAlign w:val="center"/>
                </w:tcPr>
                <w:p w14:paraId="6FAB8C64" w14:textId="60BACD46" w:rsidR="00B816B4" w:rsidRPr="00FC6715" w:rsidRDefault="009309A1" w:rsidP="008C6EDC">
                  <w:pPr>
                    <w:pStyle w:val="CalVerTable"/>
                    <w:ind w:left="0" w:firstLine="0"/>
                    <w:jc w:val="both"/>
                    <w:rPr>
                      <w:rFonts w:ascii="Arial" w:hAnsi="Arial" w:cs="Arial"/>
                    </w:rPr>
                  </w:pPr>
                  <w:r>
                    <w:rPr>
                      <w:rFonts w:ascii="Arial" w:hAnsi="Arial" w:cs="Arial"/>
                    </w:rPr>
                    <w:t>0-1</w:t>
                  </w:r>
                  <w:r w:rsidR="005F47BB">
                    <w:rPr>
                      <w:rFonts w:ascii="Arial" w:hAnsi="Arial" w:cs="Arial"/>
                    </w:rPr>
                    <w:t>0</w:t>
                  </w:r>
                  <w:r>
                    <w:rPr>
                      <w:rFonts w:ascii="Arial" w:hAnsi="Arial" w:cs="Arial"/>
                    </w:rPr>
                    <w:t xml:space="preserve">.0 </w:t>
                  </w:r>
                  <w:r w:rsidR="00F62661" w:rsidRPr="00F62661">
                    <w:rPr>
                      <w:rFonts w:ascii="Arial" w:hAnsi="Arial" w:cs="Arial"/>
                    </w:rPr>
                    <w:t>IU/mL</w:t>
                  </w:r>
                </w:p>
              </w:tc>
            </w:tr>
            <w:tr w:rsidR="00B816B4" w14:paraId="6FAB8C68" w14:textId="77777777" w:rsidTr="00814EAD">
              <w:trPr>
                <w:gridAfter w:val="1"/>
                <w:wAfter w:w="509" w:type="dxa"/>
                <w:trHeight w:val="494"/>
              </w:trPr>
              <w:tc>
                <w:tcPr>
                  <w:tcW w:w="2947" w:type="dxa"/>
                  <w:tcBorders>
                    <w:top w:val="single" w:sz="4" w:space="0" w:color="auto"/>
                  </w:tcBorders>
                </w:tcPr>
                <w:p w14:paraId="6FAB8C66" w14:textId="77777777" w:rsidR="00B816B4" w:rsidRPr="00E14C48" w:rsidRDefault="00B816B4" w:rsidP="008C6EDC">
                  <w:pPr>
                    <w:pStyle w:val="CalVerTable"/>
                    <w:ind w:left="0" w:firstLine="0"/>
                    <w:jc w:val="both"/>
                    <w:rPr>
                      <w:rFonts w:ascii="Arial" w:hAnsi="Arial" w:cs="Arial"/>
                    </w:rPr>
                  </w:pPr>
                  <w:r w:rsidRPr="00E14C48">
                    <w:rPr>
                      <w:rFonts w:ascii="Arial" w:hAnsi="Arial" w:cs="Arial"/>
                    </w:rPr>
                    <w:t>Reference Material:</w:t>
                  </w:r>
                </w:p>
              </w:tc>
              <w:tc>
                <w:tcPr>
                  <w:tcW w:w="5760" w:type="dxa"/>
                  <w:tcBorders>
                    <w:top w:val="single" w:sz="4" w:space="0" w:color="auto"/>
                  </w:tcBorders>
                  <w:vAlign w:val="center"/>
                </w:tcPr>
                <w:p w14:paraId="6FAB8C67" w14:textId="261851AD" w:rsidR="00B816B4" w:rsidRPr="00E14C48" w:rsidRDefault="009309A1" w:rsidP="009309A1">
                  <w:pPr>
                    <w:pStyle w:val="CalVerTable"/>
                    <w:ind w:left="0" w:firstLine="0"/>
                    <w:jc w:val="both"/>
                    <w:rPr>
                      <w:rFonts w:ascii="Arial" w:hAnsi="Arial" w:cs="Arial"/>
                    </w:rPr>
                  </w:pPr>
                  <w:r>
                    <w:rPr>
                      <w:rFonts w:ascii="Arial" w:hAnsi="Arial" w:cs="Arial"/>
                    </w:rPr>
                    <w:t>HBsAg</w:t>
                  </w:r>
                  <w:r w:rsidR="00FC6715">
                    <w:rPr>
                      <w:rFonts w:ascii="Arial" w:hAnsi="Arial" w:cs="Arial"/>
                    </w:rPr>
                    <w:t xml:space="preserve"> </w:t>
                  </w:r>
                  <w:r w:rsidR="005F47BB">
                    <w:rPr>
                      <w:rFonts w:ascii="Arial" w:hAnsi="Arial" w:cs="Arial"/>
                    </w:rPr>
                    <w:t>Qualitative II Calibrators</w:t>
                  </w:r>
                </w:p>
              </w:tc>
            </w:tr>
            <w:tr w:rsidR="00B816B4" w14:paraId="6FAB8C6C" w14:textId="77777777" w:rsidTr="00814EAD">
              <w:trPr>
                <w:gridAfter w:val="1"/>
                <w:wAfter w:w="509" w:type="dxa"/>
                <w:trHeight w:val="521"/>
              </w:trPr>
              <w:tc>
                <w:tcPr>
                  <w:tcW w:w="2947" w:type="dxa"/>
                </w:tcPr>
                <w:p w14:paraId="6FAB8C69" w14:textId="77777777" w:rsidR="00B816B4" w:rsidRPr="00E14C48" w:rsidRDefault="00B816B4" w:rsidP="00814EAD">
                  <w:pPr>
                    <w:pStyle w:val="CalVerTable"/>
                    <w:ind w:left="0" w:firstLine="0"/>
                    <w:rPr>
                      <w:rFonts w:ascii="Arial" w:hAnsi="Arial" w:cs="Arial"/>
                    </w:rPr>
                  </w:pPr>
                  <w:r w:rsidRPr="00E14C48">
                    <w:rPr>
                      <w:rFonts w:ascii="Arial" w:hAnsi="Arial" w:cs="Arial"/>
                    </w:rPr>
                    <w:t>Suggested Calibration Levels</w:t>
                  </w:r>
                </w:p>
              </w:tc>
              <w:tc>
                <w:tcPr>
                  <w:tcW w:w="5760" w:type="dxa"/>
                  <w:vAlign w:val="center"/>
                </w:tcPr>
                <w:p w14:paraId="6FAB8C6A" w14:textId="0E022E38" w:rsidR="00B816B4" w:rsidRDefault="005F47BB" w:rsidP="008C6EDC">
                  <w:pPr>
                    <w:pStyle w:val="CalVerTable"/>
                    <w:ind w:left="0" w:firstLine="0"/>
                    <w:jc w:val="both"/>
                    <w:rPr>
                      <w:rFonts w:ascii="Arial" w:hAnsi="Arial" w:cs="Arial"/>
                    </w:rPr>
                  </w:pPr>
                  <w:r>
                    <w:rPr>
                      <w:rFonts w:ascii="Arial" w:hAnsi="Arial" w:cs="Arial"/>
                    </w:rPr>
                    <w:t xml:space="preserve">CAL </w:t>
                  </w:r>
                  <w:r w:rsidR="009309A1">
                    <w:rPr>
                      <w:rFonts w:ascii="Arial" w:hAnsi="Arial" w:cs="Arial"/>
                    </w:rPr>
                    <w:t>1 – 0.5244</w:t>
                  </w:r>
                  <w:r w:rsidR="00260A50">
                    <w:rPr>
                      <w:rFonts w:ascii="Arial" w:hAnsi="Arial" w:cs="Arial"/>
                    </w:rPr>
                    <w:t xml:space="preserve"> </w:t>
                  </w:r>
                  <w:r w:rsidR="00F62661" w:rsidRPr="00F62661">
                    <w:rPr>
                      <w:rFonts w:ascii="Arial" w:hAnsi="Arial" w:cs="Arial"/>
                    </w:rPr>
                    <w:t>IU/mL</w:t>
                  </w:r>
                </w:p>
                <w:p w14:paraId="6FAB8C6B" w14:textId="04B3E20E" w:rsidR="00260A50" w:rsidRPr="00E14C48" w:rsidRDefault="005F47BB" w:rsidP="008C6EDC">
                  <w:pPr>
                    <w:pStyle w:val="CalVerTable"/>
                    <w:ind w:left="0" w:firstLine="0"/>
                    <w:jc w:val="both"/>
                    <w:rPr>
                      <w:rFonts w:ascii="Arial" w:hAnsi="Arial" w:cs="Arial"/>
                    </w:rPr>
                  </w:pPr>
                  <w:r>
                    <w:rPr>
                      <w:rFonts w:ascii="Arial" w:hAnsi="Arial" w:cs="Arial"/>
                    </w:rPr>
                    <w:t xml:space="preserve">CAL </w:t>
                  </w:r>
                  <w:r w:rsidR="009309A1">
                    <w:rPr>
                      <w:rFonts w:ascii="Arial" w:hAnsi="Arial" w:cs="Arial"/>
                    </w:rPr>
                    <w:t xml:space="preserve">2 – 0 </w:t>
                  </w:r>
                  <w:r w:rsidR="00F62661" w:rsidRPr="00F62661">
                    <w:rPr>
                      <w:rFonts w:ascii="Arial" w:hAnsi="Arial" w:cs="Arial"/>
                    </w:rPr>
                    <w:t>IU/mL</w:t>
                  </w:r>
                </w:p>
              </w:tc>
            </w:tr>
            <w:tr w:rsidR="00B816B4" w14:paraId="6FAB8C6F" w14:textId="77777777" w:rsidTr="00814EAD">
              <w:trPr>
                <w:gridAfter w:val="1"/>
                <w:wAfter w:w="509" w:type="dxa"/>
                <w:trHeight w:val="440"/>
              </w:trPr>
              <w:tc>
                <w:tcPr>
                  <w:tcW w:w="2947" w:type="dxa"/>
                </w:tcPr>
                <w:p w14:paraId="6FAB8C6D" w14:textId="77777777" w:rsidR="00B816B4" w:rsidRPr="00E14C48" w:rsidRDefault="00B816B4" w:rsidP="008C6EDC">
                  <w:pPr>
                    <w:jc w:val="both"/>
                    <w:rPr>
                      <w:rFonts w:cs="Arial"/>
                      <w:szCs w:val="20"/>
                    </w:rPr>
                  </w:pPr>
                  <w:r w:rsidRPr="00E14C48">
                    <w:rPr>
                      <w:rFonts w:cs="Arial"/>
                      <w:szCs w:val="20"/>
                    </w:rPr>
                    <w:t>Verification Scheme:</w:t>
                  </w:r>
                </w:p>
              </w:tc>
              <w:tc>
                <w:tcPr>
                  <w:tcW w:w="5760" w:type="dxa"/>
                  <w:vAlign w:val="center"/>
                </w:tcPr>
                <w:p w14:paraId="6FAB8C6E" w14:textId="77777777" w:rsidR="00B816B4" w:rsidRPr="00E14C48" w:rsidRDefault="00FC6715" w:rsidP="008C6EDC">
                  <w:pPr>
                    <w:pStyle w:val="CalVerTable"/>
                    <w:ind w:left="0" w:firstLine="0"/>
                    <w:jc w:val="both"/>
                    <w:rPr>
                      <w:rFonts w:ascii="Arial" w:hAnsi="Arial" w:cs="Arial"/>
                    </w:rPr>
                  </w:pPr>
                  <w:r>
                    <w:rPr>
                      <w:rFonts w:ascii="Arial" w:hAnsi="Arial" w:cs="Arial"/>
                    </w:rPr>
                    <w:t>n=</w:t>
                  </w:r>
                  <w:r w:rsidR="009309A1">
                    <w:rPr>
                      <w:rFonts w:ascii="Arial" w:hAnsi="Arial" w:cs="Arial"/>
                    </w:rPr>
                    <w:t>2</w:t>
                  </w:r>
                </w:p>
              </w:tc>
            </w:tr>
            <w:tr w:rsidR="00B816B4" w14:paraId="6FAB8C74" w14:textId="77777777" w:rsidTr="003571BD">
              <w:trPr>
                <w:gridAfter w:val="1"/>
                <w:wAfter w:w="509" w:type="dxa"/>
                <w:trHeight w:val="1169"/>
              </w:trPr>
              <w:tc>
                <w:tcPr>
                  <w:tcW w:w="2947" w:type="dxa"/>
                </w:tcPr>
                <w:p w14:paraId="6FAB8C70" w14:textId="77777777" w:rsidR="00B816B4" w:rsidRPr="00E14C48" w:rsidRDefault="00B816B4" w:rsidP="008C6EDC">
                  <w:pPr>
                    <w:jc w:val="both"/>
                    <w:rPr>
                      <w:rFonts w:cs="Arial"/>
                      <w:szCs w:val="20"/>
                    </w:rPr>
                  </w:pPr>
                  <w:r w:rsidRPr="00E14C48">
                    <w:rPr>
                      <w:rFonts w:cs="Arial"/>
                      <w:szCs w:val="20"/>
                    </w:rPr>
                    <w:t>Verification Frequency:</w:t>
                  </w:r>
                </w:p>
              </w:tc>
              <w:tc>
                <w:tcPr>
                  <w:tcW w:w="5760" w:type="dxa"/>
                  <w:vAlign w:val="center"/>
                </w:tcPr>
                <w:p w14:paraId="6FAB8C71" w14:textId="77777777" w:rsidR="00B816B4" w:rsidRPr="00E14C48" w:rsidRDefault="00B816B4" w:rsidP="008C6EDC">
                  <w:pPr>
                    <w:pStyle w:val="Pa10"/>
                    <w:numPr>
                      <w:ilvl w:val="0"/>
                      <w:numId w:val="8"/>
                    </w:numPr>
                    <w:jc w:val="both"/>
                    <w:rPr>
                      <w:rFonts w:ascii="Arial" w:hAnsi="Arial" w:cs="Arial"/>
                      <w:color w:val="000000"/>
                      <w:sz w:val="20"/>
                      <w:szCs w:val="20"/>
                    </w:rPr>
                  </w:pPr>
                  <w:r w:rsidRPr="00E14C48">
                    <w:rPr>
                      <w:rFonts w:ascii="Arial" w:hAnsi="Arial" w:cs="Arial"/>
                      <w:color w:val="000000"/>
                      <w:sz w:val="20"/>
                      <w:szCs w:val="20"/>
                    </w:rPr>
                    <w:t xml:space="preserve">For each new lot of reagent </w:t>
                  </w:r>
                </w:p>
                <w:p w14:paraId="6FAB8C72" w14:textId="77777777" w:rsidR="00B816B4" w:rsidRPr="00E14C48" w:rsidRDefault="00B816B4" w:rsidP="008C6EDC">
                  <w:pPr>
                    <w:pStyle w:val="Pa10"/>
                    <w:numPr>
                      <w:ilvl w:val="0"/>
                      <w:numId w:val="8"/>
                    </w:numPr>
                    <w:jc w:val="both"/>
                    <w:rPr>
                      <w:rFonts w:ascii="Arial" w:hAnsi="Arial" w:cs="Arial"/>
                      <w:color w:val="000000"/>
                      <w:sz w:val="20"/>
                      <w:szCs w:val="20"/>
                    </w:rPr>
                  </w:pPr>
                  <w:r w:rsidRPr="00E14C48">
                    <w:rPr>
                      <w:rFonts w:ascii="Arial" w:hAnsi="Arial" w:cs="Arial"/>
                      <w:color w:val="000000"/>
                      <w:sz w:val="20"/>
                      <w:szCs w:val="20"/>
                    </w:rPr>
                    <w:t>After major maintenance or service, if indicated by quality control results</w:t>
                  </w:r>
                </w:p>
                <w:p w14:paraId="6FAB8C73" w14:textId="77777777" w:rsidR="00B816B4" w:rsidRPr="00E14C48" w:rsidRDefault="00B816B4" w:rsidP="008C6EDC">
                  <w:pPr>
                    <w:pStyle w:val="Pa10"/>
                    <w:numPr>
                      <w:ilvl w:val="0"/>
                      <w:numId w:val="8"/>
                    </w:numPr>
                    <w:jc w:val="both"/>
                    <w:rPr>
                      <w:rFonts w:ascii="Arial" w:hAnsi="Arial" w:cs="Arial"/>
                      <w:color w:val="000000"/>
                      <w:sz w:val="20"/>
                      <w:szCs w:val="20"/>
                    </w:rPr>
                  </w:pPr>
                  <w:r w:rsidRPr="00E14C48">
                    <w:rPr>
                      <w:rFonts w:ascii="Arial" w:hAnsi="Arial" w:cs="Arial"/>
                      <w:color w:val="000000"/>
                      <w:sz w:val="20"/>
                      <w:szCs w:val="20"/>
                    </w:rPr>
                    <w:t>As indicated in laboratory quality control procedures</w:t>
                  </w:r>
                </w:p>
              </w:tc>
            </w:tr>
            <w:tr w:rsidR="00B816B4" w14:paraId="6FAB8C78" w14:textId="77777777" w:rsidTr="003571BD">
              <w:trPr>
                <w:gridAfter w:val="1"/>
                <w:wAfter w:w="509" w:type="dxa"/>
                <w:trHeight w:val="989"/>
              </w:trPr>
              <w:tc>
                <w:tcPr>
                  <w:tcW w:w="2947" w:type="dxa"/>
                  <w:tcBorders>
                    <w:bottom w:val="single" w:sz="4" w:space="0" w:color="auto"/>
                  </w:tcBorders>
                </w:tcPr>
                <w:p w14:paraId="6FAB8C75" w14:textId="77777777" w:rsidR="00B816B4" w:rsidRPr="00E14C48" w:rsidRDefault="00B816B4" w:rsidP="008C6EDC">
                  <w:pPr>
                    <w:pStyle w:val="CalVerTable"/>
                    <w:ind w:left="0" w:firstLine="0"/>
                    <w:jc w:val="both"/>
                    <w:rPr>
                      <w:rFonts w:ascii="Arial" w:hAnsi="Arial" w:cs="Arial"/>
                    </w:rPr>
                  </w:pPr>
                  <w:r w:rsidRPr="00E14C48">
                    <w:rPr>
                      <w:rFonts w:ascii="Arial" w:hAnsi="Arial" w:cs="Arial"/>
                    </w:rPr>
                    <w:t>AMR</w:t>
                  </w:r>
                </w:p>
              </w:tc>
              <w:tc>
                <w:tcPr>
                  <w:tcW w:w="5760" w:type="dxa"/>
                  <w:tcBorders>
                    <w:bottom w:val="single" w:sz="4" w:space="0" w:color="auto"/>
                  </w:tcBorders>
                  <w:vAlign w:val="center"/>
                </w:tcPr>
                <w:p w14:paraId="6FAB8C77" w14:textId="3DE6DF3C" w:rsidR="00B816B4" w:rsidRPr="003571BD" w:rsidRDefault="00B816B4" w:rsidP="005F47BB">
                  <w:pPr>
                    <w:jc w:val="both"/>
                    <w:rPr>
                      <w:rFonts w:cs="Arial"/>
                      <w:szCs w:val="20"/>
                    </w:rPr>
                  </w:pPr>
                  <w:r w:rsidRPr="00E14C48">
                    <w:rPr>
                      <w:rFonts w:cs="Arial"/>
                      <w:szCs w:val="20"/>
                    </w:rPr>
                    <w:t xml:space="preserve">Verification of AMR </w:t>
                  </w:r>
                  <w:r w:rsidR="005F47BB">
                    <w:rPr>
                      <w:rFonts w:cs="Arial"/>
                      <w:szCs w:val="20"/>
                    </w:rPr>
                    <w:t>is not required for qualitative tests.</w:t>
                  </w:r>
                </w:p>
              </w:tc>
            </w:tr>
            <w:tr w:rsidR="00B816B4" w14:paraId="6FAB8C7A" w14:textId="77777777" w:rsidTr="00B816B4">
              <w:tc>
                <w:tcPr>
                  <w:tcW w:w="9216" w:type="dxa"/>
                  <w:gridSpan w:val="3"/>
                  <w:tcBorders>
                    <w:left w:val="nil"/>
                    <w:bottom w:val="nil"/>
                    <w:right w:val="nil"/>
                  </w:tcBorders>
                </w:tcPr>
                <w:p w14:paraId="6FAB8C79" w14:textId="77777777" w:rsidR="00B816B4" w:rsidRPr="00B13C1A" w:rsidRDefault="00B816B4" w:rsidP="008C6EDC">
                  <w:pPr>
                    <w:rPr>
                      <w:rFonts w:cs="Arial"/>
                      <w:szCs w:val="20"/>
                    </w:rPr>
                  </w:pPr>
                </w:p>
              </w:tc>
            </w:tr>
          </w:tbl>
          <w:p w14:paraId="6FAB8C7B" w14:textId="77777777" w:rsidR="00B816B4" w:rsidRPr="00FB1EFD" w:rsidRDefault="00B816B4" w:rsidP="008C6EDC">
            <w:pPr>
              <w:pStyle w:val="Default"/>
            </w:pPr>
          </w:p>
        </w:tc>
      </w:tr>
      <w:tr w:rsidR="00B816B4" w14:paraId="6FAB8C8E" w14:textId="77777777" w:rsidTr="00F07A1B">
        <w:trPr>
          <w:cantSplit/>
          <w:trHeight w:val="5544"/>
          <w:tblHeader/>
        </w:trPr>
        <w:tc>
          <w:tcPr>
            <w:tcW w:w="2160" w:type="dxa"/>
            <w:tcBorders>
              <w:top w:val="single" w:sz="18" w:space="0" w:color="A6A6A6" w:themeColor="background1" w:themeShade="A6"/>
              <w:bottom w:val="single" w:sz="18" w:space="0" w:color="A6A6A6" w:themeColor="background1" w:themeShade="A6"/>
            </w:tcBorders>
          </w:tcPr>
          <w:p w14:paraId="6FAB8C7D" w14:textId="77777777" w:rsidR="00B816B4" w:rsidRDefault="00B816B4" w:rsidP="008C6EDC">
            <w:pPr>
              <w:ind w:right="-108"/>
              <w:rPr>
                <w:rFonts w:cs="Arial"/>
                <w:b/>
                <w:bCs/>
                <w:color w:val="0000FF"/>
              </w:rPr>
            </w:pPr>
          </w:p>
          <w:p w14:paraId="6FAB8C7E" w14:textId="77777777" w:rsidR="00B816B4" w:rsidRDefault="00B816B4" w:rsidP="008C6EDC">
            <w:pPr>
              <w:ind w:right="-108"/>
              <w:rPr>
                <w:rFonts w:cs="Arial"/>
                <w:b/>
                <w:bCs/>
                <w:color w:val="0000FF"/>
              </w:rPr>
            </w:pPr>
            <w:r>
              <w:rPr>
                <w:rFonts w:cs="Arial"/>
                <w:b/>
                <w:bCs/>
                <w:color w:val="0000FF"/>
              </w:rPr>
              <w:t>Quality Control</w:t>
            </w:r>
          </w:p>
        </w:tc>
        <w:tc>
          <w:tcPr>
            <w:tcW w:w="8910" w:type="dxa"/>
            <w:tcBorders>
              <w:top w:val="single" w:sz="18" w:space="0" w:color="A6A6A6" w:themeColor="background1" w:themeShade="A6"/>
              <w:bottom w:val="single" w:sz="18" w:space="0" w:color="A6A6A6" w:themeColor="background1" w:themeShade="A6"/>
            </w:tcBorders>
            <w:vAlign w:val="center"/>
          </w:tcPr>
          <w:p w14:paraId="6FAB8C7F" w14:textId="77777777" w:rsidR="00B816B4" w:rsidRDefault="0045274F" w:rsidP="008C6EDC">
            <w:pPr>
              <w:jc w:val="both"/>
              <w:rPr>
                <w:rFonts w:cs="Arial"/>
                <w:b/>
                <w:bCs/>
                <w:color w:val="5F497A"/>
                <w:szCs w:val="20"/>
              </w:rPr>
            </w:pPr>
            <w:r>
              <w:rPr>
                <w:rFonts w:cs="Arial"/>
                <w:color w:val="000000"/>
                <w:szCs w:val="20"/>
              </w:rPr>
              <w:t>Bio-Rad</w:t>
            </w:r>
            <w:r w:rsidR="003571BD">
              <w:rPr>
                <w:rFonts w:cs="Arial"/>
                <w:color w:val="000000"/>
                <w:szCs w:val="20"/>
              </w:rPr>
              <w:t xml:space="preserve"> </w:t>
            </w:r>
            <w:r w:rsidR="009309A1">
              <w:rPr>
                <w:rFonts w:cs="Arial"/>
                <w:color w:val="000000"/>
                <w:szCs w:val="20"/>
              </w:rPr>
              <w:t xml:space="preserve">Viroclear and </w:t>
            </w:r>
            <w:r>
              <w:rPr>
                <w:rFonts w:cs="Arial"/>
                <w:color w:val="000000"/>
                <w:szCs w:val="20"/>
              </w:rPr>
              <w:t>Bio-Rad</w:t>
            </w:r>
            <w:r w:rsidR="009309A1">
              <w:rPr>
                <w:rFonts w:cs="Arial"/>
                <w:color w:val="000000"/>
                <w:szCs w:val="20"/>
              </w:rPr>
              <w:t xml:space="preserve"> Virotrol I</w:t>
            </w:r>
          </w:p>
          <w:p w14:paraId="6FAB8C80" w14:textId="77777777" w:rsidR="00B816B4" w:rsidRDefault="00B816B4" w:rsidP="008C6EDC">
            <w:pPr>
              <w:autoSpaceDE w:val="0"/>
              <w:autoSpaceDN w:val="0"/>
              <w:adjustRightInd w:val="0"/>
              <w:jc w:val="both"/>
              <w:rPr>
                <w:rFonts w:cs="Arial"/>
                <w:szCs w:val="20"/>
              </w:rPr>
            </w:pPr>
          </w:p>
          <w:p w14:paraId="6FAB8C81" w14:textId="77777777" w:rsidR="00B816B4" w:rsidRDefault="00B816B4" w:rsidP="008C6EDC">
            <w:pPr>
              <w:autoSpaceDE w:val="0"/>
              <w:autoSpaceDN w:val="0"/>
              <w:adjustRightInd w:val="0"/>
              <w:jc w:val="both"/>
              <w:rPr>
                <w:rFonts w:cs="Arial"/>
                <w:szCs w:val="20"/>
              </w:rPr>
            </w:pPr>
            <w:r>
              <w:rPr>
                <w:rFonts w:cs="Arial"/>
                <w:b/>
                <w:bCs/>
                <w:szCs w:val="20"/>
              </w:rPr>
              <w:t xml:space="preserve">Frequency: </w:t>
            </w:r>
            <w:r w:rsidR="009309A1">
              <w:rPr>
                <w:rFonts w:cs="Arial"/>
                <w:szCs w:val="20"/>
              </w:rPr>
              <w:t>Both levels for each day of use</w:t>
            </w:r>
            <w:r w:rsidR="003571BD">
              <w:rPr>
                <w:rFonts w:cs="Arial"/>
                <w:szCs w:val="20"/>
              </w:rPr>
              <w:t>.</w:t>
            </w:r>
          </w:p>
          <w:p w14:paraId="6FAB8C82" w14:textId="77777777" w:rsidR="00B816B4" w:rsidRDefault="00B816B4" w:rsidP="008C6EDC">
            <w:pPr>
              <w:autoSpaceDE w:val="0"/>
              <w:autoSpaceDN w:val="0"/>
              <w:adjustRightInd w:val="0"/>
              <w:jc w:val="both"/>
              <w:rPr>
                <w:rFonts w:cs="Arial"/>
                <w:szCs w:val="20"/>
              </w:rPr>
            </w:pPr>
          </w:p>
          <w:p w14:paraId="6FAB8C83" w14:textId="77777777" w:rsidR="00B816B4" w:rsidRPr="00A82A92" w:rsidRDefault="00B816B4" w:rsidP="008C6EDC">
            <w:pPr>
              <w:autoSpaceDE w:val="0"/>
              <w:autoSpaceDN w:val="0"/>
              <w:adjustRightInd w:val="0"/>
              <w:jc w:val="both"/>
              <w:rPr>
                <w:rFonts w:cs="Arial"/>
                <w:szCs w:val="20"/>
              </w:rPr>
            </w:pPr>
            <w:r>
              <w:rPr>
                <w:rFonts w:cs="Arial"/>
                <w:b/>
                <w:bCs/>
                <w:szCs w:val="20"/>
              </w:rPr>
              <w:t>Stability</w:t>
            </w:r>
            <w:r w:rsidR="00A82A92">
              <w:rPr>
                <w:rFonts w:cs="Arial"/>
                <w:b/>
                <w:bCs/>
                <w:szCs w:val="20"/>
              </w:rPr>
              <w:t xml:space="preserve">: </w:t>
            </w:r>
            <w:r w:rsidR="008F13C3">
              <w:rPr>
                <w:rFonts w:cs="Arial"/>
                <w:bCs/>
                <w:szCs w:val="20"/>
              </w:rPr>
              <w:t>6</w:t>
            </w:r>
            <w:r w:rsidR="00A82A92">
              <w:rPr>
                <w:rFonts w:cs="Arial"/>
                <w:bCs/>
                <w:szCs w:val="20"/>
              </w:rPr>
              <w:t>0 Day</w:t>
            </w:r>
            <w:r w:rsidR="008F13C3">
              <w:rPr>
                <w:rFonts w:cs="Arial"/>
                <w:bCs/>
                <w:szCs w:val="20"/>
              </w:rPr>
              <w:t>s</w:t>
            </w:r>
            <w:r w:rsidR="00A82A92">
              <w:rPr>
                <w:rFonts w:cs="Arial"/>
                <w:bCs/>
                <w:szCs w:val="20"/>
              </w:rPr>
              <w:t xml:space="preserve"> at </w:t>
            </w:r>
            <w:r w:rsidR="008F13C3">
              <w:rPr>
                <w:rFonts w:cs="Arial"/>
                <w:szCs w:val="20"/>
              </w:rPr>
              <w:t>2-8</w:t>
            </w:r>
            <w:r w:rsidR="00A82A92" w:rsidRPr="00A11958">
              <w:rPr>
                <w:rStyle w:val="tgc"/>
                <w:rFonts w:cs="Arial"/>
                <w:color w:val="222222"/>
                <w:szCs w:val="20"/>
              </w:rPr>
              <w:t>°C</w:t>
            </w:r>
            <w:r w:rsidR="00A82A92">
              <w:rPr>
                <w:rStyle w:val="tgc"/>
                <w:rFonts w:cs="Arial"/>
                <w:color w:val="222222"/>
                <w:szCs w:val="20"/>
              </w:rPr>
              <w:t>.</w:t>
            </w:r>
          </w:p>
          <w:p w14:paraId="6FAB8C86" w14:textId="77777777" w:rsidR="00B816B4" w:rsidRDefault="00B816B4" w:rsidP="008C6EDC">
            <w:pPr>
              <w:jc w:val="both"/>
              <w:rPr>
                <w:rFonts w:cs="Arial"/>
                <w:b/>
                <w:bCs/>
              </w:rPr>
            </w:pPr>
          </w:p>
          <w:p w14:paraId="6FAB8C87" w14:textId="77777777" w:rsidR="00B816B4" w:rsidRDefault="00B816B4" w:rsidP="008C6EDC">
            <w:pPr>
              <w:jc w:val="both"/>
              <w:rPr>
                <w:rFonts w:cs="Arial"/>
              </w:rPr>
            </w:pPr>
            <w:r>
              <w:rPr>
                <w:rFonts w:cs="Arial"/>
                <w:b/>
                <w:bCs/>
              </w:rPr>
              <w:t>Acceptable ranges:</w:t>
            </w:r>
            <w:r>
              <w:rPr>
                <w:rFonts w:cs="Arial"/>
              </w:rPr>
              <w:t xml:space="preserve"> </w:t>
            </w:r>
          </w:p>
          <w:p w14:paraId="4264695B" w14:textId="77777777" w:rsidR="002C514C" w:rsidRPr="002C514C" w:rsidRDefault="002C514C" w:rsidP="002C514C">
            <w:pPr>
              <w:pStyle w:val="ListParagraph"/>
              <w:numPr>
                <w:ilvl w:val="0"/>
                <w:numId w:val="16"/>
              </w:numPr>
              <w:jc w:val="both"/>
              <w:rPr>
                <w:rFonts w:ascii="Arial" w:hAnsi="Arial" w:cs="Arial"/>
                <w:sz w:val="20"/>
                <w:szCs w:val="20"/>
              </w:rPr>
            </w:pPr>
            <w:r w:rsidRPr="002C514C">
              <w:rPr>
                <w:rFonts w:ascii="Arial" w:hAnsi="Arial" w:cs="Arial"/>
                <w:sz w:val="20"/>
                <w:szCs w:val="20"/>
              </w:rPr>
              <w:t xml:space="preserve">Non-Bio-Rad controls will utilize manufacturer ranges and 2 SD Westgard rules.  </w:t>
            </w:r>
          </w:p>
          <w:p w14:paraId="212AA8A5" w14:textId="77777777" w:rsidR="002C514C" w:rsidRPr="002C514C" w:rsidRDefault="002C514C" w:rsidP="002C514C">
            <w:pPr>
              <w:pStyle w:val="ListParagraph"/>
              <w:numPr>
                <w:ilvl w:val="0"/>
                <w:numId w:val="16"/>
              </w:numPr>
              <w:jc w:val="both"/>
              <w:rPr>
                <w:rFonts w:ascii="Arial" w:hAnsi="Arial" w:cs="Arial"/>
                <w:sz w:val="20"/>
                <w:szCs w:val="20"/>
              </w:rPr>
            </w:pPr>
            <w:r w:rsidRPr="002C514C">
              <w:rPr>
                <w:rFonts w:ascii="Arial" w:hAnsi="Arial" w:cs="Arial"/>
                <w:sz w:val="20"/>
                <w:szCs w:val="20"/>
              </w:rPr>
              <w:t xml:space="preserve">New lots of Bio-Rad controls should be run for 20 days in parallel with the current lot whenever possible prior to switching to the new lot.  </w:t>
            </w:r>
          </w:p>
          <w:p w14:paraId="7C949196" w14:textId="77777777" w:rsidR="002C514C" w:rsidRPr="002C514C" w:rsidRDefault="002C514C" w:rsidP="002C514C">
            <w:pPr>
              <w:pStyle w:val="ListParagraph"/>
              <w:numPr>
                <w:ilvl w:val="0"/>
                <w:numId w:val="16"/>
              </w:numPr>
              <w:jc w:val="both"/>
              <w:rPr>
                <w:rFonts w:ascii="Arial" w:hAnsi="Arial" w:cs="Arial"/>
                <w:sz w:val="20"/>
                <w:szCs w:val="20"/>
              </w:rPr>
            </w:pPr>
            <w:r w:rsidRPr="002C514C">
              <w:rPr>
                <w:rFonts w:ascii="Arial" w:hAnsi="Arial" w:cs="Arial"/>
                <w:sz w:val="20"/>
                <w:szCs w:val="20"/>
              </w:rPr>
              <w:t xml:space="preserve">Refer to the </w:t>
            </w:r>
            <w:hyperlink r:id="rId11" w:history="1">
              <w:r w:rsidRPr="002C514C">
                <w:rPr>
                  <w:rStyle w:val="Hyperlink"/>
                  <w:rFonts w:ascii="Arial" w:hAnsi="Arial" w:cs="Arial"/>
                  <w:sz w:val="20"/>
                  <w:szCs w:val="20"/>
                </w:rPr>
                <w:t>Westgard Rules in Chemistry procedure</w:t>
              </w:r>
            </w:hyperlink>
            <w:r w:rsidRPr="002C514C">
              <w:rPr>
                <w:rFonts w:ascii="Arial" w:hAnsi="Arial" w:cs="Arial"/>
                <w:sz w:val="20"/>
                <w:szCs w:val="20"/>
              </w:rPr>
              <w:t xml:space="preserve"> for current Westgard rules in place for each analyte.  </w:t>
            </w:r>
          </w:p>
          <w:p w14:paraId="6AA22AEA" w14:textId="77777777" w:rsidR="002C514C" w:rsidRPr="002C514C" w:rsidRDefault="002C514C" w:rsidP="002C514C">
            <w:pPr>
              <w:numPr>
                <w:ilvl w:val="0"/>
                <w:numId w:val="16"/>
              </w:numPr>
              <w:autoSpaceDE w:val="0"/>
              <w:autoSpaceDN w:val="0"/>
              <w:adjustRightInd w:val="0"/>
              <w:jc w:val="both"/>
              <w:rPr>
                <w:rFonts w:cs="Arial"/>
                <w:szCs w:val="20"/>
              </w:rPr>
            </w:pPr>
            <w:r w:rsidRPr="002C514C">
              <w:rPr>
                <w:rFonts w:cs="Arial"/>
                <w:b/>
                <w:szCs w:val="20"/>
              </w:rPr>
              <w:t>Acceptable ranges are current in Unity Real Time only.</w:t>
            </w:r>
            <w:r w:rsidRPr="002C514C">
              <w:rPr>
                <w:rFonts w:cs="Arial"/>
                <w:szCs w:val="20"/>
              </w:rPr>
              <w:t xml:space="preserve">  Quality Control results must be rejected in Sunquest when the results cross the interface.  </w:t>
            </w:r>
          </w:p>
          <w:p w14:paraId="6A5543EC" w14:textId="77777777" w:rsidR="002C514C" w:rsidRPr="002C514C" w:rsidRDefault="002C514C" w:rsidP="002C514C">
            <w:pPr>
              <w:numPr>
                <w:ilvl w:val="0"/>
                <w:numId w:val="16"/>
              </w:numPr>
              <w:autoSpaceDE w:val="0"/>
              <w:autoSpaceDN w:val="0"/>
              <w:adjustRightInd w:val="0"/>
              <w:jc w:val="both"/>
              <w:rPr>
                <w:rFonts w:cs="Arial"/>
                <w:color w:val="000000"/>
                <w:szCs w:val="20"/>
              </w:rPr>
            </w:pPr>
            <w:r w:rsidRPr="002C514C">
              <w:rPr>
                <w:rFonts w:cs="Arial"/>
                <w:szCs w:val="20"/>
              </w:rPr>
              <w:t xml:space="preserve">In the event of a QC failure, refer to the </w:t>
            </w:r>
            <w:hyperlink r:id="rId12" w:history="1">
              <w:r w:rsidRPr="002C514C">
                <w:rPr>
                  <w:rStyle w:val="Hyperlink"/>
                  <w:rFonts w:cs="Arial"/>
                  <w:szCs w:val="20"/>
                </w:rPr>
                <w:t>Unity Real Time QC Review, General User</w:t>
              </w:r>
            </w:hyperlink>
            <w:r w:rsidRPr="002C514C">
              <w:rPr>
                <w:rFonts w:cs="Arial"/>
                <w:szCs w:val="20"/>
              </w:rPr>
              <w:t xml:space="preserve">  and navigate to the QC Troubleshooting section.</w:t>
            </w:r>
          </w:p>
          <w:p w14:paraId="5FF74BCE" w14:textId="77777777" w:rsidR="002C514C" w:rsidRPr="002C514C" w:rsidRDefault="002C514C" w:rsidP="002C514C">
            <w:pPr>
              <w:numPr>
                <w:ilvl w:val="0"/>
                <w:numId w:val="16"/>
              </w:numPr>
              <w:jc w:val="both"/>
              <w:rPr>
                <w:rFonts w:cs="Arial"/>
              </w:rPr>
            </w:pPr>
            <w:r>
              <w:rPr>
                <w:rFonts w:cs="Arial"/>
                <w:szCs w:val="20"/>
              </w:rPr>
              <w:t xml:space="preserve">Do not load or release patients until QC is acceptable in Unity Real Time.  </w:t>
            </w:r>
          </w:p>
          <w:p w14:paraId="6FAB8C8D" w14:textId="2D23FE1F" w:rsidR="0045274F" w:rsidRPr="00CE16FB" w:rsidRDefault="0045274F" w:rsidP="002C514C">
            <w:pPr>
              <w:numPr>
                <w:ilvl w:val="0"/>
                <w:numId w:val="16"/>
              </w:numPr>
              <w:jc w:val="both"/>
              <w:rPr>
                <w:rFonts w:cs="Arial"/>
              </w:rPr>
            </w:pPr>
            <w:r>
              <w:rPr>
                <w:rFonts w:cs="Arial"/>
              </w:rPr>
              <w:t>As this is a qualitative test, Viroclear should be nonreactive and Virotrol II should be reactive.  Do not report results unless both results meet these criteria.</w:t>
            </w:r>
          </w:p>
        </w:tc>
      </w:tr>
      <w:tr w:rsidR="008C6EDC" w14:paraId="6FAB8C94" w14:textId="77777777" w:rsidTr="00D120DB">
        <w:trPr>
          <w:cantSplit/>
          <w:trHeight w:val="1944"/>
          <w:tblHeader/>
        </w:trPr>
        <w:tc>
          <w:tcPr>
            <w:tcW w:w="2160" w:type="dxa"/>
            <w:tcBorders>
              <w:top w:val="single" w:sz="18" w:space="0" w:color="A6A6A6" w:themeColor="background1" w:themeShade="A6"/>
              <w:bottom w:val="single" w:sz="18" w:space="0" w:color="A6A6A6" w:themeColor="background1" w:themeShade="A6"/>
            </w:tcBorders>
          </w:tcPr>
          <w:p w14:paraId="6FAB8C8F" w14:textId="3FF1B796" w:rsidR="008C6EDC" w:rsidRDefault="008C6EDC">
            <w:pPr>
              <w:rPr>
                <w:rFonts w:cs="Arial"/>
                <w:b/>
                <w:bCs/>
                <w:color w:val="0000FF"/>
              </w:rPr>
            </w:pPr>
          </w:p>
          <w:p w14:paraId="6FAB8C90" w14:textId="77777777" w:rsidR="008C6EDC" w:rsidRDefault="00005CB1" w:rsidP="008C6EDC">
            <w:pPr>
              <w:rPr>
                <w:rFonts w:cs="Arial"/>
                <w:b/>
                <w:bCs/>
                <w:color w:val="0000FF"/>
              </w:rPr>
            </w:pPr>
            <w:r>
              <w:rPr>
                <w:rFonts w:cs="Arial"/>
                <w:b/>
                <w:bCs/>
                <w:color w:val="0000FF"/>
              </w:rPr>
              <w:t>Limitations of the Procedure</w:t>
            </w:r>
          </w:p>
          <w:p w14:paraId="6FAB8C91" w14:textId="77777777" w:rsidR="008C6EDC" w:rsidRDefault="008C6EDC">
            <w:pPr>
              <w:rPr>
                <w:rFonts w:cs="Arial"/>
                <w:b/>
                <w:bCs/>
                <w:color w:val="0000FF"/>
              </w:rPr>
            </w:pPr>
          </w:p>
        </w:tc>
        <w:tc>
          <w:tcPr>
            <w:tcW w:w="8910" w:type="dxa"/>
            <w:tcBorders>
              <w:top w:val="single" w:sz="18" w:space="0" w:color="A6A6A6" w:themeColor="background1" w:themeShade="A6"/>
              <w:bottom w:val="single" w:sz="18" w:space="0" w:color="A6A6A6" w:themeColor="background1" w:themeShade="A6"/>
            </w:tcBorders>
            <w:vAlign w:val="center"/>
          </w:tcPr>
          <w:p w14:paraId="6FAB8C92" w14:textId="77777777" w:rsidR="00005CB1" w:rsidRPr="00005CB1" w:rsidRDefault="00005CB1" w:rsidP="00005CB1">
            <w:pPr>
              <w:pStyle w:val="ListParagraph"/>
              <w:numPr>
                <w:ilvl w:val="0"/>
                <w:numId w:val="16"/>
              </w:numPr>
              <w:autoSpaceDE w:val="0"/>
              <w:autoSpaceDN w:val="0"/>
              <w:adjustRightInd w:val="0"/>
              <w:contextualSpacing w:val="0"/>
              <w:rPr>
                <w:rFonts w:ascii="Arial" w:eastAsia="HelenPro-Regular" w:hAnsi="Arial" w:cs="Arial"/>
                <w:sz w:val="20"/>
                <w:szCs w:val="20"/>
              </w:rPr>
            </w:pPr>
            <w:r w:rsidRPr="00005CB1">
              <w:rPr>
                <w:rFonts w:ascii="Arial" w:eastAsia="HelenPro-Regular" w:hAnsi="Arial" w:cs="Arial"/>
                <w:sz w:val="20"/>
                <w:szCs w:val="20"/>
              </w:rPr>
              <w:t>Specimens from patients who have received preparations of mouse monoclonal antibodies for diagnosis or therapy may contain human anti-mouse antibodies (HAMA). Specimens containing HAMA may produce anomalous values when tested with assay kits that employ mouse monoclonal antibodies.</w:t>
            </w:r>
          </w:p>
          <w:p w14:paraId="6FAB8C93" w14:textId="77777777" w:rsidR="00A82A92" w:rsidRPr="00005CB1" w:rsidRDefault="00005CB1" w:rsidP="00005CB1">
            <w:pPr>
              <w:pStyle w:val="ListParagraph"/>
              <w:numPr>
                <w:ilvl w:val="0"/>
                <w:numId w:val="16"/>
              </w:numPr>
              <w:autoSpaceDE w:val="0"/>
              <w:autoSpaceDN w:val="0"/>
              <w:adjustRightInd w:val="0"/>
              <w:contextualSpacing w:val="0"/>
              <w:rPr>
                <w:rFonts w:eastAsia="HelenPro-Regular"/>
              </w:rPr>
            </w:pPr>
            <w:r w:rsidRPr="00005CB1">
              <w:rPr>
                <w:rFonts w:ascii="Arial" w:eastAsia="HelenPro-Regular" w:hAnsi="Arial" w:cs="Arial"/>
                <w:sz w:val="20"/>
                <w:szCs w:val="20"/>
              </w:rPr>
              <w:t xml:space="preserve">Heterophilic antibodies in human serum can react with reagent immunoglobulins, interfering with </w:t>
            </w:r>
            <w:r w:rsidRPr="00005CB1">
              <w:rPr>
                <w:rFonts w:ascii="Arial" w:eastAsia="HelenPro-Bold" w:hAnsi="Arial" w:cs="Arial"/>
                <w:i/>
                <w:iCs/>
                <w:sz w:val="20"/>
                <w:szCs w:val="20"/>
              </w:rPr>
              <w:t xml:space="preserve">in vitro </w:t>
            </w:r>
            <w:r w:rsidRPr="00005CB1">
              <w:rPr>
                <w:rFonts w:ascii="Arial" w:eastAsia="HelenPro-Regular" w:hAnsi="Arial" w:cs="Arial"/>
                <w:sz w:val="20"/>
                <w:szCs w:val="20"/>
              </w:rPr>
              <w:t>immunoassays. Patients routinely exposed to animals or to animal serum products can be prone to this interference and anomalous results may be observed. Additional information may be required for diagnosis.</w:t>
            </w:r>
          </w:p>
        </w:tc>
      </w:tr>
      <w:tr w:rsidR="00005CB1" w14:paraId="6FAB8C9E" w14:textId="77777777" w:rsidTr="00D120DB">
        <w:trPr>
          <w:cantSplit/>
          <w:trHeight w:val="1944"/>
          <w:tblHeader/>
        </w:trPr>
        <w:tc>
          <w:tcPr>
            <w:tcW w:w="2160" w:type="dxa"/>
            <w:tcBorders>
              <w:top w:val="single" w:sz="18" w:space="0" w:color="A6A6A6" w:themeColor="background1" w:themeShade="A6"/>
              <w:bottom w:val="single" w:sz="18" w:space="0" w:color="A6A6A6" w:themeColor="background1" w:themeShade="A6"/>
            </w:tcBorders>
          </w:tcPr>
          <w:p w14:paraId="6FAB8C95" w14:textId="77777777" w:rsidR="00005CB1" w:rsidRDefault="00005CB1">
            <w:pPr>
              <w:rPr>
                <w:rFonts w:cs="Arial"/>
                <w:b/>
                <w:bCs/>
                <w:color w:val="0000FF"/>
              </w:rPr>
            </w:pPr>
            <w:r>
              <w:rPr>
                <w:rFonts w:cs="Arial"/>
                <w:b/>
                <w:bCs/>
                <w:color w:val="0000FF"/>
              </w:rPr>
              <w:lastRenderedPageBreak/>
              <w:t>Limita</w:t>
            </w:r>
            <w:r w:rsidR="00F07A1B">
              <w:rPr>
                <w:rFonts w:cs="Arial"/>
                <w:b/>
                <w:bCs/>
                <w:color w:val="0000FF"/>
              </w:rPr>
              <w:t>tions of the Procedure (Cont.)</w:t>
            </w:r>
          </w:p>
        </w:tc>
        <w:tc>
          <w:tcPr>
            <w:tcW w:w="8910" w:type="dxa"/>
            <w:tcBorders>
              <w:top w:val="single" w:sz="18" w:space="0" w:color="A6A6A6" w:themeColor="background1" w:themeShade="A6"/>
              <w:bottom w:val="single" w:sz="18" w:space="0" w:color="A6A6A6" w:themeColor="background1" w:themeShade="A6"/>
            </w:tcBorders>
            <w:vAlign w:val="center"/>
          </w:tcPr>
          <w:p w14:paraId="6FAB8C96" w14:textId="05762CA8" w:rsidR="00005CB1" w:rsidRPr="00005CB1" w:rsidRDefault="00005CB1" w:rsidP="00005CB1">
            <w:pPr>
              <w:pStyle w:val="ListParagraph"/>
              <w:numPr>
                <w:ilvl w:val="0"/>
                <w:numId w:val="28"/>
              </w:numPr>
              <w:autoSpaceDE w:val="0"/>
              <w:autoSpaceDN w:val="0"/>
              <w:adjustRightInd w:val="0"/>
              <w:rPr>
                <w:rFonts w:ascii="Arial" w:eastAsia="HelenPro-Regular" w:hAnsi="Arial" w:cs="Arial"/>
                <w:sz w:val="20"/>
                <w:szCs w:val="20"/>
              </w:rPr>
            </w:pPr>
            <w:r w:rsidRPr="00005CB1">
              <w:rPr>
                <w:rFonts w:ascii="Arial" w:eastAsia="HelenPro-Regular" w:hAnsi="Arial" w:cs="Arial"/>
                <w:sz w:val="20"/>
                <w:szCs w:val="20"/>
              </w:rPr>
              <w:t>Th</w:t>
            </w:r>
            <w:r w:rsidR="005F47BB">
              <w:rPr>
                <w:rFonts w:ascii="Arial" w:eastAsia="HelenPro-Regular" w:hAnsi="Arial" w:cs="Arial"/>
                <w:sz w:val="20"/>
                <w:szCs w:val="20"/>
              </w:rPr>
              <w:t>e effectiveness of the Alinity i</w:t>
            </w:r>
            <w:r w:rsidRPr="00005CB1">
              <w:rPr>
                <w:rFonts w:ascii="Arial" w:eastAsia="HelenPro-Regular" w:hAnsi="Arial" w:cs="Arial"/>
                <w:sz w:val="20"/>
                <w:szCs w:val="20"/>
              </w:rPr>
              <w:t xml:space="preserve"> HBsAg Qualitative assay for use in screening blood, , or tissue donors has not been established.</w:t>
            </w:r>
          </w:p>
          <w:p w14:paraId="6FAB8C97" w14:textId="21F16E49" w:rsidR="00005CB1" w:rsidRPr="00005CB1" w:rsidRDefault="00005CB1" w:rsidP="00005CB1">
            <w:pPr>
              <w:pStyle w:val="ListParagraph"/>
              <w:numPr>
                <w:ilvl w:val="0"/>
                <w:numId w:val="28"/>
              </w:numPr>
              <w:autoSpaceDE w:val="0"/>
              <w:autoSpaceDN w:val="0"/>
              <w:adjustRightInd w:val="0"/>
              <w:rPr>
                <w:rFonts w:ascii="Arial" w:eastAsia="HelenPro-Regular" w:hAnsi="Arial" w:cs="Arial"/>
                <w:sz w:val="20"/>
                <w:szCs w:val="20"/>
              </w:rPr>
            </w:pPr>
            <w:r w:rsidRPr="00005CB1">
              <w:rPr>
                <w:rFonts w:ascii="Arial" w:eastAsia="HelenPro-Regular" w:hAnsi="Arial" w:cs="Arial"/>
                <w:sz w:val="20"/>
                <w:szCs w:val="20"/>
              </w:rPr>
              <w:t>Assay performance characteristics have not bee</w:t>
            </w:r>
            <w:r w:rsidR="005F47BB">
              <w:rPr>
                <w:rFonts w:ascii="Arial" w:eastAsia="HelenPro-Regular" w:hAnsi="Arial" w:cs="Arial"/>
                <w:sz w:val="20"/>
                <w:szCs w:val="20"/>
              </w:rPr>
              <w:t>n established when the Alinity i</w:t>
            </w:r>
            <w:r w:rsidRPr="00005CB1">
              <w:rPr>
                <w:rFonts w:ascii="Arial" w:eastAsia="HelenPro-Regular" w:hAnsi="Arial" w:cs="Arial"/>
                <w:sz w:val="20"/>
                <w:szCs w:val="20"/>
              </w:rPr>
              <w:t xml:space="preserve"> HBsAg Qualitative assay is used in conjunction with other manufacturers’ assays for specific HBV markers. </w:t>
            </w:r>
          </w:p>
          <w:p w14:paraId="6FAB8C98" w14:textId="77777777" w:rsidR="00005CB1" w:rsidRPr="00005CB1" w:rsidRDefault="00005CB1" w:rsidP="00005CB1">
            <w:pPr>
              <w:pStyle w:val="ListParagraph"/>
              <w:numPr>
                <w:ilvl w:val="0"/>
                <w:numId w:val="28"/>
              </w:numPr>
              <w:autoSpaceDE w:val="0"/>
              <w:autoSpaceDN w:val="0"/>
              <w:adjustRightInd w:val="0"/>
              <w:rPr>
                <w:rFonts w:ascii="Arial" w:eastAsia="HelenPro-Regular" w:hAnsi="Arial" w:cs="Arial"/>
                <w:sz w:val="20"/>
                <w:szCs w:val="20"/>
              </w:rPr>
            </w:pPr>
            <w:r w:rsidRPr="00005CB1">
              <w:rPr>
                <w:rFonts w:ascii="Arial" w:eastAsia="HelenPro-Regular" w:hAnsi="Arial" w:cs="Arial"/>
                <w:sz w:val="20"/>
                <w:szCs w:val="20"/>
              </w:rPr>
              <w:t>Current methods for the detection of hepatitis B surface antigen may not detect all potentially infected individuals. A nonreactive test result does not exclude the possibility of exposure to or infection with hepatitis B virus. A nonreactive test result in individuals with prior exposure to hepatitis B may be due to antigen levels below the detection limit of this assay or lack of antigen reactivity to the antibodies in this assay.</w:t>
            </w:r>
          </w:p>
          <w:p w14:paraId="6FAB8C99" w14:textId="7F7BE3A2" w:rsidR="00005CB1" w:rsidRPr="00005CB1" w:rsidRDefault="0070765D" w:rsidP="00005CB1">
            <w:pPr>
              <w:pStyle w:val="ListParagraph"/>
              <w:numPr>
                <w:ilvl w:val="0"/>
                <w:numId w:val="28"/>
              </w:numPr>
              <w:autoSpaceDE w:val="0"/>
              <w:autoSpaceDN w:val="0"/>
              <w:adjustRightInd w:val="0"/>
              <w:rPr>
                <w:rFonts w:ascii="Arial" w:eastAsia="HelenPro-Regular" w:hAnsi="Arial" w:cs="Arial"/>
                <w:sz w:val="20"/>
                <w:szCs w:val="20"/>
              </w:rPr>
            </w:pPr>
            <w:r>
              <w:rPr>
                <w:rFonts w:ascii="Arial" w:eastAsia="HelenPro-Regular" w:hAnsi="Arial" w:cs="Arial"/>
                <w:sz w:val="20"/>
                <w:szCs w:val="20"/>
              </w:rPr>
              <w:t>If the Alinity i</w:t>
            </w:r>
            <w:r w:rsidR="00005CB1" w:rsidRPr="00005CB1">
              <w:rPr>
                <w:rFonts w:ascii="Arial" w:eastAsia="HelenPro-Regular" w:hAnsi="Arial" w:cs="Arial"/>
                <w:sz w:val="20"/>
                <w:szCs w:val="20"/>
              </w:rPr>
              <w:t xml:space="preserve"> HBsAg Qualitative results are inconsistent with clinical evidence, additional testing is suggested to confirm the result.</w:t>
            </w:r>
          </w:p>
          <w:p w14:paraId="6FAB8C9A" w14:textId="77777777" w:rsidR="00005CB1" w:rsidRPr="00005CB1" w:rsidRDefault="00005CB1" w:rsidP="00005CB1">
            <w:pPr>
              <w:pStyle w:val="ListParagraph"/>
              <w:numPr>
                <w:ilvl w:val="0"/>
                <w:numId w:val="28"/>
              </w:numPr>
              <w:autoSpaceDE w:val="0"/>
              <w:autoSpaceDN w:val="0"/>
              <w:adjustRightInd w:val="0"/>
              <w:rPr>
                <w:rFonts w:ascii="Arial" w:eastAsia="HelenPro-Regular" w:hAnsi="Arial" w:cs="Arial"/>
                <w:sz w:val="20"/>
                <w:szCs w:val="20"/>
              </w:rPr>
            </w:pPr>
            <w:r w:rsidRPr="00005CB1">
              <w:rPr>
                <w:rFonts w:ascii="Arial" w:eastAsia="HelenPro-Regular" w:hAnsi="Arial" w:cs="Arial"/>
                <w:sz w:val="20"/>
                <w:szCs w:val="20"/>
              </w:rPr>
              <w:t>For diagnostic purposes, results should be used in conjunction with patient history and other hepatitis markers for diagnosis of acute and chronic infection.</w:t>
            </w:r>
          </w:p>
          <w:p w14:paraId="6FAB8C9B" w14:textId="6192A496" w:rsidR="00005CB1" w:rsidRPr="00005CB1" w:rsidRDefault="00005CB1" w:rsidP="00005CB1">
            <w:pPr>
              <w:pStyle w:val="ListParagraph"/>
              <w:numPr>
                <w:ilvl w:val="0"/>
                <w:numId w:val="28"/>
              </w:numPr>
              <w:autoSpaceDE w:val="0"/>
              <w:autoSpaceDN w:val="0"/>
              <w:adjustRightInd w:val="0"/>
              <w:rPr>
                <w:rFonts w:ascii="Arial" w:eastAsia="HelenPro-Regular" w:hAnsi="Arial" w:cs="Arial"/>
                <w:sz w:val="20"/>
                <w:szCs w:val="20"/>
              </w:rPr>
            </w:pPr>
            <w:r w:rsidRPr="00005CB1">
              <w:rPr>
                <w:rFonts w:ascii="Arial" w:eastAsia="HelenPro-Regular" w:hAnsi="Arial" w:cs="Arial"/>
                <w:sz w:val="20"/>
                <w:szCs w:val="20"/>
              </w:rPr>
              <w:t>Resu</w:t>
            </w:r>
            <w:r w:rsidR="0070765D">
              <w:rPr>
                <w:rFonts w:ascii="Arial" w:eastAsia="HelenPro-Regular" w:hAnsi="Arial" w:cs="Arial"/>
                <w:sz w:val="20"/>
                <w:szCs w:val="20"/>
              </w:rPr>
              <w:t xml:space="preserve">lts obtained with the Alinity i </w:t>
            </w:r>
            <w:r w:rsidRPr="00005CB1">
              <w:rPr>
                <w:rFonts w:ascii="Arial" w:eastAsia="HelenPro-Regular" w:hAnsi="Arial" w:cs="Arial"/>
                <w:sz w:val="20"/>
                <w:szCs w:val="20"/>
              </w:rPr>
              <w:t>HBsAg Qualitative assay may not be used interchangeably with values obtained with different manufacturers’ assay methods.</w:t>
            </w:r>
          </w:p>
          <w:p w14:paraId="6FAB8C9C" w14:textId="77777777" w:rsidR="00005CB1" w:rsidRPr="00005CB1" w:rsidRDefault="00005CB1" w:rsidP="00005CB1">
            <w:pPr>
              <w:pStyle w:val="ListParagraph"/>
              <w:numPr>
                <w:ilvl w:val="0"/>
                <w:numId w:val="28"/>
              </w:numPr>
              <w:autoSpaceDE w:val="0"/>
              <w:autoSpaceDN w:val="0"/>
              <w:adjustRightInd w:val="0"/>
              <w:rPr>
                <w:rFonts w:ascii="Arial" w:eastAsia="HelenPro-Regular" w:hAnsi="Arial" w:cs="Arial"/>
                <w:sz w:val="20"/>
                <w:szCs w:val="20"/>
              </w:rPr>
            </w:pPr>
            <w:r w:rsidRPr="00005CB1">
              <w:rPr>
                <w:rFonts w:ascii="Arial" w:eastAsia="HelenPro-Regular" w:hAnsi="Arial" w:cs="Arial"/>
                <w:sz w:val="20"/>
                <w:szCs w:val="20"/>
              </w:rPr>
              <w:t>A reactive HBsAg result does not exclude co-infection by another hepatitis virus.</w:t>
            </w:r>
          </w:p>
          <w:p w14:paraId="6FAB8C9D" w14:textId="77777777" w:rsidR="00005CB1" w:rsidRPr="00E63CB7" w:rsidRDefault="00005CB1" w:rsidP="005512C0">
            <w:pPr>
              <w:pStyle w:val="Default"/>
              <w:jc w:val="both"/>
              <w:rPr>
                <w:rFonts w:ascii="Arial" w:hAnsi="Arial" w:cs="Arial"/>
                <w:color w:val="auto"/>
                <w:sz w:val="20"/>
                <w:szCs w:val="20"/>
              </w:rPr>
            </w:pPr>
          </w:p>
        </w:tc>
      </w:tr>
      <w:tr w:rsidR="008C6EDC" w14:paraId="6FAB8CA9" w14:textId="77777777" w:rsidTr="00975EFB">
        <w:trPr>
          <w:trHeight w:val="1044"/>
          <w:tblHeader/>
        </w:trPr>
        <w:tc>
          <w:tcPr>
            <w:tcW w:w="2160" w:type="dxa"/>
            <w:tcBorders>
              <w:top w:val="single" w:sz="18" w:space="0" w:color="A6A6A6" w:themeColor="background1" w:themeShade="A6"/>
              <w:bottom w:val="single" w:sz="18" w:space="0" w:color="A6A6A6" w:themeColor="background1" w:themeShade="A6"/>
            </w:tcBorders>
            <w:vAlign w:val="center"/>
          </w:tcPr>
          <w:p w14:paraId="6FAB8C9F" w14:textId="77777777" w:rsidR="008C6EDC" w:rsidRPr="004D6965" w:rsidRDefault="008C6EDC" w:rsidP="008C6EDC">
            <w:pPr>
              <w:jc w:val="both"/>
              <w:rPr>
                <w:rFonts w:cs="Arial"/>
                <w:b/>
                <w:bCs/>
                <w:color w:val="0000FF"/>
              </w:rPr>
            </w:pPr>
            <w:r>
              <w:rPr>
                <w:rFonts w:cs="Arial"/>
                <w:b/>
                <w:bCs/>
                <w:color w:val="0000FF"/>
              </w:rPr>
              <w:t>Reference Range</w:t>
            </w:r>
          </w:p>
        </w:tc>
        <w:tc>
          <w:tcPr>
            <w:tcW w:w="8910" w:type="dxa"/>
            <w:tcBorders>
              <w:top w:val="single" w:sz="18" w:space="0" w:color="A6A6A6" w:themeColor="background1" w:themeShade="A6"/>
              <w:bottom w:val="single" w:sz="18" w:space="0" w:color="A6A6A6" w:themeColor="background1" w:themeShade="A6"/>
            </w:tcBorders>
            <w:vAlign w:val="center"/>
          </w:tcPr>
          <w:p w14:paraId="6FAB8CA0" w14:textId="77777777" w:rsidR="008C6EDC" w:rsidRDefault="008C6EDC" w:rsidP="008C6EDC">
            <w:pPr>
              <w:jc w:val="both"/>
              <w:rPr>
                <w:rFonts w:cs="Arial"/>
              </w:rPr>
            </w:pPr>
          </w:p>
          <w:tbl>
            <w:tblPr>
              <w:tblStyle w:val="TableGrid"/>
              <w:tblW w:w="0" w:type="auto"/>
              <w:tblLayout w:type="fixed"/>
              <w:tblLook w:val="04A0" w:firstRow="1" w:lastRow="0" w:firstColumn="1" w:lastColumn="0" w:noHBand="0" w:noVBand="1"/>
            </w:tblPr>
            <w:tblGrid>
              <w:gridCol w:w="2684"/>
              <w:gridCol w:w="5730"/>
            </w:tblGrid>
            <w:tr w:rsidR="00D20601" w14:paraId="6FAB8CA3" w14:textId="77777777" w:rsidTr="00D20601">
              <w:trPr>
                <w:trHeight w:val="249"/>
              </w:trPr>
              <w:tc>
                <w:tcPr>
                  <w:tcW w:w="2684" w:type="dxa"/>
                </w:tcPr>
                <w:p w14:paraId="6FAB8CA1" w14:textId="77777777" w:rsidR="00D20601" w:rsidRPr="00D20601" w:rsidRDefault="00D20601" w:rsidP="00D20601">
                  <w:pPr>
                    <w:jc w:val="both"/>
                    <w:rPr>
                      <w:rFonts w:cs="Arial"/>
                      <w:b/>
                    </w:rPr>
                  </w:pPr>
                  <w:r w:rsidRPr="00D20601">
                    <w:rPr>
                      <w:rFonts w:cs="Arial"/>
                      <w:b/>
                    </w:rPr>
                    <w:t>Numerical Value</w:t>
                  </w:r>
                </w:p>
              </w:tc>
              <w:tc>
                <w:tcPr>
                  <w:tcW w:w="5730" w:type="dxa"/>
                </w:tcPr>
                <w:p w14:paraId="6FAB8CA2" w14:textId="77777777" w:rsidR="00D20601" w:rsidRPr="00D20601" w:rsidRDefault="0045274F" w:rsidP="00D20601">
                  <w:pPr>
                    <w:jc w:val="both"/>
                    <w:rPr>
                      <w:rFonts w:cs="Arial"/>
                      <w:b/>
                    </w:rPr>
                  </w:pPr>
                  <w:r w:rsidRPr="00D20601">
                    <w:rPr>
                      <w:rFonts w:cs="Arial"/>
                      <w:b/>
                    </w:rPr>
                    <w:t>Interpretation</w:t>
                  </w:r>
                </w:p>
              </w:tc>
            </w:tr>
            <w:tr w:rsidR="00D20601" w14:paraId="6FAB8CA6" w14:textId="77777777" w:rsidTr="00D20601">
              <w:trPr>
                <w:trHeight w:val="249"/>
              </w:trPr>
              <w:tc>
                <w:tcPr>
                  <w:tcW w:w="2684" w:type="dxa"/>
                </w:tcPr>
                <w:p w14:paraId="6FAB8CA4" w14:textId="77777777" w:rsidR="00D20601" w:rsidRDefault="00D20601" w:rsidP="00D20601">
                  <w:pPr>
                    <w:jc w:val="both"/>
                    <w:rPr>
                      <w:rFonts w:cs="Arial"/>
                    </w:rPr>
                  </w:pPr>
                  <w:r>
                    <w:rPr>
                      <w:rFonts w:cs="Arial"/>
                    </w:rPr>
                    <w:t>&lt;1.0 IU/mL</w:t>
                  </w:r>
                </w:p>
              </w:tc>
              <w:tc>
                <w:tcPr>
                  <w:tcW w:w="5730" w:type="dxa"/>
                </w:tcPr>
                <w:p w14:paraId="6FAB8CA5" w14:textId="77777777" w:rsidR="00D20601" w:rsidRDefault="00D20601" w:rsidP="00D20601">
                  <w:pPr>
                    <w:jc w:val="both"/>
                    <w:rPr>
                      <w:rFonts w:cs="Arial"/>
                    </w:rPr>
                  </w:pPr>
                  <w:r>
                    <w:rPr>
                      <w:rFonts w:cs="Arial"/>
                    </w:rPr>
                    <w:t>Negative</w:t>
                  </w:r>
                </w:p>
              </w:tc>
            </w:tr>
          </w:tbl>
          <w:p w14:paraId="6FAB8CA7" w14:textId="77777777" w:rsidR="001F2FF6" w:rsidRDefault="001F2FF6" w:rsidP="00D20601">
            <w:pPr>
              <w:jc w:val="both"/>
              <w:rPr>
                <w:rFonts w:cs="Arial"/>
              </w:rPr>
            </w:pPr>
          </w:p>
          <w:p w14:paraId="6FAB8CA8" w14:textId="77777777" w:rsidR="00D20601" w:rsidRDefault="00D20601" w:rsidP="00D20601">
            <w:pPr>
              <w:jc w:val="both"/>
              <w:rPr>
                <w:rFonts w:cs="Arial"/>
              </w:rPr>
            </w:pPr>
          </w:p>
        </w:tc>
      </w:tr>
      <w:tr w:rsidR="008C6EDC" w14:paraId="6FAB8CAC" w14:textId="77777777" w:rsidTr="00D120DB">
        <w:trPr>
          <w:trHeight w:val="701"/>
          <w:tblHeader/>
        </w:trPr>
        <w:tc>
          <w:tcPr>
            <w:tcW w:w="2160" w:type="dxa"/>
            <w:tcBorders>
              <w:top w:val="single" w:sz="18" w:space="0" w:color="A6A6A6" w:themeColor="background1" w:themeShade="A6"/>
              <w:bottom w:val="single" w:sz="18" w:space="0" w:color="A6A6A6" w:themeColor="background1" w:themeShade="A6"/>
            </w:tcBorders>
            <w:vAlign w:val="center"/>
          </w:tcPr>
          <w:p w14:paraId="6FAB8CAA" w14:textId="77777777" w:rsidR="008C6EDC" w:rsidRDefault="008C6EDC" w:rsidP="008C6EDC">
            <w:pPr>
              <w:rPr>
                <w:rFonts w:cs="Arial"/>
                <w:b/>
                <w:bCs/>
                <w:color w:val="0000FF"/>
              </w:rPr>
            </w:pPr>
            <w:r>
              <w:rPr>
                <w:rFonts w:cs="Arial"/>
                <w:b/>
                <w:bCs/>
                <w:color w:val="0000FF"/>
              </w:rPr>
              <w:t>Critical Values</w:t>
            </w:r>
          </w:p>
        </w:tc>
        <w:tc>
          <w:tcPr>
            <w:tcW w:w="8910" w:type="dxa"/>
            <w:tcBorders>
              <w:top w:val="single" w:sz="18" w:space="0" w:color="A6A6A6" w:themeColor="background1" w:themeShade="A6"/>
              <w:bottom w:val="single" w:sz="18" w:space="0" w:color="A6A6A6" w:themeColor="background1" w:themeShade="A6"/>
            </w:tcBorders>
            <w:vAlign w:val="center"/>
          </w:tcPr>
          <w:p w14:paraId="6FAB8CAB" w14:textId="77777777" w:rsidR="008C6EDC" w:rsidRDefault="008C6EDC" w:rsidP="008C6EDC">
            <w:pPr>
              <w:rPr>
                <w:rFonts w:cs="Arial"/>
              </w:rPr>
            </w:pPr>
            <w:r>
              <w:rPr>
                <w:rFonts w:cs="Arial"/>
              </w:rPr>
              <w:t>None specified</w:t>
            </w:r>
          </w:p>
        </w:tc>
      </w:tr>
      <w:tr w:rsidR="00B816B4" w14:paraId="6FAB8CB1" w14:textId="77777777" w:rsidTr="00D120DB">
        <w:trPr>
          <w:trHeight w:val="864"/>
          <w:tblHeader/>
        </w:trPr>
        <w:tc>
          <w:tcPr>
            <w:tcW w:w="2160" w:type="dxa"/>
            <w:tcBorders>
              <w:top w:val="single" w:sz="18" w:space="0" w:color="A6A6A6" w:themeColor="background1" w:themeShade="A6"/>
              <w:bottom w:val="single" w:sz="18" w:space="0" w:color="A6A6A6" w:themeColor="background1" w:themeShade="A6"/>
            </w:tcBorders>
          </w:tcPr>
          <w:p w14:paraId="6FAB8CAD" w14:textId="77777777" w:rsidR="00B816B4" w:rsidRDefault="00B816B4" w:rsidP="008C6EDC">
            <w:pPr>
              <w:rPr>
                <w:rFonts w:cs="Arial"/>
                <w:b/>
                <w:bCs/>
                <w:color w:val="0000FF"/>
              </w:rPr>
            </w:pPr>
          </w:p>
          <w:p w14:paraId="6FAB8CAE" w14:textId="77777777" w:rsidR="00B816B4" w:rsidRDefault="00B816B4" w:rsidP="008C6EDC">
            <w:pPr>
              <w:rPr>
                <w:rFonts w:cs="Arial"/>
                <w:b/>
                <w:bCs/>
                <w:color w:val="0000FF"/>
              </w:rPr>
            </w:pPr>
            <w:r>
              <w:rPr>
                <w:rFonts w:cs="Arial"/>
                <w:b/>
                <w:bCs/>
                <w:color w:val="0000FF"/>
              </w:rPr>
              <w:t>Dilutions</w:t>
            </w:r>
          </w:p>
          <w:p w14:paraId="6FAB8CAF" w14:textId="77777777" w:rsidR="00B816B4" w:rsidRDefault="00B816B4" w:rsidP="008C6EDC">
            <w:pPr>
              <w:rPr>
                <w:rFonts w:cs="Arial"/>
                <w:b/>
                <w:bCs/>
                <w:color w:val="0000FF"/>
              </w:rPr>
            </w:pPr>
          </w:p>
        </w:tc>
        <w:tc>
          <w:tcPr>
            <w:tcW w:w="8910" w:type="dxa"/>
            <w:tcBorders>
              <w:top w:val="single" w:sz="18" w:space="0" w:color="A6A6A6" w:themeColor="background1" w:themeShade="A6"/>
              <w:bottom w:val="single" w:sz="18" w:space="0" w:color="A6A6A6" w:themeColor="background1" w:themeShade="A6"/>
            </w:tcBorders>
            <w:vAlign w:val="center"/>
          </w:tcPr>
          <w:p w14:paraId="6FAB8CB0" w14:textId="77777777" w:rsidR="00B816B4" w:rsidRPr="00C77940" w:rsidRDefault="007E0514" w:rsidP="003571BD">
            <w:pPr>
              <w:pStyle w:val="CalVerTable"/>
              <w:ind w:left="0" w:firstLine="0"/>
              <w:rPr>
                <w:rFonts w:ascii="Arial" w:hAnsi="Arial" w:cs="Arial"/>
              </w:rPr>
            </w:pPr>
            <w:r>
              <w:rPr>
                <w:rFonts w:ascii="Arial" w:hAnsi="Arial" w:cs="Arial"/>
              </w:rPr>
              <w:t>Do not dilute.</w:t>
            </w:r>
          </w:p>
        </w:tc>
      </w:tr>
      <w:tr w:rsidR="008C6EDC" w14:paraId="6FAB8CDE" w14:textId="77777777" w:rsidTr="00F07A1B">
        <w:trPr>
          <w:trHeight w:val="10674"/>
          <w:tblHeader/>
        </w:trPr>
        <w:tc>
          <w:tcPr>
            <w:tcW w:w="2160" w:type="dxa"/>
            <w:tcBorders>
              <w:top w:val="single" w:sz="18" w:space="0" w:color="A6A6A6" w:themeColor="background1" w:themeShade="A6"/>
              <w:bottom w:val="single" w:sz="18" w:space="0" w:color="A6A6A6" w:themeColor="background1" w:themeShade="A6"/>
            </w:tcBorders>
          </w:tcPr>
          <w:p w14:paraId="6FAB8CB2" w14:textId="77777777" w:rsidR="008C6EDC" w:rsidRDefault="008C6EDC">
            <w:pPr>
              <w:rPr>
                <w:rFonts w:cs="Arial"/>
                <w:b/>
                <w:bCs/>
                <w:color w:val="0000FF"/>
              </w:rPr>
            </w:pPr>
          </w:p>
          <w:p w14:paraId="6FAB8CB3" w14:textId="77777777" w:rsidR="008C6EDC" w:rsidRDefault="008C6EDC" w:rsidP="008C6EDC">
            <w:pPr>
              <w:rPr>
                <w:rFonts w:cs="Arial"/>
                <w:b/>
                <w:bCs/>
                <w:color w:val="0000FF"/>
              </w:rPr>
            </w:pPr>
            <w:r>
              <w:rPr>
                <w:rFonts w:cs="Arial"/>
                <w:b/>
                <w:bCs/>
                <w:color w:val="0000FF"/>
              </w:rPr>
              <w:t>Result Reporting</w:t>
            </w:r>
          </w:p>
          <w:p w14:paraId="6FAB8CB4" w14:textId="77777777" w:rsidR="008C6EDC" w:rsidRDefault="008C6EDC" w:rsidP="008C6EDC">
            <w:pPr>
              <w:rPr>
                <w:rFonts w:cs="Arial"/>
                <w:b/>
                <w:bCs/>
                <w:color w:val="0000FF"/>
              </w:rPr>
            </w:pPr>
          </w:p>
        </w:tc>
        <w:tc>
          <w:tcPr>
            <w:tcW w:w="8910" w:type="dxa"/>
            <w:tcBorders>
              <w:top w:val="single" w:sz="18" w:space="0" w:color="A6A6A6" w:themeColor="background1" w:themeShade="A6"/>
              <w:bottom w:val="single" w:sz="18" w:space="0" w:color="A6A6A6" w:themeColor="background1" w:themeShade="A6"/>
            </w:tcBorders>
            <w:vAlign w:val="center"/>
          </w:tcPr>
          <w:p w14:paraId="6FAB8CB5" w14:textId="2CECA7C9" w:rsidR="00D43880" w:rsidRPr="00A459CC" w:rsidRDefault="001A4ACF" w:rsidP="00D43880">
            <w:pPr>
              <w:pStyle w:val="NoSpacing"/>
              <w:rPr>
                <w:rFonts w:ascii="Arial" w:hAnsi="Arial" w:cs="Arial"/>
                <w:sz w:val="20"/>
                <w:szCs w:val="20"/>
              </w:rPr>
            </w:pPr>
            <w:r>
              <w:rPr>
                <w:rFonts w:ascii="Arial" w:eastAsia="Times New Roman" w:hAnsi="Arial" w:cs="Arial"/>
                <w:sz w:val="20"/>
                <w:szCs w:val="24"/>
                <w:lang w:bidi="ar-SA"/>
              </w:rPr>
              <w:t>Results will cross the interface into O</w:t>
            </w:r>
            <w:r w:rsidR="0070765D">
              <w:rPr>
                <w:rFonts w:ascii="Arial" w:eastAsia="Times New Roman" w:hAnsi="Arial" w:cs="Arial"/>
                <w:sz w:val="20"/>
                <w:szCs w:val="24"/>
                <w:lang w:bidi="ar-SA"/>
              </w:rPr>
              <w:t>EM for Alinity method code MACI</w:t>
            </w:r>
            <w:r>
              <w:rPr>
                <w:rFonts w:ascii="Arial" w:eastAsia="Times New Roman" w:hAnsi="Arial" w:cs="Arial"/>
                <w:sz w:val="20"/>
                <w:szCs w:val="24"/>
                <w:lang w:bidi="ar-SA"/>
              </w:rPr>
              <w:t xml:space="preserve">.  </w:t>
            </w:r>
            <w:r w:rsidR="00D43880" w:rsidRPr="00A459CC">
              <w:rPr>
                <w:rFonts w:ascii="Arial" w:hAnsi="Arial" w:cs="Arial"/>
                <w:sz w:val="20"/>
                <w:szCs w:val="20"/>
              </w:rPr>
              <w:t>Each result will have the comment “Check procedure for repeat and interpretati</w:t>
            </w:r>
            <w:r w:rsidR="0070765D">
              <w:rPr>
                <w:rFonts w:ascii="Arial" w:hAnsi="Arial" w:cs="Arial"/>
                <w:sz w:val="20"/>
                <w:szCs w:val="20"/>
              </w:rPr>
              <w:t>on protocol.”  Use the Alinity i</w:t>
            </w:r>
            <w:r w:rsidR="00D43880" w:rsidRPr="00A459CC">
              <w:rPr>
                <w:rFonts w:ascii="Arial" w:hAnsi="Arial" w:cs="Arial"/>
                <w:sz w:val="20"/>
                <w:szCs w:val="20"/>
              </w:rPr>
              <w:t xml:space="preserve"> </w:t>
            </w:r>
            <w:r w:rsidR="00D43880">
              <w:rPr>
                <w:rFonts w:ascii="Arial" w:hAnsi="Arial" w:cs="Arial"/>
                <w:sz w:val="20"/>
                <w:szCs w:val="20"/>
              </w:rPr>
              <w:t xml:space="preserve">HBsAg </w:t>
            </w:r>
            <w:r w:rsidR="0045274F">
              <w:rPr>
                <w:rFonts w:ascii="Arial" w:hAnsi="Arial" w:cs="Arial"/>
                <w:sz w:val="20"/>
                <w:szCs w:val="20"/>
              </w:rPr>
              <w:t xml:space="preserve"> Interpretation chart </w:t>
            </w:r>
            <w:r w:rsidR="00D43880" w:rsidRPr="00A459CC">
              <w:rPr>
                <w:rFonts w:ascii="Arial" w:hAnsi="Arial" w:cs="Arial"/>
                <w:sz w:val="20"/>
                <w:szCs w:val="20"/>
              </w:rPr>
              <w:t>bel</w:t>
            </w:r>
            <w:r w:rsidR="0045274F">
              <w:rPr>
                <w:rFonts w:ascii="Arial" w:hAnsi="Arial" w:cs="Arial"/>
                <w:sz w:val="20"/>
                <w:szCs w:val="20"/>
              </w:rPr>
              <w:t>ow</w:t>
            </w:r>
            <w:r>
              <w:rPr>
                <w:rFonts w:ascii="Arial" w:hAnsi="Arial" w:cs="Arial"/>
                <w:sz w:val="20"/>
                <w:szCs w:val="20"/>
              </w:rPr>
              <w:t xml:space="preserve"> to determine if repeat testing is required</w:t>
            </w:r>
            <w:r w:rsidR="00D43880" w:rsidRPr="00A459CC">
              <w:rPr>
                <w:rFonts w:ascii="Arial" w:hAnsi="Arial" w:cs="Arial"/>
                <w:sz w:val="20"/>
                <w:szCs w:val="20"/>
              </w:rPr>
              <w:t>.  If a repeat test is not needed</w:t>
            </w:r>
            <w:r>
              <w:rPr>
                <w:rFonts w:ascii="Arial" w:hAnsi="Arial" w:cs="Arial"/>
                <w:sz w:val="20"/>
                <w:szCs w:val="20"/>
              </w:rPr>
              <w:t xml:space="preserve"> (</w:t>
            </w:r>
            <w:r w:rsidR="0045274F">
              <w:rPr>
                <w:rFonts w:ascii="Arial" w:hAnsi="Arial" w:cs="Arial"/>
                <w:sz w:val="20"/>
                <w:szCs w:val="20"/>
              </w:rPr>
              <w:t>i.e.</w:t>
            </w:r>
            <w:r>
              <w:rPr>
                <w:rFonts w:ascii="Arial" w:hAnsi="Arial" w:cs="Arial"/>
                <w:sz w:val="20"/>
                <w:szCs w:val="20"/>
              </w:rPr>
              <w:t xml:space="preserve"> result is nonreactive)</w:t>
            </w:r>
            <w:r w:rsidR="00D43880" w:rsidRPr="00A459CC">
              <w:rPr>
                <w:rFonts w:ascii="Arial" w:hAnsi="Arial" w:cs="Arial"/>
                <w:sz w:val="20"/>
                <w:szCs w:val="20"/>
              </w:rPr>
              <w:t xml:space="preserve">, manually accept the Sunquest result. </w:t>
            </w:r>
          </w:p>
          <w:p w14:paraId="6FAB8CB6" w14:textId="77777777" w:rsidR="00D43880" w:rsidRPr="00A459CC" w:rsidRDefault="00D43880" w:rsidP="00D43880">
            <w:pPr>
              <w:pStyle w:val="NoSpacing"/>
              <w:rPr>
                <w:rFonts w:ascii="Arial" w:hAnsi="Arial" w:cs="Arial"/>
                <w:sz w:val="20"/>
                <w:szCs w:val="20"/>
              </w:rPr>
            </w:pPr>
          </w:p>
          <w:p w14:paraId="6FAB8CB7" w14:textId="77777777" w:rsidR="00D43880" w:rsidRPr="00A459CC" w:rsidRDefault="00D43880" w:rsidP="00D43880">
            <w:pPr>
              <w:pStyle w:val="NoSpacing"/>
              <w:rPr>
                <w:rFonts w:ascii="Arial" w:hAnsi="Arial" w:cs="Arial"/>
                <w:sz w:val="20"/>
                <w:szCs w:val="20"/>
              </w:rPr>
            </w:pPr>
            <w:r w:rsidRPr="00A459CC">
              <w:rPr>
                <w:rFonts w:ascii="Arial" w:hAnsi="Arial" w:cs="Arial"/>
                <w:b/>
                <w:sz w:val="20"/>
                <w:szCs w:val="20"/>
              </w:rPr>
              <w:t>If retesting is required</w:t>
            </w:r>
            <w:r w:rsidRPr="00A459CC">
              <w:rPr>
                <w:rFonts w:ascii="Arial" w:hAnsi="Arial" w:cs="Arial"/>
                <w:sz w:val="20"/>
                <w:szCs w:val="20"/>
              </w:rPr>
              <w:t xml:space="preserve"> </w:t>
            </w:r>
            <w:r>
              <w:rPr>
                <w:rFonts w:ascii="Arial" w:hAnsi="Arial" w:cs="Arial"/>
                <w:sz w:val="20"/>
                <w:szCs w:val="20"/>
              </w:rPr>
              <w:t>:</w:t>
            </w:r>
          </w:p>
          <w:p w14:paraId="6FAB8CB8" w14:textId="77777777" w:rsidR="00D43880" w:rsidRPr="00A459CC" w:rsidRDefault="00D43880" w:rsidP="00D43880">
            <w:pPr>
              <w:pStyle w:val="NoSpacing"/>
              <w:numPr>
                <w:ilvl w:val="0"/>
                <w:numId w:val="29"/>
              </w:numPr>
              <w:rPr>
                <w:rFonts w:ascii="Arial" w:hAnsi="Arial" w:cs="Arial"/>
                <w:sz w:val="20"/>
                <w:szCs w:val="20"/>
              </w:rPr>
            </w:pPr>
            <w:r w:rsidRPr="00A459CC">
              <w:rPr>
                <w:rFonts w:ascii="Arial" w:hAnsi="Arial" w:cs="Arial"/>
                <w:sz w:val="20"/>
                <w:szCs w:val="20"/>
              </w:rPr>
              <w:t>Take specimen off the analyzer and check for clots, red cells, or other particulate ma</w:t>
            </w:r>
            <w:r>
              <w:rPr>
                <w:rFonts w:ascii="Arial" w:hAnsi="Arial" w:cs="Arial"/>
                <w:sz w:val="20"/>
                <w:szCs w:val="20"/>
              </w:rPr>
              <w:t xml:space="preserve">tter. </w:t>
            </w:r>
            <w:r w:rsidR="0045274F">
              <w:rPr>
                <w:rFonts w:ascii="Arial" w:hAnsi="Arial" w:cs="Arial"/>
                <w:b/>
                <w:sz w:val="20"/>
                <w:szCs w:val="20"/>
              </w:rPr>
              <w:t>Recentri</w:t>
            </w:r>
            <w:r w:rsidRPr="00D169AE">
              <w:rPr>
                <w:rFonts w:ascii="Arial" w:hAnsi="Arial" w:cs="Arial"/>
                <w:b/>
                <w:sz w:val="20"/>
                <w:szCs w:val="20"/>
              </w:rPr>
              <w:t>fuge if necessary.</w:t>
            </w:r>
          </w:p>
          <w:p w14:paraId="6FAB8CB9" w14:textId="77777777" w:rsidR="00D43880" w:rsidRPr="00A459CC" w:rsidRDefault="00D43880" w:rsidP="00D43880">
            <w:pPr>
              <w:pStyle w:val="NoSpacing"/>
              <w:numPr>
                <w:ilvl w:val="0"/>
                <w:numId w:val="29"/>
              </w:numPr>
              <w:rPr>
                <w:rFonts w:ascii="Arial" w:hAnsi="Arial" w:cs="Arial"/>
                <w:sz w:val="20"/>
                <w:szCs w:val="20"/>
              </w:rPr>
            </w:pPr>
            <w:r w:rsidRPr="00A459CC">
              <w:rPr>
                <w:rFonts w:ascii="Arial" w:hAnsi="Arial" w:cs="Arial"/>
                <w:sz w:val="20"/>
                <w:szCs w:val="20"/>
              </w:rPr>
              <w:t xml:space="preserve">Manually order the specimen </w:t>
            </w:r>
            <w:r w:rsidRPr="00D169AE">
              <w:rPr>
                <w:rFonts w:ascii="Arial" w:hAnsi="Arial" w:cs="Arial"/>
                <w:b/>
                <w:sz w:val="20"/>
                <w:szCs w:val="20"/>
              </w:rPr>
              <w:t>in duplicate</w:t>
            </w:r>
            <w:r w:rsidRPr="00A459CC">
              <w:rPr>
                <w:rFonts w:ascii="Arial" w:hAnsi="Arial" w:cs="Arial"/>
                <w:sz w:val="20"/>
                <w:szCs w:val="20"/>
              </w:rPr>
              <w:t xml:space="preserve"> with an </w:t>
            </w:r>
            <w:r>
              <w:rPr>
                <w:rFonts w:ascii="Arial" w:hAnsi="Arial" w:cs="Arial"/>
                <w:sz w:val="20"/>
                <w:szCs w:val="20"/>
              </w:rPr>
              <w:t>‘</w:t>
            </w:r>
            <w:r w:rsidRPr="00A459CC">
              <w:rPr>
                <w:rFonts w:ascii="Arial" w:hAnsi="Arial" w:cs="Arial"/>
                <w:sz w:val="20"/>
                <w:szCs w:val="20"/>
              </w:rPr>
              <w:t>R</w:t>
            </w:r>
            <w:r>
              <w:rPr>
                <w:rFonts w:ascii="Arial" w:hAnsi="Arial" w:cs="Arial"/>
                <w:sz w:val="20"/>
                <w:szCs w:val="20"/>
              </w:rPr>
              <w:t>’</w:t>
            </w:r>
            <w:r w:rsidRPr="00A459CC">
              <w:rPr>
                <w:rFonts w:ascii="Arial" w:hAnsi="Arial" w:cs="Arial"/>
                <w:sz w:val="20"/>
                <w:szCs w:val="20"/>
              </w:rPr>
              <w:t xml:space="preserve"> in front of the accession number</w:t>
            </w:r>
            <w:r>
              <w:rPr>
                <w:rFonts w:ascii="Arial" w:hAnsi="Arial" w:cs="Arial"/>
                <w:sz w:val="20"/>
                <w:szCs w:val="20"/>
              </w:rPr>
              <w:t xml:space="preserve"> to signify the accession number that crosses OEM is a retest.</w:t>
            </w:r>
            <w:r w:rsidR="001A4ACF">
              <w:rPr>
                <w:rFonts w:ascii="Arial" w:hAnsi="Arial" w:cs="Arial"/>
                <w:sz w:val="20"/>
                <w:szCs w:val="20"/>
              </w:rPr>
              <w:t xml:space="preserve"> </w:t>
            </w:r>
            <w:r>
              <w:rPr>
                <w:rFonts w:ascii="Arial" w:hAnsi="Arial" w:cs="Arial"/>
                <w:sz w:val="20"/>
                <w:szCs w:val="20"/>
              </w:rPr>
              <w:t xml:space="preserve"> </w:t>
            </w:r>
            <w:r w:rsidR="001A4ACF">
              <w:rPr>
                <w:rFonts w:ascii="Arial" w:hAnsi="Arial" w:cs="Arial"/>
                <w:sz w:val="20"/>
                <w:szCs w:val="20"/>
              </w:rPr>
              <w:t xml:space="preserve">For </w:t>
            </w:r>
            <w:r w:rsidRPr="00A459CC">
              <w:rPr>
                <w:rFonts w:ascii="Arial" w:hAnsi="Arial" w:cs="Arial"/>
                <w:sz w:val="20"/>
                <w:szCs w:val="20"/>
              </w:rPr>
              <w:t>example</w:t>
            </w:r>
            <w:r w:rsidR="001A4ACF">
              <w:rPr>
                <w:rFonts w:ascii="Arial" w:hAnsi="Arial" w:cs="Arial"/>
                <w:sz w:val="20"/>
                <w:szCs w:val="20"/>
              </w:rPr>
              <w:t>, accession number “H111”</w:t>
            </w:r>
            <w:r w:rsidRPr="00A459CC">
              <w:rPr>
                <w:rFonts w:ascii="Arial" w:hAnsi="Arial" w:cs="Arial"/>
                <w:sz w:val="20"/>
                <w:szCs w:val="20"/>
              </w:rPr>
              <w:t xml:space="preserve"> </w:t>
            </w:r>
            <w:r>
              <w:rPr>
                <w:rFonts w:ascii="Arial" w:hAnsi="Arial" w:cs="Arial"/>
                <w:sz w:val="20"/>
                <w:szCs w:val="20"/>
              </w:rPr>
              <w:t xml:space="preserve"> would be</w:t>
            </w:r>
            <w:r w:rsidR="001A4ACF">
              <w:rPr>
                <w:rFonts w:ascii="Arial" w:hAnsi="Arial" w:cs="Arial"/>
                <w:sz w:val="20"/>
                <w:szCs w:val="20"/>
              </w:rPr>
              <w:t xml:space="preserve"> manually ordered on the Architect as “</w:t>
            </w:r>
            <w:r w:rsidRPr="00A459CC">
              <w:rPr>
                <w:rFonts w:ascii="Arial" w:hAnsi="Arial" w:cs="Arial"/>
                <w:sz w:val="20"/>
                <w:szCs w:val="20"/>
              </w:rPr>
              <w:t>RH111</w:t>
            </w:r>
            <w:r w:rsidR="001A4ACF">
              <w:rPr>
                <w:rFonts w:ascii="Arial" w:hAnsi="Arial" w:cs="Arial"/>
                <w:sz w:val="20"/>
                <w:szCs w:val="20"/>
              </w:rPr>
              <w:t>” with two replicates.</w:t>
            </w:r>
          </w:p>
          <w:p w14:paraId="6FAB8CBA" w14:textId="77777777" w:rsidR="00D43880" w:rsidRPr="00A459CC" w:rsidRDefault="00D43880" w:rsidP="00D43880">
            <w:pPr>
              <w:pStyle w:val="NoSpacing"/>
              <w:numPr>
                <w:ilvl w:val="0"/>
                <w:numId w:val="29"/>
              </w:numPr>
              <w:rPr>
                <w:rFonts w:ascii="Arial" w:hAnsi="Arial" w:cs="Arial"/>
                <w:sz w:val="20"/>
                <w:szCs w:val="20"/>
              </w:rPr>
            </w:pPr>
            <w:r w:rsidRPr="00A459CC">
              <w:rPr>
                <w:rFonts w:ascii="Arial" w:hAnsi="Arial" w:cs="Arial"/>
                <w:sz w:val="20"/>
                <w:szCs w:val="20"/>
              </w:rPr>
              <w:t>When testing is complete</w:t>
            </w:r>
            <w:r>
              <w:rPr>
                <w:rFonts w:ascii="Arial" w:hAnsi="Arial" w:cs="Arial"/>
                <w:sz w:val="20"/>
                <w:szCs w:val="20"/>
              </w:rPr>
              <w:t>,</w:t>
            </w:r>
            <w:r w:rsidRPr="00A459CC">
              <w:rPr>
                <w:rFonts w:ascii="Arial" w:hAnsi="Arial" w:cs="Arial"/>
                <w:sz w:val="20"/>
                <w:szCs w:val="20"/>
              </w:rPr>
              <w:t xml:space="preserve"> both results will cross into Sunquest in two different cups.</w:t>
            </w:r>
          </w:p>
          <w:p w14:paraId="6FAB8CBB" w14:textId="77777777" w:rsidR="001A4ACF" w:rsidRPr="00E76CAC" w:rsidRDefault="001A4ACF" w:rsidP="001A4ACF">
            <w:pPr>
              <w:pStyle w:val="NoSpacing"/>
              <w:numPr>
                <w:ilvl w:val="0"/>
                <w:numId w:val="29"/>
              </w:numPr>
              <w:rPr>
                <w:rFonts w:ascii="Arial" w:hAnsi="Arial" w:cs="Arial"/>
                <w:sz w:val="20"/>
                <w:szCs w:val="20"/>
              </w:rPr>
            </w:pPr>
            <w:r w:rsidRPr="00E76CAC">
              <w:rPr>
                <w:rFonts w:ascii="Arial" w:hAnsi="Arial" w:cs="Arial"/>
                <w:sz w:val="20"/>
                <w:szCs w:val="20"/>
              </w:rPr>
              <w:t xml:space="preserve">To accept results in Sunquest, you will have to manually retype the correct accession number without the (R) for the result you wish to </w:t>
            </w:r>
            <w:r w:rsidRPr="00DA6C79">
              <w:rPr>
                <w:rFonts w:ascii="Arial" w:hAnsi="Arial" w:cs="Arial"/>
                <w:sz w:val="20"/>
                <w:szCs w:val="20"/>
              </w:rPr>
              <w:t>report</w:t>
            </w:r>
            <w:r>
              <w:rPr>
                <w:rFonts w:ascii="Arial" w:hAnsi="Arial" w:cs="Arial"/>
                <w:sz w:val="20"/>
                <w:szCs w:val="20"/>
              </w:rPr>
              <w:t xml:space="preserve"> in</w:t>
            </w:r>
            <w:r w:rsidRPr="00DA6C79">
              <w:rPr>
                <w:rFonts w:ascii="Arial" w:hAnsi="Arial" w:cs="Arial"/>
                <w:sz w:val="20"/>
                <w:szCs w:val="20"/>
              </w:rPr>
              <w:t xml:space="preserve"> OEM</w:t>
            </w:r>
            <w:r w:rsidRPr="00762D9A">
              <w:rPr>
                <w:rFonts w:ascii="Arial" w:hAnsi="Arial" w:cs="Arial"/>
                <w:color w:val="FF0000"/>
                <w:sz w:val="20"/>
                <w:szCs w:val="20"/>
              </w:rPr>
              <w:t>.</w:t>
            </w:r>
            <w:r>
              <w:rPr>
                <w:rFonts w:ascii="Arial" w:hAnsi="Arial" w:cs="Arial"/>
                <w:sz w:val="20"/>
                <w:szCs w:val="20"/>
              </w:rPr>
              <w:t xml:space="preserve"> </w:t>
            </w:r>
            <w:r w:rsidRPr="00E76CAC">
              <w:rPr>
                <w:rFonts w:ascii="Arial" w:hAnsi="Arial" w:cs="Arial"/>
                <w:sz w:val="20"/>
                <w:szCs w:val="20"/>
              </w:rPr>
              <w:t xml:space="preserve">Sunquest will ask CHANGE EXISTING ACCESSION NUMBER (Y/&lt;N&gt;).   Type Y then press ENTER to enter </w:t>
            </w:r>
            <w:r w:rsidR="0045274F">
              <w:rPr>
                <w:rFonts w:ascii="Arial" w:hAnsi="Arial" w:cs="Arial"/>
                <w:sz w:val="20"/>
                <w:szCs w:val="20"/>
              </w:rPr>
              <w:t>the accession number</w:t>
            </w:r>
            <w:r w:rsidRPr="00E76CAC">
              <w:rPr>
                <w:rFonts w:ascii="Arial" w:hAnsi="Arial" w:cs="Arial"/>
                <w:sz w:val="20"/>
                <w:szCs w:val="20"/>
              </w:rPr>
              <w:t xml:space="preserve"> you wish to report.</w:t>
            </w:r>
          </w:p>
          <w:p w14:paraId="6FAB8CBC" w14:textId="77777777" w:rsidR="00D43880" w:rsidRPr="001A4ACF" w:rsidRDefault="001A4ACF" w:rsidP="00D43880">
            <w:pPr>
              <w:pStyle w:val="NoSpacing"/>
              <w:numPr>
                <w:ilvl w:val="0"/>
                <w:numId w:val="29"/>
              </w:numPr>
              <w:rPr>
                <w:rFonts w:ascii="Arial" w:hAnsi="Arial" w:cs="Arial"/>
                <w:sz w:val="20"/>
                <w:szCs w:val="20"/>
              </w:rPr>
            </w:pPr>
            <w:r>
              <w:rPr>
                <w:rFonts w:ascii="Arial" w:hAnsi="Arial" w:cs="Arial"/>
                <w:b/>
                <w:sz w:val="20"/>
                <w:szCs w:val="20"/>
              </w:rPr>
              <w:t>*</w:t>
            </w:r>
            <w:r w:rsidR="00D43880" w:rsidRPr="00A459CC">
              <w:rPr>
                <w:rFonts w:ascii="Arial" w:hAnsi="Arial" w:cs="Arial"/>
                <w:b/>
                <w:sz w:val="20"/>
                <w:szCs w:val="20"/>
              </w:rPr>
              <w:t>Go to the analyzer and check results</w:t>
            </w:r>
            <w:r w:rsidR="00D43880">
              <w:rPr>
                <w:rFonts w:ascii="Arial" w:hAnsi="Arial" w:cs="Arial"/>
                <w:sz w:val="20"/>
                <w:szCs w:val="20"/>
              </w:rPr>
              <w:t>*</w:t>
            </w:r>
          </w:p>
          <w:p w14:paraId="6FAB8CBD" w14:textId="77777777" w:rsidR="00D43880" w:rsidRPr="005A3626" w:rsidRDefault="00D43880" w:rsidP="00D43880">
            <w:pPr>
              <w:pStyle w:val="NoSpacing"/>
              <w:numPr>
                <w:ilvl w:val="0"/>
                <w:numId w:val="29"/>
              </w:numPr>
              <w:rPr>
                <w:rFonts w:ascii="Arial" w:hAnsi="Arial" w:cs="Arial"/>
                <w:sz w:val="20"/>
                <w:szCs w:val="20"/>
              </w:rPr>
            </w:pPr>
            <w:r w:rsidRPr="005A3626">
              <w:rPr>
                <w:rFonts w:ascii="Arial" w:hAnsi="Arial" w:cs="Arial"/>
                <w:sz w:val="20"/>
                <w:szCs w:val="20"/>
              </w:rPr>
              <w:t>If both repeat tests are &lt;</w:t>
            </w:r>
            <w:r w:rsidR="00941F9A" w:rsidRPr="005A3626">
              <w:rPr>
                <w:rFonts w:ascii="Arial" w:hAnsi="Arial" w:cs="Arial"/>
                <w:sz w:val="20"/>
                <w:szCs w:val="20"/>
              </w:rPr>
              <w:t>1.00</w:t>
            </w:r>
            <w:r w:rsidRPr="005A3626">
              <w:rPr>
                <w:rFonts w:ascii="Arial" w:hAnsi="Arial" w:cs="Arial"/>
                <w:sz w:val="20"/>
                <w:szCs w:val="20"/>
              </w:rPr>
              <w:t xml:space="preserve"> (non rea</w:t>
            </w:r>
            <w:r w:rsidR="001A4ACF">
              <w:rPr>
                <w:rFonts w:ascii="Arial" w:hAnsi="Arial" w:cs="Arial"/>
                <w:sz w:val="20"/>
                <w:szCs w:val="20"/>
              </w:rPr>
              <w:t>ctive), then manually accept one of the</w:t>
            </w:r>
            <w:r w:rsidRPr="005A3626">
              <w:rPr>
                <w:rFonts w:ascii="Arial" w:hAnsi="Arial" w:cs="Arial"/>
                <w:sz w:val="20"/>
                <w:szCs w:val="20"/>
              </w:rPr>
              <w:t xml:space="preserve"> Sunquest result</w:t>
            </w:r>
            <w:r w:rsidR="001A4ACF">
              <w:rPr>
                <w:rFonts w:ascii="Arial" w:hAnsi="Arial" w:cs="Arial"/>
                <w:sz w:val="20"/>
                <w:szCs w:val="20"/>
              </w:rPr>
              <w:t>s</w:t>
            </w:r>
            <w:r w:rsidRPr="005A3626">
              <w:rPr>
                <w:rFonts w:ascii="Arial" w:hAnsi="Arial" w:cs="Arial"/>
                <w:sz w:val="20"/>
                <w:szCs w:val="20"/>
              </w:rPr>
              <w:t xml:space="preserve"> of nonreactive.</w:t>
            </w:r>
          </w:p>
          <w:p w14:paraId="6FAB8CBE" w14:textId="77777777" w:rsidR="00D43880" w:rsidRPr="00941F9A" w:rsidRDefault="00D43880" w:rsidP="00941F9A">
            <w:pPr>
              <w:pStyle w:val="NoSpacing"/>
              <w:numPr>
                <w:ilvl w:val="0"/>
                <w:numId w:val="29"/>
              </w:numPr>
              <w:rPr>
                <w:rFonts w:ascii="Arial" w:hAnsi="Arial" w:cs="Arial"/>
                <w:sz w:val="20"/>
                <w:szCs w:val="20"/>
              </w:rPr>
            </w:pPr>
            <w:r w:rsidRPr="005A3626">
              <w:rPr>
                <w:rFonts w:ascii="Arial" w:hAnsi="Arial" w:cs="Arial"/>
                <w:sz w:val="20"/>
                <w:szCs w:val="20"/>
              </w:rPr>
              <w:t>If both</w:t>
            </w:r>
            <w:r w:rsidR="00941F9A" w:rsidRPr="005A3626">
              <w:rPr>
                <w:rFonts w:ascii="Arial" w:hAnsi="Arial" w:cs="Arial"/>
                <w:sz w:val="20"/>
                <w:szCs w:val="20"/>
              </w:rPr>
              <w:t xml:space="preserve"> or one</w:t>
            </w:r>
            <w:r w:rsidRPr="005A3626">
              <w:rPr>
                <w:rFonts w:ascii="Arial" w:hAnsi="Arial" w:cs="Arial"/>
                <w:sz w:val="20"/>
                <w:szCs w:val="20"/>
              </w:rPr>
              <w:t xml:space="preserve"> of the repeat tests are ≥</w:t>
            </w:r>
            <w:r w:rsidR="00941F9A" w:rsidRPr="005A3626">
              <w:rPr>
                <w:rFonts w:ascii="Arial" w:hAnsi="Arial" w:cs="Arial"/>
                <w:sz w:val="20"/>
                <w:szCs w:val="20"/>
              </w:rPr>
              <w:t>1.00, accept the result of presumptive positive.  Confirmatory testing will refl</w:t>
            </w:r>
            <w:r w:rsidR="001A4ACF">
              <w:rPr>
                <w:rFonts w:ascii="Arial" w:hAnsi="Arial" w:cs="Arial"/>
                <w:sz w:val="20"/>
                <w:szCs w:val="20"/>
              </w:rPr>
              <w:t>e</w:t>
            </w:r>
            <w:r w:rsidR="00C40069" w:rsidRPr="005A3626">
              <w:rPr>
                <w:rFonts w:ascii="Arial" w:hAnsi="Arial" w:cs="Arial"/>
                <w:sz w:val="20"/>
                <w:szCs w:val="20"/>
              </w:rPr>
              <w:t xml:space="preserve">x to </w:t>
            </w:r>
            <w:r w:rsidR="0005786F" w:rsidRPr="005A3626">
              <w:rPr>
                <w:rFonts w:ascii="Arial" w:hAnsi="Arial" w:cs="Arial"/>
                <w:sz w:val="20"/>
                <w:szCs w:val="20"/>
              </w:rPr>
              <w:t xml:space="preserve">Mayo Medical Laboratories. </w:t>
            </w:r>
            <w:r w:rsidR="001A4ACF">
              <w:rPr>
                <w:rFonts w:ascii="Arial" w:hAnsi="Arial" w:cs="Arial"/>
                <w:sz w:val="20"/>
                <w:szCs w:val="20"/>
              </w:rPr>
              <w:t xml:space="preserve"> </w:t>
            </w:r>
            <w:r w:rsidR="0005786F" w:rsidRPr="005A3626">
              <w:rPr>
                <w:rFonts w:ascii="Arial" w:hAnsi="Arial" w:cs="Arial"/>
                <w:sz w:val="20"/>
                <w:szCs w:val="20"/>
              </w:rPr>
              <w:t>Mayo Medical Laboratories test HBAG will automatically reflex for confirmation and a label will print.  Place label on sample and place in the Send outs freezer for transport to MML</w:t>
            </w:r>
            <w:r w:rsidR="001A4ACF">
              <w:rPr>
                <w:rFonts w:ascii="Arial" w:hAnsi="Arial" w:cs="Arial"/>
                <w:sz w:val="20"/>
                <w:szCs w:val="20"/>
              </w:rPr>
              <w:t>.  For samples that are QNS to send to MML, call the patient location/provider immediately for redraw.</w:t>
            </w:r>
            <w:r w:rsidR="00C40069">
              <w:rPr>
                <w:rFonts w:ascii="Arial" w:hAnsi="Arial" w:cs="Arial"/>
                <w:sz w:val="20"/>
                <w:szCs w:val="20"/>
              </w:rPr>
              <w:t xml:space="preserve"> </w:t>
            </w:r>
          </w:p>
          <w:p w14:paraId="6FAB8CBF" w14:textId="77777777" w:rsidR="00D43880" w:rsidRDefault="00D43880" w:rsidP="005512C0">
            <w:pPr>
              <w:ind w:left="360"/>
              <w:jc w:val="both"/>
              <w:rPr>
                <w:rFonts w:cs="Arial"/>
              </w:rPr>
            </w:pPr>
          </w:p>
          <w:p w14:paraId="6FAB8CC0" w14:textId="61C567A3" w:rsidR="00D43880" w:rsidRPr="00D43880" w:rsidRDefault="0070765D" w:rsidP="00D43880">
            <w:pPr>
              <w:ind w:left="360"/>
              <w:jc w:val="center"/>
              <w:rPr>
                <w:rFonts w:cs="Arial"/>
                <w:b/>
              </w:rPr>
            </w:pPr>
            <w:r>
              <w:rPr>
                <w:rFonts w:cs="Arial"/>
                <w:b/>
              </w:rPr>
              <w:t>Alinity i</w:t>
            </w:r>
            <w:r w:rsidR="00D43880" w:rsidRPr="00D43880">
              <w:rPr>
                <w:rFonts w:cs="Arial"/>
                <w:b/>
              </w:rPr>
              <w:t xml:space="preserve"> Initial HBsAg Results</w:t>
            </w:r>
          </w:p>
          <w:p w14:paraId="6FAB8CC1" w14:textId="77777777" w:rsidR="00D43880" w:rsidRDefault="00D43880" w:rsidP="00D43880">
            <w:pPr>
              <w:ind w:left="360"/>
              <w:jc w:val="center"/>
              <w:rPr>
                <w:rFonts w:cs="Arial"/>
              </w:rPr>
            </w:pPr>
          </w:p>
          <w:tbl>
            <w:tblPr>
              <w:tblW w:w="8058" w:type="dxa"/>
              <w:tblInd w:w="36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2686"/>
              <w:gridCol w:w="2686"/>
              <w:gridCol w:w="2686"/>
            </w:tblGrid>
            <w:tr w:rsidR="00D43880" w:rsidRPr="00D43880" w14:paraId="6FAB8CC5" w14:textId="77777777" w:rsidTr="00D43880">
              <w:trPr>
                <w:trHeight w:val="245"/>
              </w:trPr>
              <w:tc>
                <w:tcPr>
                  <w:tcW w:w="2686" w:type="dxa"/>
                </w:tcPr>
                <w:p w14:paraId="6FAB8CC2" w14:textId="77777777" w:rsidR="00D43880" w:rsidRPr="00D43880" w:rsidRDefault="00D43880" w:rsidP="00D43880">
                  <w:pPr>
                    <w:jc w:val="both"/>
                    <w:rPr>
                      <w:rFonts w:cs="Arial"/>
                      <w:b/>
                    </w:rPr>
                  </w:pPr>
                  <w:r w:rsidRPr="00D43880">
                    <w:rPr>
                      <w:rFonts w:cs="Arial"/>
                      <w:b/>
                    </w:rPr>
                    <w:t>Initial Result (S/CO)</w:t>
                  </w:r>
                </w:p>
              </w:tc>
              <w:tc>
                <w:tcPr>
                  <w:tcW w:w="2686" w:type="dxa"/>
                </w:tcPr>
                <w:p w14:paraId="6FAB8CC3" w14:textId="77777777" w:rsidR="00D43880" w:rsidRPr="00D43880" w:rsidRDefault="00D43880" w:rsidP="00D43880">
                  <w:pPr>
                    <w:jc w:val="both"/>
                    <w:rPr>
                      <w:rFonts w:cs="Arial"/>
                      <w:b/>
                    </w:rPr>
                  </w:pPr>
                  <w:r w:rsidRPr="00D43880">
                    <w:rPr>
                      <w:rFonts w:cs="Arial"/>
                      <w:b/>
                    </w:rPr>
                    <w:t xml:space="preserve">Instrument </w:t>
                  </w:r>
                  <w:r w:rsidR="0045274F" w:rsidRPr="00D43880">
                    <w:rPr>
                      <w:rFonts w:cs="Arial"/>
                      <w:b/>
                    </w:rPr>
                    <w:t>Interpretation</w:t>
                  </w:r>
                </w:p>
              </w:tc>
              <w:tc>
                <w:tcPr>
                  <w:tcW w:w="2686" w:type="dxa"/>
                </w:tcPr>
                <w:p w14:paraId="6FAB8CC4" w14:textId="77777777" w:rsidR="00D43880" w:rsidRPr="00D43880" w:rsidRDefault="00D43880" w:rsidP="00D43880">
                  <w:pPr>
                    <w:jc w:val="both"/>
                    <w:rPr>
                      <w:rFonts w:cs="Arial"/>
                      <w:b/>
                    </w:rPr>
                  </w:pPr>
                  <w:r w:rsidRPr="00D43880">
                    <w:rPr>
                      <w:rFonts w:cs="Arial"/>
                      <w:b/>
                    </w:rPr>
                    <w:t>Retest Procedure</w:t>
                  </w:r>
                </w:p>
              </w:tc>
            </w:tr>
            <w:tr w:rsidR="00D43880" w:rsidRPr="00D43880" w14:paraId="6FAB8CC9" w14:textId="77777777" w:rsidTr="00D43880">
              <w:trPr>
                <w:trHeight w:val="256"/>
              </w:trPr>
              <w:tc>
                <w:tcPr>
                  <w:tcW w:w="2686" w:type="dxa"/>
                </w:tcPr>
                <w:p w14:paraId="6FAB8CC6" w14:textId="77777777" w:rsidR="00D43880" w:rsidRPr="00D43880" w:rsidRDefault="00D43880" w:rsidP="00D43880">
                  <w:pPr>
                    <w:jc w:val="both"/>
                    <w:rPr>
                      <w:rFonts w:cs="Arial"/>
                    </w:rPr>
                  </w:pPr>
                  <w:r w:rsidRPr="00D43880">
                    <w:rPr>
                      <w:rFonts w:cs="Arial"/>
                    </w:rPr>
                    <w:t>&lt;1.00</w:t>
                  </w:r>
                </w:p>
              </w:tc>
              <w:tc>
                <w:tcPr>
                  <w:tcW w:w="2686" w:type="dxa"/>
                </w:tcPr>
                <w:p w14:paraId="6FAB8CC7" w14:textId="77777777" w:rsidR="00D43880" w:rsidRPr="00D43880" w:rsidRDefault="00D43880" w:rsidP="00D43880">
                  <w:pPr>
                    <w:jc w:val="both"/>
                    <w:rPr>
                      <w:rFonts w:cs="Arial"/>
                    </w:rPr>
                  </w:pPr>
                  <w:r w:rsidRPr="00D43880">
                    <w:rPr>
                      <w:rFonts w:cs="Arial"/>
                    </w:rPr>
                    <w:t>Nonreactive</w:t>
                  </w:r>
                </w:p>
              </w:tc>
              <w:tc>
                <w:tcPr>
                  <w:tcW w:w="2686" w:type="dxa"/>
                </w:tcPr>
                <w:p w14:paraId="6FAB8CC8" w14:textId="77777777" w:rsidR="00D43880" w:rsidRPr="00D43880" w:rsidRDefault="00D43880" w:rsidP="00D43880">
                  <w:pPr>
                    <w:jc w:val="both"/>
                    <w:rPr>
                      <w:rFonts w:cs="Arial"/>
                    </w:rPr>
                  </w:pPr>
                  <w:r w:rsidRPr="00D43880">
                    <w:rPr>
                      <w:rFonts w:cs="Arial"/>
                    </w:rPr>
                    <w:t>No Retest Required</w:t>
                  </w:r>
                </w:p>
              </w:tc>
            </w:tr>
            <w:tr w:rsidR="00D43880" w:rsidRPr="00D43880" w14:paraId="6FAB8CCD" w14:textId="77777777" w:rsidTr="00D43880">
              <w:trPr>
                <w:trHeight w:val="256"/>
              </w:trPr>
              <w:tc>
                <w:tcPr>
                  <w:tcW w:w="2686" w:type="dxa"/>
                </w:tcPr>
                <w:p w14:paraId="6FAB8CCA" w14:textId="77777777" w:rsidR="00D43880" w:rsidRPr="00D43880" w:rsidRDefault="00D43880" w:rsidP="00D43880">
                  <w:pPr>
                    <w:jc w:val="both"/>
                    <w:rPr>
                      <w:rFonts w:cs="Arial"/>
                    </w:rPr>
                  </w:pPr>
                  <w:r w:rsidRPr="00D43880">
                    <w:rPr>
                      <w:rFonts w:cs="Arial"/>
                    </w:rPr>
                    <w:t>≥ 1.00</w:t>
                  </w:r>
                </w:p>
              </w:tc>
              <w:tc>
                <w:tcPr>
                  <w:tcW w:w="2686" w:type="dxa"/>
                </w:tcPr>
                <w:p w14:paraId="6FAB8CCB" w14:textId="77777777" w:rsidR="00D43880" w:rsidRPr="00D43880" w:rsidRDefault="00D43880" w:rsidP="00D43880">
                  <w:pPr>
                    <w:jc w:val="both"/>
                    <w:rPr>
                      <w:rFonts w:cs="Arial"/>
                    </w:rPr>
                  </w:pPr>
                  <w:r w:rsidRPr="00D43880">
                    <w:rPr>
                      <w:rFonts w:cs="Arial"/>
                    </w:rPr>
                    <w:t>Reactive</w:t>
                  </w:r>
                </w:p>
              </w:tc>
              <w:tc>
                <w:tcPr>
                  <w:tcW w:w="2686" w:type="dxa"/>
                </w:tcPr>
                <w:p w14:paraId="6FAB8CCC" w14:textId="77777777" w:rsidR="00D43880" w:rsidRPr="00D43880" w:rsidRDefault="00D43880" w:rsidP="00D43880">
                  <w:pPr>
                    <w:jc w:val="both"/>
                    <w:rPr>
                      <w:rFonts w:cs="Arial"/>
                    </w:rPr>
                  </w:pPr>
                  <w:r w:rsidRPr="00D43880">
                    <w:rPr>
                      <w:rFonts w:cs="Arial"/>
                    </w:rPr>
                    <w:t>Retest in Duplicate</w:t>
                  </w:r>
                </w:p>
              </w:tc>
            </w:tr>
          </w:tbl>
          <w:p w14:paraId="6FAB8CCE" w14:textId="77777777" w:rsidR="00D43880" w:rsidRDefault="00D43880" w:rsidP="005512C0">
            <w:pPr>
              <w:ind w:left="360"/>
              <w:jc w:val="both"/>
              <w:rPr>
                <w:rFonts w:cs="Arial"/>
              </w:rPr>
            </w:pPr>
          </w:p>
          <w:p w14:paraId="6FAB8CCF" w14:textId="21570F50" w:rsidR="00D43880" w:rsidRDefault="0070765D" w:rsidP="00D43880">
            <w:pPr>
              <w:ind w:left="360"/>
              <w:jc w:val="center"/>
              <w:rPr>
                <w:rFonts w:cs="Arial"/>
                <w:b/>
              </w:rPr>
            </w:pPr>
            <w:r>
              <w:rPr>
                <w:rFonts w:cs="Arial"/>
                <w:b/>
              </w:rPr>
              <w:t>Alinity i</w:t>
            </w:r>
            <w:r w:rsidR="00D43880" w:rsidRPr="00D43880">
              <w:rPr>
                <w:rFonts w:cs="Arial"/>
                <w:b/>
              </w:rPr>
              <w:t xml:space="preserve"> Repeat Test HBsAg Results</w:t>
            </w:r>
          </w:p>
          <w:p w14:paraId="6FAB8CD0" w14:textId="77777777" w:rsidR="00D43880" w:rsidRDefault="00D43880" w:rsidP="00D43880">
            <w:pPr>
              <w:ind w:left="360"/>
              <w:jc w:val="center"/>
              <w:rPr>
                <w:rFonts w:cs="Arial"/>
                <w:b/>
              </w:rPr>
            </w:pPr>
          </w:p>
          <w:tbl>
            <w:tblPr>
              <w:tblStyle w:val="TableGrid"/>
              <w:tblW w:w="8080" w:type="dxa"/>
              <w:tblInd w:w="360" w:type="dxa"/>
              <w:tblLayout w:type="fixed"/>
              <w:tblLook w:val="04A0" w:firstRow="1" w:lastRow="0" w:firstColumn="1" w:lastColumn="0" w:noHBand="0" w:noVBand="1"/>
            </w:tblPr>
            <w:tblGrid>
              <w:gridCol w:w="2497"/>
              <w:gridCol w:w="2880"/>
              <w:gridCol w:w="2703"/>
            </w:tblGrid>
            <w:tr w:rsidR="00975EFB" w14:paraId="6FAB8CD4" w14:textId="77777777" w:rsidTr="00975EFB">
              <w:trPr>
                <w:trHeight w:val="216"/>
              </w:trPr>
              <w:tc>
                <w:tcPr>
                  <w:tcW w:w="2497" w:type="dxa"/>
                </w:tcPr>
                <w:p w14:paraId="6FAB8CD1" w14:textId="77777777" w:rsidR="00975EFB" w:rsidRDefault="00975EFB" w:rsidP="00D43880">
                  <w:pPr>
                    <w:jc w:val="center"/>
                    <w:rPr>
                      <w:rFonts w:cs="Arial"/>
                      <w:b/>
                    </w:rPr>
                  </w:pPr>
                  <w:r>
                    <w:rPr>
                      <w:rFonts w:cs="Arial"/>
                      <w:b/>
                    </w:rPr>
                    <w:t xml:space="preserve">Instrument </w:t>
                  </w:r>
                  <w:r w:rsidR="0045274F">
                    <w:rPr>
                      <w:rFonts w:cs="Arial"/>
                      <w:b/>
                    </w:rPr>
                    <w:t>Interpretation</w:t>
                  </w:r>
                </w:p>
              </w:tc>
              <w:tc>
                <w:tcPr>
                  <w:tcW w:w="2880" w:type="dxa"/>
                </w:tcPr>
                <w:p w14:paraId="6FAB8CD2" w14:textId="77777777" w:rsidR="00975EFB" w:rsidRDefault="00F07A1B" w:rsidP="00D43880">
                  <w:pPr>
                    <w:jc w:val="center"/>
                    <w:rPr>
                      <w:rFonts w:cs="Arial"/>
                      <w:b/>
                    </w:rPr>
                  </w:pPr>
                  <w:r>
                    <w:rPr>
                      <w:rFonts w:cs="Arial"/>
                      <w:b/>
                    </w:rPr>
                    <w:t>Interpretation Appended Comment</w:t>
                  </w:r>
                </w:p>
              </w:tc>
              <w:tc>
                <w:tcPr>
                  <w:tcW w:w="2703" w:type="dxa"/>
                </w:tcPr>
                <w:p w14:paraId="6FAB8CD3" w14:textId="77777777" w:rsidR="00975EFB" w:rsidRDefault="00975EFB" w:rsidP="00D43880">
                  <w:pPr>
                    <w:jc w:val="center"/>
                    <w:rPr>
                      <w:rFonts w:cs="Arial"/>
                      <w:b/>
                    </w:rPr>
                  </w:pPr>
                  <w:r>
                    <w:rPr>
                      <w:rFonts w:cs="Arial"/>
                      <w:b/>
                    </w:rPr>
                    <w:t>What to Result in Sunques</w:t>
                  </w:r>
                  <w:r w:rsidR="001A4ACF">
                    <w:rPr>
                      <w:rFonts w:cs="Arial"/>
                      <w:b/>
                    </w:rPr>
                    <w:t>t</w:t>
                  </w:r>
                </w:p>
              </w:tc>
            </w:tr>
            <w:tr w:rsidR="00975EFB" w14:paraId="6FAB8CD8" w14:textId="77777777" w:rsidTr="00975EFB">
              <w:trPr>
                <w:trHeight w:val="225"/>
              </w:trPr>
              <w:tc>
                <w:tcPr>
                  <w:tcW w:w="2497" w:type="dxa"/>
                </w:tcPr>
                <w:p w14:paraId="6FAB8CD5" w14:textId="77777777" w:rsidR="00975EFB" w:rsidRPr="00D43880" w:rsidRDefault="00975EFB" w:rsidP="00D43880">
                  <w:pPr>
                    <w:rPr>
                      <w:rFonts w:cs="Arial"/>
                    </w:rPr>
                  </w:pPr>
                  <w:r>
                    <w:rPr>
                      <w:rFonts w:cs="Arial"/>
                    </w:rPr>
                    <w:t>Both repeat test results are nonreactive. (Both S/CO values are &lt;1.00)</w:t>
                  </w:r>
                </w:p>
              </w:tc>
              <w:tc>
                <w:tcPr>
                  <w:tcW w:w="2880" w:type="dxa"/>
                </w:tcPr>
                <w:p w14:paraId="6FAB8CD6" w14:textId="77777777" w:rsidR="00975EFB" w:rsidRPr="00D43880" w:rsidRDefault="001A4ACF" w:rsidP="00D43880">
                  <w:pPr>
                    <w:rPr>
                      <w:rFonts w:cs="Arial"/>
                    </w:rPr>
                  </w:pPr>
                  <w:r>
                    <w:rPr>
                      <w:rFonts w:cs="Arial"/>
                    </w:rPr>
                    <w:t>“</w:t>
                  </w:r>
                  <w:r w:rsidR="00975EFB">
                    <w:rPr>
                      <w:rFonts w:cs="Arial"/>
                    </w:rPr>
                    <w:t>Specimen considered negative for HBsAg</w:t>
                  </w:r>
                  <w:r>
                    <w:rPr>
                      <w:rFonts w:cs="Arial"/>
                    </w:rPr>
                    <w:t>”</w:t>
                  </w:r>
                </w:p>
              </w:tc>
              <w:tc>
                <w:tcPr>
                  <w:tcW w:w="2703" w:type="dxa"/>
                </w:tcPr>
                <w:p w14:paraId="6FAB8CD7" w14:textId="77777777" w:rsidR="00975EFB" w:rsidRPr="00975EFB" w:rsidRDefault="00975EFB" w:rsidP="00D43880">
                  <w:pPr>
                    <w:rPr>
                      <w:rFonts w:cs="Arial"/>
                    </w:rPr>
                  </w:pPr>
                  <w:r>
                    <w:rPr>
                      <w:rFonts w:cs="Arial"/>
                    </w:rPr>
                    <w:t>Accept the result of nonreactive.</w:t>
                  </w:r>
                </w:p>
              </w:tc>
            </w:tr>
            <w:tr w:rsidR="00975EFB" w14:paraId="6FAB8CDC" w14:textId="77777777" w:rsidTr="00975EFB">
              <w:trPr>
                <w:trHeight w:val="225"/>
              </w:trPr>
              <w:tc>
                <w:tcPr>
                  <w:tcW w:w="2497" w:type="dxa"/>
                </w:tcPr>
                <w:p w14:paraId="6FAB8CD9" w14:textId="77777777" w:rsidR="00975EFB" w:rsidRPr="00AA457D" w:rsidRDefault="00975EFB" w:rsidP="00AA457D">
                  <w:pPr>
                    <w:rPr>
                      <w:rFonts w:cs="Arial"/>
                    </w:rPr>
                  </w:pPr>
                  <w:r>
                    <w:rPr>
                      <w:rFonts w:cs="Arial"/>
                    </w:rPr>
                    <w:t xml:space="preserve">One or both results are reactive. (Both S/CO values are </w:t>
                  </w:r>
                  <w:r w:rsidRPr="00AA457D">
                    <w:rPr>
                      <w:rFonts w:cs="Arial"/>
                    </w:rPr>
                    <w:t>≥ 1.00</w:t>
                  </w:r>
                  <w:r>
                    <w:rPr>
                      <w:rFonts w:cs="Arial"/>
                    </w:rPr>
                    <w:t>)</w:t>
                  </w:r>
                </w:p>
              </w:tc>
              <w:tc>
                <w:tcPr>
                  <w:tcW w:w="2880" w:type="dxa"/>
                </w:tcPr>
                <w:p w14:paraId="6FAB8CDA" w14:textId="77777777" w:rsidR="00975EFB" w:rsidRPr="00AA457D" w:rsidRDefault="001A4ACF" w:rsidP="00AA457D">
                  <w:pPr>
                    <w:rPr>
                      <w:rFonts w:cs="Arial"/>
                    </w:rPr>
                  </w:pPr>
                  <w:r>
                    <w:rPr>
                      <w:rFonts w:cs="Arial"/>
                    </w:rPr>
                    <w:t>“Specimen</w:t>
                  </w:r>
                  <w:r w:rsidR="00975EFB">
                    <w:rPr>
                      <w:rFonts w:cs="Arial"/>
                    </w:rPr>
                    <w:t xml:space="preserve"> repeatedly reac</w:t>
                  </w:r>
                  <w:r>
                    <w:rPr>
                      <w:rFonts w:cs="Arial"/>
                    </w:rPr>
                    <w:t xml:space="preserve">tive, </w:t>
                  </w:r>
                  <w:r w:rsidR="0045274F">
                    <w:rPr>
                      <w:rFonts w:cs="Arial"/>
                    </w:rPr>
                    <w:t>confirmatory</w:t>
                  </w:r>
                  <w:r>
                    <w:rPr>
                      <w:rFonts w:cs="Arial"/>
                    </w:rPr>
                    <w:t xml:space="preserve"> testing refle</w:t>
                  </w:r>
                  <w:r w:rsidR="00975EFB">
                    <w:rPr>
                      <w:rFonts w:cs="Arial"/>
                    </w:rPr>
                    <w:t>xed.</w:t>
                  </w:r>
                  <w:r>
                    <w:rPr>
                      <w:rFonts w:cs="Arial"/>
                    </w:rPr>
                    <w:t>”</w:t>
                  </w:r>
                  <w:r w:rsidR="00975EFB">
                    <w:rPr>
                      <w:rFonts w:cs="Arial"/>
                    </w:rPr>
                    <w:t xml:space="preserve">  </w:t>
                  </w:r>
                  <w:r w:rsidR="00F07A1B">
                    <w:rPr>
                      <w:rFonts w:cs="Arial"/>
                    </w:rPr>
                    <w:t>Freeze a minimum of 0.5 mL to send to MML for reflexed HBAG testing.</w:t>
                  </w:r>
                </w:p>
              </w:tc>
              <w:tc>
                <w:tcPr>
                  <w:tcW w:w="2703" w:type="dxa"/>
                </w:tcPr>
                <w:p w14:paraId="6FAB8CDB" w14:textId="4513EF5C" w:rsidR="00975EFB" w:rsidRDefault="00975EFB" w:rsidP="001A4ACF">
                  <w:pPr>
                    <w:rPr>
                      <w:rFonts w:cs="Arial"/>
                    </w:rPr>
                  </w:pPr>
                  <w:r>
                    <w:rPr>
                      <w:rFonts w:cs="Arial"/>
                    </w:rPr>
                    <w:t>Accept</w:t>
                  </w:r>
                  <w:r w:rsidR="001A4ACF">
                    <w:rPr>
                      <w:rFonts w:cs="Arial"/>
                    </w:rPr>
                    <w:t xml:space="preserve"> the</w:t>
                  </w:r>
                  <w:r>
                    <w:rPr>
                      <w:rFonts w:cs="Arial"/>
                    </w:rPr>
                    <w:t xml:space="preserve"> result of Presumptive Positive</w:t>
                  </w:r>
                  <w:r w:rsidR="001A4ACF">
                    <w:rPr>
                      <w:rFonts w:cs="Arial"/>
                    </w:rPr>
                    <w:t xml:space="preserve"> OR type the NUMER</w:t>
                  </w:r>
                  <w:r w:rsidR="0070765D">
                    <w:rPr>
                      <w:rFonts w:cs="Arial"/>
                    </w:rPr>
                    <w:t>ICAL value from the Alinity</w:t>
                  </w:r>
                  <w:r>
                    <w:rPr>
                      <w:rFonts w:cs="Arial"/>
                    </w:rPr>
                    <w:t xml:space="preserve">. </w:t>
                  </w:r>
                </w:p>
              </w:tc>
            </w:tr>
          </w:tbl>
          <w:p w14:paraId="6FAB8CDD" w14:textId="77777777" w:rsidR="00D43880" w:rsidRPr="00D43880" w:rsidRDefault="00D43880" w:rsidP="00D43880">
            <w:pPr>
              <w:ind w:left="360"/>
              <w:jc w:val="center"/>
              <w:rPr>
                <w:rFonts w:cs="Arial"/>
                <w:b/>
              </w:rPr>
            </w:pPr>
          </w:p>
        </w:tc>
      </w:tr>
      <w:tr w:rsidR="008C6EDC" w14:paraId="6FAB8CE3" w14:textId="77777777" w:rsidTr="00D120DB">
        <w:trPr>
          <w:trHeight w:val="1160"/>
          <w:tblHeader/>
        </w:trPr>
        <w:tc>
          <w:tcPr>
            <w:tcW w:w="2160" w:type="dxa"/>
            <w:tcBorders>
              <w:top w:val="single" w:sz="18" w:space="0" w:color="A6A6A6" w:themeColor="background1" w:themeShade="A6"/>
              <w:bottom w:val="single" w:sz="18" w:space="0" w:color="A6A6A6" w:themeColor="background1" w:themeShade="A6"/>
            </w:tcBorders>
          </w:tcPr>
          <w:p w14:paraId="6FAB8CDF" w14:textId="77777777" w:rsidR="008C6EDC" w:rsidRDefault="008C6EDC" w:rsidP="008C6EDC">
            <w:pPr>
              <w:rPr>
                <w:rFonts w:cs="Arial"/>
                <w:b/>
                <w:bCs/>
                <w:color w:val="0000FF"/>
              </w:rPr>
            </w:pPr>
          </w:p>
          <w:p w14:paraId="6FAB8CE0" w14:textId="77777777" w:rsidR="008C6EDC" w:rsidRDefault="008C6EDC" w:rsidP="008C6EDC">
            <w:pPr>
              <w:rPr>
                <w:rFonts w:cs="Arial"/>
                <w:b/>
                <w:bCs/>
                <w:color w:val="0000FF"/>
              </w:rPr>
            </w:pPr>
            <w:r>
              <w:rPr>
                <w:rFonts w:cs="Arial"/>
                <w:b/>
                <w:bCs/>
                <w:color w:val="0000FF"/>
              </w:rPr>
              <w:t>Specimen Storage</w:t>
            </w:r>
          </w:p>
          <w:p w14:paraId="6FAB8CE1" w14:textId="77777777" w:rsidR="008C6EDC" w:rsidRDefault="008C6EDC">
            <w:pPr>
              <w:rPr>
                <w:rFonts w:cs="Arial"/>
                <w:b/>
                <w:bCs/>
                <w:color w:val="0000FF"/>
              </w:rPr>
            </w:pPr>
          </w:p>
        </w:tc>
        <w:tc>
          <w:tcPr>
            <w:tcW w:w="8910" w:type="dxa"/>
            <w:tcBorders>
              <w:top w:val="single" w:sz="18" w:space="0" w:color="A6A6A6" w:themeColor="background1" w:themeShade="A6"/>
              <w:bottom w:val="single" w:sz="18" w:space="0" w:color="A6A6A6" w:themeColor="background1" w:themeShade="A6"/>
            </w:tcBorders>
            <w:vAlign w:val="center"/>
          </w:tcPr>
          <w:p w14:paraId="6FAB8CE2" w14:textId="77777777" w:rsidR="008C6EDC" w:rsidRDefault="008C6EDC" w:rsidP="008E43B5">
            <w:pPr>
              <w:jc w:val="both"/>
              <w:rPr>
                <w:rFonts w:cs="Arial"/>
              </w:rPr>
            </w:pPr>
            <w:r>
              <w:rPr>
                <w:rFonts w:cs="Arial"/>
              </w:rPr>
              <w:t>Promptly stopper tested specimen and store upright in specimen rack. Every 8 hours remove specimens to refrigerator/freezer</w:t>
            </w:r>
            <w:r w:rsidR="007E0514">
              <w:rPr>
                <w:rFonts w:cs="Arial"/>
              </w:rPr>
              <w:t xml:space="preserve"> storage. Samples are retained 14</w:t>
            </w:r>
            <w:r>
              <w:rPr>
                <w:rFonts w:cs="Arial"/>
              </w:rPr>
              <w:t xml:space="preserve"> days in specimen storage freezer.</w:t>
            </w:r>
          </w:p>
        </w:tc>
      </w:tr>
      <w:tr w:rsidR="008C6EDC" w14:paraId="6FAB8CEB" w14:textId="77777777" w:rsidTr="0070765D">
        <w:trPr>
          <w:tblHeader/>
        </w:trPr>
        <w:tc>
          <w:tcPr>
            <w:tcW w:w="2160" w:type="dxa"/>
            <w:tcBorders>
              <w:top w:val="single" w:sz="18" w:space="0" w:color="A6A6A6" w:themeColor="background1" w:themeShade="A6"/>
              <w:bottom w:val="single" w:sz="18" w:space="0" w:color="A6A6A6" w:themeColor="background1" w:themeShade="A6"/>
            </w:tcBorders>
          </w:tcPr>
          <w:p w14:paraId="6FAB8CE4" w14:textId="77777777" w:rsidR="008C6EDC" w:rsidRDefault="008C6EDC">
            <w:pPr>
              <w:rPr>
                <w:rFonts w:cs="Arial"/>
                <w:b/>
                <w:bCs/>
                <w:color w:val="0000FF"/>
              </w:rPr>
            </w:pPr>
          </w:p>
          <w:p w14:paraId="6FAB8CE5" w14:textId="77777777" w:rsidR="008C6EDC" w:rsidRDefault="008C6EDC" w:rsidP="008C6EDC">
            <w:pPr>
              <w:rPr>
                <w:rFonts w:cs="Arial"/>
                <w:b/>
                <w:bCs/>
                <w:color w:val="0000FF"/>
              </w:rPr>
            </w:pPr>
            <w:r>
              <w:rPr>
                <w:rFonts w:cs="Arial"/>
                <w:b/>
                <w:bCs/>
                <w:color w:val="0000FF"/>
              </w:rPr>
              <w:t>References</w:t>
            </w:r>
          </w:p>
        </w:tc>
        <w:tc>
          <w:tcPr>
            <w:tcW w:w="8910" w:type="dxa"/>
            <w:tcBorders>
              <w:top w:val="single" w:sz="18" w:space="0" w:color="A6A6A6" w:themeColor="background1" w:themeShade="A6"/>
              <w:bottom w:val="single" w:sz="18" w:space="0" w:color="A6A6A6" w:themeColor="background1" w:themeShade="A6"/>
            </w:tcBorders>
            <w:vAlign w:val="center"/>
          </w:tcPr>
          <w:p w14:paraId="6FAB8CE6" w14:textId="0166FB86" w:rsidR="008C6EDC" w:rsidRDefault="0070765D" w:rsidP="008E43B5">
            <w:pPr>
              <w:numPr>
                <w:ilvl w:val="0"/>
                <w:numId w:val="6"/>
              </w:numPr>
              <w:jc w:val="both"/>
              <w:rPr>
                <w:rFonts w:cs="Arial"/>
              </w:rPr>
            </w:pPr>
            <w:r>
              <w:rPr>
                <w:rFonts w:cs="Arial"/>
              </w:rPr>
              <w:t>Abbott Alinity i HBsAg Qualitative II</w:t>
            </w:r>
            <w:r w:rsidR="0009335B">
              <w:rPr>
                <w:rFonts w:cs="Arial"/>
              </w:rPr>
              <w:t xml:space="preserve"> reagent cartridg</w:t>
            </w:r>
            <w:r w:rsidR="00A52AF8">
              <w:rPr>
                <w:rFonts w:cs="Arial"/>
              </w:rPr>
              <w:t>e insert sheet Abbott Laboratories, Abbott Park, IL, 60064.</w:t>
            </w:r>
            <w:r w:rsidR="0009335B">
              <w:rPr>
                <w:rFonts w:cs="Arial"/>
              </w:rPr>
              <w:t xml:space="preserve"> Revised Date </w:t>
            </w:r>
            <w:r>
              <w:rPr>
                <w:rFonts w:cs="Arial"/>
              </w:rPr>
              <w:t>January 2020</w:t>
            </w:r>
          </w:p>
          <w:p w14:paraId="6FAB8CE9" w14:textId="71C9A872" w:rsidR="00A403A4" w:rsidRPr="0070765D" w:rsidRDefault="0070765D" w:rsidP="0070765D">
            <w:pPr>
              <w:numPr>
                <w:ilvl w:val="0"/>
                <w:numId w:val="6"/>
              </w:numPr>
              <w:jc w:val="both"/>
              <w:rPr>
                <w:rFonts w:cs="Arial"/>
              </w:rPr>
            </w:pPr>
            <w:r>
              <w:rPr>
                <w:rFonts w:cs="Arial"/>
              </w:rPr>
              <w:t xml:space="preserve">Abbott Alinity i HBsAg Qualitative II </w:t>
            </w:r>
            <w:r w:rsidR="00A403A4">
              <w:rPr>
                <w:rFonts w:cs="Arial"/>
              </w:rPr>
              <w:t xml:space="preserve">calibrator insert sheet Abbott </w:t>
            </w:r>
            <w:r w:rsidR="0045274F">
              <w:rPr>
                <w:rFonts w:cs="Arial"/>
              </w:rPr>
              <w:t>Laboratories</w:t>
            </w:r>
            <w:r w:rsidR="00A403A4">
              <w:rPr>
                <w:rFonts w:cs="Arial"/>
              </w:rPr>
              <w:t>, Abbott Park, IL 60064</w:t>
            </w:r>
            <w:r>
              <w:rPr>
                <w:rFonts w:cs="Arial"/>
              </w:rPr>
              <w:t>. Revised November January 2020</w:t>
            </w:r>
            <w:r w:rsidR="00DF4638">
              <w:rPr>
                <w:rFonts w:cs="Arial"/>
              </w:rPr>
              <w:t>.</w:t>
            </w:r>
          </w:p>
          <w:p w14:paraId="6FAB8CEA" w14:textId="6050106D" w:rsidR="00513F9B" w:rsidRPr="001A4ACF" w:rsidRDefault="00513F9B" w:rsidP="0070765D">
            <w:pPr>
              <w:ind w:left="360"/>
              <w:jc w:val="both"/>
              <w:rPr>
                <w:rFonts w:cs="Arial"/>
              </w:rPr>
            </w:pPr>
          </w:p>
        </w:tc>
      </w:tr>
      <w:tr w:rsidR="003571BD" w14:paraId="6FAB8D03" w14:textId="77777777" w:rsidTr="00D120DB">
        <w:tblPrEx>
          <w:tblBorders>
            <w:bottom w:val="single" w:sz="4" w:space="0" w:color="auto"/>
          </w:tblBorders>
        </w:tblPrEx>
        <w:trPr>
          <w:cantSplit/>
          <w:trHeight w:val="255"/>
        </w:trPr>
        <w:tc>
          <w:tcPr>
            <w:tcW w:w="2160" w:type="dxa"/>
            <w:tcBorders>
              <w:top w:val="single" w:sz="18" w:space="0" w:color="A6A6A6" w:themeColor="background1" w:themeShade="A6"/>
              <w:left w:val="nil"/>
              <w:bottom w:val="nil"/>
              <w:right w:val="nil"/>
            </w:tcBorders>
          </w:tcPr>
          <w:p w14:paraId="6FAB8CEC" w14:textId="77777777" w:rsidR="003571BD" w:rsidRDefault="003571BD">
            <w:pPr>
              <w:rPr>
                <w:rFonts w:cs="Arial"/>
                <w:b/>
                <w:bCs/>
                <w:color w:val="3366FF"/>
              </w:rPr>
            </w:pPr>
            <w:r>
              <w:rPr>
                <w:rFonts w:cs="Arial"/>
                <w:b/>
                <w:bCs/>
                <w:color w:val="0000FF"/>
              </w:rPr>
              <w:t>Historical Record</w:t>
            </w:r>
          </w:p>
        </w:tc>
        <w:tc>
          <w:tcPr>
            <w:tcW w:w="8910" w:type="dxa"/>
            <w:tcBorders>
              <w:top w:val="single" w:sz="18" w:space="0" w:color="A6A6A6" w:themeColor="background1" w:themeShade="A6"/>
              <w:left w:val="nil"/>
              <w:bottom w:val="nil"/>
              <w:right w:val="nil"/>
            </w:tcBorders>
          </w:tcPr>
          <w:p w14:paraId="6FAB8CED" w14:textId="77777777" w:rsidR="003571BD" w:rsidRDefault="003571BD">
            <w:pPr>
              <w:rPr>
                <w:rFonts w:cs="Arial"/>
                <w:iCs/>
              </w:rPr>
            </w:pPr>
          </w:p>
          <w:tbl>
            <w:tblPr>
              <w:tblStyle w:val="TableGrid"/>
              <w:tblW w:w="0" w:type="auto"/>
              <w:tblLayout w:type="fixed"/>
              <w:tblLook w:val="04A0" w:firstRow="1" w:lastRow="0" w:firstColumn="1" w:lastColumn="0" w:noHBand="0" w:noVBand="1"/>
            </w:tblPr>
            <w:tblGrid>
              <w:gridCol w:w="967"/>
              <w:gridCol w:w="2070"/>
              <w:gridCol w:w="1980"/>
              <w:gridCol w:w="3510"/>
            </w:tblGrid>
            <w:tr w:rsidR="003571BD" w14:paraId="6FAB8CF2" w14:textId="77777777" w:rsidTr="003571BD">
              <w:tc>
                <w:tcPr>
                  <w:tcW w:w="967" w:type="dxa"/>
                </w:tcPr>
                <w:p w14:paraId="6FAB8CEE" w14:textId="77777777" w:rsidR="003571BD" w:rsidRPr="003571BD" w:rsidRDefault="003571BD">
                  <w:pPr>
                    <w:rPr>
                      <w:rFonts w:cs="Arial"/>
                      <w:b/>
                      <w:iCs/>
                    </w:rPr>
                  </w:pPr>
                  <w:r w:rsidRPr="003571BD">
                    <w:rPr>
                      <w:rFonts w:cs="Arial"/>
                      <w:b/>
                      <w:iCs/>
                    </w:rPr>
                    <w:t>Version</w:t>
                  </w:r>
                </w:p>
              </w:tc>
              <w:tc>
                <w:tcPr>
                  <w:tcW w:w="2070" w:type="dxa"/>
                </w:tcPr>
                <w:p w14:paraId="6FAB8CEF" w14:textId="77777777" w:rsidR="003571BD" w:rsidRPr="003571BD" w:rsidRDefault="003571BD">
                  <w:pPr>
                    <w:rPr>
                      <w:rFonts w:cs="Arial"/>
                      <w:b/>
                      <w:iCs/>
                    </w:rPr>
                  </w:pPr>
                  <w:r w:rsidRPr="003571BD">
                    <w:rPr>
                      <w:rFonts w:cs="Arial"/>
                      <w:b/>
                      <w:iCs/>
                    </w:rPr>
                    <w:t>Written/Revised By</w:t>
                  </w:r>
                </w:p>
              </w:tc>
              <w:tc>
                <w:tcPr>
                  <w:tcW w:w="1980" w:type="dxa"/>
                </w:tcPr>
                <w:p w14:paraId="6FAB8CF0" w14:textId="77777777" w:rsidR="003571BD" w:rsidRPr="003571BD" w:rsidRDefault="003571BD">
                  <w:pPr>
                    <w:rPr>
                      <w:rFonts w:cs="Arial"/>
                      <w:b/>
                      <w:iCs/>
                    </w:rPr>
                  </w:pPr>
                  <w:r w:rsidRPr="003571BD">
                    <w:rPr>
                      <w:rFonts w:cs="Arial"/>
                      <w:b/>
                      <w:iCs/>
                    </w:rPr>
                    <w:t>Effective Date</w:t>
                  </w:r>
                </w:p>
              </w:tc>
              <w:tc>
                <w:tcPr>
                  <w:tcW w:w="3510" w:type="dxa"/>
                </w:tcPr>
                <w:p w14:paraId="6FAB8CF1" w14:textId="77777777" w:rsidR="003571BD" w:rsidRPr="003571BD" w:rsidRDefault="003571BD">
                  <w:pPr>
                    <w:rPr>
                      <w:rFonts w:cs="Arial"/>
                      <w:b/>
                      <w:iCs/>
                    </w:rPr>
                  </w:pPr>
                  <w:r w:rsidRPr="003571BD">
                    <w:rPr>
                      <w:rFonts w:cs="Arial"/>
                      <w:b/>
                      <w:iCs/>
                    </w:rPr>
                    <w:t xml:space="preserve">Summary of </w:t>
                  </w:r>
                  <w:r w:rsidR="00F814F1">
                    <w:rPr>
                      <w:rFonts w:cs="Arial"/>
                      <w:b/>
                      <w:iCs/>
                    </w:rPr>
                    <w:t>Revisions</w:t>
                  </w:r>
                </w:p>
              </w:tc>
            </w:tr>
            <w:tr w:rsidR="003571BD" w14:paraId="6FAB8CF7" w14:textId="77777777" w:rsidTr="003571BD">
              <w:tc>
                <w:tcPr>
                  <w:tcW w:w="967" w:type="dxa"/>
                </w:tcPr>
                <w:p w14:paraId="6FAB8CF3" w14:textId="77777777" w:rsidR="003571BD" w:rsidRDefault="003571BD">
                  <w:pPr>
                    <w:rPr>
                      <w:rFonts w:cs="Arial"/>
                      <w:iCs/>
                    </w:rPr>
                  </w:pPr>
                  <w:r>
                    <w:rPr>
                      <w:rFonts w:cs="Arial"/>
                      <w:iCs/>
                    </w:rPr>
                    <w:t>1</w:t>
                  </w:r>
                </w:p>
              </w:tc>
              <w:tc>
                <w:tcPr>
                  <w:tcW w:w="2070" w:type="dxa"/>
                </w:tcPr>
                <w:p w14:paraId="6FAB8CF4" w14:textId="77777777" w:rsidR="003571BD" w:rsidRDefault="003571BD">
                  <w:pPr>
                    <w:rPr>
                      <w:rFonts w:cs="Arial"/>
                      <w:iCs/>
                    </w:rPr>
                  </w:pPr>
                  <w:r>
                    <w:rPr>
                      <w:rFonts w:cs="Arial"/>
                      <w:iCs/>
                    </w:rPr>
                    <w:t>Kelsi Brown</w:t>
                  </w:r>
                  <w:r w:rsidR="0045274F">
                    <w:rPr>
                      <w:rFonts w:cs="Arial"/>
                      <w:iCs/>
                    </w:rPr>
                    <w:t>/E</w:t>
                  </w:r>
                  <w:r w:rsidR="001A4ACF">
                    <w:rPr>
                      <w:rFonts w:cs="Arial"/>
                      <w:iCs/>
                    </w:rPr>
                    <w:t>rin Bartos</w:t>
                  </w:r>
                </w:p>
              </w:tc>
              <w:tc>
                <w:tcPr>
                  <w:tcW w:w="1980" w:type="dxa"/>
                </w:tcPr>
                <w:p w14:paraId="6FAB8CF5" w14:textId="77777777" w:rsidR="003571BD" w:rsidRDefault="001A4ACF">
                  <w:pPr>
                    <w:rPr>
                      <w:rFonts w:cs="Arial"/>
                      <w:iCs/>
                    </w:rPr>
                  </w:pPr>
                  <w:r>
                    <w:rPr>
                      <w:rFonts w:cs="Arial"/>
                      <w:iCs/>
                    </w:rPr>
                    <w:t>May 15, 2018</w:t>
                  </w:r>
                </w:p>
              </w:tc>
              <w:tc>
                <w:tcPr>
                  <w:tcW w:w="3510" w:type="dxa"/>
                </w:tcPr>
                <w:p w14:paraId="6FAB8CF6" w14:textId="77777777" w:rsidR="003571BD" w:rsidRDefault="003571BD">
                  <w:pPr>
                    <w:rPr>
                      <w:rFonts w:cs="Arial"/>
                      <w:iCs/>
                    </w:rPr>
                  </w:pPr>
                  <w:r>
                    <w:rPr>
                      <w:rFonts w:cs="Arial"/>
                      <w:iCs/>
                    </w:rPr>
                    <w:t>New Procedure</w:t>
                  </w:r>
                </w:p>
              </w:tc>
            </w:tr>
            <w:tr w:rsidR="003571BD" w14:paraId="6FAB8CFC" w14:textId="77777777" w:rsidTr="003571BD">
              <w:tc>
                <w:tcPr>
                  <w:tcW w:w="967" w:type="dxa"/>
                </w:tcPr>
                <w:p w14:paraId="6FAB8CF8" w14:textId="2BDF6D00" w:rsidR="003571BD" w:rsidRDefault="002C514C">
                  <w:pPr>
                    <w:rPr>
                      <w:rFonts w:cs="Arial"/>
                      <w:iCs/>
                    </w:rPr>
                  </w:pPr>
                  <w:r>
                    <w:rPr>
                      <w:rFonts w:cs="Arial"/>
                      <w:iCs/>
                    </w:rPr>
                    <w:t>2</w:t>
                  </w:r>
                </w:p>
              </w:tc>
              <w:tc>
                <w:tcPr>
                  <w:tcW w:w="2070" w:type="dxa"/>
                </w:tcPr>
                <w:p w14:paraId="6FAB8CF9" w14:textId="35655F82" w:rsidR="003571BD" w:rsidRDefault="002C514C">
                  <w:pPr>
                    <w:rPr>
                      <w:rFonts w:cs="Arial"/>
                      <w:iCs/>
                    </w:rPr>
                  </w:pPr>
                  <w:r>
                    <w:rPr>
                      <w:rFonts w:cs="Arial"/>
                      <w:iCs/>
                    </w:rPr>
                    <w:t>Erin Bartos</w:t>
                  </w:r>
                </w:p>
              </w:tc>
              <w:tc>
                <w:tcPr>
                  <w:tcW w:w="1980" w:type="dxa"/>
                </w:tcPr>
                <w:p w14:paraId="6FAB8CFA" w14:textId="0D0DD526" w:rsidR="003571BD" w:rsidRDefault="002C514C">
                  <w:pPr>
                    <w:rPr>
                      <w:rFonts w:cs="Arial"/>
                      <w:iCs/>
                    </w:rPr>
                  </w:pPr>
                  <w:r>
                    <w:rPr>
                      <w:rFonts w:cs="Arial"/>
                      <w:iCs/>
                    </w:rPr>
                    <w:t>May 1, 2019</w:t>
                  </w:r>
                </w:p>
              </w:tc>
              <w:tc>
                <w:tcPr>
                  <w:tcW w:w="3510" w:type="dxa"/>
                </w:tcPr>
                <w:p w14:paraId="6FAB8CFB" w14:textId="66B6BAE4" w:rsidR="003571BD" w:rsidRDefault="002C514C">
                  <w:pPr>
                    <w:rPr>
                      <w:rFonts w:cs="Arial"/>
                      <w:iCs/>
                    </w:rPr>
                  </w:pPr>
                  <w:r>
                    <w:rPr>
                      <w:rFonts w:cs="Arial"/>
                      <w:iCs/>
                    </w:rPr>
                    <w:t>Updated QC for URT</w:t>
                  </w:r>
                </w:p>
              </w:tc>
            </w:tr>
            <w:tr w:rsidR="003571BD" w14:paraId="6FAB8D01" w14:textId="77777777" w:rsidTr="003571BD">
              <w:tc>
                <w:tcPr>
                  <w:tcW w:w="967" w:type="dxa"/>
                </w:tcPr>
                <w:p w14:paraId="6FAB8CFD" w14:textId="0062FE3E" w:rsidR="003571BD" w:rsidRDefault="009C4DC0">
                  <w:pPr>
                    <w:rPr>
                      <w:rFonts w:cs="Arial"/>
                      <w:iCs/>
                    </w:rPr>
                  </w:pPr>
                  <w:r>
                    <w:rPr>
                      <w:rFonts w:cs="Arial"/>
                      <w:iCs/>
                    </w:rPr>
                    <w:t>3</w:t>
                  </w:r>
                </w:p>
              </w:tc>
              <w:tc>
                <w:tcPr>
                  <w:tcW w:w="2070" w:type="dxa"/>
                </w:tcPr>
                <w:p w14:paraId="6FAB8CFE" w14:textId="70C03E3A" w:rsidR="003571BD" w:rsidRDefault="009C4DC0">
                  <w:pPr>
                    <w:rPr>
                      <w:rFonts w:cs="Arial"/>
                      <w:iCs/>
                    </w:rPr>
                  </w:pPr>
                  <w:r>
                    <w:rPr>
                      <w:rFonts w:cs="Arial"/>
                      <w:iCs/>
                    </w:rPr>
                    <w:t>Erin Bartos</w:t>
                  </w:r>
                </w:p>
              </w:tc>
              <w:tc>
                <w:tcPr>
                  <w:tcW w:w="1980" w:type="dxa"/>
                </w:tcPr>
                <w:p w14:paraId="6FAB8CFF" w14:textId="1A202FA2" w:rsidR="003571BD" w:rsidRDefault="009C4DC0">
                  <w:pPr>
                    <w:rPr>
                      <w:rFonts w:cs="Arial"/>
                      <w:iCs/>
                    </w:rPr>
                  </w:pPr>
                  <w:r>
                    <w:rPr>
                      <w:rFonts w:cs="Arial"/>
                      <w:iCs/>
                    </w:rPr>
                    <w:t>October 28, 2020</w:t>
                  </w:r>
                </w:p>
              </w:tc>
              <w:tc>
                <w:tcPr>
                  <w:tcW w:w="3510" w:type="dxa"/>
                </w:tcPr>
                <w:p w14:paraId="6FAB8D00" w14:textId="5FD025C1" w:rsidR="003571BD" w:rsidRDefault="009C4DC0">
                  <w:pPr>
                    <w:rPr>
                      <w:rFonts w:cs="Arial"/>
                      <w:iCs/>
                    </w:rPr>
                  </w:pPr>
                  <w:r>
                    <w:rPr>
                      <w:rFonts w:cs="Arial"/>
                      <w:iCs/>
                    </w:rPr>
                    <w:t>Changed to Alinity from Architect</w:t>
                  </w:r>
                  <w:bookmarkStart w:id="0" w:name="_GoBack"/>
                  <w:bookmarkEnd w:id="0"/>
                </w:p>
              </w:tc>
            </w:tr>
          </w:tbl>
          <w:p w14:paraId="6FAB8D02" w14:textId="77777777" w:rsidR="003571BD" w:rsidRDefault="003571BD">
            <w:pPr>
              <w:rPr>
                <w:rFonts w:cs="Arial"/>
                <w:iCs/>
              </w:rPr>
            </w:pPr>
          </w:p>
        </w:tc>
      </w:tr>
    </w:tbl>
    <w:p w14:paraId="6FAB8D04" w14:textId="77777777" w:rsidR="008C6EDC" w:rsidRDefault="008C6EDC"/>
    <w:sectPr w:rsidR="008C6EDC" w:rsidSect="00287C41">
      <w:headerReference w:type="default" r:id="rId13"/>
      <w:footerReference w:type="default" r:id="rId14"/>
      <w:pgSz w:w="12240" w:h="15840" w:code="1"/>
      <w:pgMar w:top="720" w:right="1800" w:bottom="720" w:left="1800" w:header="576"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AB8D07" w14:textId="77777777" w:rsidR="00F07A1B" w:rsidRDefault="00F07A1B">
      <w:r>
        <w:separator/>
      </w:r>
    </w:p>
  </w:endnote>
  <w:endnote w:type="continuationSeparator" w:id="0">
    <w:p w14:paraId="6FAB8D08" w14:textId="77777777" w:rsidR="00F07A1B" w:rsidRDefault="00F07A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Helen Pro Cond">
    <w:altName w:val="Helen Pro Cond"/>
    <w:panose1 w:val="00000000000000000000"/>
    <w:charset w:val="00"/>
    <w:family w:val="swiss"/>
    <w:notTrueType/>
    <w:pitch w:val="default"/>
    <w:sig w:usb0="00000003" w:usb1="00000000" w:usb2="00000000" w:usb3="00000000" w:csb0="00000001" w:csb1="00000000"/>
  </w:font>
  <w:font w:name="Helen Pro">
    <w:altName w:val="Cambri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HelenPro-Regular">
    <w:altName w:val="MS Gothic"/>
    <w:panose1 w:val="00000000000000000000"/>
    <w:charset w:val="80"/>
    <w:family w:val="swiss"/>
    <w:notTrueType/>
    <w:pitch w:val="default"/>
    <w:sig w:usb0="00000001" w:usb1="08070000" w:usb2="00000010" w:usb3="00000000" w:csb0="00020000" w:csb1="00000000"/>
  </w:font>
  <w:font w:name="HelenPro-Bold">
    <w:altName w:val="Arial Unicode MS"/>
    <w:panose1 w:val="00000000000000000000"/>
    <w:charset w:val="80"/>
    <w:family w:val="swiss"/>
    <w:notTrueType/>
    <w:pitch w:val="default"/>
    <w:sig w:usb0="00000083" w:usb1="08070000" w:usb2="00000010" w:usb3="00000000" w:csb0="00020009"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AB8D0D" w14:textId="43BFB21A" w:rsidR="00F07A1B" w:rsidRPr="001A774F" w:rsidRDefault="00F07A1B" w:rsidP="008C6EDC">
    <w:pPr>
      <w:ind w:left="-1260" w:right="-1260"/>
      <w:rPr>
        <w:rFonts w:cs="Arial"/>
        <w:sz w:val="18"/>
      </w:rPr>
    </w:pPr>
    <w:r>
      <w:rPr>
        <w:rFonts w:cs="Arial"/>
        <w:sz w:val="18"/>
      </w:rPr>
      <w:t>Laboratory, Chil</w:t>
    </w:r>
    <w:r w:rsidR="002C514C">
      <w:rPr>
        <w:rFonts w:cs="Arial"/>
        <w:sz w:val="18"/>
      </w:rPr>
      <w:t xml:space="preserve">dren’s </w:t>
    </w:r>
    <w:r w:rsidR="006A248A">
      <w:rPr>
        <w:rFonts w:cs="Arial"/>
        <w:sz w:val="18"/>
      </w:rPr>
      <w:t>Minnesota, Minneapolis</w:t>
    </w:r>
    <w:r>
      <w:rPr>
        <w:rFonts w:cs="Arial"/>
        <w:sz w:val="18"/>
      </w:rPr>
      <w:t>, MN</w:t>
    </w:r>
    <w:r>
      <w:rPr>
        <w:rFonts w:cs="Arial"/>
        <w:sz w:val="18"/>
      </w:rPr>
      <w:tab/>
    </w:r>
    <w:r>
      <w:rPr>
        <w:rFonts w:cs="Arial"/>
        <w:sz w:val="18"/>
      </w:rPr>
      <w:tab/>
    </w:r>
    <w:r>
      <w:rPr>
        <w:rFonts w:cs="Arial"/>
        <w:sz w:val="18"/>
      </w:rPr>
      <w:tab/>
    </w:r>
    <w:r>
      <w:rPr>
        <w:rFonts w:cs="Arial"/>
        <w:sz w:val="18"/>
      </w:rPr>
      <w:tab/>
    </w:r>
    <w:r>
      <w:rPr>
        <w:rFonts w:cs="Arial"/>
        <w:sz w:val="18"/>
      </w:rPr>
      <w:tab/>
    </w:r>
    <w:r>
      <w:rPr>
        <w:sz w:val="18"/>
      </w:rPr>
      <w:t xml:space="preserve">Page </w:t>
    </w:r>
    <w:r>
      <w:rPr>
        <w:sz w:val="18"/>
      </w:rPr>
      <w:fldChar w:fldCharType="begin"/>
    </w:r>
    <w:r>
      <w:rPr>
        <w:sz w:val="18"/>
      </w:rPr>
      <w:instrText xml:space="preserve"> PAGE </w:instrText>
    </w:r>
    <w:r>
      <w:rPr>
        <w:sz w:val="18"/>
      </w:rPr>
      <w:fldChar w:fldCharType="separate"/>
    </w:r>
    <w:r w:rsidR="001033DD">
      <w:rPr>
        <w:noProof/>
        <w:sz w:val="18"/>
      </w:rPr>
      <w:t>1</w:t>
    </w:r>
    <w:r>
      <w:rPr>
        <w:sz w:val="18"/>
      </w:rPr>
      <w:fldChar w:fldCharType="end"/>
    </w:r>
    <w:r>
      <w:rPr>
        <w:sz w:val="18"/>
      </w:rPr>
      <w:t xml:space="preserve"> of </w:t>
    </w:r>
    <w:r>
      <w:rPr>
        <w:sz w:val="18"/>
      </w:rPr>
      <w:fldChar w:fldCharType="begin"/>
    </w:r>
    <w:r>
      <w:rPr>
        <w:sz w:val="18"/>
      </w:rPr>
      <w:instrText xml:space="preserve"> NUMPAGES </w:instrText>
    </w:r>
    <w:r>
      <w:rPr>
        <w:sz w:val="18"/>
      </w:rPr>
      <w:fldChar w:fldCharType="separate"/>
    </w:r>
    <w:r w:rsidR="001033DD">
      <w:rPr>
        <w:noProof/>
        <w:sz w:val="18"/>
      </w:rPr>
      <w:t>7</w:t>
    </w:r>
    <w:r>
      <w:rPr>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AB8D05" w14:textId="77777777" w:rsidR="00F07A1B" w:rsidRDefault="00F07A1B">
      <w:r>
        <w:separator/>
      </w:r>
    </w:p>
  </w:footnote>
  <w:footnote w:type="continuationSeparator" w:id="0">
    <w:p w14:paraId="6FAB8D06" w14:textId="77777777" w:rsidR="00F07A1B" w:rsidRDefault="00F07A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AB8D09" w14:textId="5C678391" w:rsidR="00F07A1B" w:rsidRDefault="001033DD">
    <w:pPr>
      <w:ind w:left="-1260" w:right="-1260"/>
      <w:rPr>
        <w:rFonts w:cs="Arial"/>
        <w:sz w:val="18"/>
      </w:rPr>
    </w:pPr>
    <w:r>
      <w:rPr>
        <w:noProof/>
      </w:rPr>
      <w:drawing>
        <wp:anchor distT="0" distB="0" distL="114300" distR="114300" simplePos="0" relativeHeight="251657728" behindDoc="1" locked="0" layoutInCell="1" allowOverlap="1" wp14:anchorId="6FAB8D0E" wp14:editId="0FA58838">
          <wp:simplePos x="0" y="0"/>
          <wp:positionH relativeFrom="column">
            <wp:posOffset>4672965</wp:posOffset>
          </wp:positionH>
          <wp:positionV relativeFrom="paragraph">
            <wp:posOffset>-194310</wp:posOffset>
          </wp:positionV>
          <wp:extent cx="1697990" cy="544195"/>
          <wp:effectExtent l="0" t="0" r="0" b="8255"/>
          <wp:wrapTight wrapText="bothSides">
            <wp:wrapPolygon edited="0">
              <wp:start x="0" y="0"/>
              <wp:lineTo x="0" y="21172"/>
              <wp:lineTo x="21325" y="21172"/>
              <wp:lineTo x="21325" y="0"/>
              <wp:lineTo x="0" y="0"/>
            </wp:wrapPolygon>
          </wp:wrapTight>
          <wp:docPr id="3" name="Picture 3" descr="Childrens_MN_2015_logo_2c_RGB_800x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ildrens_MN_2015_logo_2c_RGB_800x25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7990" cy="544195"/>
                  </a:xfrm>
                  <a:prstGeom prst="rect">
                    <a:avLst/>
                  </a:prstGeom>
                  <a:noFill/>
                </pic:spPr>
              </pic:pic>
            </a:graphicData>
          </a:graphic>
          <wp14:sizeRelH relativeFrom="page">
            <wp14:pctWidth>0</wp14:pctWidth>
          </wp14:sizeRelH>
          <wp14:sizeRelV relativeFrom="page">
            <wp14:pctHeight>0</wp14:pctHeight>
          </wp14:sizeRelV>
        </wp:anchor>
      </w:drawing>
    </w:r>
    <w:r w:rsidR="00F07A1B">
      <w:rPr>
        <w:rFonts w:cs="Arial"/>
        <w:sz w:val="18"/>
      </w:rPr>
      <w:t>CH 6.43 Hepatitis B Surface Antigen</w:t>
    </w:r>
  </w:p>
  <w:p w14:paraId="6FAB8D0A" w14:textId="57B51B24" w:rsidR="00F07A1B" w:rsidRDefault="006A248A">
    <w:pPr>
      <w:ind w:left="-1260" w:right="-1260"/>
      <w:rPr>
        <w:rFonts w:cs="Arial"/>
        <w:sz w:val="18"/>
      </w:rPr>
    </w:pPr>
    <w:r>
      <w:rPr>
        <w:rFonts w:cs="Arial"/>
        <w:sz w:val="18"/>
      </w:rPr>
      <w:t>Version 3</w:t>
    </w:r>
  </w:p>
  <w:p w14:paraId="6FAB8D0B" w14:textId="2ABE91B4" w:rsidR="00F07A1B" w:rsidRDefault="006A248A">
    <w:pPr>
      <w:ind w:left="-1260" w:right="-1260"/>
      <w:rPr>
        <w:rFonts w:cs="Arial"/>
        <w:sz w:val="18"/>
      </w:rPr>
    </w:pPr>
    <w:r>
      <w:rPr>
        <w:rFonts w:cs="Arial"/>
        <w:sz w:val="18"/>
      </w:rPr>
      <w:t>Effective Date: October 28, 2020</w:t>
    </w:r>
  </w:p>
  <w:p w14:paraId="6FAB8D0C" w14:textId="77777777" w:rsidR="00F07A1B" w:rsidRDefault="00F07A1B">
    <w:pPr>
      <w:pStyle w:val="Heade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E6BD5"/>
    <w:multiLevelType w:val="hybridMultilevel"/>
    <w:tmpl w:val="1638BE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0559EC"/>
    <w:multiLevelType w:val="multilevel"/>
    <w:tmpl w:val="4DFE682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 w15:restartNumberingAfterBreak="0">
    <w:nsid w:val="09511222"/>
    <w:multiLevelType w:val="hybridMultilevel"/>
    <w:tmpl w:val="A3FC90B2"/>
    <w:lvl w:ilvl="0" w:tplc="32C0491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13194C53"/>
    <w:multiLevelType w:val="hybridMultilevel"/>
    <w:tmpl w:val="A3F43D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E66EDC"/>
    <w:multiLevelType w:val="hybridMultilevel"/>
    <w:tmpl w:val="EE002A8C"/>
    <w:lvl w:ilvl="0" w:tplc="3620C63E">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12A23B12">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A11FF2"/>
    <w:multiLevelType w:val="hybridMultilevel"/>
    <w:tmpl w:val="78C24EA2"/>
    <w:lvl w:ilvl="0" w:tplc="04090001">
      <w:start w:val="1"/>
      <w:numFmt w:val="bullet"/>
      <w:lvlText w:val=""/>
      <w:lvlJc w:val="left"/>
      <w:pPr>
        <w:tabs>
          <w:tab w:val="num" w:pos="360"/>
        </w:tabs>
        <w:ind w:left="360" w:hanging="360"/>
      </w:pPr>
      <w:rPr>
        <w:rFonts w:ascii="Symbol" w:hAnsi="Symbol" w:hint="default"/>
      </w:rPr>
    </w:lvl>
    <w:lvl w:ilvl="1" w:tplc="3620C63E">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D075893"/>
    <w:multiLevelType w:val="hybridMultilevel"/>
    <w:tmpl w:val="C7689C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362220"/>
    <w:multiLevelType w:val="hybridMultilevel"/>
    <w:tmpl w:val="736A090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Symbo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0116995"/>
    <w:multiLevelType w:val="hybridMultilevel"/>
    <w:tmpl w:val="977CDE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91185F"/>
    <w:multiLevelType w:val="hybridMultilevel"/>
    <w:tmpl w:val="5CF2325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4A63E3B"/>
    <w:multiLevelType w:val="hybridMultilevel"/>
    <w:tmpl w:val="4992B338"/>
    <w:lvl w:ilvl="0" w:tplc="44DAD140">
      <w:start w:val="1"/>
      <w:numFmt w:val="bullet"/>
      <w:lvlText w:val=""/>
      <w:lvlJc w:val="left"/>
      <w:pPr>
        <w:tabs>
          <w:tab w:val="num" w:pos="360"/>
        </w:tabs>
        <w:ind w:left="-144" w:firstLine="14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8231311"/>
    <w:multiLevelType w:val="hybridMultilevel"/>
    <w:tmpl w:val="71B6B21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2C144438"/>
    <w:multiLevelType w:val="hybridMultilevel"/>
    <w:tmpl w:val="C5BA0AE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2C475C2C"/>
    <w:multiLevelType w:val="hybridMultilevel"/>
    <w:tmpl w:val="91C6C1E0"/>
    <w:lvl w:ilvl="0" w:tplc="12A23B1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0A97B8D"/>
    <w:multiLevelType w:val="hybridMultilevel"/>
    <w:tmpl w:val="D7AEC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190622"/>
    <w:multiLevelType w:val="hybridMultilevel"/>
    <w:tmpl w:val="0EFA07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BE03B16"/>
    <w:multiLevelType w:val="hybridMultilevel"/>
    <w:tmpl w:val="99E46710"/>
    <w:lvl w:ilvl="0" w:tplc="3620C63E">
      <w:start w:val="1"/>
      <w:numFmt w:val="bullet"/>
      <w:lvlText w:val=""/>
      <w:lvlJc w:val="left"/>
      <w:pPr>
        <w:tabs>
          <w:tab w:val="num" w:pos="360"/>
        </w:tabs>
        <w:ind w:left="360" w:hanging="360"/>
      </w:pPr>
      <w:rPr>
        <w:rFonts w:ascii="Symbol" w:hAnsi="Symbol" w:hint="default"/>
      </w:rPr>
    </w:lvl>
    <w:lvl w:ilvl="1" w:tplc="64380FE0">
      <w:start w:val="1"/>
      <w:numFmt w:val="bullet"/>
      <w:lvlText w:val="o"/>
      <w:lvlJc w:val="left"/>
      <w:pPr>
        <w:tabs>
          <w:tab w:val="num" w:pos="1080"/>
        </w:tabs>
        <w:ind w:left="1080" w:hanging="360"/>
      </w:pPr>
      <w:rPr>
        <w:rFonts w:hAnsi="Courier New" w:hint="default"/>
      </w:rPr>
    </w:lvl>
    <w:lvl w:ilvl="2" w:tplc="12A23B12">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ED877F2"/>
    <w:multiLevelType w:val="hybridMultilevel"/>
    <w:tmpl w:val="9D6A8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516C4F"/>
    <w:multiLevelType w:val="hybridMultilevel"/>
    <w:tmpl w:val="C64E190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5CFB5466"/>
    <w:multiLevelType w:val="hybridMultilevel"/>
    <w:tmpl w:val="4C7224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64F3800"/>
    <w:multiLevelType w:val="hybridMultilevel"/>
    <w:tmpl w:val="3E886DCC"/>
    <w:lvl w:ilvl="0" w:tplc="3620C63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67200477"/>
    <w:multiLevelType w:val="hybridMultilevel"/>
    <w:tmpl w:val="FD9275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6BC124A0"/>
    <w:multiLevelType w:val="hybridMultilevel"/>
    <w:tmpl w:val="F7DA065E"/>
    <w:lvl w:ilvl="0" w:tplc="C6D8DFB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E743396"/>
    <w:multiLevelType w:val="hybridMultilevel"/>
    <w:tmpl w:val="960026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EFB6EC5"/>
    <w:multiLevelType w:val="hybridMultilevel"/>
    <w:tmpl w:val="A86E27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76154D05"/>
    <w:multiLevelType w:val="hybridMultilevel"/>
    <w:tmpl w:val="C56A1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64A3B0D"/>
    <w:multiLevelType w:val="hybridMultilevel"/>
    <w:tmpl w:val="30E2D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6C95735"/>
    <w:multiLevelType w:val="hybridMultilevel"/>
    <w:tmpl w:val="A8A8DA6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6F31F08"/>
    <w:multiLevelType w:val="hybridMultilevel"/>
    <w:tmpl w:val="65864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E914723"/>
    <w:multiLevelType w:val="hybridMultilevel"/>
    <w:tmpl w:val="D4E4BD1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
  </w:num>
  <w:num w:numId="2">
    <w:abstractNumId w:val="9"/>
  </w:num>
  <w:num w:numId="3">
    <w:abstractNumId w:val="18"/>
  </w:num>
  <w:num w:numId="4">
    <w:abstractNumId w:val="4"/>
  </w:num>
  <w:num w:numId="5">
    <w:abstractNumId w:val="13"/>
  </w:num>
  <w:num w:numId="6">
    <w:abstractNumId w:val="11"/>
  </w:num>
  <w:num w:numId="7">
    <w:abstractNumId w:val="16"/>
  </w:num>
  <w:num w:numId="8">
    <w:abstractNumId w:val="27"/>
  </w:num>
  <w:num w:numId="9">
    <w:abstractNumId w:val="10"/>
  </w:num>
  <w:num w:numId="10">
    <w:abstractNumId w:val="1"/>
  </w:num>
  <w:num w:numId="11">
    <w:abstractNumId w:val="29"/>
  </w:num>
  <w:num w:numId="12">
    <w:abstractNumId w:val="25"/>
  </w:num>
  <w:num w:numId="13">
    <w:abstractNumId w:val="3"/>
  </w:num>
  <w:num w:numId="14">
    <w:abstractNumId w:val="8"/>
  </w:num>
  <w:num w:numId="15">
    <w:abstractNumId w:val="7"/>
  </w:num>
  <w:num w:numId="16">
    <w:abstractNumId w:val="15"/>
  </w:num>
  <w:num w:numId="17">
    <w:abstractNumId w:val="6"/>
  </w:num>
  <w:num w:numId="18">
    <w:abstractNumId w:val="5"/>
  </w:num>
  <w:num w:numId="19">
    <w:abstractNumId w:val="20"/>
  </w:num>
  <w:num w:numId="20">
    <w:abstractNumId w:val="26"/>
  </w:num>
  <w:num w:numId="21">
    <w:abstractNumId w:val="28"/>
  </w:num>
  <w:num w:numId="22">
    <w:abstractNumId w:val="23"/>
  </w:num>
  <w:num w:numId="23">
    <w:abstractNumId w:val="0"/>
  </w:num>
  <w:num w:numId="24">
    <w:abstractNumId w:val="17"/>
  </w:num>
  <w:num w:numId="25">
    <w:abstractNumId w:val="24"/>
  </w:num>
  <w:num w:numId="26">
    <w:abstractNumId w:val="19"/>
  </w:num>
  <w:num w:numId="27">
    <w:abstractNumId w:val="12"/>
  </w:num>
  <w:num w:numId="28">
    <w:abstractNumId w:val="14"/>
  </w:num>
  <w:num w:numId="29">
    <w:abstractNumId w:val="22"/>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gutterAtTop/>
  <w:hideSpellingErrors/>
  <w:hideGrammaticalErrors/>
  <w:defaultTabStop w:val="720"/>
  <w:noPunctuationKerning/>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847"/>
    <w:rsid w:val="00000536"/>
    <w:rsid w:val="00003218"/>
    <w:rsid w:val="00005CB1"/>
    <w:rsid w:val="00043EE1"/>
    <w:rsid w:val="0004669D"/>
    <w:rsid w:val="0005786F"/>
    <w:rsid w:val="000625DB"/>
    <w:rsid w:val="0009335B"/>
    <w:rsid w:val="000C7650"/>
    <w:rsid w:val="00100A32"/>
    <w:rsid w:val="001033DD"/>
    <w:rsid w:val="00126FB6"/>
    <w:rsid w:val="00143FF4"/>
    <w:rsid w:val="001460D6"/>
    <w:rsid w:val="001A4ACF"/>
    <w:rsid w:val="001B1C87"/>
    <w:rsid w:val="001E2DF4"/>
    <w:rsid w:val="001F2FF6"/>
    <w:rsid w:val="002265E2"/>
    <w:rsid w:val="00253C63"/>
    <w:rsid w:val="00260A50"/>
    <w:rsid w:val="00284EE6"/>
    <w:rsid w:val="00287C41"/>
    <w:rsid w:val="0029711F"/>
    <w:rsid w:val="002A63B0"/>
    <w:rsid w:val="002A65EF"/>
    <w:rsid w:val="002C514C"/>
    <w:rsid w:val="002D50CB"/>
    <w:rsid w:val="002F385E"/>
    <w:rsid w:val="00334FD8"/>
    <w:rsid w:val="003571BD"/>
    <w:rsid w:val="0044315B"/>
    <w:rsid w:val="0045274F"/>
    <w:rsid w:val="004A2D6A"/>
    <w:rsid w:val="004C7639"/>
    <w:rsid w:val="00513F9B"/>
    <w:rsid w:val="00542D1B"/>
    <w:rsid w:val="005512C0"/>
    <w:rsid w:val="005516E7"/>
    <w:rsid w:val="005A3626"/>
    <w:rsid w:val="005A610F"/>
    <w:rsid w:val="005D5B3D"/>
    <w:rsid w:val="005F47BB"/>
    <w:rsid w:val="006A248A"/>
    <w:rsid w:val="006D60C2"/>
    <w:rsid w:val="00707507"/>
    <w:rsid w:val="0070765D"/>
    <w:rsid w:val="007124F6"/>
    <w:rsid w:val="00712847"/>
    <w:rsid w:val="007E0514"/>
    <w:rsid w:val="00814EAD"/>
    <w:rsid w:val="008168BB"/>
    <w:rsid w:val="0083747A"/>
    <w:rsid w:val="00841035"/>
    <w:rsid w:val="008C6EDC"/>
    <w:rsid w:val="008E43B5"/>
    <w:rsid w:val="008F13C3"/>
    <w:rsid w:val="009309A1"/>
    <w:rsid w:val="00941F9A"/>
    <w:rsid w:val="00975EFB"/>
    <w:rsid w:val="009945A2"/>
    <w:rsid w:val="009C4DC0"/>
    <w:rsid w:val="009F5B34"/>
    <w:rsid w:val="00A072CE"/>
    <w:rsid w:val="00A403A4"/>
    <w:rsid w:val="00A52AF8"/>
    <w:rsid w:val="00A82A92"/>
    <w:rsid w:val="00AA457D"/>
    <w:rsid w:val="00B00AD4"/>
    <w:rsid w:val="00B0339F"/>
    <w:rsid w:val="00B1374B"/>
    <w:rsid w:val="00B61E82"/>
    <w:rsid w:val="00B7030D"/>
    <w:rsid w:val="00B816B4"/>
    <w:rsid w:val="00BE7040"/>
    <w:rsid w:val="00C0536C"/>
    <w:rsid w:val="00C40069"/>
    <w:rsid w:val="00C7466B"/>
    <w:rsid w:val="00CD42C1"/>
    <w:rsid w:val="00CF7522"/>
    <w:rsid w:val="00D0201D"/>
    <w:rsid w:val="00D120DB"/>
    <w:rsid w:val="00D20601"/>
    <w:rsid w:val="00D43880"/>
    <w:rsid w:val="00D6200B"/>
    <w:rsid w:val="00D67C72"/>
    <w:rsid w:val="00DA7E2D"/>
    <w:rsid w:val="00DE32D9"/>
    <w:rsid w:val="00DF4638"/>
    <w:rsid w:val="00E11C2F"/>
    <w:rsid w:val="00E2166F"/>
    <w:rsid w:val="00E63CB7"/>
    <w:rsid w:val="00F07A1B"/>
    <w:rsid w:val="00F62661"/>
    <w:rsid w:val="00F814F1"/>
    <w:rsid w:val="00FC67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6FAB8BF3"/>
  <w15:docId w15:val="{C5EE26EE-16E6-4D6B-8F1C-86026A73A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7C41"/>
    <w:rPr>
      <w:rFonts w:ascii="Arial" w:hAnsi="Arial"/>
      <w:szCs w:val="24"/>
    </w:rPr>
  </w:style>
  <w:style w:type="paragraph" w:styleId="Heading1">
    <w:name w:val="heading 1"/>
    <w:basedOn w:val="Normal"/>
    <w:next w:val="Normal"/>
    <w:qFormat/>
    <w:rsid w:val="00287C41"/>
    <w:pPr>
      <w:keepNext/>
      <w:numPr>
        <w:numId w:val="10"/>
      </w:numPr>
      <w:jc w:val="both"/>
      <w:outlineLvl w:val="0"/>
    </w:pPr>
    <w:rPr>
      <w:rFonts w:ascii="Times New Roman" w:hAnsi="Times New Roman" w:cs="Arial"/>
      <w:b/>
      <w:bCs/>
      <w:kern w:val="32"/>
      <w:sz w:val="26"/>
      <w:szCs w:val="32"/>
    </w:rPr>
  </w:style>
  <w:style w:type="paragraph" w:styleId="Heading2">
    <w:name w:val="heading 2"/>
    <w:basedOn w:val="Normal"/>
    <w:next w:val="Normal"/>
    <w:qFormat/>
    <w:rsid w:val="00287C41"/>
    <w:pPr>
      <w:keepNext/>
      <w:numPr>
        <w:ilvl w:val="1"/>
        <w:numId w:val="10"/>
      </w:numPr>
      <w:jc w:val="both"/>
      <w:outlineLvl w:val="1"/>
    </w:pPr>
    <w:rPr>
      <w:rFonts w:ascii="Times New Roman" w:hAnsi="Times New Roman" w:cs="Arial"/>
      <w:b/>
      <w:bCs/>
      <w:iCs/>
      <w:sz w:val="24"/>
      <w:szCs w:val="28"/>
    </w:rPr>
  </w:style>
  <w:style w:type="paragraph" w:styleId="Heading3">
    <w:name w:val="heading 3"/>
    <w:basedOn w:val="Normal"/>
    <w:next w:val="Normal"/>
    <w:qFormat/>
    <w:rsid w:val="00287C41"/>
    <w:pPr>
      <w:keepNext/>
      <w:numPr>
        <w:ilvl w:val="2"/>
        <w:numId w:val="10"/>
      </w:numPr>
      <w:jc w:val="both"/>
      <w:outlineLvl w:val="2"/>
    </w:pPr>
    <w:rPr>
      <w:rFonts w:ascii="Times New Roman" w:hAnsi="Times New Roman" w:cs="Arial"/>
      <w:b/>
      <w:bCs/>
      <w:sz w:val="22"/>
      <w:szCs w:val="26"/>
    </w:rPr>
  </w:style>
  <w:style w:type="paragraph" w:styleId="Heading4">
    <w:name w:val="heading 4"/>
    <w:aliases w:val="Map Title"/>
    <w:basedOn w:val="Normal"/>
    <w:next w:val="Normal"/>
    <w:qFormat/>
    <w:rsid w:val="00287C41"/>
    <w:pPr>
      <w:keepNext/>
      <w:numPr>
        <w:ilvl w:val="3"/>
        <w:numId w:val="10"/>
      </w:numPr>
      <w:jc w:val="both"/>
      <w:outlineLvl w:val="3"/>
    </w:pPr>
    <w:rPr>
      <w:rFonts w:ascii="Times New Roman" w:hAnsi="Times New Roman"/>
      <w:bCs/>
      <w:sz w:val="22"/>
      <w:szCs w:val="28"/>
    </w:rPr>
  </w:style>
  <w:style w:type="paragraph" w:styleId="Heading5">
    <w:name w:val="heading 5"/>
    <w:aliases w:val="Block Label"/>
    <w:basedOn w:val="Normal"/>
    <w:next w:val="Normal"/>
    <w:qFormat/>
    <w:rsid w:val="00287C41"/>
    <w:pPr>
      <w:keepNext/>
      <w:numPr>
        <w:ilvl w:val="4"/>
        <w:numId w:val="10"/>
      </w:numPr>
      <w:spacing w:before="20"/>
      <w:jc w:val="both"/>
      <w:outlineLvl w:val="4"/>
    </w:pPr>
    <w:rPr>
      <w:rFonts w:ascii="Times New Roman" w:hAnsi="Times New Roman"/>
      <w:sz w:val="22"/>
    </w:rPr>
  </w:style>
  <w:style w:type="paragraph" w:styleId="Heading6">
    <w:name w:val="heading 6"/>
    <w:basedOn w:val="Normal"/>
    <w:next w:val="Normal"/>
    <w:qFormat/>
    <w:rsid w:val="00287C41"/>
    <w:pPr>
      <w:keepNext/>
      <w:numPr>
        <w:ilvl w:val="5"/>
        <w:numId w:val="10"/>
      </w:numPr>
      <w:jc w:val="both"/>
      <w:outlineLvl w:val="5"/>
    </w:pPr>
    <w:rPr>
      <w:rFonts w:ascii="Times New Roman" w:hAnsi="Times New Roman"/>
      <w:b/>
      <w:bCs/>
      <w:sz w:val="18"/>
    </w:rPr>
  </w:style>
  <w:style w:type="paragraph" w:styleId="Heading7">
    <w:name w:val="heading 7"/>
    <w:basedOn w:val="Normal"/>
    <w:next w:val="Normal"/>
    <w:qFormat/>
    <w:rsid w:val="00287C41"/>
    <w:pPr>
      <w:keepNext/>
      <w:numPr>
        <w:ilvl w:val="6"/>
        <w:numId w:val="10"/>
      </w:numPr>
      <w:jc w:val="both"/>
      <w:outlineLvl w:val="6"/>
    </w:pPr>
    <w:rPr>
      <w:rFonts w:ascii="Times New Roman" w:hAnsi="Times New Roman"/>
      <w:sz w:val="28"/>
    </w:rPr>
  </w:style>
  <w:style w:type="paragraph" w:styleId="Heading8">
    <w:name w:val="heading 8"/>
    <w:basedOn w:val="Normal"/>
    <w:next w:val="Normal"/>
    <w:qFormat/>
    <w:rsid w:val="00287C41"/>
    <w:pPr>
      <w:keepNext/>
      <w:numPr>
        <w:ilvl w:val="7"/>
        <w:numId w:val="10"/>
      </w:numPr>
      <w:jc w:val="center"/>
      <w:outlineLvl w:val="7"/>
    </w:pPr>
    <w:rPr>
      <w:rFonts w:ascii="Times New Roman" w:hAnsi="Times New Roman"/>
      <w:b/>
      <w:bCs/>
      <w:sz w:val="22"/>
    </w:rPr>
  </w:style>
  <w:style w:type="paragraph" w:styleId="Heading9">
    <w:name w:val="heading 9"/>
    <w:basedOn w:val="Normal"/>
    <w:next w:val="Normal"/>
    <w:qFormat/>
    <w:rsid w:val="00287C41"/>
    <w:pPr>
      <w:keepNext/>
      <w:numPr>
        <w:ilvl w:val="8"/>
        <w:numId w:val="10"/>
      </w:numPr>
      <w:jc w:val="both"/>
      <w:outlineLvl w:val="8"/>
    </w:pPr>
    <w:rPr>
      <w:rFonts w:ascii="Times New Roman" w:hAnsi="Times New Roman"/>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287C41"/>
    <w:pPr>
      <w:tabs>
        <w:tab w:val="center" w:pos="4320"/>
        <w:tab w:val="right" w:pos="8640"/>
      </w:tabs>
    </w:pPr>
  </w:style>
  <w:style w:type="paragraph" w:styleId="Footer">
    <w:name w:val="footer"/>
    <w:basedOn w:val="Normal"/>
    <w:semiHidden/>
    <w:rsid w:val="00287C41"/>
    <w:pPr>
      <w:tabs>
        <w:tab w:val="center" w:pos="4320"/>
        <w:tab w:val="right" w:pos="8640"/>
      </w:tabs>
    </w:pPr>
  </w:style>
  <w:style w:type="paragraph" w:customStyle="1" w:styleId="CalVerTable">
    <w:name w:val="CalVerTable"/>
    <w:basedOn w:val="BodyText"/>
    <w:rsid w:val="00287C41"/>
    <w:pPr>
      <w:spacing w:after="40" w:line="160" w:lineRule="atLeast"/>
      <w:ind w:left="3240" w:hanging="3240"/>
    </w:pPr>
    <w:rPr>
      <w:rFonts w:ascii="Times New Roman" w:hAnsi="Times New Roman"/>
      <w:szCs w:val="20"/>
    </w:rPr>
  </w:style>
  <w:style w:type="paragraph" w:styleId="BodyText">
    <w:name w:val="Body Text"/>
    <w:basedOn w:val="Normal"/>
    <w:semiHidden/>
    <w:rsid w:val="00287C41"/>
    <w:pPr>
      <w:spacing w:after="120"/>
    </w:pPr>
  </w:style>
  <w:style w:type="paragraph" w:customStyle="1" w:styleId="Reagents">
    <w:name w:val="Reagents"/>
    <w:basedOn w:val="Normal"/>
    <w:rsid w:val="00287C41"/>
    <w:pPr>
      <w:tabs>
        <w:tab w:val="center" w:pos="720"/>
        <w:tab w:val="center" w:pos="2160"/>
        <w:tab w:val="left" w:pos="3600"/>
        <w:tab w:val="center" w:pos="6480"/>
        <w:tab w:val="center" w:pos="8640"/>
      </w:tabs>
      <w:spacing w:after="40" w:line="160" w:lineRule="atLeast"/>
    </w:pPr>
    <w:rPr>
      <w:rFonts w:ascii="Times New Roman" w:hAnsi="Times New Roman"/>
      <w:szCs w:val="20"/>
    </w:rPr>
  </w:style>
  <w:style w:type="paragraph" w:customStyle="1" w:styleId="Default">
    <w:name w:val="Default"/>
    <w:rsid w:val="00287C41"/>
    <w:pPr>
      <w:autoSpaceDE w:val="0"/>
      <w:autoSpaceDN w:val="0"/>
      <w:adjustRightInd w:val="0"/>
    </w:pPr>
    <w:rPr>
      <w:rFonts w:ascii="Helen Pro Cond" w:hAnsi="Helen Pro Cond"/>
      <w:color w:val="000000"/>
      <w:sz w:val="24"/>
      <w:szCs w:val="24"/>
    </w:rPr>
  </w:style>
  <w:style w:type="paragraph" w:customStyle="1" w:styleId="Pa13">
    <w:name w:val="Pa13"/>
    <w:basedOn w:val="Default"/>
    <w:next w:val="Default"/>
    <w:rsid w:val="00287C41"/>
    <w:pPr>
      <w:spacing w:line="151" w:lineRule="atLeast"/>
    </w:pPr>
    <w:rPr>
      <w:color w:val="auto"/>
    </w:rPr>
  </w:style>
  <w:style w:type="paragraph" w:customStyle="1" w:styleId="Pa12">
    <w:name w:val="Pa12"/>
    <w:basedOn w:val="Default"/>
    <w:next w:val="Default"/>
    <w:rsid w:val="00287C41"/>
    <w:pPr>
      <w:spacing w:line="151" w:lineRule="atLeast"/>
    </w:pPr>
    <w:rPr>
      <w:color w:val="auto"/>
    </w:rPr>
  </w:style>
  <w:style w:type="paragraph" w:customStyle="1" w:styleId="Pa4">
    <w:name w:val="Pa4"/>
    <w:basedOn w:val="Default"/>
    <w:next w:val="Default"/>
    <w:rsid w:val="00287C41"/>
    <w:pPr>
      <w:spacing w:line="151" w:lineRule="atLeast"/>
    </w:pPr>
    <w:rPr>
      <w:color w:val="auto"/>
    </w:rPr>
  </w:style>
  <w:style w:type="paragraph" w:customStyle="1" w:styleId="Pa14">
    <w:name w:val="Pa14"/>
    <w:basedOn w:val="Default"/>
    <w:next w:val="Default"/>
    <w:rsid w:val="00287C41"/>
    <w:pPr>
      <w:spacing w:line="151" w:lineRule="atLeast"/>
    </w:pPr>
    <w:rPr>
      <w:color w:val="auto"/>
    </w:rPr>
  </w:style>
  <w:style w:type="paragraph" w:customStyle="1" w:styleId="Pa10">
    <w:name w:val="Pa10"/>
    <w:basedOn w:val="Normal"/>
    <w:next w:val="Normal"/>
    <w:rsid w:val="00287C41"/>
    <w:pPr>
      <w:autoSpaceDE w:val="0"/>
      <w:autoSpaceDN w:val="0"/>
      <w:adjustRightInd w:val="0"/>
      <w:spacing w:line="141" w:lineRule="atLeast"/>
    </w:pPr>
    <w:rPr>
      <w:rFonts w:ascii="Helen Pro Cond" w:hAnsi="Helen Pro Cond"/>
      <w:sz w:val="24"/>
    </w:rPr>
  </w:style>
  <w:style w:type="paragraph" w:customStyle="1" w:styleId="Pa15">
    <w:name w:val="Pa15"/>
    <w:basedOn w:val="Default"/>
    <w:next w:val="Default"/>
    <w:rsid w:val="00287C41"/>
    <w:pPr>
      <w:spacing w:line="151" w:lineRule="atLeast"/>
    </w:pPr>
    <w:rPr>
      <w:color w:val="auto"/>
    </w:rPr>
  </w:style>
  <w:style w:type="character" w:customStyle="1" w:styleId="A8">
    <w:name w:val="A8"/>
    <w:rsid w:val="00287C41"/>
    <w:rPr>
      <w:rFonts w:ascii="Helen Pro" w:hAnsi="Helen Pro"/>
      <w:color w:val="000000"/>
      <w:sz w:val="8"/>
      <w:szCs w:val="8"/>
    </w:rPr>
  </w:style>
  <w:style w:type="character" w:customStyle="1" w:styleId="A7">
    <w:name w:val="A7"/>
    <w:rsid w:val="00287C41"/>
    <w:rPr>
      <w:color w:val="000000"/>
      <w:sz w:val="15"/>
      <w:szCs w:val="15"/>
    </w:rPr>
  </w:style>
  <w:style w:type="character" w:styleId="Hyperlink">
    <w:name w:val="Hyperlink"/>
    <w:basedOn w:val="DefaultParagraphFont"/>
    <w:uiPriority w:val="99"/>
    <w:rsid w:val="00287C41"/>
    <w:rPr>
      <w:color w:val="0000FF"/>
      <w:u w:val="single"/>
    </w:rPr>
  </w:style>
  <w:style w:type="paragraph" w:styleId="BodyTextIndent">
    <w:name w:val="Body Text Indent"/>
    <w:basedOn w:val="Normal"/>
    <w:semiHidden/>
    <w:rsid w:val="00287C41"/>
    <w:pPr>
      <w:ind w:left="-108"/>
    </w:pPr>
    <w:rPr>
      <w:rFonts w:cs="Arial"/>
      <w:b/>
      <w:bCs/>
      <w:color w:val="0000FF"/>
    </w:rPr>
  </w:style>
  <w:style w:type="paragraph" w:customStyle="1" w:styleId="TableText">
    <w:name w:val="Table Text"/>
    <w:basedOn w:val="Normal"/>
    <w:rsid w:val="00287C41"/>
    <w:pPr>
      <w:autoSpaceDE w:val="0"/>
      <w:autoSpaceDN w:val="0"/>
    </w:pPr>
    <w:rPr>
      <w:rFonts w:ascii="Times New Roman" w:hAnsi="Times New Roman"/>
    </w:rPr>
  </w:style>
  <w:style w:type="paragraph" w:customStyle="1" w:styleId="Pa27">
    <w:name w:val="Pa27"/>
    <w:basedOn w:val="Default"/>
    <w:next w:val="Default"/>
    <w:rsid w:val="00287C41"/>
    <w:pPr>
      <w:spacing w:line="141" w:lineRule="atLeast"/>
    </w:pPr>
    <w:rPr>
      <w:color w:val="auto"/>
    </w:rPr>
  </w:style>
  <w:style w:type="paragraph" w:styleId="BodyText2">
    <w:name w:val="Body Text 2"/>
    <w:basedOn w:val="Normal"/>
    <w:link w:val="BodyText2Char"/>
    <w:uiPriority w:val="99"/>
    <w:unhideWhenUsed/>
    <w:rsid w:val="009C0037"/>
    <w:pPr>
      <w:spacing w:after="120" w:line="480" w:lineRule="auto"/>
    </w:pPr>
  </w:style>
  <w:style w:type="character" w:customStyle="1" w:styleId="BodyText2Char">
    <w:name w:val="Body Text 2 Char"/>
    <w:basedOn w:val="DefaultParagraphFont"/>
    <w:link w:val="BodyText2"/>
    <w:uiPriority w:val="99"/>
    <w:rsid w:val="009C0037"/>
    <w:rPr>
      <w:rFonts w:ascii="Arial" w:hAnsi="Arial"/>
      <w:szCs w:val="24"/>
    </w:rPr>
  </w:style>
  <w:style w:type="character" w:customStyle="1" w:styleId="A9">
    <w:name w:val="A9"/>
    <w:uiPriority w:val="99"/>
    <w:rsid w:val="00CA766B"/>
    <w:rPr>
      <w:color w:val="000000"/>
      <w:sz w:val="8"/>
      <w:szCs w:val="8"/>
    </w:rPr>
  </w:style>
  <w:style w:type="paragraph" w:styleId="CommentText">
    <w:name w:val="annotation text"/>
    <w:basedOn w:val="Normal"/>
    <w:link w:val="CommentTextChar"/>
    <w:semiHidden/>
    <w:rsid w:val="00EF74E9"/>
    <w:rPr>
      <w:szCs w:val="20"/>
    </w:rPr>
  </w:style>
  <w:style w:type="character" w:customStyle="1" w:styleId="CommentTextChar">
    <w:name w:val="Comment Text Char"/>
    <w:basedOn w:val="DefaultParagraphFont"/>
    <w:link w:val="CommentText"/>
    <w:semiHidden/>
    <w:rsid w:val="00EF74E9"/>
    <w:rPr>
      <w:rFonts w:ascii="Arial" w:hAnsi="Arial"/>
    </w:rPr>
  </w:style>
  <w:style w:type="character" w:styleId="FollowedHyperlink">
    <w:name w:val="FollowedHyperlink"/>
    <w:basedOn w:val="DefaultParagraphFont"/>
    <w:uiPriority w:val="99"/>
    <w:semiHidden/>
    <w:unhideWhenUsed/>
    <w:rsid w:val="00513F9B"/>
    <w:rPr>
      <w:color w:val="800080" w:themeColor="followedHyperlink"/>
      <w:u w:val="single"/>
    </w:rPr>
  </w:style>
  <w:style w:type="paragraph" w:styleId="Title">
    <w:name w:val="Title"/>
    <w:basedOn w:val="Normal"/>
    <w:link w:val="TitleChar"/>
    <w:qFormat/>
    <w:rsid w:val="002265E2"/>
    <w:pPr>
      <w:spacing w:before="240" w:after="60"/>
      <w:jc w:val="center"/>
    </w:pPr>
    <w:rPr>
      <w:rFonts w:ascii="Times New Roman" w:hAnsi="Times New Roman" w:cs="Arial"/>
      <w:b/>
      <w:bCs/>
      <w:kern w:val="28"/>
      <w:sz w:val="28"/>
      <w:szCs w:val="32"/>
    </w:rPr>
  </w:style>
  <w:style w:type="character" w:customStyle="1" w:styleId="TitleChar">
    <w:name w:val="Title Char"/>
    <w:basedOn w:val="DefaultParagraphFont"/>
    <w:link w:val="Title"/>
    <w:rsid w:val="002265E2"/>
    <w:rPr>
      <w:rFonts w:cs="Arial"/>
      <w:b/>
      <w:bCs/>
      <w:kern w:val="28"/>
      <w:sz w:val="28"/>
      <w:szCs w:val="32"/>
    </w:rPr>
  </w:style>
  <w:style w:type="character" w:customStyle="1" w:styleId="tgc">
    <w:name w:val="_tgc"/>
    <w:basedOn w:val="DefaultParagraphFont"/>
    <w:rsid w:val="002265E2"/>
  </w:style>
  <w:style w:type="table" w:styleId="TableGrid">
    <w:name w:val="Table Grid"/>
    <w:basedOn w:val="TableNormal"/>
    <w:uiPriority w:val="59"/>
    <w:rsid w:val="003571B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005CB1"/>
    <w:pPr>
      <w:ind w:left="720"/>
      <w:contextualSpacing/>
    </w:pPr>
    <w:rPr>
      <w:rFonts w:ascii="Times New Roman" w:hAnsi="Times New Roman"/>
      <w:sz w:val="24"/>
    </w:rPr>
  </w:style>
  <w:style w:type="paragraph" w:styleId="NoSpacing">
    <w:name w:val="No Spacing"/>
    <w:basedOn w:val="Normal"/>
    <w:uiPriority w:val="1"/>
    <w:qFormat/>
    <w:rsid w:val="00D43880"/>
    <w:rPr>
      <w:rFonts w:asciiTheme="minorHAnsi" w:eastAsiaTheme="minorHAnsi" w:hAnsiTheme="minorHAnsi"/>
      <w:sz w:val="24"/>
      <w:szCs w:val="3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9537687">
      <w:bodyDiv w:val="1"/>
      <w:marLeft w:val="0"/>
      <w:marRight w:val="0"/>
      <w:marTop w:val="0"/>
      <w:marBottom w:val="0"/>
      <w:divBdr>
        <w:top w:val="none" w:sz="0" w:space="0" w:color="auto"/>
        <w:left w:val="none" w:sz="0" w:space="0" w:color="auto"/>
        <w:bottom w:val="none" w:sz="0" w:space="0" w:color="auto"/>
        <w:right w:val="none" w:sz="0" w:space="0" w:color="auto"/>
      </w:divBdr>
    </w:div>
    <w:div w:id="1254511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tarnet.childrenshc.org/References/labsop/chem/quality/ch-2.17-unity-real-time-qc-review-general-user.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tarnet.childrenshc.org/References/labsop/chem/quality/ch-2.18-westgard-rules-in-chemistry.pdf"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CHC Document" ma:contentTypeID="0x010100C617F7C2C2AA7341AEB0741FB75E3EC9006B6482B50D44FD42ADC0EE98EB47B50E" ma:contentTypeVersion="12" ma:contentTypeDescription="Inherits from Document" ma:contentTypeScope="" ma:versionID="6d0daa0d34a3d38a618574c74b8afa8f">
  <xsd:schema xmlns:xsd="http://www.w3.org/2001/XMLSchema" xmlns:xs="http://www.w3.org/2001/XMLSchema" xmlns:p="http://schemas.microsoft.com/office/2006/metadata/properties" xmlns:ns1="http://schemas.microsoft.com/sharepoint/v3" xmlns:ns2="199f0838-75a6-4f0c-9be1-f2c07140bccc" xmlns:ns3="http://schemas.microsoft.com/sharepoint/v3/fields" xmlns:ns4="http://schemas.microsoft.com/sharepoint.v3" xmlns:ns5="c1848e11-9cf6-4ce4-877e-6837d2c2fa23" targetNamespace="http://schemas.microsoft.com/office/2006/metadata/properties" ma:root="true" ma:fieldsID="859cf5f27024ef27e1e3c77dc9259026" ns1:_="" ns2:_="" ns3:_="" ns4:_="" ns5:_="">
    <xsd:import namespace="http://schemas.microsoft.com/sharepoint/v3"/>
    <xsd:import namespace="199f0838-75a6-4f0c-9be1-f2c07140bccc"/>
    <xsd:import namespace="http://schemas.microsoft.com/sharepoint/v3/fields"/>
    <xsd:import namespace="http://schemas.microsoft.com/sharepoint.v3"/>
    <xsd:import namespace="c1848e11-9cf6-4ce4-877e-6837d2c2fa23"/>
    <xsd:element name="properties">
      <xsd:complexType>
        <xsd:sequence>
          <xsd:element name="documentManagement">
            <xsd:complexType>
              <xsd:all>
                <xsd:element ref="ns2:Document_x0020_Title" minOccurs="0"/>
                <xsd:element ref="ns3:_Version" minOccurs="0"/>
                <xsd:element ref="ns3:_DCDateCreated" minOccurs="0"/>
                <xsd:element ref="ns2:Publishing_x0020_Destination" minOccurs="0"/>
                <xsd:element ref="ns1:dCategory" minOccurs="0"/>
                <xsd:element ref="ns2:Meta_x0020_Page_x0020_Description" minOccurs="0"/>
                <xsd:element ref="ns2:Meta_x0020_Tag_x0020_Keywords" minOccurs="0"/>
                <xsd:element ref="ns2:PDF_x0020_Watermark" minOccurs="0"/>
                <xsd:element ref="ns2:Related_x0020_Documents" minOccurs="0"/>
                <xsd:element ref="ns2:Renewal_x0020_Date" minOccurs="0"/>
                <xsd:element ref="ns2:Sort_x0020_Order" minOccurs="0"/>
                <xsd:element ref="ns2:SubTitle" minOccurs="0"/>
                <xsd:element ref="ns2:Summary" minOccurs="0"/>
                <xsd:element ref="ns2:_dlc_DocId" minOccurs="0"/>
                <xsd:element ref="ns2:_dlc_DocIdUrl" minOccurs="0"/>
                <xsd:element ref="ns2:_dlc_DocIdPersistId" minOccurs="0"/>
                <xsd:element ref="ns2:Legacy_x0020_Document_x0020_ID" minOccurs="0"/>
                <xsd:element ref="ns2:Publish_x0020_As" minOccurs="0"/>
                <xsd:element ref="ns1:Owner" minOccurs="0"/>
                <xsd:element ref="ns4:CategoryDescription" minOccurs="0"/>
                <xsd:element ref="ns2:Content_x0020_Expiration_x0020_Date" minOccurs="0"/>
                <xsd:element ref="ns2:Content_x0020_Release_x0020_Date" minOccurs="0"/>
                <xsd:element ref="ns2:Legacy_x0020_Name" minOccurs="0"/>
                <xsd:element ref="ns5:Study_x0020_Status" minOccurs="0"/>
                <xsd:element ref="ns2:Kids_x0020_Health_x0020_Article_x0020_ID" minOccurs="0"/>
                <xsd:element ref="ns2:WFStatus" minOccurs="0"/>
                <xsd:element ref="ns5:CHC_x0020_Approval_x0020_Workflow" minOccurs="0"/>
                <xsd:element ref="ns5:CHC_x0020_Approval_x0020_Workflow_x0020_2" minOccurs="0"/>
                <xsd:element ref="ns5:CHC_x0020_Approval_x0020_Workflow_x0028_1_x0029_" minOccurs="0"/>
                <xsd:element ref="ns5:CHC_x0020_Approval_x0020_Workflow_x0028_1_x0029_0" minOccurs="0"/>
                <xsd:element ref="ns5:CHC_x0020_Approval_x0020_Workflow_x0028_1_x0029_1"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Category" ma:index="6" nillable="true" ma:displayName="Content Category" ma:description="From dCategory" ma:internalName="dCategory">
      <xsd:simpleType>
        <xsd:restriction base="dms:Text">
          <xsd:maxLength value="255"/>
        </xsd:restriction>
      </xsd:simpleType>
    </xsd:element>
    <xsd:element name="Owner" ma:index="27" nillable="true" ma:displayName="Owner" ma:internalName="Own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9f0838-75a6-4f0c-9be1-f2c07140bccc" elementFormDefault="qualified">
    <xsd:import namespace="http://schemas.microsoft.com/office/2006/documentManagement/types"/>
    <xsd:import namespace="http://schemas.microsoft.com/office/infopath/2007/PartnerControls"/>
    <xsd:element name="Document_x0020_Title" ma:index="1" nillable="true" ma:displayName="Document Title" ma:internalName="Document_x0020_Title">
      <xsd:simpleType>
        <xsd:restriction base="dms:Text">
          <xsd:maxLength value="255"/>
        </xsd:restriction>
      </xsd:simpleType>
    </xsd:element>
    <xsd:element name="Publishing_x0020_Destination" ma:index="5" nillable="true" ma:displayName="Publish To" ma:default="Default" ma:description="From dSecurityGroup" ma:format="Dropdown" ma:internalName="Publishing_x0020_Destination">
      <xsd:simpleType>
        <xsd:restriction base="dms:Choice">
          <xsd:enumeration value="Default"/>
          <xsd:enumeration value="StarNet"/>
          <xsd:enumeration value="Internet"/>
          <xsd:enumeration value="Shared"/>
        </xsd:restriction>
      </xsd:simpleType>
    </xsd:element>
    <xsd:element name="Meta_x0020_Page_x0020_Description" ma:index="7" nillable="true" ma:displayName="Meta Page Description" ma:description="From xSearchDescription" ma:internalName="Meta_x0020_Page_x0020_Description">
      <xsd:simpleType>
        <xsd:restriction base="dms:Text">
          <xsd:maxLength value="255"/>
        </xsd:restriction>
      </xsd:simpleType>
    </xsd:element>
    <xsd:element name="Meta_x0020_Tag_x0020_Keywords" ma:index="8" nillable="true" ma:displayName="Meta Tag Keywords" ma:description="From dSearchKeywords" ma:internalName="Meta_x0020_Tag_x0020_Keywords">
      <xsd:simpleType>
        <xsd:restriction base="dms:Text">
          <xsd:maxLength value="255"/>
        </xsd:restriction>
      </xsd:simpleType>
    </xsd:element>
    <xsd:element name="PDF_x0020_Watermark" ma:index="9" nillable="true" ma:displayName="PDF Watermark" ma:default="None" ma:description="From dPdfwTemplateID" ma:format="Dropdown" ma:internalName="PDF_x0020_Watermark">
      <xsd:simpleType>
        <xsd:restriction base="dms:Choice">
          <xsd:enumeration value="None"/>
        </xsd:restriction>
      </xsd:simpleType>
    </xsd:element>
    <xsd:element name="Related_x0020_Documents" ma:index="10" nillable="true" ma:displayName="Related Documents" ma:description="From xRelatedDocuments" ma:internalName="Related_x0020_Documents">
      <xsd:simpleType>
        <xsd:restriction base="dms:Note">
          <xsd:maxLength value="255"/>
        </xsd:restriction>
      </xsd:simpleType>
    </xsd:element>
    <xsd:element name="Renewal_x0020_Date" ma:index="11" nillable="true" ma:displayName="Renewal Date" ma:description="From xRenewalDate" ma:format="DateOnly" ma:internalName="Renewal_x0020_Date">
      <xsd:simpleType>
        <xsd:restriction base="dms:DateTime"/>
      </xsd:simpleType>
    </xsd:element>
    <xsd:element name="Sort_x0020_Order" ma:index="12" nillable="true" ma:displayName="Sort Order" ma:decimals="0" ma:default="1" ma:description="From xSortOrder" ma:internalName="Sort_x0020_Order">
      <xsd:simpleType>
        <xsd:restriction base="dms:Number">
          <xsd:minInclusive value="1"/>
        </xsd:restriction>
      </xsd:simpleType>
    </xsd:element>
    <xsd:element name="SubTitle" ma:index="13" nillable="true" ma:displayName="SubTitle" ma:description="From xSubTitle" ma:internalName="SubTitle">
      <xsd:simpleType>
        <xsd:restriction base="dms:Text">
          <xsd:maxLength value="255"/>
        </xsd:restriction>
      </xsd:simpleType>
    </xsd:element>
    <xsd:element name="Summary" ma:index="14" nillable="true" ma:displayName="Summary" ma:description="From xSummary" ma:internalName="Summary">
      <xsd:simpleType>
        <xsd:restriction base="dms:Note">
          <xsd:maxLength value="255"/>
        </xsd:restriction>
      </xsd:simple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Legacy_x0020_Document_x0020_ID" ma:index="25" nillable="true" ma:displayName="Legacy Document ID" ma:internalName="Legacy_x0020_Document_x0020_ID">
      <xsd:simpleType>
        <xsd:restriction base="dms:Text">
          <xsd:maxLength value="255"/>
        </xsd:restriction>
      </xsd:simpleType>
    </xsd:element>
    <xsd:element name="Publish_x0020_As" ma:index="26" nillable="true" ma:displayName="Publish As" ma:default="Default" ma:format="Dropdown" ma:internalName="Publish_x0020_As">
      <xsd:simpleType>
        <xsd:restriction base="dms:Choice">
          <xsd:enumeration value="Default"/>
          <xsd:enumeration value="Form"/>
          <xsd:enumeration value="Passthrough"/>
          <xsd:enumeration value="Unpublished"/>
        </xsd:restriction>
      </xsd:simpleType>
    </xsd:element>
    <xsd:element name="Content_x0020_Expiration_x0020_Date" ma:index="29" nillable="true" ma:displayName="Content Expiration Date" ma:description="Date and time that content is removed from production publishing" ma:format="DateOnly" ma:internalName="Content_x0020_Expiration_x0020_Date">
      <xsd:simpleType>
        <xsd:restriction base="dms:DateTime"/>
      </xsd:simpleType>
    </xsd:element>
    <xsd:element name="Content_x0020_Release_x0020_Date" ma:index="30" nillable="true" ma:displayName="Content Release Date" ma:description="Date and time that content starts publishing to production" ma:format="DateOnly" ma:internalName="Content_x0020_Release_x0020_Date">
      <xsd:simpleType>
        <xsd:restriction base="dms:DateTime"/>
      </xsd:simpleType>
    </xsd:element>
    <xsd:element name="Legacy_x0020_Name" ma:index="31" nillable="true" ma:displayName="Legacy Name" ma:description="From dOriginalName" ma:internalName="Legacy_x0020_Name">
      <xsd:simpleType>
        <xsd:restriction base="dms:Text">
          <xsd:maxLength value="255"/>
        </xsd:restriction>
      </xsd:simpleType>
    </xsd:element>
    <xsd:element name="Kids_x0020_Health_x0020_Article_x0020_ID" ma:index="34" nillable="true" ma:displayName="Kids Health Article ID" ma:description="Requested by Mike Dimunation for redirect mapping of WP/SP/KH articles." ma:internalName="Kids_x0020_Health_x0020_Article_x0020_ID">
      <xsd:simpleType>
        <xsd:restriction base="dms:Number"/>
      </xsd:simpleType>
    </xsd:element>
    <xsd:element name="WFStatus" ma:index="35" nillable="true" ma:displayName="WFStatus" ma:description="Publishing Workflow Status indicator" ma:indexed="true" ma:internalName="WFStatus">
      <xsd:simpleType>
        <xsd:restriction base="dms:Text">
          <xsd:maxLength value="255"/>
        </xsd:restriction>
      </xsd:simpleType>
    </xsd:element>
    <xsd:element name="SharedWithUsers" ma:index="4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2" nillable="true" ma:displayName="Version" ma:internalName="_Version">
      <xsd:simpleType>
        <xsd:restriction base="dms:Text"/>
      </xsd:simpleType>
    </xsd:element>
    <xsd:element name="_DCDateCreated" ma:index="4" nillable="true" ma:displayName="Legacy Date Created" ma:description="The date on which this resource was created" ma:format="DateTime" ma:internalName="_DCDate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28" nillable="true" ma:displayName="Description" ma:internalName="CategoryDescrip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848e11-9cf6-4ce4-877e-6837d2c2fa23" elementFormDefault="qualified">
    <xsd:import namespace="http://schemas.microsoft.com/office/2006/documentManagement/types"/>
    <xsd:import namespace="http://schemas.microsoft.com/office/infopath/2007/PartnerControls"/>
    <xsd:element name="Study_x0020_Status" ma:index="33" nillable="true" ma:displayName="Study Status" ma:description="HemOnc" ma:internalName="Study_x0020_Status">
      <xsd:simpleType>
        <xsd:restriction base="dms:Text">
          <xsd:maxLength value="255"/>
        </xsd:restriction>
      </xsd:simpleType>
    </xsd:element>
    <xsd:element name="CHC_x0020_Approval_x0020_Workflow" ma:index="36" nillable="true" ma:displayName="CHC Approval Workflow" ma:internalName="CHC_x0020_Approval_x0020_Workflow">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0_2" ma:index="37" nillable="true" ma:displayName="CHC Approval Workflow 2" ma:internalName="CHC_x0020_Approval_x0020_Workflow_x0020_2">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 ma:index="38" nillable="true" ma:displayName="CHC Approval Workflow" ma:internalName="CHC_x0020_Approval_x0020_Workflow_x0028_1_x0029_">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0" ma:index="39" nillable="true" ma:displayName="CHC Approval Workflow" ma:internalName="CHC_x0020_Approval_x0020_Workflow_x0028_1_x0029_0">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1" ma:index="40" nillable="true" ma:displayName="CHC Approval Workflow" ma:internalName="CHC_x0020_Approval_x0020_Workflow_x0028_1_x0029_1">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Legacy Modified By"/>
        <xsd:element ref="dcterms:created" minOccurs="0" maxOccurs="1"/>
        <xsd:element ref="dc:identifier" minOccurs="0" maxOccurs="1"/>
        <xsd:element name="contentType" minOccurs="0" maxOccurs="1" type="xsd:string" ma:index="24" ma:displayName="Content Type"/>
        <xsd:element ref="dc:title" minOccurs="0" maxOccurs="1" ma:index="15" ma:displayName="Title"/>
        <xsd:element ref="dc:subject" minOccurs="0" maxOccurs="1"/>
        <xsd:element ref="dc:description" minOccurs="0" maxOccurs="1" ma:index="32"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HC_x0020_Approval_x0020_Workflow_x0028_1_x0029_ xmlns="c1848e11-9cf6-4ce4-877e-6837d2c2fa23">
      <Url xsi:nil="true"/>
      <Description xsi:nil="true"/>
    </CHC_x0020_Approval_x0020_Workflow_x0028_1_x0029_>
    <Kids_x0020_Health_x0020_Article_x0020_ID xmlns="199f0838-75a6-4f0c-9be1-f2c07140bccc" xsi:nil="true"/>
    <WFStatus xmlns="199f0838-75a6-4f0c-9be1-f2c07140bccc">Approved</WFStatus>
    <Renewal_x0020_Date xmlns="199f0838-75a6-4f0c-9be1-f2c07140bccc">2021-08-23T05:00:00+00:00</Renewal_x0020_Date>
    <Related_x0020_Documents xmlns="199f0838-75a6-4f0c-9be1-f2c07140bccc" xsi:nil="true"/>
    <Legacy_x0020_Name xmlns="199f0838-75a6-4f0c-9be1-f2c07140bccc" xsi:nil="true"/>
    <Legacy_x0020_Document_x0020_ID xmlns="199f0838-75a6-4f0c-9be1-f2c07140bccc" xsi:nil="true"/>
    <Publish_x0020_As xmlns="199f0838-75a6-4f0c-9be1-f2c07140bccc">Default</Publish_x0020_As>
    <CategoryDescription xmlns="http://schemas.microsoft.com/sharepoint.v3" xsi:nil="true"/>
    <CHC_x0020_Approval_x0020_Workflow_x0028_1_x0029_0 xmlns="c1848e11-9cf6-4ce4-877e-6837d2c2fa23">
      <Url xsi:nil="true"/>
      <Description xsi:nil="true"/>
    </CHC_x0020_Approval_x0020_Workflow_x0028_1_x0029_0>
    <_dlc_DocId xmlns="199f0838-75a6-4f0c-9be1-f2c07140bccc">F6TN54CWY5RS-50183619-35888</_dlc_DocId>
    <_Version xmlns="http://schemas.microsoft.com/sharepoint/v3/fields" xsi:nil="true"/>
    <Meta_x0020_Tag_x0020_Keywords xmlns="199f0838-75a6-4f0c-9be1-f2c07140bccc" xsi:nil="true"/>
    <Publishing_x0020_Destination xmlns="199f0838-75a6-4f0c-9be1-f2c07140bccc">Default</Publishing_x0020_Destination>
    <CHC_x0020_Approval_x0020_Workflow xmlns="c1848e11-9cf6-4ce4-877e-6837d2c2fa23">
      <Url xsi:nil="true"/>
      <Description xsi:nil="true"/>
    </CHC_x0020_Approval_x0020_Workflow>
    <dCategory xmlns="http://schemas.microsoft.com/sharepoint/v3" xsi:nil="true"/>
    <CHC_x0020_Approval_x0020_Workflow_x0020_2 xmlns="c1848e11-9cf6-4ce4-877e-6837d2c2fa23">
      <Url xsi:nil="true"/>
      <Description xsi:nil="true"/>
    </CHC_x0020_Approval_x0020_Workflow_x0020_2>
    <Document_x0020_Title xmlns="199f0838-75a6-4f0c-9be1-f2c07140bccc">CH 6.43 Hepatitis B Surface Antigen</Document_x0020_Title>
    <Content_x0020_Expiration_x0020_Date xmlns="199f0838-75a6-4f0c-9be1-f2c07140bccc" xsi:nil="true"/>
    <Sort_x0020_Order xmlns="199f0838-75a6-4f0c-9be1-f2c07140bccc">1</Sort_x0020_Order>
    <PDF_x0020_Watermark xmlns="199f0838-75a6-4f0c-9be1-f2c07140bccc">None</PDF_x0020_Watermark>
    <CHC_x0020_Approval_x0020_Workflow_x0028_1_x0029_1 xmlns="c1848e11-9cf6-4ce4-877e-6837d2c2fa23">
      <Url xsi:nil="true"/>
      <Description xsi:nil="true"/>
    </CHC_x0020_Approval_x0020_Workflow_x0028_1_x0029_1>
    <_DCDateCreated xmlns="http://schemas.microsoft.com/sharepoint/v3/fields" xsi:nil="true"/>
    <Owner xmlns="http://schemas.microsoft.com/sharepoint/v3">CHEM</Owner>
    <Content_x0020_Release_x0020_Date xmlns="199f0838-75a6-4f0c-9be1-f2c07140bccc">2018-05-15T05:00:00+00:00</Content_x0020_Release_x0020_Date>
    <Summary xmlns="199f0838-75a6-4f0c-9be1-f2c07140bccc" xsi:nil="true"/>
    <SubTitle xmlns="199f0838-75a6-4f0c-9be1-f2c07140bccc" xsi:nil="true"/>
    <_dlc_DocIdUrl xmlns="199f0838-75a6-4f0c-9be1-f2c07140bccc">
      <Url>https://vcpsharepoint4.childrenshc.org/references/_layouts/15/DocIdRedir.aspx?ID=F6TN54CWY5RS-50183619-35888</Url>
      <Description>F6TN54CWY5RS-50183619-35888</Description>
    </_dlc_DocIdUrl>
    <Study_x0020_Status xmlns="c1848e11-9cf6-4ce4-877e-6837d2c2fa23" xsi:nil="true"/>
    <Meta_x0020_Page_x0020_Description xmlns="199f0838-75a6-4f0c-9be1-f2c07140bccc" xsi:nil="true"/>
  </documentManagement>
</p:properties>
</file>

<file path=customXml/itemProps1.xml><?xml version="1.0" encoding="utf-8"?>
<ds:datastoreItem xmlns:ds="http://schemas.openxmlformats.org/officeDocument/2006/customXml" ds:itemID="{584CB3B2-B889-495C-9217-71907AA5B9FA}">
  <ds:schemaRefs>
    <ds:schemaRef ds:uri="http://schemas.microsoft.com/sharepoint/events"/>
  </ds:schemaRefs>
</ds:datastoreItem>
</file>

<file path=customXml/itemProps2.xml><?xml version="1.0" encoding="utf-8"?>
<ds:datastoreItem xmlns:ds="http://schemas.openxmlformats.org/officeDocument/2006/customXml" ds:itemID="{3596D9B8-C4A9-4F77-92BA-77A9AAEF34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99f0838-75a6-4f0c-9be1-f2c07140bccc"/>
    <ds:schemaRef ds:uri="http://schemas.microsoft.com/sharepoint/v3/fields"/>
    <ds:schemaRef ds:uri="http://schemas.microsoft.com/sharepoint.v3"/>
    <ds:schemaRef ds:uri="c1848e11-9cf6-4ce4-877e-6837d2c2fa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9129F5-5224-49F7-8AE2-7D0F2A48FDF9}">
  <ds:schemaRefs>
    <ds:schemaRef ds:uri="http://schemas.microsoft.com/sharepoint/v3/contenttype/forms"/>
  </ds:schemaRefs>
</ds:datastoreItem>
</file>

<file path=customXml/itemProps4.xml><?xml version="1.0" encoding="utf-8"?>
<ds:datastoreItem xmlns:ds="http://schemas.openxmlformats.org/officeDocument/2006/customXml" ds:itemID="{C96F4924-055F-437A-BF96-931834C44D40}">
  <ds:schemaRefs>
    <ds:schemaRef ds:uri="http://schemas.microsoft.com/sharepoint/v3"/>
    <ds:schemaRef ds:uri="http://purl.org/dc/terms/"/>
    <ds:schemaRef ds:uri="http://schemas.microsoft.com/office/2006/metadata/properties"/>
    <ds:schemaRef ds:uri="http://schemas.openxmlformats.org/package/2006/metadata/core-properties"/>
    <ds:schemaRef ds:uri="http://schemas.microsoft.com/office/2006/documentManagement/types"/>
    <ds:schemaRef ds:uri="http://www.w3.org/XML/1998/namespace"/>
    <ds:schemaRef ds:uri="http://purl.org/dc/dcmitype/"/>
    <ds:schemaRef ds:uri="http://purl.org/dc/elements/1.1/"/>
    <ds:schemaRef ds:uri="c1848e11-9cf6-4ce4-877e-6837d2c2fa23"/>
    <ds:schemaRef ds:uri="http://schemas.microsoft.com/office/infopath/2007/PartnerControls"/>
    <ds:schemaRef ds:uri="http://schemas.microsoft.com/sharepoint.v3"/>
    <ds:schemaRef ds:uri="http://schemas.microsoft.com/sharepoint/v3/fields"/>
    <ds:schemaRef ds:uri="199f0838-75a6-4f0c-9be1-f2c07140bcc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2267</Words>
  <Characters>12923</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CH 6.43 Hepatitis B Surface Antigen</vt:lpstr>
    </vt:vector>
  </TitlesOfParts>
  <Company>Authorized User</Company>
  <LinksUpToDate>false</LinksUpToDate>
  <CharactersWithSpaces>15160</CharactersWithSpaces>
  <SharedDoc>false</SharedDoc>
  <HLinks>
    <vt:vector size="6" baseType="variant">
      <vt:variant>
        <vt:i4>4390980</vt:i4>
      </vt:variant>
      <vt:variant>
        <vt:i4>0</vt:i4>
      </vt:variant>
      <vt:variant>
        <vt:i4>0</vt:i4>
      </vt:variant>
      <vt:variant>
        <vt:i4>5</vt:i4>
      </vt:variant>
      <vt:variant>
        <vt:lpwstr>http://khan.childrensmn.org/Manuals/Lab/SOP/Chem/Procedure/206820.pdf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 6.43 Hepatitis B Surface Antigen</dc:title>
  <dc:creator>Authorized User</dc:creator>
  <dc:description>New Method/Procedure: Abbott Architect ERB 5/15/18 updated QC for URT 8/23/19 ERB</dc:description>
  <cp:lastModifiedBy>Erin Bartos</cp:lastModifiedBy>
  <cp:revision>2</cp:revision>
  <cp:lastPrinted>2011-06-16T20:36:00Z</cp:lastPrinted>
  <dcterms:created xsi:type="dcterms:W3CDTF">2020-12-10T23:34:00Z</dcterms:created>
  <dcterms:modified xsi:type="dcterms:W3CDTF">2020-12-10T23:34:00Z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0x010100C617F7C2C2AA7341AEB0741FB75E3EC9006B6482B50D44FD42ADC0EE98EB47B50E</vt:lpwstr>
  </property>
  <property fmtid="{D5CDD505-2E9C-101B-9397-08002B2CF9AE}" pid="3" name="_dlc_DocIdItemGuid">
    <vt:lpwstr>2341fc8c-71ae-4b49-8611-8cbd0629b7da</vt:lpwstr>
  </property>
  <property fmtid="{D5CDD505-2E9C-101B-9397-08002B2CF9AE}" pid="4" name="WorkflowChangePath">
    <vt:lpwstr>85493ae8-44a3-4172-9f61-0b2d9e19d9ef,17;</vt:lpwstr>
  </property>
</Properties>
</file>